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4FF0" w:rsidRPr="00947070" w:rsidTr="00434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6" w:type="dxa"/>
          </w:tcPr>
          <w:p w:rsidR="00434FF0" w:rsidRPr="00947070" w:rsidRDefault="00434FF0" w:rsidP="00947070">
            <w:pPr>
              <w:spacing w:line="240" w:lineRule="auto"/>
              <w:rPr>
                <w:sz w:val="28"/>
                <w:szCs w:val="28"/>
              </w:rPr>
            </w:pPr>
            <w:r w:rsidRPr="00947070">
              <w:rPr>
                <w:sz w:val="28"/>
                <w:szCs w:val="28"/>
              </w:rPr>
              <w:t>Webpagina oude Handleiding geur</w:t>
            </w:r>
          </w:p>
        </w:tc>
        <w:tc>
          <w:tcPr>
            <w:tcW w:w="4606" w:type="dxa"/>
          </w:tcPr>
          <w:p w:rsidR="00434FF0" w:rsidRPr="00947070" w:rsidRDefault="00434FF0" w:rsidP="00947070">
            <w:pPr>
              <w:spacing w:line="240" w:lineRule="auto"/>
              <w:rPr>
                <w:sz w:val="28"/>
                <w:szCs w:val="28"/>
              </w:rPr>
            </w:pPr>
            <w:r w:rsidRPr="00947070">
              <w:rPr>
                <w:sz w:val="28"/>
                <w:szCs w:val="28"/>
              </w:rPr>
              <w:t>Webpagina actualisatie handleiding geur</w:t>
            </w:r>
          </w:p>
        </w:tc>
        <w:bookmarkStart w:id="0" w:name="_GoBack"/>
        <w:bookmarkEnd w:id="0"/>
      </w:tr>
      <w:tr w:rsidR="00434FF0" w:rsidRPr="00947070" w:rsidTr="00947070">
        <w:tc>
          <w:tcPr>
            <w:tcW w:w="4606" w:type="dxa"/>
          </w:tcPr>
          <w:p w:rsidR="00947070" w:rsidRDefault="00947070" w:rsidP="00F1059C">
            <w:pPr>
              <w:rPr>
                <w:sz w:val="18"/>
              </w:rPr>
            </w:pPr>
          </w:p>
          <w:p w:rsidR="00434FF0" w:rsidRPr="00947070" w:rsidRDefault="00434FF0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Voorwoord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434FF0" w:rsidRDefault="00434FF0" w:rsidP="00F1059C">
            <w:pPr>
              <w:rPr>
                <w:sz w:val="18"/>
              </w:rPr>
            </w:pPr>
          </w:p>
          <w:p w:rsidR="00947070" w:rsidRPr="00947070" w:rsidRDefault="00947070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</w:tc>
      </w:tr>
      <w:tr w:rsidR="003A72EF" w:rsidRPr="00947070" w:rsidTr="008D0D5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47070" w:rsidRDefault="00947070" w:rsidP="00F1059C">
            <w:pPr>
              <w:rPr>
                <w:b/>
                <w:sz w:val="18"/>
              </w:rPr>
            </w:pPr>
          </w:p>
          <w:p w:rsidR="003A72EF" w:rsidRPr="00947070" w:rsidRDefault="003A72EF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INLEIDING</w:t>
            </w:r>
          </w:p>
        </w:tc>
      </w:tr>
      <w:tr w:rsidR="00434FF0" w:rsidRPr="00947070" w:rsidTr="00F1059C">
        <w:tc>
          <w:tcPr>
            <w:tcW w:w="4606" w:type="dxa"/>
          </w:tcPr>
          <w:p w:rsidR="00434FF0" w:rsidRPr="00947070" w:rsidRDefault="003A72EF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1.1 </w:t>
            </w:r>
            <w:r w:rsidR="00434FF0" w:rsidRPr="00947070">
              <w:rPr>
                <w:sz w:val="18"/>
              </w:rPr>
              <w:t>Doel en afbakening</w:t>
            </w:r>
          </w:p>
        </w:tc>
        <w:tc>
          <w:tcPr>
            <w:tcW w:w="4606" w:type="dxa"/>
          </w:tcPr>
          <w:p w:rsidR="00434FF0" w:rsidRPr="00947070" w:rsidRDefault="003A72E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Hoofdpagina</w:t>
            </w:r>
          </w:p>
        </w:tc>
      </w:tr>
      <w:tr w:rsidR="00434FF0" w:rsidRPr="00947070" w:rsidTr="00F1059C">
        <w:tc>
          <w:tcPr>
            <w:tcW w:w="4606" w:type="dxa"/>
          </w:tcPr>
          <w:p w:rsidR="00434FF0" w:rsidRPr="00947070" w:rsidRDefault="00434FF0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1.2 Waarom geurbeleid?</w:t>
            </w:r>
          </w:p>
        </w:tc>
        <w:tc>
          <w:tcPr>
            <w:tcW w:w="4606" w:type="dxa"/>
          </w:tcPr>
          <w:p w:rsidR="00434FF0" w:rsidRPr="00947070" w:rsidRDefault="003A72E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inleiding</w:t>
            </w:r>
          </w:p>
        </w:tc>
      </w:tr>
      <w:tr w:rsidR="00434FF0" w:rsidRPr="00947070" w:rsidTr="00F1059C">
        <w:tc>
          <w:tcPr>
            <w:tcW w:w="4606" w:type="dxa"/>
          </w:tcPr>
          <w:p w:rsidR="00434FF0" w:rsidRPr="00947070" w:rsidRDefault="00434FF0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1.3 Gezondheidseffecten geur</w:t>
            </w:r>
          </w:p>
        </w:tc>
        <w:tc>
          <w:tcPr>
            <w:tcW w:w="4606" w:type="dxa"/>
          </w:tcPr>
          <w:p w:rsidR="00434FF0" w:rsidRPr="00947070" w:rsidRDefault="003A72E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inleiding</w:t>
            </w:r>
          </w:p>
        </w:tc>
      </w:tr>
      <w:tr w:rsidR="00434FF0" w:rsidRPr="00947070" w:rsidTr="00F1059C">
        <w:tc>
          <w:tcPr>
            <w:tcW w:w="4606" w:type="dxa"/>
          </w:tcPr>
          <w:p w:rsidR="00434FF0" w:rsidRPr="00947070" w:rsidRDefault="00434FF0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1.4 Hoe beoordeel je geur?</w:t>
            </w:r>
          </w:p>
        </w:tc>
        <w:tc>
          <w:tcPr>
            <w:tcW w:w="4606" w:type="dxa"/>
          </w:tcPr>
          <w:p w:rsidR="00434FF0" w:rsidRPr="00947070" w:rsidRDefault="003A72EF" w:rsidP="003A72EF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inleiding, </w:t>
            </w:r>
            <w:proofErr w:type="spellStart"/>
            <w:proofErr w:type="gram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 </w:t>
            </w:r>
            <w:proofErr w:type="gramEnd"/>
            <w:r w:rsidRPr="00947070">
              <w:rPr>
                <w:sz w:val="18"/>
              </w:rPr>
              <w:t>Hoe beoordeel je geur</w:t>
            </w:r>
          </w:p>
        </w:tc>
      </w:tr>
      <w:tr w:rsidR="00434FF0" w:rsidRPr="00947070" w:rsidTr="00F1059C">
        <w:tc>
          <w:tcPr>
            <w:tcW w:w="4606" w:type="dxa"/>
          </w:tcPr>
          <w:p w:rsidR="00434FF0" w:rsidRPr="00947070" w:rsidRDefault="00434FF0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1.5 Type A-, B- en C-inrichtingen</w:t>
            </w:r>
          </w:p>
        </w:tc>
        <w:tc>
          <w:tcPr>
            <w:tcW w:w="4606" w:type="dxa"/>
          </w:tcPr>
          <w:p w:rsidR="00434FF0" w:rsidRPr="00947070" w:rsidRDefault="003A72EF" w:rsidP="003A72EF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inleiding,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 Type A-,B-</w:t>
            </w:r>
            <w:proofErr w:type="gramStart"/>
            <w:r w:rsidRPr="00947070">
              <w:rPr>
                <w:sz w:val="18"/>
              </w:rPr>
              <w:t>,C-inrichtingen</w:t>
            </w:r>
            <w:proofErr w:type="gramEnd"/>
          </w:p>
        </w:tc>
      </w:tr>
      <w:tr w:rsidR="00434FF0" w:rsidRPr="00947070" w:rsidTr="00947070">
        <w:tc>
          <w:tcPr>
            <w:tcW w:w="4606" w:type="dxa"/>
          </w:tcPr>
          <w:p w:rsidR="00434FF0" w:rsidRPr="00947070" w:rsidRDefault="00434FF0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1.6 Leeswijzer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947070" w:rsidRPr="00947070" w:rsidRDefault="00947070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</w:tc>
      </w:tr>
      <w:tr w:rsidR="003A72EF" w:rsidRPr="00947070" w:rsidTr="008D0D5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47070" w:rsidRDefault="00947070" w:rsidP="00F1059C">
            <w:pPr>
              <w:rPr>
                <w:b/>
                <w:sz w:val="18"/>
              </w:rPr>
            </w:pPr>
          </w:p>
          <w:p w:rsidR="003A72EF" w:rsidRPr="00947070" w:rsidRDefault="003A72EF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MELDING</w:t>
            </w:r>
          </w:p>
        </w:tc>
      </w:tr>
      <w:tr w:rsidR="00434FF0" w:rsidRPr="00947070" w:rsidTr="00F1059C">
        <w:tc>
          <w:tcPr>
            <w:tcW w:w="4606" w:type="dxa"/>
          </w:tcPr>
          <w:p w:rsidR="00434FF0" w:rsidRPr="00947070" w:rsidRDefault="00434FF0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2.1 Doel en toepassing</w:t>
            </w:r>
          </w:p>
        </w:tc>
        <w:tc>
          <w:tcPr>
            <w:tcW w:w="4606" w:type="dxa"/>
          </w:tcPr>
          <w:p w:rsidR="00434FF0" w:rsidRPr="00947070" w:rsidRDefault="003A72E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melding</w:t>
            </w:r>
          </w:p>
        </w:tc>
      </w:tr>
      <w:tr w:rsidR="00434FF0" w:rsidRPr="00947070" w:rsidTr="009172B3">
        <w:tc>
          <w:tcPr>
            <w:tcW w:w="4606" w:type="dxa"/>
            <w:tcBorders>
              <w:bottom w:val="single" w:sz="4" w:space="0" w:color="auto"/>
            </w:tcBorders>
          </w:tcPr>
          <w:p w:rsidR="00434FF0" w:rsidRPr="00947070" w:rsidRDefault="00434FF0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2.2 Stappenplan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34FF0" w:rsidRPr="00947070" w:rsidRDefault="003A72E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melding</w:t>
            </w:r>
          </w:p>
        </w:tc>
      </w:tr>
      <w:tr w:rsidR="003A72EF" w:rsidRPr="00947070" w:rsidTr="00FB4EE1">
        <w:tc>
          <w:tcPr>
            <w:tcW w:w="4606" w:type="dxa"/>
            <w:tcBorders>
              <w:bottom w:val="dotted" w:sz="4" w:space="0" w:color="auto"/>
              <w:right w:val="single" w:sz="4" w:space="0" w:color="auto"/>
            </w:tcBorders>
          </w:tcPr>
          <w:p w:rsidR="003A72EF" w:rsidRPr="00947070" w:rsidRDefault="003A72EF" w:rsidP="003A72EF">
            <w:pPr>
              <w:rPr>
                <w:sz w:val="18"/>
              </w:rPr>
            </w:pPr>
            <w:r w:rsidRPr="00947070">
              <w:rPr>
                <w:sz w:val="18"/>
              </w:rPr>
              <w:t>2.3 Toelichting op het stappenplan</w:t>
            </w:r>
          </w:p>
        </w:tc>
        <w:tc>
          <w:tcPr>
            <w:tcW w:w="4606" w:type="dxa"/>
            <w:tcBorders>
              <w:left w:val="single" w:sz="4" w:space="0" w:color="auto"/>
              <w:bottom w:val="dotted" w:sz="4" w:space="0" w:color="auto"/>
            </w:tcBorders>
          </w:tcPr>
          <w:p w:rsidR="003A72EF" w:rsidRPr="00947070" w:rsidRDefault="003A72EF" w:rsidP="003A72EF">
            <w:pPr>
              <w:rPr>
                <w:sz w:val="18"/>
              </w:rPr>
            </w:pPr>
            <w:r w:rsidRPr="00947070">
              <w:rPr>
                <w:sz w:val="18"/>
              </w:rPr>
              <w:t>Webpagina melding</w:t>
            </w:r>
            <w:r w:rsidR="002B2850" w:rsidRPr="00947070">
              <w:rPr>
                <w:sz w:val="18"/>
              </w:rPr>
              <w:t xml:space="preserve">, Diverse </w:t>
            </w:r>
            <w:proofErr w:type="spellStart"/>
            <w:r w:rsidR="002B2850" w:rsidRPr="00947070">
              <w:rPr>
                <w:sz w:val="18"/>
              </w:rPr>
              <w:t>subpagina’s</w:t>
            </w:r>
            <w:proofErr w:type="spellEnd"/>
            <w:r w:rsidR="002B2850" w:rsidRPr="00947070">
              <w:rPr>
                <w:sz w:val="18"/>
              </w:rPr>
              <w:t>:</w:t>
            </w:r>
          </w:p>
        </w:tc>
      </w:tr>
      <w:tr w:rsidR="003A72EF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2EF" w:rsidRPr="00947070" w:rsidRDefault="003A72EF" w:rsidP="002B2850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Stap 1. Melding vanwege Activiteitenbesluit 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melding vanwege het activiteitenbesluit</w:t>
            </w:r>
          </w:p>
        </w:tc>
      </w:tr>
      <w:tr w:rsidR="003A72EF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Stap 2. Bepalen welke geurrelevante activiteiten er zijn 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72EF" w:rsidRPr="00947070" w:rsidRDefault="003A72EF" w:rsidP="002B2850">
            <w:pPr>
              <w:rPr>
                <w:sz w:val="18"/>
              </w:rPr>
            </w:pP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m</w:t>
            </w:r>
            <w:r w:rsidR="002B2850" w:rsidRPr="00947070">
              <w:rPr>
                <w:sz w:val="18"/>
              </w:rPr>
              <w:t>aatwerk mogelijk en nodig</w:t>
            </w:r>
          </w:p>
        </w:tc>
      </w:tr>
      <w:tr w:rsidR="003A72EF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Stap 3. Melding volledig? Voldoet aan voorschriften? 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melding vanwege het activiteitenbesluit</w:t>
            </w:r>
          </w:p>
        </w:tc>
      </w:tr>
      <w:tr w:rsidR="003A72EF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Stap 4. Aanvullende informatie opvragen 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melding vanwege het activiteitenbesluit</w:t>
            </w:r>
          </w:p>
        </w:tc>
      </w:tr>
      <w:tr w:rsidR="003A72EF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Stap 5. Maatwerk mogelijk en nodig? 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72EF" w:rsidRPr="00947070" w:rsidRDefault="003A72EF" w:rsidP="00993B8D">
            <w:pPr>
              <w:rPr>
                <w:sz w:val="18"/>
              </w:rPr>
            </w:pP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</w:t>
            </w:r>
            <w:r w:rsidR="00993B8D" w:rsidRPr="00947070">
              <w:rPr>
                <w:sz w:val="18"/>
              </w:rPr>
              <w:t>maatwerk mogelijk en nodig</w:t>
            </w:r>
          </w:p>
        </w:tc>
      </w:tr>
      <w:tr w:rsidR="003A72EF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r w:rsidRPr="00947070">
              <w:rPr>
                <w:sz w:val="18"/>
              </w:rPr>
              <w:t>Stap 6. Indien OBM nodig: is er sprake van een aanvaardbaar hinderniveau?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</w:t>
            </w:r>
            <w:r w:rsidR="00993B8D" w:rsidRPr="00947070">
              <w:rPr>
                <w:sz w:val="18"/>
              </w:rPr>
              <w:t>Omgevingsvergunning beperkte milieutoets (OBM)</w:t>
            </w:r>
          </w:p>
        </w:tc>
      </w:tr>
      <w:tr w:rsidR="003A72EF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r w:rsidRPr="00947070">
              <w:rPr>
                <w:sz w:val="18"/>
              </w:rPr>
              <w:t>Stap 7. Volg stappen voor vergunningverlening/maatwerk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A72EF" w:rsidRPr="00947070" w:rsidRDefault="003A72EF" w:rsidP="00463446">
            <w:pPr>
              <w:rPr>
                <w:sz w:val="18"/>
              </w:rPr>
            </w:pPr>
            <w:proofErr w:type="spellStart"/>
            <w:r w:rsidRPr="00947070">
              <w:rPr>
                <w:sz w:val="18"/>
              </w:rPr>
              <w:t>sub</w:t>
            </w:r>
            <w:r w:rsidR="00993B8D" w:rsidRPr="00947070">
              <w:rPr>
                <w:sz w:val="18"/>
              </w:rPr>
              <w:t>webpagina</w:t>
            </w:r>
            <w:proofErr w:type="spellEnd"/>
            <w:r w:rsidR="00993B8D" w:rsidRPr="00947070">
              <w:rPr>
                <w:sz w:val="18"/>
              </w:rPr>
              <w:t xml:space="preserve"> </w:t>
            </w:r>
            <w:proofErr w:type="gramStart"/>
            <w:r w:rsidR="00993B8D" w:rsidRPr="00947070">
              <w:rPr>
                <w:sz w:val="18"/>
              </w:rPr>
              <w:t>bepalen</w:t>
            </w:r>
            <w:proofErr w:type="gramEnd"/>
            <w:r w:rsidR="00993B8D" w:rsidRPr="00947070">
              <w:rPr>
                <w:sz w:val="18"/>
              </w:rPr>
              <w:t xml:space="preserve"> aanvaardbaar hinderniveau</w:t>
            </w:r>
          </w:p>
        </w:tc>
      </w:tr>
      <w:tr w:rsidR="002B2850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B2850" w:rsidRPr="00947070" w:rsidRDefault="002B2850" w:rsidP="002B2850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Stap 8. Opleveringscontrole van geurrelevante activiteit 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B2850" w:rsidRPr="00947070" w:rsidRDefault="002B2850" w:rsidP="00463446">
            <w:pPr>
              <w:rPr>
                <w:sz w:val="18"/>
              </w:rPr>
            </w:pPr>
            <w:proofErr w:type="spellStart"/>
            <w:r w:rsidRPr="00947070">
              <w:rPr>
                <w:sz w:val="18"/>
              </w:rPr>
              <w:t>sub</w:t>
            </w:r>
            <w:r w:rsidR="00603764" w:rsidRPr="00947070">
              <w:rPr>
                <w:sz w:val="18"/>
              </w:rPr>
              <w:t>webpagina</w:t>
            </w:r>
            <w:proofErr w:type="spellEnd"/>
            <w:r w:rsidR="00603764" w:rsidRPr="00947070">
              <w:rPr>
                <w:sz w:val="18"/>
              </w:rPr>
              <w:t xml:space="preserve"> opleveringscontrole van geurrelevante activiteit</w:t>
            </w:r>
          </w:p>
        </w:tc>
      </w:tr>
      <w:tr w:rsidR="002B2850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B2850" w:rsidRPr="00947070" w:rsidRDefault="002B2850" w:rsidP="002B2850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Stap 9. Voldoet aan voorschriften? 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B2850" w:rsidRPr="00947070" w:rsidRDefault="00603764" w:rsidP="00463446">
            <w:pPr>
              <w:rPr>
                <w:sz w:val="18"/>
              </w:rPr>
            </w:pP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opleveringscontrole van geurrelevante activiteit</w:t>
            </w:r>
          </w:p>
        </w:tc>
      </w:tr>
      <w:tr w:rsidR="00434FF0" w:rsidRPr="00947070" w:rsidTr="00FB4EE1">
        <w:tc>
          <w:tcPr>
            <w:tcW w:w="4606" w:type="dxa"/>
            <w:tcBorders>
              <w:top w:val="dotted" w:sz="4" w:space="0" w:color="auto"/>
              <w:right w:val="single" w:sz="4" w:space="0" w:color="auto"/>
            </w:tcBorders>
          </w:tcPr>
          <w:p w:rsidR="003A72EF" w:rsidRPr="00947070" w:rsidRDefault="003A72EF" w:rsidP="002B2850">
            <w:pPr>
              <w:rPr>
                <w:sz w:val="18"/>
              </w:rPr>
            </w:pPr>
            <w:r w:rsidRPr="00947070">
              <w:rPr>
                <w:sz w:val="18"/>
              </w:rPr>
              <w:t>Stap 10. Volg stappen voor handhaven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</w:tcBorders>
          </w:tcPr>
          <w:p w:rsidR="003A72EF" w:rsidRPr="00947070" w:rsidRDefault="00603764" w:rsidP="00463446">
            <w:pPr>
              <w:rPr>
                <w:sz w:val="18"/>
              </w:rPr>
            </w:pP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opleveringscontrole van geurrelevante activiteit</w:t>
            </w:r>
          </w:p>
        </w:tc>
      </w:tr>
      <w:tr w:rsidR="00603764" w:rsidRPr="00947070" w:rsidTr="008D0D5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47070" w:rsidRDefault="00947070" w:rsidP="00F1059C">
            <w:pPr>
              <w:rPr>
                <w:b/>
                <w:sz w:val="18"/>
              </w:rPr>
            </w:pPr>
          </w:p>
          <w:p w:rsidR="00603764" w:rsidRPr="00947070" w:rsidRDefault="00603764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VERGUNNINGVERLENING EN MAATWERKVOORSCHRIFTEN</w:t>
            </w:r>
          </w:p>
        </w:tc>
      </w:tr>
      <w:tr w:rsidR="00434FF0" w:rsidRPr="00947070" w:rsidTr="00F1059C">
        <w:tc>
          <w:tcPr>
            <w:tcW w:w="4606" w:type="dxa"/>
          </w:tcPr>
          <w:p w:rsidR="00434FF0" w:rsidRPr="00947070" w:rsidRDefault="00434FF0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3.1 Doel en toepassing</w:t>
            </w:r>
          </w:p>
        </w:tc>
        <w:tc>
          <w:tcPr>
            <w:tcW w:w="4606" w:type="dxa"/>
          </w:tcPr>
          <w:p w:rsidR="00434FF0" w:rsidRPr="00947070" w:rsidRDefault="0059260C" w:rsidP="0059260C">
            <w:pPr>
              <w:rPr>
                <w:sz w:val="18"/>
              </w:rPr>
            </w:pPr>
            <w:r w:rsidRPr="00947070">
              <w:rPr>
                <w:sz w:val="18"/>
              </w:rPr>
              <w:t>Webpagina maatwerk</w:t>
            </w:r>
          </w:p>
        </w:tc>
      </w:tr>
      <w:tr w:rsidR="00434FF0" w:rsidRPr="00947070" w:rsidTr="00F1059C">
        <w:tc>
          <w:tcPr>
            <w:tcW w:w="4606" w:type="dxa"/>
          </w:tcPr>
          <w:p w:rsidR="00434FF0" w:rsidRPr="00947070" w:rsidRDefault="00434FF0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3.2 Stappenplan</w:t>
            </w:r>
          </w:p>
        </w:tc>
        <w:tc>
          <w:tcPr>
            <w:tcW w:w="4606" w:type="dxa"/>
          </w:tcPr>
          <w:p w:rsidR="00434FF0" w:rsidRPr="00947070" w:rsidRDefault="0059260C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maatwerk</w:t>
            </w:r>
          </w:p>
        </w:tc>
      </w:tr>
      <w:tr w:rsidR="00434FF0" w:rsidRPr="00947070" w:rsidTr="00A36AAA">
        <w:tc>
          <w:tcPr>
            <w:tcW w:w="4606" w:type="dxa"/>
            <w:tcBorders>
              <w:bottom w:val="single" w:sz="4" w:space="0" w:color="auto"/>
            </w:tcBorders>
          </w:tcPr>
          <w:p w:rsidR="00434FF0" w:rsidRPr="00947070" w:rsidRDefault="00434FF0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3.3 Toelichting op het stappenplan voor vergunningverlening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34FF0" w:rsidRPr="00947070" w:rsidRDefault="0059260C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Geïntegreerd in de (sub)webpagina’s maatwerk</w:t>
            </w:r>
          </w:p>
        </w:tc>
      </w:tr>
      <w:tr w:rsidR="00434FF0" w:rsidRPr="00947070" w:rsidTr="00FB4EE1">
        <w:tc>
          <w:tcPr>
            <w:tcW w:w="4606" w:type="dxa"/>
            <w:tcBorders>
              <w:bottom w:val="dotted" w:sz="4" w:space="0" w:color="auto"/>
              <w:right w:val="single" w:sz="4" w:space="0" w:color="auto"/>
            </w:tcBorders>
          </w:tcPr>
          <w:p w:rsidR="00434FF0" w:rsidRPr="00947070" w:rsidRDefault="00434FF0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3.4 Toelichting op het stappenplan voor maatwerk Activiteitenbesluit</w:t>
            </w:r>
          </w:p>
        </w:tc>
        <w:tc>
          <w:tcPr>
            <w:tcW w:w="4606" w:type="dxa"/>
            <w:tcBorders>
              <w:left w:val="single" w:sz="4" w:space="0" w:color="auto"/>
              <w:bottom w:val="dotted" w:sz="4" w:space="0" w:color="auto"/>
            </w:tcBorders>
          </w:tcPr>
          <w:p w:rsidR="00434FF0" w:rsidRPr="00947070" w:rsidRDefault="00416EB1" w:rsidP="00241D11">
            <w:pPr>
              <w:rPr>
                <w:sz w:val="18"/>
              </w:rPr>
            </w:pPr>
            <w:r w:rsidRPr="00947070">
              <w:rPr>
                <w:sz w:val="18"/>
              </w:rPr>
              <w:t>Webpagina m</w:t>
            </w:r>
            <w:r w:rsidR="00241D11" w:rsidRPr="00947070">
              <w:rPr>
                <w:sz w:val="18"/>
              </w:rPr>
              <w:t>aatwerk</w:t>
            </w:r>
            <w:r w:rsidRPr="00947070">
              <w:rPr>
                <w:sz w:val="18"/>
              </w:rPr>
              <w:t xml:space="preserve">, Diverse </w:t>
            </w:r>
            <w:proofErr w:type="spellStart"/>
            <w:r w:rsidRPr="00947070">
              <w:rPr>
                <w:sz w:val="18"/>
              </w:rPr>
              <w:t>subpagina’s</w:t>
            </w:r>
            <w:proofErr w:type="spellEnd"/>
            <w:r w:rsidRPr="00947070">
              <w:rPr>
                <w:sz w:val="18"/>
              </w:rPr>
              <w:t>:</w:t>
            </w:r>
          </w:p>
        </w:tc>
      </w:tr>
      <w:tr w:rsidR="00416EB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EB1" w:rsidRPr="00947070" w:rsidRDefault="00416EB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1. Voornemen tot maatwerk Activiteitenbesluit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6EB1" w:rsidRPr="00947070" w:rsidRDefault="00241D1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</w:t>
            </w:r>
            <w:proofErr w:type="gramStart"/>
            <w:r w:rsidRPr="00947070">
              <w:rPr>
                <w:sz w:val="18"/>
              </w:rPr>
              <w:t>maatwerk ,</w:t>
            </w:r>
            <w:proofErr w:type="gramEnd"/>
            <w:r w:rsidRPr="00947070">
              <w:rPr>
                <w:sz w:val="18"/>
              </w:rPr>
              <w:t xml:space="preserve"> </w:t>
            </w:r>
            <w:proofErr w:type="spellStart"/>
            <w:r w:rsidR="00152B65" w:rsidRPr="00947070">
              <w:rPr>
                <w:sz w:val="18"/>
              </w:rPr>
              <w:t>Subwebpagina</w:t>
            </w:r>
            <w:proofErr w:type="spellEnd"/>
            <w:r w:rsidR="00152B65" w:rsidRPr="00947070">
              <w:rPr>
                <w:sz w:val="18"/>
              </w:rPr>
              <w:t xml:space="preserve"> maatwerk mogelijk en nodig</w:t>
            </w:r>
          </w:p>
        </w:tc>
      </w:tr>
      <w:tr w:rsidR="00416EB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EB1" w:rsidRPr="00947070" w:rsidRDefault="00416EB1" w:rsidP="00416EB1">
            <w:pPr>
              <w:rPr>
                <w:sz w:val="18"/>
              </w:rPr>
            </w:pPr>
            <w:r w:rsidRPr="00947070">
              <w:rPr>
                <w:sz w:val="18"/>
              </w:rPr>
              <w:t>Stap 2. Vooronderzoek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6EB1" w:rsidRPr="00947070" w:rsidRDefault="00241D1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</w:t>
            </w:r>
            <w:proofErr w:type="gramStart"/>
            <w:r w:rsidRPr="00947070">
              <w:rPr>
                <w:sz w:val="18"/>
              </w:rPr>
              <w:t>maatwerk ,</w:t>
            </w:r>
            <w:proofErr w:type="gramEnd"/>
            <w:r w:rsidRPr="00947070">
              <w:rPr>
                <w:sz w:val="18"/>
              </w:rPr>
              <w:t xml:space="preserve"> </w:t>
            </w:r>
            <w:proofErr w:type="spellStart"/>
            <w:r w:rsidR="00152B65" w:rsidRPr="00947070">
              <w:rPr>
                <w:sz w:val="18"/>
              </w:rPr>
              <w:t>Subwebpagina</w:t>
            </w:r>
            <w:proofErr w:type="spellEnd"/>
            <w:r w:rsidR="00152B65" w:rsidRPr="00947070">
              <w:rPr>
                <w:sz w:val="18"/>
              </w:rPr>
              <w:t xml:space="preserve"> maatwerk mogelijk en nodig</w:t>
            </w:r>
          </w:p>
        </w:tc>
      </w:tr>
      <w:tr w:rsidR="00416EB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EB1" w:rsidRPr="00947070" w:rsidRDefault="00416EB1" w:rsidP="00416EB1">
            <w:pPr>
              <w:rPr>
                <w:sz w:val="18"/>
              </w:rPr>
            </w:pPr>
            <w:r w:rsidRPr="00947070">
              <w:rPr>
                <w:sz w:val="18"/>
              </w:rPr>
              <w:t>Stap 3. Geur relevant en maatwerk mogelijk?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6EB1" w:rsidRPr="00947070" w:rsidRDefault="00241D11" w:rsidP="00152B65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</w:t>
            </w:r>
            <w:proofErr w:type="gramStart"/>
            <w:r w:rsidRPr="00947070">
              <w:rPr>
                <w:sz w:val="18"/>
              </w:rPr>
              <w:t>maatwerk ,</w:t>
            </w:r>
            <w:proofErr w:type="gramEnd"/>
            <w:r w:rsidRPr="00947070">
              <w:rPr>
                <w:sz w:val="18"/>
              </w:rPr>
              <w:t xml:space="preserve"> </w:t>
            </w:r>
            <w:proofErr w:type="spellStart"/>
            <w:r w:rsidR="00152B65" w:rsidRPr="00947070">
              <w:rPr>
                <w:sz w:val="18"/>
              </w:rPr>
              <w:t>Subwebpagina</w:t>
            </w:r>
            <w:proofErr w:type="spellEnd"/>
            <w:r w:rsidR="00152B65" w:rsidRPr="00947070">
              <w:rPr>
                <w:sz w:val="18"/>
              </w:rPr>
              <w:t xml:space="preserve"> is geur relevant? en </w:t>
            </w:r>
            <w:proofErr w:type="spellStart"/>
            <w:r w:rsidR="00152B65" w:rsidRPr="00947070">
              <w:rPr>
                <w:sz w:val="18"/>
              </w:rPr>
              <w:t>subwegpagina</w:t>
            </w:r>
            <w:proofErr w:type="spellEnd"/>
            <w:r w:rsidR="00152B65" w:rsidRPr="00947070">
              <w:rPr>
                <w:sz w:val="18"/>
              </w:rPr>
              <w:t xml:space="preserve"> maatwerk mogelijk en nodig</w:t>
            </w:r>
          </w:p>
        </w:tc>
      </w:tr>
      <w:tr w:rsidR="00416EB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EB1" w:rsidRPr="00947070" w:rsidRDefault="00416EB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3a. Geen maatwerkvoorschriften voor geur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6EB1" w:rsidRPr="00947070" w:rsidRDefault="00241D1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</w:t>
            </w:r>
            <w:proofErr w:type="gramStart"/>
            <w:r w:rsidRPr="00947070">
              <w:rPr>
                <w:sz w:val="18"/>
              </w:rPr>
              <w:t>maatwerk ,</w:t>
            </w:r>
            <w:proofErr w:type="gramEnd"/>
            <w:r w:rsidRPr="00947070">
              <w:rPr>
                <w:sz w:val="18"/>
              </w:rPr>
              <w:t xml:space="preserve"> </w:t>
            </w:r>
            <w:proofErr w:type="spellStart"/>
            <w:r w:rsidR="00D46EBB" w:rsidRPr="00947070">
              <w:rPr>
                <w:sz w:val="18"/>
              </w:rPr>
              <w:t>subwegpagina</w:t>
            </w:r>
            <w:proofErr w:type="spellEnd"/>
            <w:r w:rsidR="00D46EBB" w:rsidRPr="00947070">
              <w:rPr>
                <w:sz w:val="18"/>
              </w:rPr>
              <w:t xml:space="preserve"> maatwerk mogelijk en nodig</w:t>
            </w:r>
          </w:p>
        </w:tc>
      </w:tr>
      <w:tr w:rsidR="00416EB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EB1" w:rsidRPr="00947070" w:rsidRDefault="00416EB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4. Toetsingskader bepalen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8D2CF" w:themeFill="accent3" w:themeFillTint="33"/>
          </w:tcPr>
          <w:p w:rsidR="00416EB1" w:rsidRPr="00947070" w:rsidRDefault="00947070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</w:tc>
      </w:tr>
      <w:tr w:rsidR="00416EB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EB1" w:rsidRPr="00947070" w:rsidRDefault="00416EB1" w:rsidP="00416EB1">
            <w:pPr>
              <w:rPr>
                <w:sz w:val="18"/>
              </w:rPr>
            </w:pPr>
            <w:r w:rsidRPr="00947070">
              <w:rPr>
                <w:sz w:val="18"/>
              </w:rPr>
              <w:lastRenderedPageBreak/>
              <w:t>Stap 5. Geursituatie, voorgenomen maatregelen en hinderniveau bepalen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6EB1" w:rsidRPr="00947070" w:rsidRDefault="00241D1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aanvaardbaar hinderniveau</w:t>
            </w:r>
          </w:p>
        </w:tc>
      </w:tr>
      <w:tr w:rsidR="00416EB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EB1" w:rsidRPr="00947070" w:rsidRDefault="00416EB1" w:rsidP="00416EB1">
            <w:pPr>
              <w:rPr>
                <w:sz w:val="18"/>
              </w:rPr>
            </w:pPr>
            <w:r w:rsidRPr="00947070">
              <w:rPr>
                <w:sz w:val="18"/>
              </w:rPr>
              <w:t>Stap 6. Hinderniveau aanvaardbaar?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6EB1" w:rsidRPr="00947070" w:rsidRDefault="00241D1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aanvaardbaar hinderniveau</w:t>
            </w:r>
          </w:p>
        </w:tc>
      </w:tr>
      <w:tr w:rsidR="00241D1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1D11" w:rsidRPr="00947070" w:rsidRDefault="00241D11" w:rsidP="00416EB1">
            <w:pPr>
              <w:rPr>
                <w:sz w:val="18"/>
              </w:rPr>
            </w:pPr>
            <w:r w:rsidRPr="00947070">
              <w:rPr>
                <w:sz w:val="18"/>
              </w:rPr>
              <w:t>Stap 6a, Aanvullende maatregelen mogelijk?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1D11" w:rsidRPr="00947070" w:rsidRDefault="00241D1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aanvaardbaar hinderniveau</w:t>
            </w:r>
          </w:p>
        </w:tc>
      </w:tr>
      <w:tr w:rsidR="00241D1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1D11" w:rsidRPr="00947070" w:rsidRDefault="00241D11" w:rsidP="00416EB1">
            <w:pPr>
              <w:rPr>
                <w:sz w:val="18"/>
              </w:rPr>
            </w:pPr>
            <w:r w:rsidRPr="00947070">
              <w:rPr>
                <w:sz w:val="18"/>
              </w:rPr>
              <w:t>Stap 7. Activiteit goedkeuren voor geuraspecten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1D11" w:rsidRPr="00947070" w:rsidRDefault="00241D1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maatwerk,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besluit motiveren en borgen in voorschriften</w:t>
            </w:r>
          </w:p>
        </w:tc>
      </w:tr>
      <w:tr w:rsidR="00241D1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1D11" w:rsidRPr="00947070" w:rsidRDefault="00241D11" w:rsidP="00416EB1">
            <w:pPr>
              <w:rPr>
                <w:sz w:val="18"/>
              </w:rPr>
            </w:pPr>
            <w:r w:rsidRPr="00947070">
              <w:rPr>
                <w:sz w:val="18"/>
              </w:rPr>
              <w:t>Stap 7a. Geen oplossing mogelijk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1D11" w:rsidRPr="00947070" w:rsidRDefault="004B0528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maatwerk,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besluit motiveren en borgen in voorschriften</w:t>
            </w:r>
          </w:p>
        </w:tc>
      </w:tr>
      <w:tr w:rsidR="00241D11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41D11" w:rsidRPr="00947070" w:rsidRDefault="00241D11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8. Besluit motiveren en borgen in voorschriften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41D11" w:rsidRPr="00947070" w:rsidRDefault="004B0528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maatwerk,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besluit motiveren en borgen in voorschriften</w:t>
            </w:r>
          </w:p>
        </w:tc>
      </w:tr>
      <w:tr w:rsidR="00241D11" w:rsidRPr="00947070" w:rsidTr="00FB4EE1">
        <w:tc>
          <w:tcPr>
            <w:tcW w:w="4606" w:type="dxa"/>
            <w:tcBorders>
              <w:top w:val="dotted" w:sz="4" w:space="0" w:color="auto"/>
              <w:right w:val="single" w:sz="4" w:space="0" w:color="auto"/>
            </w:tcBorders>
          </w:tcPr>
          <w:p w:rsidR="00241D11" w:rsidRPr="00947070" w:rsidRDefault="00241D11" w:rsidP="00416EB1">
            <w:pPr>
              <w:rPr>
                <w:sz w:val="18"/>
              </w:rPr>
            </w:pPr>
            <w:r w:rsidRPr="00947070">
              <w:rPr>
                <w:sz w:val="18"/>
              </w:rPr>
              <w:t>Stap 8a Communiceren met leefomgeving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</w:tcBorders>
          </w:tcPr>
          <w:p w:rsidR="00241D11" w:rsidRPr="00947070" w:rsidRDefault="004B0528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maatwerk,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besluit motiveren en borgen in voorschriften</w:t>
            </w:r>
          </w:p>
          <w:p w:rsidR="0058718E" w:rsidRPr="00947070" w:rsidRDefault="0058718E" w:rsidP="00F1059C">
            <w:pPr>
              <w:rPr>
                <w:sz w:val="18"/>
              </w:rPr>
            </w:pPr>
          </w:p>
        </w:tc>
      </w:tr>
      <w:tr w:rsidR="00241D11" w:rsidRPr="00947070" w:rsidTr="00416EB1">
        <w:tc>
          <w:tcPr>
            <w:tcW w:w="9212" w:type="dxa"/>
            <w:gridSpan w:val="2"/>
            <w:shd w:val="clear" w:color="auto" w:fill="BFBFBF" w:themeFill="background1" w:themeFillShade="BF"/>
          </w:tcPr>
          <w:p w:rsidR="00947070" w:rsidRDefault="00947070" w:rsidP="00F1059C">
            <w:pPr>
              <w:rPr>
                <w:b/>
                <w:sz w:val="18"/>
                <w:highlight w:val="lightGray"/>
              </w:rPr>
            </w:pPr>
          </w:p>
          <w:p w:rsidR="00241D11" w:rsidRPr="00947070" w:rsidRDefault="00241D11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  <w:highlight w:val="lightGray"/>
              </w:rPr>
              <w:t>CONTROLE EN HANDHAVING</w:t>
            </w:r>
          </w:p>
        </w:tc>
      </w:tr>
      <w:tr w:rsidR="00241D11" w:rsidRPr="00947070" w:rsidTr="00F1059C">
        <w:tc>
          <w:tcPr>
            <w:tcW w:w="4606" w:type="dxa"/>
          </w:tcPr>
          <w:p w:rsidR="00241D11" w:rsidRPr="00947070" w:rsidRDefault="00241D11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4.1 Doel en toepassing</w:t>
            </w:r>
          </w:p>
        </w:tc>
        <w:tc>
          <w:tcPr>
            <w:tcW w:w="4606" w:type="dxa"/>
          </w:tcPr>
          <w:p w:rsidR="00241D11" w:rsidRPr="00947070" w:rsidRDefault="00A36AAA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</w:t>
            </w:r>
          </w:p>
        </w:tc>
      </w:tr>
      <w:tr w:rsidR="00241D11" w:rsidRPr="00947070" w:rsidTr="00D3641F">
        <w:tc>
          <w:tcPr>
            <w:tcW w:w="4606" w:type="dxa"/>
            <w:tcBorders>
              <w:bottom w:val="single" w:sz="4" w:space="0" w:color="auto"/>
            </w:tcBorders>
          </w:tcPr>
          <w:p w:rsidR="00241D11" w:rsidRPr="00947070" w:rsidRDefault="00241D11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4.2 Stappenplan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41D11" w:rsidRPr="00947070" w:rsidRDefault="00A36AAA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</w:t>
            </w:r>
          </w:p>
        </w:tc>
      </w:tr>
      <w:tr w:rsidR="00241D11" w:rsidRPr="00947070" w:rsidTr="00FB4EE1">
        <w:tc>
          <w:tcPr>
            <w:tcW w:w="4606" w:type="dxa"/>
            <w:tcBorders>
              <w:bottom w:val="dotted" w:sz="4" w:space="0" w:color="auto"/>
              <w:right w:val="single" w:sz="4" w:space="0" w:color="auto"/>
            </w:tcBorders>
          </w:tcPr>
          <w:p w:rsidR="00241D11" w:rsidRPr="00947070" w:rsidRDefault="00241D11" w:rsidP="00434FF0">
            <w:pPr>
              <w:rPr>
                <w:sz w:val="18"/>
              </w:rPr>
            </w:pPr>
            <w:r w:rsidRPr="00947070">
              <w:rPr>
                <w:sz w:val="18"/>
              </w:rPr>
              <w:t>4.3 Toelichting op het stappenplan</w:t>
            </w:r>
          </w:p>
        </w:tc>
        <w:tc>
          <w:tcPr>
            <w:tcW w:w="4606" w:type="dxa"/>
            <w:tcBorders>
              <w:left w:val="single" w:sz="4" w:space="0" w:color="auto"/>
              <w:bottom w:val="dotted" w:sz="4" w:space="0" w:color="auto"/>
            </w:tcBorders>
          </w:tcPr>
          <w:p w:rsidR="00241D11" w:rsidRPr="00947070" w:rsidRDefault="00A36AAA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toezicht en handhaving, diverse </w:t>
            </w:r>
            <w:proofErr w:type="spellStart"/>
            <w:r w:rsidRPr="00947070">
              <w:rPr>
                <w:sz w:val="18"/>
              </w:rPr>
              <w:t>subwebpagina’s</w:t>
            </w:r>
            <w:proofErr w:type="spellEnd"/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1. Geurklacht(en)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geurklachten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4A1DA7">
            <w:pPr>
              <w:rPr>
                <w:sz w:val="18"/>
              </w:rPr>
            </w:pPr>
            <w:r w:rsidRPr="00947070">
              <w:rPr>
                <w:sz w:val="18"/>
              </w:rPr>
              <w:t>Stap 2. Voorbereiding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bezoek aan klager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3. (Omgeving) klager bezoeken. Klacht gegrond?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bezoek aan klager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3a. Terugkoppeling aan klager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bezoek aan klager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4. Bron achterhalen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bedrijfsbezoek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5. Bedrijfsbezoek: oorzaak achterhalen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bedrijfsbezoek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6. Verslag van het bedrijfsbezoek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bedrijfsbezoek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E56CA0">
            <w:pPr>
              <w:rPr>
                <w:sz w:val="18"/>
              </w:rPr>
            </w:pPr>
            <w:r w:rsidRPr="00947070">
              <w:rPr>
                <w:sz w:val="18"/>
              </w:rPr>
              <w:t>Stap 7. Geurprobleem op te lossen door aanschrijving op voorschriften?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handhaving of maatwerk nodig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7a. Handhavingstraject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handhaving of maatwerk nodig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8. Volg stappen voor vergunningverlening/maatwerk. Is het hinderniveau aanvaardbaar?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2F159A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aanvaardbaar hinderniveau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8.a Terugkoppeling aan klager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handhaving of maatwerk nodig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9. Is redelijkerwijs ambtshalve aanpassing van voorschriften mogelijk?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handhaving of maatwerk nodig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A1DA7" w:rsidRPr="00947070" w:rsidRDefault="004A1DA7" w:rsidP="00E56CA0">
            <w:pPr>
              <w:rPr>
                <w:sz w:val="18"/>
              </w:rPr>
            </w:pPr>
            <w:r w:rsidRPr="00947070">
              <w:rPr>
                <w:sz w:val="18"/>
              </w:rPr>
              <w:t>Stap 9a. Ambtshalve voorschriften aanpassen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handhaving of maatwerk nodig</w:t>
            </w:r>
          </w:p>
        </w:tc>
      </w:tr>
      <w:tr w:rsidR="004A1DA7" w:rsidRPr="00947070" w:rsidTr="00FB4EE1">
        <w:tc>
          <w:tcPr>
            <w:tcW w:w="4606" w:type="dxa"/>
            <w:tcBorders>
              <w:top w:val="dotted" w:sz="4" w:space="0" w:color="auto"/>
              <w:right w:val="single" w:sz="4" w:space="0" w:color="auto"/>
            </w:tcBorders>
          </w:tcPr>
          <w:p w:rsidR="004A1DA7" w:rsidRPr="00947070" w:rsidRDefault="004A1DA7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9b. Geen oplossing mogelijk; dit communiceren met leefomgeving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</w:tcBorders>
          </w:tcPr>
          <w:p w:rsidR="004A1DA7" w:rsidRPr="00947070" w:rsidRDefault="00E031E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toezicht en handhaving, handhaving of maatwerk nodig</w:t>
            </w:r>
          </w:p>
        </w:tc>
      </w:tr>
      <w:tr w:rsidR="00F27A4E" w:rsidRPr="00947070" w:rsidTr="00F27A4E">
        <w:tc>
          <w:tcPr>
            <w:tcW w:w="9212" w:type="dxa"/>
            <w:gridSpan w:val="2"/>
            <w:shd w:val="clear" w:color="auto" w:fill="BFBFBF" w:themeFill="background1" w:themeFillShade="BF"/>
          </w:tcPr>
          <w:p w:rsidR="00947070" w:rsidRDefault="00947070" w:rsidP="00F1059C">
            <w:pPr>
              <w:rPr>
                <w:b/>
                <w:sz w:val="18"/>
              </w:rPr>
            </w:pPr>
          </w:p>
          <w:p w:rsidR="00F27A4E" w:rsidRPr="00947070" w:rsidRDefault="00F27A4E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RUIMTELIJKE ORDENING</w:t>
            </w:r>
          </w:p>
        </w:tc>
      </w:tr>
      <w:tr w:rsidR="000F5F83" w:rsidRPr="00947070" w:rsidTr="00F1059C">
        <w:tc>
          <w:tcPr>
            <w:tcW w:w="4606" w:type="dxa"/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5.1 Doel en toepassing</w:t>
            </w:r>
          </w:p>
        </w:tc>
        <w:tc>
          <w:tcPr>
            <w:tcW w:w="4606" w:type="dxa"/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ruimtelijke ordening</w:t>
            </w:r>
          </w:p>
        </w:tc>
      </w:tr>
      <w:tr w:rsidR="000F5F83" w:rsidRPr="00947070" w:rsidTr="003E3056">
        <w:tc>
          <w:tcPr>
            <w:tcW w:w="4606" w:type="dxa"/>
            <w:tcBorders>
              <w:bottom w:val="single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5.2 Stappenplan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ruimtelijke ordening</w:t>
            </w:r>
          </w:p>
        </w:tc>
      </w:tr>
      <w:tr w:rsidR="000F5F83" w:rsidRPr="00947070" w:rsidTr="00FB4EE1">
        <w:tc>
          <w:tcPr>
            <w:tcW w:w="4606" w:type="dxa"/>
            <w:tcBorders>
              <w:bottom w:val="dotted" w:sz="4" w:space="0" w:color="auto"/>
              <w:right w:val="single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5.3 Toelichting op het stappenplan</w:t>
            </w:r>
          </w:p>
        </w:tc>
        <w:tc>
          <w:tcPr>
            <w:tcW w:w="4606" w:type="dxa"/>
            <w:tcBorders>
              <w:left w:val="single" w:sz="4" w:space="0" w:color="auto"/>
              <w:bottom w:val="dotted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ruimtelijke ordening, diverse </w:t>
            </w:r>
            <w:proofErr w:type="spellStart"/>
            <w:r w:rsidRPr="00947070">
              <w:rPr>
                <w:sz w:val="18"/>
              </w:rPr>
              <w:t>subwebpagina’s</w:t>
            </w:r>
            <w:proofErr w:type="spellEnd"/>
          </w:p>
        </w:tc>
      </w:tr>
      <w:tr w:rsidR="000F5F83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lastRenderedPageBreak/>
              <w:t>Stap 1. (</w:t>
            </w:r>
            <w:proofErr w:type="spellStart"/>
            <w:r w:rsidRPr="00947070">
              <w:rPr>
                <w:sz w:val="18"/>
              </w:rPr>
              <w:t>Bestemmings</w:t>
            </w:r>
            <w:proofErr w:type="spellEnd"/>
            <w:r w:rsidRPr="00947070">
              <w:rPr>
                <w:sz w:val="18"/>
              </w:rPr>
              <w:t>)plan voor nieuwe geurgevoelige objecten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ruimtelijke ordening,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geursituatie</w:t>
            </w:r>
          </w:p>
        </w:tc>
      </w:tr>
      <w:tr w:rsidR="000F5F83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2. Verzamel de beschikbare informatie over de geurinvloed van omliggende bedrijven op het plangebied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ruimtelijke ordening,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geursituatie</w:t>
            </w:r>
          </w:p>
        </w:tc>
      </w:tr>
      <w:tr w:rsidR="000F5F83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3. Planologische ruimte, Milieuruimte, uitbreidingsplannen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ruimtelijke ordening,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geursituatie</w:t>
            </w:r>
          </w:p>
        </w:tc>
      </w:tr>
      <w:tr w:rsidR="000F5F83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4. Is bij de geplande geurgevoelige objecten een goed woon- en leefklimaat geborgd voor wat betreft geurhinder?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ruimtelijke ordening,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goed woon en leefklimaat</w:t>
            </w:r>
          </w:p>
        </w:tc>
      </w:tr>
      <w:tr w:rsidR="000F5F83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4a. Onderzoek mogelijke oplossingen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ruimtelijke ordening,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onderzoek mogelijke oplossingen</w:t>
            </w:r>
          </w:p>
        </w:tc>
      </w:tr>
      <w:tr w:rsidR="000F5F83" w:rsidRPr="00947070" w:rsidTr="00FB4EE1">
        <w:tc>
          <w:tcPr>
            <w:tcW w:w="46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Stap 5. Bepaal of iemand onredelijk in zijn belangen wordt geschaad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ruimtelijke ordening,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goed woon en leefklimaat</w:t>
            </w:r>
          </w:p>
        </w:tc>
      </w:tr>
      <w:tr w:rsidR="000F5F83" w:rsidRPr="00947070" w:rsidTr="00FB4EE1">
        <w:tc>
          <w:tcPr>
            <w:tcW w:w="4606" w:type="dxa"/>
            <w:tcBorders>
              <w:top w:val="dotted" w:sz="4" w:space="0" w:color="auto"/>
              <w:right w:val="single" w:sz="4" w:space="0" w:color="auto"/>
            </w:tcBorders>
          </w:tcPr>
          <w:p w:rsidR="000F5F83" w:rsidRPr="00947070" w:rsidRDefault="000F5F83" w:rsidP="000F5F83">
            <w:pPr>
              <w:rPr>
                <w:sz w:val="18"/>
              </w:rPr>
            </w:pPr>
            <w:r w:rsidRPr="00947070">
              <w:rPr>
                <w:sz w:val="18"/>
              </w:rPr>
              <w:t>Stap 6. Bij positief besluit: vastleggen van de afstand in het plan, in alle gevallen: een verantwoording in de plantoelichting</w:t>
            </w:r>
          </w:p>
        </w:tc>
        <w:tc>
          <w:tcPr>
            <w:tcW w:w="4606" w:type="dxa"/>
            <w:tcBorders>
              <w:top w:val="dotted" w:sz="4" w:space="0" w:color="auto"/>
              <w:left w:val="single" w:sz="4" w:space="0" w:color="auto"/>
            </w:tcBorders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ruimtelijke ordening,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plan en plantoelichting</w:t>
            </w:r>
          </w:p>
        </w:tc>
      </w:tr>
      <w:tr w:rsidR="000F5F83" w:rsidRPr="00947070" w:rsidTr="00F1059C">
        <w:tc>
          <w:tcPr>
            <w:tcW w:w="4606" w:type="dxa"/>
          </w:tcPr>
          <w:p w:rsidR="000F5F83" w:rsidRPr="00947070" w:rsidRDefault="000F5F83" w:rsidP="00434FF0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Begrippenlijst</w:t>
            </w:r>
          </w:p>
          <w:p w:rsidR="000F5F83" w:rsidRPr="00947070" w:rsidRDefault="000F5F83" w:rsidP="00434FF0">
            <w:pPr>
              <w:rPr>
                <w:b/>
                <w:sz w:val="18"/>
              </w:rPr>
            </w:pPr>
          </w:p>
        </w:tc>
        <w:tc>
          <w:tcPr>
            <w:tcW w:w="4606" w:type="dxa"/>
          </w:tcPr>
          <w:p w:rsidR="000F5F83" w:rsidRPr="00947070" w:rsidRDefault="00ED17B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termen en definities</w:t>
            </w:r>
          </w:p>
        </w:tc>
      </w:tr>
      <w:tr w:rsidR="000F5F83" w:rsidRPr="00947070" w:rsidTr="00F1059C">
        <w:tc>
          <w:tcPr>
            <w:tcW w:w="4606" w:type="dxa"/>
          </w:tcPr>
          <w:p w:rsidR="000F5F83" w:rsidRPr="00947070" w:rsidRDefault="000F5F83" w:rsidP="00434FF0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Geurgevoelig object</w:t>
            </w:r>
          </w:p>
        </w:tc>
        <w:tc>
          <w:tcPr>
            <w:tcW w:w="4606" w:type="dxa"/>
          </w:tcPr>
          <w:p w:rsidR="000F5F83" w:rsidRPr="00947070" w:rsidRDefault="00ED17B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bepalen aanvaardbaar hinderniveau,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geurgevoelig object</w:t>
            </w:r>
          </w:p>
        </w:tc>
      </w:tr>
      <w:tr w:rsidR="000F5F83" w:rsidRPr="00947070" w:rsidTr="00F1059C">
        <w:tc>
          <w:tcPr>
            <w:tcW w:w="4606" w:type="dxa"/>
          </w:tcPr>
          <w:p w:rsidR="000F5F83" w:rsidRPr="00947070" w:rsidRDefault="000F5F83" w:rsidP="00434FF0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Nieuwe en bestaande situaties</w:t>
            </w:r>
          </w:p>
        </w:tc>
        <w:tc>
          <w:tcPr>
            <w:tcW w:w="4606" w:type="dxa"/>
          </w:tcPr>
          <w:p w:rsidR="000F5F83" w:rsidRPr="00947070" w:rsidRDefault="00ED17B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bepalen aanvaardbaar hinderniveau,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nieuwe en bestaande situaties</w:t>
            </w:r>
          </w:p>
        </w:tc>
      </w:tr>
      <w:tr w:rsidR="000F5F83" w:rsidRPr="00947070" w:rsidTr="00F1059C">
        <w:tc>
          <w:tcPr>
            <w:tcW w:w="4606" w:type="dxa"/>
          </w:tcPr>
          <w:p w:rsidR="000F5F83" w:rsidRPr="00947070" w:rsidRDefault="000F5F83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Cumulatie</w:t>
            </w:r>
          </w:p>
        </w:tc>
        <w:tc>
          <w:tcPr>
            <w:tcW w:w="4606" w:type="dxa"/>
          </w:tcPr>
          <w:p w:rsidR="000F5F83" w:rsidRPr="00947070" w:rsidRDefault="00ED17B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bepalen aanvaardbaar hinderniveau,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cumulatie</w:t>
            </w:r>
          </w:p>
        </w:tc>
      </w:tr>
      <w:tr w:rsidR="000F5F83" w:rsidRPr="00947070" w:rsidTr="00ED17BF">
        <w:tc>
          <w:tcPr>
            <w:tcW w:w="4606" w:type="dxa"/>
            <w:tcBorders>
              <w:bottom w:val="single" w:sz="4" w:space="0" w:color="auto"/>
            </w:tcBorders>
          </w:tcPr>
          <w:p w:rsidR="000F5F83" w:rsidRPr="00947070" w:rsidRDefault="000F5F83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Maatregelen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0F5F83" w:rsidRPr="00947070" w:rsidRDefault="00ED17B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bepalen aanvaardbaar hinderniveau,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maatregelen</w:t>
            </w:r>
          </w:p>
          <w:p w:rsidR="0058718E" w:rsidRPr="00947070" w:rsidRDefault="0058718E" w:rsidP="00F1059C">
            <w:pPr>
              <w:rPr>
                <w:sz w:val="18"/>
              </w:rPr>
            </w:pPr>
          </w:p>
        </w:tc>
      </w:tr>
      <w:tr w:rsidR="000F5F83" w:rsidRPr="00947070" w:rsidTr="001319CD"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0F5F83" w:rsidRPr="00947070" w:rsidRDefault="000F5F83" w:rsidP="00ED17BF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Geur in het activiteitenbesluit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</w:tcBorders>
          </w:tcPr>
          <w:p w:rsidR="000F5F83" w:rsidRPr="00947070" w:rsidRDefault="00ED17B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</w:t>
            </w:r>
            <w:r w:rsidR="00B57C79" w:rsidRPr="00947070">
              <w:rPr>
                <w:sz w:val="18"/>
              </w:rPr>
              <w:t>activiteiten uit hoofdstuk 3,4 en 5</w:t>
            </w:r>
          </w:p>
        </w:tc>
      </w:tr>
      <w:tr w:rsidR="00D50A6E" w:rsidRPr="00947070" w:rsidTr="001319CD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Pr="00947070" w:rsidRDefault="00D50A6E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Activiteitenbesluit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8D2CF" w:themeFill="accent3" w:themeFillTint="33"/>
          </w:tcPr>
          <w:p w:rsidR="00947070" w:rsidRDefault="00947070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D50A6E" w:rsidRPr="00947070" w:rsidRDefault="00D50A6E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er is een overzicht van de webpagina’s die een toelichting geven per activiteit</w:t>
            </w:r>
          </w:p>
        </w:tc>
      </w:tr>
      <w:tr w:rsidR="00D50A6E" w:rsidRPr="00947070" w:rsidTr="001319CD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6E" w:rsidRPr="00947070" w:rsidRDefault="00D50A6E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Activiteitenregeling</w:t>
            </w:r>
          </w:p>
        </w:tc>
        <w:tc>
          <w:tcPr>
            <w:tcW w:w="4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8D2CF" w:themeFill="accent3" w:themeFillTint="33"/>
          </w:tcPr>
          <w:p w:rsidR="00D50A6E" w:rsidRPr="00947070" w:rsidRDefault="00D50A6E" w:rsidP="00F1059C">
            <w:pPr>
              <w:rPr>
                <w:sz w:val="18"/>
              </w:rPr>
            </w:pPr>
          </w:p>
        </w:tc>
      </w:tr>
      <w:tr w:rsidR="00ED17BF" w:rsidRPr="00947070" w:rsidTr="0094707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F" w:rsidRPr="00947070" w:rsidRDefault="00ED17B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Zorgplicht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8D2CF" w:themeFill="accent3" w:themeFillTint="33"/>
          </w:tcPr>
          <w:p w:rsidR="00947070" w:rsidRDefault="00947070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ED17BF" w:rsidRPr="00947070" w:rsidRDefault="00D50A6E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afdeling 2.3 lucht en geur, artikel 2.7a geldt nu als vangnet</w:t>
            </w:r>
          </w:p>
        </w:tc>
      </w:tr>
      <w:tr w:rsidR="00ED17BF" w:rsidRPr="00947070" w:rsidTr="0094707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F" w:rsidRPr="00947070" w:rsidRDefault="00ED17B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OBM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BF" w:rsidRPr="00947070" w:rsidRDefault="00DA1346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melding,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omgevingsvergunning beperkte milieutoets (OBM)</w:t>
            </w:r>
          </w:p>
        </w:tc>
      </w:tr>
      <w:tr w:rsidR="00ED17BF" w:rsidRPr="00947070" w:rsidTr="00947070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F" w:rsidRPr="00947070" w:rsidRDefault="00ED17B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Doelmatige </w:t>
            </w:r>
            <w:proofErr w:type="spellStart"/>
            <w:r w:rsidRPr="00947070">
              <w:rPr>
                <w:sz w:val="18"/>
              </w:rPr>
              <w:t>ontgeuringsinstallaties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BF" w:rsidRPr="00947070" w:rsidRDefault="00D50A6E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activiteiten uit hoofdstuk 3,4 en 5,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doelmatige </w:t>
            </w:r>
            <w:proofErr w:type="spellStart"/>
            <w:r w:rsidRPr="00947070">
              <w:rPr>
                <w:sz w:val="18"/>
              </w:rPr>
              <w:t>ontgeuringsinstallaties</w:t>
            </w:r>
            <w:proofErr w:type="spellEnd"/>
          </w:p>
        </w:tc>
      </w:tr>
      <w:tr w:rsidR="00ED17BF" w:rsidRPr="00947070" w:rsidTr="00947070"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ED17BF" w:rsidRPr="00947070" w:rsidRDefault="00ED17BF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Gelijkwaardig beschermingsniveau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</w:tcBorders>
          </w:tcPr>
          <w:p w:rsidR="00ED17BF" w:rsidRPr="00947070" w:rsidRDefault="00D50A6E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activiteiten uit hoofdstuk 3,4 en 5,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gelijkwaardig beschermingsniveau</w:t>
            </w:r>
          </w:p>
        </w:tc>
      </w:tr>
      <w:tr w:rsidR="000F5F83" w:rsidRPr="00947070" w:rsidTr="00947070">
        <w:tc>
          <w:tcPr>
            <w:tcW w:w="4606" w:type="dxa"/>
          </w:tcPr>
          <w:p w:rsidR="000F5F83" w:rsidRPr="00947070" w:rsidRDefault="000F5F83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Overgangsrecht geur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947070" w:rsidRDefault="00947070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  <w:p w:rsidR="000F5F83" w:rsidRPr="00947070" w:rsidRDefault="00D50A6E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overgangsrecht van de specifieke activiteiten staat aangegeven bij de webpagina’s over die specifieke activiteiten</w:t>
            </w:r>
          </w:p>
        </w:tc>
      </w:tr>
      <w:tr w:rsidR="000F5F83" w:rsidRPr="00947070" w:rsidTr="00947070">
        <w:tc>
          <w:tcPr>
            <w:tcW w:w="4606" w:type="dxa"/>
          </w:tcPr>
          <w:p w:rsidR="000F5F83" w:rsidRPr="00947070" w:rsidRDefault="000F5F83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Rijksbeleid: achtergrond</w:t>
            </w:r>
          </w:p>
        </w:tc>
        <w:tc>
          <w:tcPr>
            <w:tcW w:w="4606" w:type="dxa"/>
            <w:shd w:val="clear" w:color="auto" w:fill="F8D2CF" w:themeFill="accent3" w:themeFillTint="33"/>
          </w:tcPr>
          <w:p w:rsidR="000F5F83" w:rsidRPr="00947070" w:rsidRDefault="00947070" w:rsidP="00F1059C">
            <w:pPr>
              <w:rPr>
                <w:sz w:val="18"/>
              </w:rPr>
            </w:pPr>
            <w:r>
              <w:rPr>
                <w:sz w:val="18"/>
              </w:rPr>
              <w:t>Niet nodig</w:t>
            </w:r>
          </w:p>
        </w:tc>
      </w:tr>
      <w:tr w:rsidR="000F5F83" w:rsidRPr="00947070" w:rsidTr="00F1059C">
        <w:tc>
          <w:tcPr>
            <w:tcW w:w="4606" w:type="dxa"/>
          </w:tcPr>
          <w:p w:rsidR="000F5F83" w:rsidRPr="00947070" w:rsidRDefault="000F5F83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Rijksbeleid: brief van de minister</w:t>
            </w:r>
          </w:p>
        </w:tc>
        <w:tc>
          <w:tcPr>
            <w:tcW w:w="4606" w:type="dxa"/>
          </w:tcPr>
          <w:p w:rsidR="000F5F83" w:rsidRPr="00947070" w:rsidRDefault="0089637E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bepalen aanvaardbaar hinderniveau,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brief van de minister van VROM uit 1995</w:t>
            </w:r>
          </w:p>
        </w:tc>
      </w:tr>
      <w:tr w:rsidR="000F5F83" w:rsidRPr="00947070" w:rsidTr="00F1059C">
        <w:tc>
          <w:tcPr>
            <w:tcW w:w="4606" w:type="dxa"/>
          </w:tcPr>
          <w:p w:rsidR="000F5F83" w:rsidRPr="00947070" w:rsidRDefault="000F5F83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t>Interpretatie van het rijksbeleid</w:t>
            </w:r>
          </w:p>
        </w:tc>
        <w:tc>
          <w:tcPr>
            <w:tcW w:w="4606" w:type="dxa"/>
          </w:tcPr>
          <w:p w:rsidR="000F5F83" w:rsidRPr="00947070" w:rsidRDefault="0089637E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bepalen aanvaardbaar hinderniveau,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interpretatie van het </w:t>
            </w:r>
            <w:r w:rsidRPr="00947070">
              <w:rPr>
                <w:sz w:val="18"/>
              </w:rPr>
              <w:lastRenderedPageBreak/>
              <w:t>aanvaardbaar hinderniveau</w:t>
            </w:r>
          </w:p>
        </w:tc>
      </w:tr>
      <w:tr w:rsidR="000F5F83" w:rsidRPr="00947070" w:rsidTr="00F1059C">
        <w:tc>
          <w:tcPr>
            <w:tcW w:w="4606" w:type="dxa"/>
          </w:tcPr>
          <w:p w:rsidR="000F5F83" w:rsidRPr="00947070" w:rsidRDefault="000F5F83" w:rsidP="00F1059C">
            <w:pPr>
              <w:rPr>
                <w:b/>
                <w:sz w:val="18"/>
              </w:rPr>
            </w:pPr>
            <w:r w:rsidRPr="00947070">
              <w:rPr>
                <w:b/>
                <w:sz w:val="18"/>
              </w:rPr>
              <w:lastRenderedPageBreak/>
              <w:t>Niet-continue bronnen en emissiefluctuaties binnen het uur</w:t>
            </w:r>
          </w:p>
        </w:tc>
        <w:tc>
          <w:tcPr>
            <w:tcW w:w="4606" w:type="dxa"/>
          </w:tcPr>
          <w:p w:rsidR="000F5F83" w:rsidRPr="00947070" w:rsidRDefault="0089637E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 xml:space="preserve">Webpagina bepalen aanvaardbaar hinderniveau, </w:t>
            </w:r>
            <w:proofErr w:type="spellStart"/>
            <w:r w:rsidRPr="00947070">
              <w:rPr>
                <w:sz w:val="18"/>
              </w:rPr>
              <w:t>subwebpagina</w:t>
            </w:r>
            <w:proofErr w:type="spellEnd"/>
            <w:r w:rsidRPr="00947070">
              <w:rPr>
                <w:sz w:val="18"/>
              </w:rPr>
              <w:t xml:space="preserve"> niet-continue bronnen en emissiefluctuaties binnen het uur</w:t>
            </w:r>
          </w:p>
        </w:tc>
      </w:tr>
      <w:tr w:rsidR="000F5F83" w:rsidRPr="00947070" w:rsidTr="00F1059C">
        <w:tc>
          <w:tcPr>
            <w:tcW w:w="4606" w:type="dxa"/>
          </w:tcPr>
          <w:p w:rsidR="000F5F83" w:rsidRPr="001319CD" w:rsidRDefault="000F5F83" w:rsidP="00F1059C">
            <w:pPr>
              <w:rPr>
                <w:b/>
                <w:sz w:val="18"/>
              </w:rPr>
            </w:pPr>
            <w:r w:rsidRPr="001319CD">
              <w:rPr>
                <w:b/>
                <w:sz w:val="18"/>
              </w:rPr>
              <w:t>voorbeelden</w:t>
            </w:r>
          </w:p>
        </w:tc>
        <w:tc>
          <w:tcPr>
            <w:tcW w:w="4606" w:type="dxa"/>
          </w:tcPr>
          <w:p w:rsidR="000F5F83" w:rsidRPr="00947070" w:rsidRDefault="00DA1346" w:rsidP="00F1059C">
            <w:pPr>
              <w:rPr>
                <w:sz w:val="18"/>
              </w:rPr>
            </w:pPr>
            <w:r w:rsidRPr="00947070">
              <w:rPr>
                <w:sz w:val="18"/>
              </w:rPr>
              <w:t>Webpagina Voorbeelden</w:t>
            </w:r>
          </w:p>
        </w:tc>
      </w:tr>
    </w:tbl>
    <w:p w:rsidR="003F5EB0" w:rsidRPr="003F5EB0" w:rsidRDefault="003F5EB0" w:rsidP="003F5EB0"/>
    <w:sectPr w:rsidR="003F5EB0" w:rsidRPr="003F5EB0" w:rsidSect="000B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F0" w:rsidRDefault="00434FF0" w:rsidP="0088501B">
      <w:r>
        <w:separator/>
      </w:r>
    </w:p>
  </w:endnote>
  <w:endnote w:type="continuationSeparator" w:id="0">
    <w:p w:rsidR="00434FF0" w:rsidRDefault="00434FF0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F0" w:rsidRDefault="00434FF0" w:rsidP="0088501B">
      <w:r>
        <w:separator/>
      </w:r>
    </w:p>
  </w:footnote>
  <w:footnote w:type="continuationSeparator" w:id="0">
    <w:p w:rsidR="00434FF0" w:rsidRDefault="00434FF0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D54C6C"/>
    <w:multiLevelType w:val="multilevel"/>
    <w:tmpl w:val="06962652"/>
    <w:numStyleLink w:val="Lijststijl"/>
  </w:abstractNum>
  <w:abstractNum w:abstractNumId="4">
    <w:nsid w:val="04AF55C7"/>
    <w:multiLevelType w:val="multilevel"/>
    <w:tmpl w:val="06962652"/>
    <w:numStyleLink w:val="Lijststijl"/>
  </w:abstractNum>
  <w:abstractNum w:abstractNumId="5">
    <w:nsid w:val="063964C2"/>
    <w:multiLevelType w:val="multilevel"/>
    <w:tmpl w:val="06962652"/>
    <w:numStyleLink w:val="Lijststijl"/>
  </w:abstractNum>
  <w:abstractNum w:abstractNumId="6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9483BD7"/>
    <w:multiLevelType w:val="multilevel"/>
    <w:tmpl w:val="06962652"/>
    <w:numStyleLink w:val="Lijststijl"/>
  </w:abstractNum>
  <w:abstractNum w:abstractNumId="8">
    <w:nsid w:val="0A9D5DE4"/>
    <w:multiLevelType w:val="multilevel"/>
    <w:tmpl w:val="06962652"/>
    <w:numStyleLink w:val="Lijststijl"/>
  </w:abstractNum>
  <w:abstractNum w:abstractNumId="9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>
    <w:nsid w:val="1895513E"/>
    <w:multiLevelType w:val="multilevel"/>
    <w:tmpl w:val="06962652"/>
    <w:numStyleLink w:val="Lijststijl"/>
  </w:abstractNum>
  <w:abstractNum w:abstractNumId="13">
    <w:nsid w:val="18F65698"/>
    <w:multiLevelType w:val="multilevel"/>
    <w:tmpl w:val="06962652"/>
    <w:numStyleLink w:val="Lijststijl"/>
  </w:abstractNum>
  <w:abstractNum w:abstractNumId="14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F82458"/>
    <w:multiLevelType w:val="multilevel"/>
    <w:tmpl w:val="6A8E5BD4"/>
    <w:numStyleLink w:val="Stijl2"/>
  </w:abstractNum>
  <w:abstractNum w:abstractNumId="16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>
    <w:nsid w:val="31CB79D8"/>
    <w:multiLevelType w:val="multilevel"/>
    <w:tmpl w:val="06962652"/>
    <w:numStyleLink w:val="Lijststijl"/>
  </w:abstractNum>
  <w:abstractNum w:abstractNumId="19">
    <w:nsid w:val="31E853D2"/>
    <w:multiLevelType w:val="multilevel"/>
    <w:tmpl w:val="06962652"/>
    <w:numStyleLink w:val="Lijststijl"/>
  </w:abstractNum>
  <w:abstractNum w:abstractNumId="20">
    <w:nsid w:val="33CB2BA8"/>
    <w:multiLevelType w:val="hybridMultilevel"/>
    <w:tmpl w:val="8A6E228C"/>
    <w:lvl w:ilvl="0" w:tplc="40BE319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A6389A"/>
    <w:multiLevelType w:val="multilevel"/>
    <w:tmpl w:val="6A8E5BD4"/>
    <w:numStyleLink w:val="Stijl2"/>
  </w:abstractNum>
  <w:abstractNum w:abstractNumId="23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B631B"/>
    <w:multiLevelType w:val="multilevel"/>
    <w:tmpl w:val="06962652"/>
    <w:numStyleLink w:val="Lijststijl"/>
  </w:abstractNum>
  <w:abstractNum w:abstractNumId="26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8">
    <w:nsid w:val="5CAF5D0D"/>
    <w:multiLevelType w:val="multilevel"/>
    <w:tmpl w:val="06962652"/>
    <w:numStyleLink w:val="Lijststijl"/>
  </w:abstractNum>
  <w:abstractNum w:abstractNumId="29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8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9"/>
  </w:num>
  <w:num w:numId="14">
    <w:abstractNumId w:val="3"/>
  </w:num>
  <w:num w:numId="15">
    <w:abstractNumId w:val="16"/>
  </w:num>
  <w:num w:numId="16">
    <w:abstractNumId w:val="23"/>
  </w:num>
  <w:num w:numId="17">
    <w:abstractNumId w:val="8"/>
  </w:num>
  <w:num w:numId="18">
    <w:abstractNumId w:val="19"/>
  </w:num>
  <w:num w:numId="19">
    <w:abstractNumId w:val="30"/>
  </w:num>
  <w:num w:numId="20">
    <w:abstractNumId w:val="12"/>
  </w:num>
  <w:num w:numId="21">
    <w:abstractNumId w:val="22"/>
  </w:num>
  <w:num w:numId="22">
    <w:abstractNumId w:val="25"/>
  </w:num>
  <w:num w:numId="23">
    <w:abstractNumId w:val="17"/>
  </w:num>
  <w:num w:numId="24">
    <w:abstractNumId w:val="27"/>
  </w:num>
  <w:num w:numId="25">
    <w:abstractNumId w:val="26"/>
  </w:num>
  <w:num w:numId="26">
    <w:abstractNumId w:val="6"/>
  </w:num>
  <w:num w:numId="27">
    <w:abstractNumId w:val="14"/>
  </w:num>
  <w:num w:numId="28">
    <w:abstractNumId w:val="21"/>
  </w:num>
  <w:num w:numId="29">
    <w:abstractNumId w:val="4"/>
  </w:num>
  <w:num w:numId="30">
    <w:abstractNumId w:val="13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F0"/>
    <w:rsid w:val="00043163"/>
    <w:rsid w:val="00056D70"/>
    <w:rsid w:val="000B3F94"/>
    <w:rsid w:val="000E1F3B"/>
    <w:rsid w:val="000F5F83"/>
    <w:rsid w:val="001319CD"/>
    <w:rsid w:val="00152B65"/>
    <w:rsid w:val="00173156"/>
    <w:rsid w:val="00176930"/>
    <w:rsid w:val="001D6F03"/>
    <w:rsid w:val="00241D11"/>
    <w:rsid w:val="002A6578"/>
    <w:rsid w:val="002B1092"/>
    <w:rsid w:val="002B2850"/>
    <w:rsid w:val="002E0FD2"/>
    <w:rsid w:val="002F159A"/>
    <w:rsid w:val="0038549E"/>
    <w:rsid w:val="003A72EF"/>
    <w:rsid w:val="003C4BF2"/>
    <w:rsid w:val="003D51FB"/>
    <w:rsid w:val="003E3056"/>
    <w:rsid w:val="003F4F2C"/>
    <w:rsid w:val="003F5EB0"/>
    <w:rsid w:val="003F6EDB"/>
    <w:rsid w:val="0040142D"/>
    <w:rsid w:val="0040571B"/>
    <w:rsid w:val="00416EB1"/>
    <w:rsid w:val="00434FF0"/>
    <w:rsid w:val="00450447"/>
    <w:rsid w:val="00463446"/>
    <w:rsid w:val="004A1DA7"/>
    <w:rsid w:val="004B0528"/>
    <w:rsid w:val="004B0EA1"/>
    <w:rsid w:val="004D766D"/>
    <w:rsid w:val="0058718E"/>
    <w:rsid w:val="0059260C"/>
    <w:rsid w:val="005A4FBE"/>
    <w:rsid w:val="005D2CF1"/>
    <w:rsid w:val="005E046F"/>
    <w:rsid w:val="006006F5"/>
    <w:rsid w:val="00603764"/>
    <w:rsid w:val="00650A9B"/>
    <w:rsid w:val="006D2E66"/>
    <w:rsid w:val="006F3D69"/>
    <w:rsid w:val="006F42D7"/>
    <w:rsid w:val="007203F6"/>
    <w:rsid w:val="007F4AEA"/>
    <w:rsid w:val="0088501B"/>
    <w:rsid w:val="0089637E"/>
    <w:rsid w:val="008D0D57"/>
    <w:rsid w:val="008D2753"/>
    <w:rsid w:val="008E3581"/>
    <w:rsid w:val="00905289"/>
    <w:rsid w:val="009172B3"/>
    <w:rsid w:val="00947070"/>
    <w:rsid w:val="00993B8D"/>
    <w:rsid w:val="009C5CF5"/>
    <w:rsid w:val="00A32591"/>
    <w:rsid w:val="00A36AAA"/>
    <w:rsid w:val="00A77ABF"/>
    <w:rsid w:val="00A863E9"/>
    <w:rsid w:val="00B022C4"/>
    <w:rsid w:val="00B559E9"/>
    <w:rsid w:val="00B57C79"/>
    <w:rsid w:val="00B72222"/>
    <w:rsid w:val="00B80650"/>
    <w:rsid w:val="00C36FAA"/>
    <w:rsid w:val="00C71133"/>
    <w:rsid w:val="00CA55CC"/>
    <w:rsid w:val="00CB3317"/>
    <w:rsid w:val="00D3641F"/>
    <w:rsid w:val="00D46EBB"/>
    <w:rsid w:val="00D50A6E"/>
    <w:rsid w:val="00D95E7C"/>
    <w:rsid w:val="00DA1346"/>
    <w:rsid w:val="00DA3555"/>
    <w:rsid w:val="00E031E3"/>
    <w:rsid w:val="00E456EE"/>
    <w:rsid w:val="00E56CA0"/>
    <w:rsid w:val="00ED17BF"/>
    <w:rsid w:val="00ED7AB9"/>
    <w:rsid w:val="00EE5BBE"/>
    <w:rsid w:val="00F240FA"/>
    <w:rsid w:val="00F27A4E"/>
    <w:rsid w:val="00F65492"/>
    <w:rsid w:val="00FB0705"/>
    <w:rsid w:val="00FB4EE1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qFormat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unhideWhenUsed="0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5B95" w:themeColor="text1" w:themeShade="BF"/>
    </w:rPr>
    <w:tblPr>
      <w:tblStyleRowBandSize w:val="1"/>
      <w:tblStyleColBandSize w:val="1"/>
      <w:tblBorders>
        <w:top w:val="single" w:sz="8" w:space="0" w:color="007BC7" w:themeColor="text1"/>
        <w:bottom w:val="single" w:sz="8" w:space="0" w:color="007BC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7" w:themeColor="text1"/>
          <w:left w:val="nil"/>
          <w:bottom w:val="single" w:sz="8" w:space="0" w:color="007BC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1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qFormat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64C3FF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7BC7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7BC7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rgbClr val="007BC7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1214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Ytsma, Rommy (WVL)</dc:creator>
  <cp:lastModifiedBy>Ytsma, Rommy (WVL)</cp:lastModifiedBy>
  <cp:revision>36</cp:revision>
  <dcterms:created xsi:type="dcterms:W3CDTF">2015-05-11T05:54:00Z</dcterms:created>
  <dcterms:modified xsi:type="dcterms:W3CDTF">2015-10-08T10:35:00Z</dcterms:modified>
</cp:coreProperties>
</file>