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E4" w:rsidRPr="00F14DE4" w:rsidRDefault="00F14DE4" w:rsidP="000678B8">
      <w:pPr>
        <w:rPr>
          <w:b/>
          <w:sz w:val="28"/>
          <w:szCs w:val="28"/>
        </w:rPr>
      </w:pPr>
      <w:r w:rsidRPr="00F14DE4">
        <w:rPr>
          <w:b/>
          <w:sz w:val="28"/>
          <w:szCs w:val="28"/>
        </w:rPr>
        <w:t xml:space="preserve">Mestbewerking: Luchtkwaliteit en salderen </w:t>
      </w:r>
    </w:p>
    <w:p w:rsidR="00F14DE4" w:rsidRDefault="00F14DE4" w:rsidP="000678B8">
      <w:pPr>
        <w:rPr>
          <w:b/>
        </w:rPr>
      </w:pPr>
      <w:bookmarkStart w:id="0" w:name="_GoBack"/>
      <w:bookmarkEnd w:id="0"/>
    </w:p>
    <w:p w:rsidR="00F14DE4" w:rsidRDefault="00F14DE4" w:rsidP="000678B8">
      <w:pPr>
        <w:rPr>
          <w:b/>
        </w:rPr>
      </w:pPr>
    </w:p>
    <w:p w:rsidR="0009235F" w:rsidRPr="00AF01D3" w:rsidRDefault="00F14DE4" w:rsidP="000678B8">
      <w:pPr>
        <w:rPr>
          <w:b/>
        </w:rPr>
      </w:pPr>
      <w:r>
        <w:rPr>
          <w:b/>
        </w:rPr>
        <w:t>Inleiding</w:t>
      </w:r>
    </w:p>
    <w:p w:rsidR="0009235F" w:rsidRDefault="00430BF6" w:rsidP="000678B8">
      <w:r>
        <w:t xml:space="preserve">Saldering is de mogelijkheid om initiatieven toch uit te voeren die in betekenende mate (IBM) bijdragen aan de luchtverontreiniging en zorgen voor overschrijding van de grenswaarden voor PM10 en stikstofdioxide en niet in NSL zijn opgenomen. Het gaat daarbij ook initiatieven die de luchtkwaliteit ter plekke iets kunnen verslechteren, maar in een groter gebied per saldo verbeteren. </w:t>
      </w:r>
      <w:r w:rsidRPr="00430BF6">
        <w:t>In de praktijk wordt projectsaldering nauwelijks (meer) toegepast.</w:t>
      </w:r>
    </w:p>
    <w:p w:rsidR="00430BF6" w:rsidRDefault="00430BF6" w:rsidP="000678B8"/>
    <w:p w:rsidR="00430BF6" w:rsidRDefault="00430BF6" w:rsidP="00430BF6">
      <w:r>
        <w:t>Het basisidee achter deze vraag is de aanname dat door centrale mestverwerking op bedrijf A er wellicht minder uitstoot van fijn stof is door de bedrijven Ben C (en misschien nog wel meer). Is dit mogelijke effect mee te nemen in de vergunningverlening (</w:t>
      </w:r>
      <w:proofErr w:type="spellStart"/>
      <w:r>
        <w:t>ro</w:t>
      </w:r>
      <w:proofErr w:type="spellEnd"/>
      <w:r>
        <w:t xml:space="preserve"> en milieu) voor de mestverwerking van bedrijf A.</w:t>
      </w:r>
    </w:p>
    <w:p w:rsidR="00430BF6" w:rsidRDefault="00430BF6" w:rsidP="00430BF6">
      <w:r>
        <w:t>Daarbij spelen de volgende aspecten een rol:</w:t>
      </w:r>
    </w:p>
    <w:p w:rsidR="00430BF6" w:rsidRDefault="00430BF6" w:rsidP="00430BF6">
      <w:pPr>
        <w:numPr>
          <w:ilvl w:val="0"/>
          <w:numId w:val="33"/>
        </w:numPr>
      </w:pPr>
      <w:r>
        <w:t>Mogelijkheden huidige wetgeving (</w:t>
      </w:r>
      <w:proofErr w:type="spellStart"/>
      <w:r>
        <w:t>Wm</w:t>
      </w:r>
      <w:proofErr w:type="spellEnd"/>
      <w:r>
        <w:t>)</w:t>
      </w:r>
    </w:p>
    <w:p w:rsidR="00430BF6" w:rsidRDefault="00430BF6" w:rsidP="00430BF6">
      <w:pPr>
        <w:numPr>
          <w:ilvl w:val="0"/>
          <w:numId w:val="33"/>
        </w:numPr>
      </w:pPr>
      <w:r>
        <w:t>Benodigde berekeningen luchtkwaliteit</w:t>
      </w:r>
    </w:p>
    <w:p w:rsidR="00430BF6" w:rsidRDefault="00430BF6" w:rsidP="00430BF6">
      <w:pPr>
        <w:numPr>
          <w:ilvl w:val="0"/>
          <w:numId w:val="33"/>
        </w:numPr>
      </w:pPr>
      <w:r>
        <w:t>Borging van de saldering</w:t>
      </w:r>
    </w:p>
    <w:p w:rsidR="00430BF6" w:rsidRDefault="00430BF6" w:rsidP="00430BF6">
      <w:pPr>
        <w:numPr>
          <w:ilvl w:val="0"/>
          <w:numId w:val="33"/>
        </w:numPr>
      </w:pPr>
      <w:r>
        <w:t>Een goede ruimtelijke ordening</w:t>
      </w:r>
    </w:p>
    <w:p w:rsidR="00430BF6" w:rsidRDefault="00430BF6" w:rsidP="00430BF6">
      <w:r>
        <w:t>Deze worden hieronder besproken.</w:t>
      </w:r>
    </w:p>
    <w:p w:rsidR="00430BF6" w:rsidRDefault="00430BF6" w:rsidP="00430BF6"/>
    <w:p w:rsidR="00430BF6" w:rsidRPr="00164E95" w:rsidRDefault="00430BF6" w:rsidP="00430BF6">
      <w:pPr>
        <w:rPr>
          <w:b/>
        </w:rPr>
      </w:pPr>
      <w:r w:rsidRPr="00164E95">
        <w:rPr>
          <w:b/>
        </w:rPr>
        <w:t xml:space="preserve">Ad 1) Mogelijkheden </w:t>
      </w:r>
      <w:r>
        <w:rPr>
          <w:b/>
        </w:rPr>
        <w:t>huidige wetgeving</w:t>
      </w:r>
    </w:p>
    <w:p w:rsidR="00430BF6" w:rsidRDefault="00356DA7" w:rsidP="00430BF6">
      <w:r>
        <w:t xml:space="preserve">Een </w:t>
      </w:r>
      <w:r w:rsidR="00430BF6">
        <w:t xml:space="preserve">omgevingsvergunning Milieu of </w:t>
      </w:r>
      <w:r>
        <w:t xml:space="preserve"> een omgevingsvergunning </w:t>
      </w:r>
      <w:r w:rsidR="00430BF6">
        <w:t xml:space="preserve">Afwijken bestemmingsplan </w:t>
      </w:r>
      <w:r>
        <w:t xml:space="preserve">kan op grond van artikel 5.16, eerste lid </w:t>
      </w:r>
      <w:proofErr w:type="spellStart"/>
      <w:r>
        <w:t>Wm</w:t>
      </w:r>
      <w:proofErr w:type="spellEnd"/>
      <w:r>
        <w:t xml:space="preserve"> alleen worden verleend als </w:t>
      </w:r>
      <w:r w:rsidRPr="00356DA7">
        <w:t>aannemelijk is dat voldaan wordt aan (minimaal) één van de volgende criteria:</w:t>
      </w:r>
    </w:p>
    <w:p w:rsidR="00430BF6" w:rsidRDefault="00430BF6" w:rsidP="00430BF6">
      <w:pPr>
        <w:numPr>
          <w:ilvl w:val="0"/>
          <w:numId w:val="34"/>
        </w:numPr>
        <w:spacing w:before="100" w:beforeAutospacing="1" w:after="100" w:afterAutospacing="1"/>
      </w:pPr>
      <w:r>
        <w:t xml:space="preserve">er is geen sprake van een feitelijke of dreigende overschrijding van een </w:t>
      </w:r>
      <w:r w:rsidRPr="00164E95">
        <w:t>grenswaarde</w:t>
      </w:r>
      <w:r>
        <w:t xml:space="preserve"> </w:t>
      </w:r>
    </w:p>
    <w:p w:rsidR="00430BF6" w:rsidRDefault="00430BF6" w:rsidP="00430BF6">
      <w:pPr>
        <w:numPr>
          <w:ilvl w:val="0"/>
          <w:numId w:val="34"/>
        </w:numPr>
        <w:spacing w:before="100" w:beforeAutospacing="1" w:after="100" w:afterAutospacing="1"/>
      </w:pPr>
      <w:r>
        <w:t xml:space="preserve">een project leidt </w:t>
      </w:r>
      <w:r w:rsidRPr="00164E95">
        <w:t>per saldo</w:t>
      </w:r>
      <w:r>
        <w:t xml:space="preserve"> niet tot een verslechtering van de luchtkwaliteit </w:t>
      </w:r>
    </w:p>
    <w:p w:rsidR="00430BF6" w:rsidRDefault="00430BF6" w:rsidP="00430BF6">
      <w:pPr>
        <w:numPr>
          <w:ilvl w:val="0"/>
          <w:numId w:val="34"/>
        </w:numPr>
        <w:spacing w:before="100" w:beforeAutospacing="1" w:after="100" w:afterAutospacing="1"/>
      </w:pPr>
      <w:r>
        <w:t xml:space="preserve">een project draagt slechts in </w:t>
      </w:r>
      <w:r w:rsidRPr="00164E95">
        <w:t>‘niet in betekenende mate' (NIBM)</w:t>
      </w:r>
      <w:r>
        <w:t xml:space="preserve"> bij aan de luchtverontreiniging </w:t>
      </w:r>
    </w:p>
    <w:p w:rsidR="00430BF6" w:rsidRDefault="00430BF6" w:rsidP="00430BF6">
      <w:pPr>
        <w:numPr>
          <w:ilvl w:val="0"/>
          <w:numId w:val="34"/>
        </w:numPr>
        <w:spacing w:before="100" w:beforeAutospacing="1" w:after="100" w:afterAutospacing="1"/>
      </w:pPr>
      <w:r>
        <w:t xml:space="preserve">een project is opgenomen in, of past binnen, het </w:t>
      </w:r>
      <w:r w:rsidRPr="00164E95">
        <w:t>NSL</w:t>
      </w:r>
      <w:r>
        <w:t xml:space="preserve"> of een regionaal programma van maatregelen. </w:t>
      </w:r>
    </w:p>
    <w:p w:rsidR="00356DA7" w:rsidRDefault="00430BF6" w:rsidP="00430BF6">
      <w:pPr>
        <w:autoSpaceDE w:val="0"/>
        <w:autoSpaceDN w:val="0"/>
        <w:adjustRightInd w:val="0"/>
      </w:pPr>
      <w:r>
        <w:t xml:space="preserve">Hieruit volgt dat in principe het basisidee van saldering kan op basis van de huidige wetgeving kan als kan worden aangetoond dat de toename van de fijn stof door de mestverwerking zodanig wordt gecompenseerd door de afnamen bij de verschillende bedrijven zodanig dat het project per saldo niet leidt tot een verslechtering van de luchtkwaliteit. </w:t>
      </w:r>
    </w:p>
    <w:p w:rsidR="00430BF6" w:rsidRDefault="00430BF6" w:rsidP="00430BF6">
      <w:pPr>
        <w:autoSpaceDE w:val="0"/>
        <w:autoSpaceDN w:val="0"/>
        <w:adjustRightInd w:val="0"/>
      </w:pPr>
      <w:r>
        <w:t xml:space="preserve">De </w:t>
      </w:r>
      <w:r w:rsidRPr="00AE5F24">
        <w:t xml:space="preserve">Regeling ‘Projectsaldering luchtkwaliteit </w:t>
      </w:r>
      <w:r>
        <w:t xml:space="preserve">werkt de regels voor projectsaldering uit. De basisregels voor projectsaldering staan artikel 5.16, vijfde lid, van de Wet milieubeheer. Projectsaldering moet plaatsvinden in een gebied dat een functionele of geografische relatie heeft met het plangebied. Per saldo mag de luchtkwaliteit niet verslechteren. Wel kan het zo zijn, dat de luchtkwaliteit ter plekke iets verslechtert. Dan moet de luchtkwaliteit in het grotere, samenhangende gebied wel verbeteren. Een en ander staat in de </w:t>
      </w:r>
      <w:r w:rsidRPr="00E509A0">
        <w:t>Handreiking Saldering</w:t>
      </w:r>
      <w:r>
        <w:t xml:space="preserve"> </w:t>
      </w:r>
      <w:r w:rsidRPr="00E509A0">
        <w:t>luchtkwaliteit</w:t>
      </w:r>
      <w:r>
        <w:t>.</w:t>
      </w:r>
    </w:p>
    <w:p w:rsidR="00430BF6" w:rsidRDefault="00430BF6" w:rsidP="00430BF6">
      <w:pPr>
        <w:rPr>
          <w:b/>
        </w:rPr>
      </w:pPr>
    </w:p>
    <w:p w:rsidR="00430BF6" w:rsidRDefault="00430BF6" w:rsidP="00430BF6">
      <w:pPr>
        <w:rPr>
          <w:b/>
        </w:rPr>
      </w:pPr>
    </w:p>
    <w:p w:rsidR="00430BF6" w:rsidRDefault="00430BF6" w:rsidP="00430BF6">
      <w:pPr>
        <w:rPr>
          <w:b/>
        </w:rPr>
      </w:pPr>
      <w:r w:rsidRPr="00164E95">
        <w:rPr>
          <w:b/>
        </w:rPr>
        <w:t xml:space="preserve">Ad </w:t>
      </w:r>
      <w:r>
        <w:rPr>
          <w:b/>
        </w:rPr>
        <w:t>2</w:t>
      </w:r>
      <w:r w:rsidRPr="00164E95">
        <w:rPr>
          <w:b/>
        </w:rPr>
        <w:t xml:space="preserve">) </w:t>
      </w:r>
      <w:r w:rsidRPr="00E509A0">
        <w:rPr>
          <w:b/>
        </w:rPr>
        <w:t>Benodigde berekeningen luchtkwaliteit</w:t>
      </w:r>
    </w:p>
    <w:p w:rsidR="00430BF6" w:rsidRDefault="00430BF6" w:rsidP="00430BF6">
      <w:r>
        <w:t xml:space="preserve">Bij </w:t>
      </w:r>
      <w:r w:rsidR="00356DA7">
        <w:t xml:space="preserve">het uitwerken van de </w:t>
      </w:r>
      <w:r>
        <w:t xml:space="preserve">saldering zijn er een aantal aspecten die </w:t>
      </w:r>
      <w:r w:rsidR="00356DA7">
        <w:t>onderzocht</w:t>
      </w:r>
      <w:r>
        <w:t xml:space="preserve"> moeten worden:</w:t>
      </w:r>
    </w:p>
    <w:p w:rsidR="00430BF6" w:rsidRDefault="00430BF6" w:rsidP="00430BF6">
      <w:pPr>
        <w:numPr>
          <w:ilvl w:val="0"/>
          <w:numId w:val="35"/>
        </w:numPr>
      </w:pPr>
      <w:r>
        <w:t>de totale emissie van fijn stof;</w:t>
      </w:r>
    </w:p>
    <w:p w:rsidR="00430BF6" w:rsidRDefault="00430BF6" w:rsidP="00430BF6">
      <w:pPr>
        <w:numPr>
          <w:ilvl w:val="0"/>
          <w:numId w:val="35"/>
        </w:numPr>
      </w:pPr>
      <w:r>
        <w:t>het oppervlakte van het gebied waarbinnen een grenswaarde wordt overschreden;</w:t>
      </w:r>
    </w:p>
    <w:p w:rsidR="00430BF6" w:rsidRDefault="00430BF6" w:rsidP="00430BF6">
      <w:pPr>
        <w:numPr>
          <w:ilvl w:val="0"/>
          <w:numId w:val="35"/>
        </w:numPr>
      </w:pPr>
      <w:r>
        <w:t>het aantal bewoners binnen een overschrijdingsgebied</w:t>
      </w:r>
    </w:p>
    <w:p w:rsidR="00430BF6" w:rsidRDefault="00430BF6" w:rsidP="00430BF6">
      <w:pPr>
        <w:numPr>
          <w:ilvl w:val="0"/>
          <w:numId w:val="35"/>
        </w:numPr>
      </w:pPr>
      <w:r>
        <w:t>een indicatie van de blootstelling van andere categorieën personen.</w:t>
      </w:r>
    </w:p>
    <w:p w:rsidR="00430BF6" w:rsidRDefault="00430BF6" w:rsidP="00430BF6"/>
    <w:p w:rsidR="00430BF6" w:rsidRDefault="00430BF6" w:rsidP="00430BF6">
      <w:r>
        <w:t xml:space="preserve">Dit is een fikse rekenpartij. Echter, misschien nog wel belangrijker </w:t>
      </w:r>
      <w:r w:rsidR="00356DA7">
        <w:t xml:space="preserve">zijn </w:t>
      </w:r>
      <w:r>
        <w:t xml:space="preserve">de inputgegevens voor de berekeningen. Bij veehouderijen wordt de emissie bepaald aan de hand van emissiefactoren per diercategorie (c.q. stalsysteem). Deze emissiefactoren per dier gelden voor de emissie vanuit het dierenverblijf, inclusief de emissie van de mest die in het dierenverblijf is opgeslagen. Deze rekenmethodiek heeft zijn consequenties. In het geval van het toepassen van de methodiek van salderen moeten niet alleen onderzocht zijn in hoeverre de emissie wordt verminderd als de mest sneller wordt weggehaald. Er zullen nieuwe emissiefactoren vastgesteld moeten worden om de nieuwe emissie in de jaarlijkse monitoring te berekenen. Bureau Monitoring moet hierbij betrokken worden, in een vroeg stadium. Over de wijze waarop de nieuwe emissiefactoren bepaald moeten </w:t>
      </w:r>
      <w:r>
        <w:lastRenderedPageBreak/>
        <w:t xml:space="preserve">worden, kan dan vooraf afgestemd worden. Ook van de mestverwerker moet onderzocht worden hoeveel PM10 deze emitteert. Dit moet mogelijk ook in de jaarlijkse monitoring worden meegenomen. </w:t>
      </w:r>
    </w:p>
    <w:p w:rsidR="00430BF6" w:rsidRDefault="00430BF6" w:rsidP="00430BF6"/>
    <w:p w:rsidR="00430BF6" w:rsidRPr="00A37FDA" w:rsidRDefault="00430BF6" w:rsidP="00430BF6">
      <w:pPr>
        <w:rPr>
          <w:b/>
        </w:rPr>
      </w:pPr>
      <w:r w:rsidRPr="00A37FDA">
        <w:rPr>
          <w:b/>
        </w:rPr>
        <w:t>Ad 3) Borging van de saldering</w:t>
      </w:r>
    </w:p>
    <w:p w:rsidR="00430BF6" w:rsidRDefault="00430BF6" w:rsidP="00430BF6">
      <w:pPr>
        <w:spacing w:before="100" w:beforeAutospacing="1" w:after="100" w:afterAutospacing="1"/>
      </w:pPr>
      <w:r>
        <w:t xml:space="preserve">Op het moment dat blijkt dat het project “Centrale mestverwerking op bedrijf A” </w:t>
      </w:r>
      <w:r w:rsidRPr="00164E95">
        <w:t>per saldo</w:t>
      </w:r>
      <w:r>
        <w:t xml:space="preserve"> inderdaad niet tot een verslechtering van de luchtkwaliteit leidt, dan kan deze grondslag in principe gehanteerd worden bij de toetsing aan artikel 5.16 </w:t>
      </w:r>
      <w:proofErr w:type="spellStart"/>
      <w:r>
        <w:t>Wm</w:t>
      </w:r>
      <w:proofErr w:type="spellEnd"/>
      <w:r>
        <w:t xml:space="preserve">. </w:t>
      </w:r>
      <w:r>
        <w:br/>
      </w:r>
      <w:r w:rsidR="00356DA7">
        <w:t>De vraag daar</w:t>
      </w:r>
      <w:r>
        <w:t>Echter, dan komt ook het vraagstuk van borging om de hoek kijken. Want naarmate meer bedrijven hun mest laten verwerken bij de Centrale mestverwerking op bedrijf A, dan zal of één of andere manier geborgd dienen te worden dat de mest inderdaad op al die bedrijven sneller wordt weggehaald. Kortom, dat zal bijvoorbeeld via een aanpassing van de omgevingsvergunning</w:t>
      </w:r>
      <w:r w:rsidR="00356DA7">
        <w:t xml:space="preserve"> van deze bedrijven </w:t>
      </w:r>
      <w:r>
        <w:t xml:space="preserve">moeten gebeuren. </w:t>
      </w:r>
    </w:p>
    <w:p w:rsidR="00430BF6" w:rsidRPr="00463A60" w:rsidRDefault="00430BF6" w:rsidP="00430BF6">
      <w:pPr>
        <w:rPr>
          <w:b/>
        </w:rPr>
      </w:pPr>
      <w:r w:rsidRPr="00463A60">
        <w:rPr>
          <w:b/>
        </w:rPr>
        <w:t>Ad</w:t>
      </w:r>
      <w:r>
        <w:rPr>
          <w:b/>
        </w:rPr>
        <w:t xml:space="preserve"> </w:t>
      </w:r>
      <w:r w:rsidRPr="00463A60">
        <w:rPr>
          <w:b/>
        </w:rPr>
        <w:t>4) Een goede ruimtelijke ordening</w:t>
      </w:r>
    </w:p>
    <w:p w:rsidR="00430BF6" w:rsidRDefault="00430BF6" w:rsidP="00430BF6">
      <w:pPr>
        <w:spacing w:before="100" w:beforeAutospacing="1" w:after="100" w:afterAutospacing="1"/>
      </w:pPr>
      <w:r>
        <w:t xml:space="preserve">Een ander aspect is dat misschien wel gesaldeerd kan worden zodanig, dat er voldaan wordt aan de toetsing aan 5.16 </w:t>
      </w:r>
      <w:proofErr w:type="spellStart"/>
      <w:r>
        <w:t>Wm</w:t>
      </w:r>
      <w:proofErr w:type="spellEnd"/>
      <w:r>
        <w:t xml:space="preserve">. Dit laat onverlet dat de verslechtering van de luchtkwaliteit in de buurt van de mestverwerking niet zodanig mag zijn dat er geen sprake meer is van een goede ruimtelijke ordening voor bestaande gevoelige bestemmingen in de buurt. </w:t>
      </w:r>
    </w:p>
    <w:p w:rsidR="00430BF6" w:rsidRPr="00463A60" w:rsidRDefault="00430BF6" w:rsidP="00430BF6">
      <w:pPr>
        <w:rPr>
          <w:b/>
        </w:rPr>
      </w:pPr>
      <w:r w:rsidRPr="00463A60">
        <w:rPr>
          <w:b/>
        </w:rPr>
        <w:t>Samenvatting</w:t>
      </w:r>
    </w:p>
    <w:p w:rsidR="00430BF6" w:rsidRDefault="00430BF6" w:rsidP="00430BF6">
      <w:r>
        <w:t>In principe staat de huidige wetgeving een saldering niet in de weg. Er zijn echter wel een aantal lastige aandachtspunten:</w:t>
      </w:r>
    </w:p>
    <w:p w:rsidR="00430BF6" w:rsidRDefault="00430BF6" w:rsidP="00430BF6">
      <w:pPr>
        <w:numPr>
          <w:ilvl w:val="0"/>
          <w:numId w:val="32"/>
        </w:numPr>
      </w:pPr>
      <w:r>
        <w:t xml:space="preserve">Er moet ten eerste middels onderzoek aangetoond worden of, zo ja hoeveel de emissie aan fijn stof bij pluimveemest wordt verminderd als deze sneller wordt opgehaald. Dit moet leiden tot een nieuwe emissiefactor. Deze moet betrouwbaar genoeg zijn om door Bureau Monitoring geaccepteerd te worden. </w:t>
      </w:r>
    </w:p>
    <w:p w:rsidR="00430BF6" w:rsidRDefault="00430BF6" w:rsidP="00430BF6">
      <w:pPr>
        <w:numPr>
          <w:ilvl w:val="0"/>
          <w:numId w:val="32"/>
        </w:numPr>
      </w:pPr>
      <w:r>
        <w:t xml:space="preserve">Er moet ook middels onderzoek aangetoond worden hoeveel fijn stof er bij het </w:t>
      </w:r>
      <w:proofErr w:type="spellStart"/>
      <w:r>
        <w:t>mestverwerkende</w:t>
      </w:r>
      <w:proofErr w:type="spellEnd"/>
      <w:r>
        <w:t xml:space="preserve"> bedrijf ontstaat. Als dit tevens een veehouderij is, dan moet over deze emissie eveneens afstemming met Bureau Monitoring plaatsvinden. </w:t>
      </w:r>
    </w:p>
    <w:p w:rsidR="00430BF6" w:rsidRDefault="00430BF6" w:rsidP="00430BF6">
      <w:pPr>
        <w:numPr>
          <w:ilvl w:val="0"/>
          <w:numId w:val="32"/>
        </w:numPr>
      </w:pPr>
      <w:r>
        <w:t xml:space="preserve">Als er een significante afname is zal deze in de bestaande rekenmethode vorm gegeven moeten worden. </w:t>
      </w:r>
    </w:p>
    <w:p w:rsidR="00430BF6" w:rsidRDefault="00430BF6" w:rsidP="00430BF6">
      <w:pPr>
        <w:numPr>
          <w:ilvl w:val="0"/>
          <w:numId w:val="32"/>
        </w:numPr>
      </w:pPr>
      <w:r>
        <w:t>Er moet goed nagedacht worden hoe deze saldering juridisch bindend voor alle deelnemende bedrijven wordt vastgelegd.</w:t>
      </w:r>
    </w:p>
    <w:p w:rsidR="00430BF6" w:rsidRDefault="00430BF6" w:rsidP="00430BF6"/>
    <w:p w:rsidR="00430BF6" w:rsidRDefault="00430BF6" w:rsidP="00430BF6">
      <w:r>
        <w:t xml:space="preserve">Al met al kan de vraag gesteld worden of een andere locatiekeuze voor de mestverwerking (buiten het </w:t>
      </w:r>
      <w:proofErr w:type="spellStart"/>
      <w:r>
        <w:t>hoogbelaste</w:t>
      </w:r>
      <w:proofErr w:type="spellEnd"/>
      <w:r>
        <w:t xml:space="preserve"> gebied) niet te prefereren valt.</w:t>
      </w:r>
    </w:p>
    <w:p w:rsidR="00430BF6" w:rsidRDefault="00430BF6" w:rsidP="000678B8"/>
    <w:p w:rsidR="00430BF6" w:rsidRDefault="00430BF6" w:rsidP="000678B8"/>
    <w:p w:rsidR="000678B8" w:rsidRDefault="000678B8" w:rsidP="003F5EB0"/>
    <w:p w:rsidR="000678B8" w:rsidRDefault="000678B8" w:rsidP="003F5EB0"/>
    <w:p w:rsidR="003F5EB0" w:rsidRPr="003F5EB0" w:rsidRDefault="000678B8" w:rsidP="003F5EB0">
      <w:r>
        <w:t xml:space="preserve"> </w:t>
      </w:r>
    </w:p>
    <w:sectPr w:rsidR="003F5EB0" w:rsidRPr="003F5EB0" w:rsidSect="000B3F9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B8" w:rsidRDefault="000678B8" w:rsidP="0088501B">
      <w:r>
        <w:separator/>
      </w:r>
    </w:p>
  </w:endnote>
  <w:endnote w:type="continuationSeparator" w:id="0">
    <w:p w:rsidR="000678B8" w:rsidRDefault="000678B8"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E" w:rsidRDefault="00E456E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E" w:rsidRDefault="00E456E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E" w:rsidRDefault="00E456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B8" w:rsidRDefault="000678B8" w:rsidP="0088501B">
      <w:r>
        <w:separator/>
      </w:r>
    </w:p>
  </w:footnote>
  <w:footnote w:type="continuationSeparator" w:id="0">
    <w:p w:rsidR="000678B8" w:rsidRDefault="000678B8" w:rsidP="00885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E" w:rsidRDefault="00E456E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E" w:rsidRDefault="00E456E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EE" w:rsidRDefault="00E456E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nsid w:val="02D54C6C"/>
    <w:multiLevelType w:val="multilevel"/>
    <w:tmpl w:val="06962652"/>
    <w:numStyleLink w:val="Lijststijl"/>
  </w:abstractNum>
  <w:abstractNum w:abstractNumId="4">
    <w:nsid w:val="04AF55C7"/>
    <w:multiLevelType w:val="multilevel"/>
    <w:tmpl w:val="06962652"/>
    <w:numStyleLink w:val="Lijststijl"/>
  </w:abstractNum>
  <w:abstractNum w:abstractNumId="5">
    <w:nsid w:val="063964C2"/>
    <w:multiLevelType w:val="multilevel"/>
    <w:tmpl w:val="06962652"/>
    <w:numStyleLink w:val="Lijststijl"/>
  </w:abstractNum>
  <w:abstractNum w:abstractNumId="6">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9483BD7"/>
    <w:multiLevelType w:val="multilevel"/>
    <w:tmpl w:val="06962652"/>
    <w:numStyleLink w:val="Lijststijl"/>
  </w:abstractNum>
  <w:abstractNum w:abstractNumId="8">
    <w:nsid w:val="0A9D5DE4"/>
    <w:multiLevelType w:val="multilevel"/>
    <w:tmpl w:val="06962652"/>
    <w:numStyleLink w:val="Lijststijl"/>
  </w:abstractNum>
  <w:abstractNum w:abstractNumId="9">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nsid w:val="1895513E"/>
    <w:multiLevelType w:val="multilevel"/>
    <w:tmpl w:val="06962652"/>
    <w:numStyleLink w:val="Lijststijl"/>
  </w:abstractNum>
  <w:abstractNum w:abstractNumId="13">
    <w:nsid w:val="18F65698"/>
    <w:multiLevelType w:val="multilevel"/>
    <w:tmpl w:val="06962652"/>
    <w:numStyleLink w:val="Lijststijl"/>
  </w:abstractNum>
  <w:abstractNum w:abstractNumId="14">
    <w:nsid w:val="23593368"/>
    <w:multiLevelType w:val="multilevel"/>
    <w:tmpl w:val="C6C0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96A96"/>
    <w:multiLevelType w:val="hybridMultilevel"/>
    <w:tmpl w:val="9F32F29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6F82458"/>
    <w:multiLevelType w:val="multilevel"/>
    <w:tmpl w:val="6A8E5BD4"/>
    <w:numStyleLink w:val="Stijl2"/>
  </w:abstractNum>
  <w:abstractNum w:abstractNumId="18">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9">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20">
    <w:nsid w:val="31CB79D8"/>
    <w:multiLevelType w:val="multilevel"/>
    <w:tmpl w:val="06962652"/>
    <w:numStyleLink w:val="Lijststijl"/>
  </w:abstractNum>
  <w:abstractNum w:abstractNumId="21">
    <w:nsid w:val="31E853D2"/>
    <w:multiLevelType w:val="multilevel"/>
    <w:tmpl w:val="06962652"/>
    <w:numStyleLink w:val="Lijststijl"/>
  </w:abstractNum>
  <w:abstractNum w:abstractNumId="22">
    <w:nsid w:val="3289647E"/>
    <w:multiLevelType w:val="hybridMultilevel"/>
    <w:tmpl w:val="204A2E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A6389A"/>
    <w:multiLevelType w:val="multilevel"/>
    <w:tmpl w:val="6A8E5BD4"/>
    <w:numStyleLink w:val="Stijl2"/>
  </w:abstractNum>
  <w:abstractNum w:abstractNumId="25">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7DB631B"/>
    <w:multiLevelType w:val="multilevel"/>
    <w:tmpl w:val="06962652"/>
    <w:numStyleLink w:val="Lijststijl"/>
  </w:abstractNum>
  <w:abstractNum w:abstractNumId="28">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30">
    <w:nsid w:val="5CAF5D0D"/>
    <w:multiLevelType w:val="multilevel"/>
    <w:tmpl w:val="06962652"/>
    <w:numStyleLink w:val="Lijststijl"/>
  </w:abstractNum>
  <w:abstractNum w:abstractNumId="31">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D047329"/>
    <w:multiLevelType w:val="hybridMultilevel"/>
    <w:tmpl w:val="6C08E0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79050C84"/>
    <w:multiLevelType w:val="multilevel"/>
    <w:tmpl w:val="06962652"/>
    <w:numStyleLink w:val="Lijststijl"/>
  </w:abstractNum>
  <w:num w:numId="1">
    <w:abstractNumId w:val="9"/>
  </w:num>
  <w:num w:numId="2">
    <w:abstractNumId w:val="11"/>
  </w:num>
  <w:num w:numId="3">
    <w:abstractNumId w:val="30"/>
  </w:num>
  <w:num w:numId="4">
    <w:abstractNumId w:val="10"/>
  </w:num>
  <w:num w:numId="5">
    <w:abstractNumId w:val="17"/>
  </w:num>
  <w:num w:numId="6">
    <w:abstractNumId w:val="20"/>
  </w:num>
  <w:num w:numId="7">
    <w:abstractNumId w:val="2"/>
  </w:num>
  <w:num w:numId="8">
    <w:abstractNumId w:val="1"/>
  </w:num>
  <w:num w:numId="9">
    <w:abstractNumId w:val="0"/>
  </w:num>
  <w:num w:numId="10">
    <w:abstractNumId w:val="7"/>
  </w:num>
  <w:num w:numId="11">
    <w:abstractNumId w:val="5"/>
  </w:num>
  <w:num w:numId="12">
    <w:abstractNumId w:val="5"/>
  </w:num>
  <w:num w:numId="13">
    <w:abstractNumId w:val="31"/>
  </w:num>
  <w:num w:numId="14">
    <w:abstractNumId w:val="3"/>
  </w:num>
  <w:num w:numId="15">
    <w:abstractNumId w:val="18"/>
  </w:num>
  <w:num w:numId="16">
    <w:abstractNumId w:val="25"/>
  </w:num>
  <w:num w:numId="17">
    <w:abstractNumId w:val="8"/>
  </w:num>
  <w:num w:numId="18">
    <w:abstractNumId w:val="21"/>
  </w:num>
  <w:num w:numId="19">
    <w:abstractNumId w:val="33"/>
  </w:num>
  <w:num w:numId="20">
    <w:abstractNumId w:val="12"/>
  </w:num>
  <w:num w:numId="21">
    <w:abstractNumId w:val="24"/>
  </w:num>
  <w:num w:numId="22">
    <w:abstractNumId w:val="27"/>
  </w:num>
  <w:num w:numId="23">
    <w:abstractNumId w:val="19"/>
  </w:num>
  <w:num w:numId="24">
    <w:abstractNumId w:val="29"/>
  </w:num>
  <w:num w:numId="25">
    <w:abstractNumId w:val="28"/>
  </w:num>
  <w:num w:numId="26">
    <w:abstractNumId w:val="6"/>
  </w:num>
  <w:num w:numId="27">
    <w:abstractNumId w:val="16"/>
  </w:num>
  <w:num w:numId="28">
    <w:abstractNumId w:val="23"/>
  </w:num>
  <w:num w:numId="29">
    <w:abstractNumId w:val="4"/>
  </w:num>
  <w:num w:numId="30">
    <w:abstractNumId w:val="13"/>
  </w:num>
  <w:num w:numId="31">
    <w:abstractNumId w:val="26"/>
  </w:num>
  <w:num w:numId="32">
    <w:abstractNumId w:val="22"/>
  </w:num>
  <w:num w:numId="33">
    <w:abstractNumId w:val="32"/>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B8"/>
    <w:rsid w:val="00043163"/>
    <w:rsid w:val="00056D70"/>
    <w:rsid w:val="00067011"/>
    <w:rsid w:val="000678B8"/>
    <w:rsid w:val="0009235F"/>
    <w:rsid w:val="000B3F94"/>
    <w:rsid w:val="000E1F3B"/>
    <w:rsid w:val="00173156"/>
    <w:rsid w:val="001D6F03"/>
    <w:rsid w:val="002A6578"/>
    <w:rsid w:val="002B1092"/>
    <w:rsid w:val="002E0FD2"/>
    <w:rsid w:val="00356DA7"/>
    <w:rsid w:val="0038549E"/>
    <w:rsid w:val="003C4BF2"/>
    <w:rsid w:val="003D51FB"/>
    <w:rsid w:val="003F5EB0"/>
    <w:rsid w:val="003F6EDB"/>
    <w:rsid w:val="0040142D"/>
    <w:rsid w:val="0040571B"/>
    <w:rsid w:val="00430BF6"/>
    <w:rsid w:val="00450447"/>
    <w:rsid w:val="004B0EA1"/>
    <w:rsid w:val="004D766D"/>
    <w:rsid w:val="005A4FBE"/>
    <w:rsid w:val="005D2CF1"/>
    <w:rsid w:val="005E046F"/>
    <w:rsid w:val="006006F5"/>
    <w:rsid w:val="00650A9B"/>
    <w:rsid w:val="006D2E66"/>
    <w:rsid w:val="006F42D7"/>
    <w:rsid w:val="0074774C"/>
    <w:rsid w:val="007F4AEA"/>
    <w:rsid w:val="0088501B"/>
    <w:rsid w:val="008D2753"/>
    <w:rsid w:val="008E3581"/>
    <w:rsid w:val="00905289"/>
    <w:rsid w:val="009C5CF5"/>
    <w:rsid w:val="00A32591"/>
    <w:rsid w:val="00A77ABF"/>
    <w:rsid w:val="00A863E9"/>
    <w:rsid w:val="00AF01D3"/>
    <w:rsid w:val="00B022C4"/>
    <w:rsid w:val="00B559E9"/>
    <w:rsid w:val="00B72222"/>
    <w:rsid w:val="00B80650"/>
    <w:rsid w:val="00C36FAA"/>
    <w:rsid w:val="00C71133"/>
    <w:rsid w:val="00CA55CC"/>
    <w:rsid w:val="00CB3317"/>
    <w:rsid w:val="00DA3555"/>
    <w:rsid w:val="00E456EE"/>
    <w:rsid w:val="00ED7AB9"/>
    <w:rsid w:val="00EE5BBE"/>
    <w:rsid w:val="00F14DE4"/>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5B95" w:themeColor="text1" w:themeShade="BF"/>
    </w:rPr>
    <w:tblPr>
      <w:tblStyleRowBandSize w:val="1"/>
      <w:tblStyleColBandSize w:val="1"/>
      <w:tblBorders>
        <w:top w:val="single" w:sz="8" w:space="0" w:color="007BC7" w:themeColor="text1"/>
        <w:bottom w:val="single" w:sz="8" w:space="0" w:color="007BC7" w:themeColor="text1"/>
      </w:tblBorders>
    </w:tblPr>
    <w:tblStylePr w:type="firstRow">
      <w:pPr>
        <w:spacing w:before="0" w:after="0" w:line="240" w:lineRule="auto"/>
      </w:pPr>
      <w:rPr>
        <w:b/>
        <w:bCs/>
      </w:rPr>
      <w:tblPr/>
      <w:tcPr>
        <w:tcBorders>
          <w:top w:val="single" w:sz="8" w:space="0" w:color="007BC7" w:themeColor="text1"/>
          <w:left w:val="nil"/>
          <w:bottom w:val="single" w:sz="8" w:space="0" w:color="007BC7" w:themeColor="text1"/>
          <w:right w:val="nil"/>
          <w:insideH w:val="nil"/>
          <w:insideV w:val="nil"/>
        </w:tcBorders>
      </w:tcPr>
    </w:tblStylePr>
    <w:tblStylePr w:type="lastRow">
      <w:pPr>
        <w:spacing w:before="0" w:after="0" w:line="240" w:lineRule="auto"/>
      </w:pPr>
      <w:rPr>
        <w:b/>
        <w:bCs/>
      </w:rPr>
      <w:tblPr/>
      <w:tcPr>
        <w:tcBorders>
          <w:top w:val="single" w:sz="8" w:space="0" w:color="007BC7" w:themeColor="text1"/>
          <w:left w:val="nil"/>
          <w:bottom w:val="single" w:sz="8" w:space="0" w:color="007BC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1FF" w:themeFill="text1" w:themeFillTint="3F"/>
      </w:tcPr>
    </w:tblStylePr>
    <w:tblStylePr w:type="band1Horz">
      <w:tblPr/>
      <w:tcPr>
        <w:tcBorders>
          <w:left w:val="nil"/>
          <w:right w:val="nil"/>
          <w:insideH w:val="nil"/>
          <w:insideV w:val="nil"/>
        </w:tcBorders>
        <w:shd w:val="clear" w:color="auto" w:fill="B2E1FF"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64C3FF"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7BC7" w:themeColor="text1"/>
    </w:rPr>
  </w:style>
  <w:style w:type="character" w:customStyle="1" w:styleId="CitaatChar">
    <w:name w:val="Citaat Char"/>
    <w:basedOn w:val="Standaardalinea-lettertype"/>
    <w:link w:val="Citaat"/>
    <w:uiPriority w:val="29"/>
    <w:rsid w:val="00ED7AB9"/>
    <w:rPr>
      <w:i/>
      <w:iCs/>
      <w:color w:val="007BC7"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5B95" w:themeColor="text1" w:themeShade="BF"/>
    </w:rPr>
    <w:tblPr>
      <w:tblStyleRowBandSize w:val="1"/>
      <w:tblStyleColBandSize w:val="1"/>
      <w:tblBorders>
        <w:top w:val="single" w:sz="8" w:space="0" w:color="007BC7" w:themeColor="text1"/>
        <w:bottom w:val="single" w:sz="8" w:space="0" w:color="007BC7" w:themeColor="text1"/>
      </w:tblBorders>
    </w:tblPr>
    <w:tblStylePr w:type="firstRow">
      <w:pPr>
        <w:spacing w:before="0" w:after="0" w:line="240" w:lineRule="auto"/>
      </w:pPr>
      <w:rPr>
        <w:b/>
        <w:bCs/>
      </w:rPr>
      <w:tblPr/>
      <w:tcPr>
        <w:tcBorders>
          <w:top w:val="single" w:sz="8" w:space="0" w:color="007BC7" w:themeColor="text1"/>
          <w:left w:val="nil"/>
          <w:bottom w:val="single" w:sz="8" w:space="0" w:color="007BC7" w:themeColor="text1"/>
          <w:right w:val="nil"/>
          <w:insideH w:val="nil"/>
          <w:insideV w:val="nil"/>
        </w:tcBorders>
      </w:tcPr>
    </w:tblStylePr>
    <w:tblStylePr w:type="lastRow">
      <w:pPr>
        <w:spacing w:before="0" w:after="0" w:line="240" w:lineRule="auto"/>
      </w:pPr>
      <w:rPr>
        <w:b/>
        <w:bCs/>
      </w:rPr>
      <w:tblPr/>
      <w:tcPr>
        <w:tcBorders>
          <w:top w:val="single" w:sz="8" w:space="0" w:color="007BC7" w:themeColor="text1"/>
          <w:left w:val="nil"/>
          <w:bottom w:val="single" w:sz="8" w:space="0" w:color="007BC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1FF" w:themeFill="text1" w:themeFillTint="3F"/>
      </w:tcPr>
    </w:tblStylePr>
    <w:tblStylePr w:type="band1Horz">
      <w:tblPr/>
      <w:tcPr>
        <w:tcBorders>
          <w:left w:val="nil"/>
          <w:right w:val="nil"/>
          <w:insideH w:val="nil"/>
          <w:insideV w:val="nil"/>
        </w:tcBorders>
        <w:shd w:val="clear" w:color="auto" w:fill="B2E1FF"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64C3FF"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7BC7" w:themeColor="text1"/>
    </w:rPr>
  </w:style>
  <w:style w:type="character" w:customStyle="1" w:styleId="CitaatChar">
    <w:name w:val="Citaat Char"/>
    <w:basedOn w:val="Standaardalinea-lettertype"/>
    <w:link w:val="Citaat"/>
    <w:uiPriority w:val="29"/>
    <w:rsid w:val="00ED7AB9"/>
    <w:rPr>
      <w:i/>
      <w:iCs/>
      <w:color w:val="007BC7"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Rijkswaterstaat2">
  <a:themeElements>
    <a:clrScheme name="Rijkswaterstaat">
      <a:dk1>
        <a:srgbClr val="007BC7"/>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5165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Haselager, Nico (WVL)</dc:creator>
  <cp:lastModifiedBy>Vierhuis, Esther (WVL)</cp:lastModifiedBy>
  <cp:revision>3</cp:revision>
  <dcterms:created xsi:type="dcterms:W3CDTF">2016-01-22T15:49:00Z</dcterms:created>
  <dcterms:modified xsi:type="dcterms:W3CDTF">2016-01-22T15:49:00Z</dcterms:modified>
</cp:coreProperties>
</file>