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61B" w:rsidRDefault="005F161B" w:rsidP="007325DB">
      <w:pPr>
        <w:rPr>
          <w:rFonts w:cs="Arial"/>
          <w:b/>
        </w:rPr>
      </w:pPr>
      <w:r>
        <w:rPr>
          <w:rFonts w:cs="Arial"/>
          <w:b/>
        </w:rPr>
        <w:t>INTEGRALE VERSIE VAN HET ACTIVITEITENBESLUIT EN DE ACTIVITEITENREGELING</w:t>
      </w:r>
      <w:r w:rsidR="00443830">
        <w:rPr>
          <w:rFonts w:cs="Arial"/>
          <w:b/>
        </w:rPr>
        <w:t>, INCLUSIEF 4</w:t>
      </w:r>
      <w:r w:rsidR="00443830" w:rsidRPr="00443830">
        <w:rPr>
          <w:rFonts w:cs="Arial"/>
          <w:b/>
          <w:vertAlign w:val="superscript"/>
        </w:rPr>
        <w:t>E</w:t>
      </w:r>
      <w:r w:rsidR="00443830">
        <w:rPr>
          <w:rFonts w:cs="Arial"/>
          <w:b/>
        </w:rPr>
        <w:t xml:space="preserve"> TRANCHE – 1 </w:t>
      </w:r>
      <w:r w:rsidR="00FC1F4E">
        <w:rPr>
          <w:rFonts w:cs="Arial"/>
          <w:b/>
        </w:rPr>
        <w:t>JANUARI</w:t>
      </w:r>
      <w:r w:rsidR="00443830">
        <w:rPr>
          <w:rFonts w:cs="Arial"/>
          <w:b/>
        </w:rPr>
        <w:t xml:space="preserve"> 20</w:t>
      </w:r>
      <w:r w:rsidR="00FC1F4E">
        <w:rPr>
          <w:rFonts w:cs="Arial"/>
          <w:b/>
        </w:rPr>
        <w:t>16</w:t>
      </w:r>
      <w:r w:rsidR="00443830">
        <w:rPr>
          <w:rFonts w:cs="Arial"/>
          <w:b/>
        </w:rPr>
        <w:t xml:space="preserve"> -</w:t>
      </w:r>
    </w:p>
    <w:p w:rsidR="005F161B" w:rsidRDefault="005F161B" w:rsidP="007325DB">
      <w:pPr>
        <w:rPr>
          <w:rFonts w:cs="Arial"/>
          <w:b/>
        </w:rPr>
      </w:pPr>
    </w:p>
    <w:p w:rsidR="00115B40" w:rsidRDefault="00F43C9B" w:rsidP="007325DB">
      <w:pPr>
        <w:rPr>
          <w:rFonts w:cs="Arial"/>
          <w:b/>
        </w:rPr>
      </w:pPr>
      <w:r>
        <w:rPr>
          <w:rFonts w:cs="Arial"/>
          <w:b/>
        </w:rPr>
        <w:t>Dit is een integrale versie van het Activiteitenbesluit en de Activiteitenregeling.</w:t>
      </w:r>
      <w:r w:rsidR="00FF4D35">
        <w:rPr>
          <w:rFonts w:cs="Arial"/>
          <w:b/>
        </w:rPr>
        <w:t xml:space="preserve"> De onderdelen van de regeling zijn bij de corresponderende</w:t>
      </w:r>
      <w:r w:rsidR="00FF2DB0">
        <w:rPr>
          <w:rFonts w:cs="Arial"/>
          <w:b/>
        </w:rPr>
        <w:t xml:space="preserve"> onderdelen</w:t>
      </w:r>
      <w:r w:rsidR="00FF4D35">
        <w:rPr>
          <w:rFonts w:cs="Arial"/>
          <w:b/>
        </w:rPr>
        <w:t xml:space="preserve"> van het besluit geplaats</w:t>
      </w:r>
      <w:r w:rsidR="00191020">
        <w:rPr>
          <w:rFonts w:cs="Arial"/>
          <w:b/>
        </w:rPr>
        <w:t>t</w:t>
      </w:r>
      <w:r w:rsidR="00245163">
        <w:rPr>
          <w:rFonts w:cs="Arial"/>
          <w:b/>
        </w:rPr>
        <w:t xml:space="preserve">, zodat alle voorschriften voor een bepaalde activiteit op één plek </w:t>
      </w:r>
      <w:r w:rsidR="00BA2E81">
        <w:rPr>
          <w:rFonts w:cs="Arial"/>
          <w:b/>
        </w:rPr>
        <w:t xml:space="preserve">zijn </w:t>
      </w:r>
      <w:r w:rsidR="00245163">
        <w:rPr>
          <w:rFonts w:cs="Arial"/>
          <w:b/>
        </w:rPr>
        <w:t xml:space="preserve">te vinden. </w:t>
      </w:r>
      <w:r w:rsidR="00115B40" w:rsidRPr="00115B40">
        <w:rPr>
          <w:rFonts w:cs="Arial"/>
          <w:b/>
        </w:rPr>
        <w:t xml:space="preserve">De artikelen van de regeling zijn als zodanig herkenbaar doordat ze </w:t>
      </w:r>
      <w:r w:rsidR="00115B40" w:rsidRPr="00115B40">
        <w:rPr>
          <w:rFonts w:cs="Arial"/>
          <w:b/>
          <w:shd w:val="clear" w:color="auto" w:fill="D9D9D9" w:themeFill="background1" w:themeFillShade="D9"/>
        </w:rPr>
        <w:t>grijs zijn gearceerd</w:t>
      </w:r>
      <w:r w:rsidR="00115B40" w:rsidRPr="00115B40">
        <w:rPr>
          <w:rFonts w:cs="Arial"/>
          <w:b/>
        </w:rPr>
        <w:t>.</w:t>
      </w:r>
      <w:r>
        <w:rPr>
          <w:rFonts w:cs="Arial"/>
          <w:b/>
        </w:rPr>
        <w:t xml:space="preserve"> </w:t>
      </w:r>
    </w:p>
    <w:p w:rsidR="004F2B59" w:rsidRPr="00FE5362" w:rsidRDefault="007325DB">
      <w:pPr>
        <w:rPr>
          <w:rFonts w:cs="Arial"/>
          <w:b/>
        </w:rPr>
      </w:pPr>
      <w:r>
        <w:rPr>
          <w:rFonts w:cs="Arial"/>
          <w:b/>
        </w:rPr>
        <w:t xml:space="preserve">Alle wijzigingen in besluit en regeling </w:t>
      </w:r>
      <w:r w:rsidR="002378D2">
        <w:rPr>
          <w:rFonts w:cs="Arial"/>
          <w:b/>
        </w:rPr>
        <w:t>die door de 4</w:t>
      </w:r>
      <w:r w:rsidR="002378D2" w:rsidRPr="002378D2">
        <w:rPr>
          <w:rFonts w:cs="Arial"/>
          <w:b/>
          <w:vertAlign w:val="superscript"/>
        </w:rPr>
        <w:t>e</w:t>
      </w:r>
      <w:r w:rsidR="002378D2">
        <w:rPr>
          <w:rFonts w:cs="Arial"/>
          <w:b/>
        </w:rPr>
        <w:t xml:space="preserve"> tranche wijziging zijn aangebracht zijn zichtbaar als revisie.</w:t>
      </w:r>
    </w:p>
    <w:p w:rsidR="00FE5362" w:rsidRDefault="00FE5362">
      <w:pPr>
        <w:rPr>
          <w:rFonts w:cs="Arial"/>
        </w:rPr>
      </w:pPr>
    </w:p>
    <w:p w:rsidR="00F704A2" w:rsidRPr="00F704A2" w:rsidRDefault="00FE5362" w:rsidP="00FE5362">
      <w:pPr>
        <w:pStyle w:val="Lijstalinea"/>
        <w:ind w:left="0"/>
        <w:rPr>
          <w:rFonts w:cs="Arial"/>
          <w:b/>
        </w:rPr>
      </w:pPr>
      <w:r>
        <w:rPr>
          <w:rFonts w:cs="Arial"/>
          <w:b/>
        </w:rPr>
        <w:t xml:space="preserve">Op </w:t>
      </w:r>
      <w:hyperlink r:id="rId9" w:history="1">
        <w:r w:rsidRPr="00FE5362">
          <w:rPr>
            <w:rStyle w:val="Hyperlink"/>
            <w:rFonts w:cs="Arial"/>
            <w:b/>
          </w:rPr>
          <w:t>onze website</w:t>
        </w:r>
      </w:hyperlink>
      <w:r>
        <w:rPr>
          <w:rFonts w:cs="Arial"/>
          <w:b/>
        </w:rPr>
        <w:t xml:space="preserve"> vindt u meer informatie over de verschillende wijzigingen van het besluit en de regeling.</w:t>
      </w:r>
    </w:p>
    <w:p w:rsidR="00FE5362" w:rsidRDefault="00FE5362" w:rsidP="001C166D">
      <w:pPr>
        <w:rPr>
          <w:rFonts w:cs="Arial"/>
          <w:b/>
        </w:rPr>
      </w:pPr>
    </w:p>
    <w:p w:rsidR="007325DB" w:rsidRPr="00F704A2" w:rsidRDefault="007325DB" w:rsidP="001C166D">
      <w:pPr>
        <w:rPr>
          <w:rFonts w:cs="Arial"/>
          <w:b/>
        </w:rPr>
      </w:pPr>
      <w:r w:rsidRPr="00F704A2">
        <w:rPr>
          <w:rFonts w:cs="Arial"/>
          <w:b/>
        </w:rPr>
        <w:t>*** TIP *** Wanneer u een “schone” integrale versie wilt, zonder revisies, kunt u simpelweg alle revisies accepteren.</w:t>
      </w:r>
    </w:p>
    <w:p w:rsidR="00F43C9B" w:rsidRDefault="00F43C9B" w:rsidP="001C166D">
      <w:pPr>
        <w:rPr>
          <w:rFonts w:cs="Arial"/>
          <w:b/>
        </w:rPr>
      </w:pPr>
    </w:p>
    <w:p w:rsidR="004F2B59" w:rsidRDefault="004F2B59" w:rsidP="004F2B59">
      <w:pPr>
        <w:rPr>
          <w:rFonts w:cs="Arial"/>
          <w:b/>
        </w:rPr>
      </w:pPr>
      <w:r>
        <w:rPr>
          <w:rFonts w:cs="Arial"/>
          <w:b/>
        </w:rPr>
        <w:t>Dit is geen officiële publicatie. Fouten zijn mogelijk.</w:t>
      </w:r>
    </w:p>
    <w:p w:rsidR="00FE5362" w:rsidRDefault="00FE5362" w:rsidP="004F2B59">
      <w:pPr>
        <w:rPr>
          <w:rFonts w:cs="Arial"/>
          <w:b/>
        </w:rPr>
      </w:pPr>
    </w:p>
    <w:p w:rsidR="00FE5362" w:rsidRDefault="00FE5362" w:rsidP="004F2B59">
      <w:pPr>
        <w:rPr>
          <w:rFonts w:cs="Arial"/>
          <w:b/>
        </w:rPr>
      </w:pPr>
    </w:p>
    <w:p w:rsidR="00FE5362" w:rsidRDefault="00FE5362" w:rsidP="00FE5362">
      <w:pPr>
        <w:jc w:val="both"/>
        <w:rPr>
          <w:rFonts w:cs="Arial"/>
          <w:b/>
        </w:rPr>
      </w:pPr>
    </w:p>
    <w:p w:rsidR="00FE5362" w:rsidRPr="00F43C9B" w:rsidRDefault="00FE5362" w:rsidP="00FE5362">
      <w:pPr>
        <w:rPr>
          <w:rFonts w:cs="Arial"/>
          <w:b/>
        </w:rPr>
      </w:pPr>
      <w:r>
        <w:rPr>
          <w:rFonts w:cs="Arial"/>
          <w:b/>
        </w:rPr>
        <w:t>Infomil 2015</w:t>
      </w:r>
    </w:p>
    <w:p w:rsidR="004F2B59" w:rsidRDefault="004F2B59" w:rsidP="001C166D">
      <w:pPr>
        <w:rPr>
          <w:rFonts w:cs="Arial"/>
          <w:b/>
        </w:rPr>
      </w:pPr>
    </w:p>
    <w:p w:rsidR="00FE5362" w:rsidRDefault="00FE5362" w:rsidP="001C166D">
      <w:pPr>
        <w:rPr>
          <w:rFonts w:cs="Arial"/>
          <w:b/>
        </w:rPr>
      </w:pPr>
    </w:p>
    <w:p w:rsidR="00FE5362" w:rsidRDefault="00FE5362">
      <w:pPr>
        <w:spacing w:line="240" w:lineRule="auto"/>
        <w:rPr>
          <w:rFonts w:cs="Arial"/>
          <w:b/>
        </w:rPr>
      </w:pPr>
      <w:r>
        <w:rPr>
          <w:rFonts w:cs="Arial"/>
          <w:b/>
        </w:rPr>
        <w:br w:type="page"/>
      </w:r>
    </w:p>
    <w:p w:rsidR="00FE5362" w:rsidRDefault="00FE5362" w:rsidP="001C166D">
      <w:pPr>
        <w:rPr>
          <w:rFonts w:cs="Arial"/>
          <w:b/>
        </w:rPr>
      </w:pPr>
      <w:r>
        <w:rPr>
          <w:rFonts w:cs="Arial"/>
          <w:b/>
        </w:rPr>
        <w:lastRenderedPageBreak/>
        <w:t>INHOUDSOPGAVE</w:t>
      </w:r>
    </w:p>
    <w:p w:rsidR="00FE5362" w:rsidRDefault="00FE5362" w:rsidP="001C166D">
      <w:pPr>
        <w:rPr>
          <w:rFonts w:cs="Arial"/>
          <w:b/>
        </w:rPr>
      </w:pPr>
    </w:p>
    <w:p w:rsidR="001C166D" w:rsidRDefault="00FE5362" w:rsidP="001C166D">
      <w:pPr>
        <w:rPr>
          <w:rFonts w:cs="Arial"/>
          <w:b/>
        </w:rPr>
      </w:pPr>
      <w:r>
        <w:rPr>
          <w:rFonts w:cs="Arial"/>
          <w:b/>
        </w:rPr>
        <w:t>CTRL+KLIK OP HET GEWENSTE ONDERDEEL VOOR SNEL NAVIGEREN IN HET DOCUMENT</w:t>
      </w:r>
    </w:p>
    <w:p w:rsidR="008B615D" w:rsidRDefault="008B615D" w:rsidP="001C166D">
      <w:pPr>
        <w:rPr>
          <w:rFonts w:cs="Arial"/>
          <w:b/>
        </w:rPr>
      </w:pPr>
    </w:p>
    <w:p w:rsidR="008B615D" w:rsidRDefault="008B615D" w:rsidP="00263727">
      <w:pPr>
        <w:pStyle w:val="Inhopg1"/>
        <w:tabs>
          <w:tab w:val="right" w:leader="dot" w:pos="9061"/>
        </w:tabs>
        <w:spacing w:line="240" w:lineRule="auto"/>
        <w:rPr>
          <w:noProof/>
        </w:rPr>
      </w:pPr>
      <w:r>
        <w:rPr>
          <w:rFonts w:cs="Arial"/>
          <w:b/>
        </w:rPr>
        <w:fldChar w:fldCharType="begin"/>
      </w:r>
      <w:r>
        <w:rPr>
          <w:rFonts w:cs="Arial"/>
          <w:b/>
        </w:rPr>
        <w:instrText xml:space="preserve"> TOC \o "1-3" \h \z \u </w:instrText>
      </w:r>
      <w:r>
        <w:rPr>
          <w:rFonts w:cs="Arial"/>
          <w:b/>
        </w:rPr>
        <w:fldChar w:fldCharType="separate"/>
      </w:r>
      <w:hyperlink w:anchor="_Toc431375532" w:history="1">
        <w:r w:rsidRPr="00213E4C">
          <w:rPr>
            <w:rStyle w:val="Hyperlink"/>
            <w:rFonts w:cs="Arial"/>
            <w:noProof/>
          </w:rPr>
          <w:t>Hoofdstuk 1. Algemeen</w:t>
        </w:r>
        <w:r>
          <w:rPr>
            <w:noProof/>
            <w:webHidden/>
          </w:rPr>
          <w:tab/>
        </w:r>
        <w:r>
          <w:rPr>
            <w:noProof/>
            <w:webHidden/>
          </w:rPr>
          <w:fldChar w:fldCharType="begin"/>
        </w:r>
        <w:r>
          <w:rPr>
            <w:noProof/>
            <w:webHidden/>
          </w:rPr>
          <w:instrText xml:space="preserve"> PAGEREF _Toc431375532 \h </w:instrText>
        </w:r>
        <w:r>
          <w:rPr>
            <w:noProof/>
            <w:webHidden/>
          </w:rPr>
        </w:r>
        <w:r>
          <w:rPr>
            <w:noProof/>
            <w:webHidden/>
          </w:rPr>
          <w:fldChar w:fldCharType="separate"/>
        </w:r>
        <w:r>
          <w:rPr>
            <w:noProof/>
            <w:webHidden/>
          </w:rPr>
          <w:t>13</w:t>
        </w:r>
        <w:r>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33" w:history="1">
        <w:r w:rsidR="008B615D" w:rsidRPr="00213E4C">
          <w:rPr>
            <w:rStyle w:val="Hyperlink"/>
            <w:rFonts w:cs="Arial"/>
            <w:noProof/>
          </w:rPr>
          <w:t>Afdeling 1.1. Begripsbepalingen, omhangbepaling, reikwijdte en procedurele bepalingen</w:t>
        </w:r>
        <w:r w:rsidR="008B615D">
          <w:rPr>
            <w:noProof/>
            <w:webHidden/>
          </w:rPr>
          <w:tab/>
        </w:r>
        <w:r w:rsidR="008B615D">
          <w:rPr>
            <w:noProof/>
            <w:webHidden/>
          </w:rPr>
          <w:fldChar w:fldCharType="begin"/>
        </w:r>
        <w:r w:rsidR="008B615D">
          <w:rPr>
            <w:noProof/>
            <w:webHidden/>
          </w:rPr>
          <w:instrText xml:space="preserve"> PAGEREF _Toc431375533 \h </w:instrText>
        </w:r>
        <w:r w:rsidR="008B615D">
          <w:rPr>
            <w:noProof/>
            <w:webHidden/>
          </w:rPr>
        </w:r>
        <w:r w:rsidR="008B615D">
          <w:rPr>
            <w:noProof/>
            <w:webHidden/>
          </w:rPr>
          <w:fldChar w:fldCharType="separate"/>
        </w:r>
        <w:r w:rsidR="008B615D">
          <w:rPr>
            <w:noProof/>
            <w:webHidden/>
          </w:rPr>
          <w:t>13</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534" w:history="1">
        <w:r w:rsidR="008B615D" w:rsidRPr="00213E4C">
          <w:rPr>
            <w:rStyle w:val="Hyperlink"/>
            <w:noProof/>
          </w:rPr>
          <w:t>§ 1.1.1. Begripsbepalingen</w:t>
        </w:r>
        <w:r w:rsidR="008B615D">
          <w:rPr>
            <w:noProof/>
            <w:webHidden/>
          </w:rPr>
          <w:tab/>
        </w:r>
        <w:r w:rsidR="008B615D">
          <w:rPr>
            <w:noProof/>
            <w:webHidden/>
          </w:rPr>
          <w:fldChar w:fldCharType="begin"/>
        </w:r>
        <w:r w:rsidR="008B615D">
          <w:rPr>
            <w:noProof/>
            <w:webHidden/>
          </w:rPr>
          <w:instrText xml:space="preserve"> PAGEREF _Toc431375534 \h </w:instrText>
        </w:r>
        <w:r w:rsidR="008B615D">
          <w:rPr>
            <w:noProof/>
            <w:webHidden/>
          </w:rPr>
        </w:r>
        <w:r w:rsidR="008B615D">
          <w:rPr>
            <w:noProof/>
            <w:webHidden/>
          </w:rPr>
          <w:fldChar w:fldCharType="separate"/>
        </w:r>
        <w:r w:rsidR="008B615D">
          <w:rPr>
            <w:noProof/>
            <w:webHidden/>
          </w:rPr>
          <w:t>13</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35" w:history="1">
        <w:r w:rsidR="008B615D" w:rsidRPr="00213E4C">
          <w:rPr>
            <w:rStyle w:val="Hyperlink"/>
            <w:rFonts w:cs="Arial"/>
            <w:noProof/>
          </w:rPr>
          <w:t>§ 1.1.1a</w:t>
        </w:r>
        <w:r w:rsidR="008B615D">
          <w:rPr>
            <w:noProof/>
          </w:rPr>
          <w:tab/>
        </w:r>
        <w:r w:rsidR="008B615D" w:rsidRPr="00213E4C">
          <w:rPr>
            <w:rStyle w:val="Hyperlink"/>
            <w:rFonts w:cs="Arial"/>
            <w:noProof/>
          </w:rPr>
          <w:t>Omhangbepaling</w:t>
        </w:r>
        <w:r w:rsidR="008B615D">
          <w:rPr>
            <w:noProof/>
            <w:webHidden/>
          </w:rPr>
          <w:tab/>
        </w:r>
        <w:r w:rsidR="008B615D">
          <w:rPr>
            <w:noProof/>
            <w:webHidden/>
          </w:rPr>
          <w:fldChar w:fldCharType="begin"/>
        </w:r>
        <w:r w:rsidR="008B615D">
          <w:rPr>
            <w:noProof/>
            <w:webHidden/>
          </w:rPr>
          <w:instrText xml:space="preserve"> PAGEREF _Toc431375535 \h </w:instrText>
        </w:r>
        <w:r w:rsidR="008B615D">
          <w:rPr>
            <w:noProof/>
            <w:webHidden/>
          </w:rPr>
        </w:r>
        <w:r w:rsidR="008B615D">
          <w:rPr>
            <w:noProof/>
            <w:webHidden/>
          </w:rPr>
          <w:fldChar w:fldCharType="separate"/>
        </w:r>
        <w:r w:rsidR="008B615D">
          <w:rPr>
            <w:noProof/>
            <w:webHidden/>
          </w:rPr>
          <w:t>37</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36" w:history="1">
        <w:r w:rsidR="008B615D" w:rsidRPr="00213E4C">
          <w:rPr>
            <w:rStyle w:val="Hyperlink"/>
            <w:rFonts w:cs="Arial"/>
            <w:noProof/>
          </w:rPr>
          <w:t>§ 1.1.2</w:t>
        </w:r>
        <w:r w:rsidR="008B615D">
          <w:rPr>
            <w:noProof/>
          </w:rPr>
          <w:tab/>
        </w:r>
        <w:r w:rsidR="008B615D" w:rsidRPr="00213E4C">
          <w:rPr>
            <w:rStyle w:val="Hyperlink"/>
            <w:rFonts w:cs="Arial"/>
            <w:noProof/>
          </w:rPr>
          <w:t>Reikwijdte en andere procedurele bepalingen</w:t>
        </w:r>
        <w:r w:rsidR="008B615D">
          <w:rPr>
            <w:noProof/>
            <w:webHidden/>
          </w:rPr>
          <w:tab/>
        </w:r>
        <w:r w:rsidR="008B615D">
          <w:rPr>
            <w:noProof/>
            <w:webHidden/>
          </w:rPr>
          <w:fldChar w:fldCharType="begin"/>
        </w:r>
        <w:r w:rsidR="008B615D">
          <w:rPr>
            <w:noProof/>
            <w:webHidden/>
          </w:rPr>
          <w:instrText xml:space="preserve"> PAGEREF _Toc431375536 \h </w:instrText>
        </w:r>
        <w:r w:rsidR="008B615D">
          <w:rPr>
            <w:noProof/>
            <w:webHidden/>
          </w:rPr>
        </w:r>
        <w:r w:rsidR="008B615D">
          <w:rPr>
            <w:noProof/>
            <w:webHidden/>
          </w:rPr>
          <w:fldChar w:fldCharType="separate"/>
        </w:r>
        <w:r w:rsidR="008B615D">
          <w:rPr>
            <w:noProof/>
            <w:webHidden/>
          </w:rPr>
          <w:t>37</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37" w:history="1">
        <w:r w:rsidR="008B615D" w:rsidRPr="00213E4C">
          <w:rPr>
            <w:rStyle w:val="Hyperlink"/>
            <w:rFonts w:cs="Arial"/>
            <w:noProof/>
          </w:rPr>
          <w:t>Afdeling 1.2. Melding</w:t>
        </w:r>
        <w:r w:rsidR="008B615D">
          <w:rPr>
            <w:noProof/>
            <w:webHidden/>
          </w:rPr>
          <w:tab/>
        </w:r>
        <w:r w:rsidR="008B615D">
          <w:rPr>
            <w:noProof/>
            <w:webHidden/>
          </w:rPr>
          <w:fldChar w:fldCharType="begin"/>
        </w:r>
        <w:r w:rsidR="008B615D">
          <w:rPr>
            <w:noProof/>
            <w:webHidden/>
          </w:rPr>
          <w:instrText xml:space="preserve"> PAGEREF _Toc431375537 \h </w:instrText>
        </w:r>
        <w:r w:rsidR="008B615D">
          <w:rPr>
            <w:noProof/>
            <w:webHidden/>
          </w:rPr>
        </w:r>
        <w:r w:rsidR="008B615D">
          <w:rPr>
            <w:noProof/>
            <w:webHidden/>
          </w:rPr>
          <w:fldChar w:fldCharType="separate"/>
        </w:r>
        <w:r w:rsidR="008B615D">
          <w:rPr>
            <w:noProof/>
            <w:webHidden/>
          </w:rPr>
          <w:t>39</w:t>
        </w:r>
        <w:r w:rsidR="008B615D">
          <w:rPr>
            <w:noProof/>
            <w:webHidden/>
          </w:rPr>
          <w:fldChar w:fldCharType="end"/>
        </w:r>
      </w:hyperlink>
    </w:p>
    <w:p w:rsidR="008B615D" w:rsidRDefault="00C428B8" w:rsidP="00263727">
      <w:pPr>
        <w:pStyle w:val="Inhopg1"/>
        <w:tabs>
          <w:tab w:val="right" w:leader="dot" w:pos="9061"/>
        </w:tabs>
        <w:spacing w:line="240" w:lineRule="auto"/>
        <w:rPr>
          <w:noProof/>
        </w:rPr>
      </w:pPr>
      <w:hyperlink w:anchor="_Toc431375539" w:history="1">
        <w:r w:rsidR="008B615D" w:rsidRPr="00213E4C">
          <w:rPr>
            <w:rStyle w:val="Hyperlink"/>
            <w:rFonts w:cs="Arial"/>
            <w:noProof/>
          </w:rPr>
          <w:t>Hoofdstuk 2. Algemene regels ten aanzien van alle activiteiten</w:t>
        </w:r>
        <w:r w:rsidR="008B615D">
          <w:rPr>
            <w:noProof/>
            <w:webHidden/>
          </w:rPr>
          <w:tab/>
        </w:r>
        <w:r w:rsidR="008B615D">
          <w:rPr>
            <w:noProof/>
            <w:webHidden/>
          </w:rPr>
          <w:fldChar w:fldCharType="begin"/>
        </w:r>
        <w:r w:rsidR="008B615D">
          <w:rPr>
            <w:noProof/>
            <w:webHidden/>
          </w:rPr>
          <w:instrText xml:space="preserve"> PAGEREF _Toc431375539 \h </w:instrText>
        </w:r>
        <w:r w:rsidR="008B615D">
          <w:rPr>
            <w:noProof/>
            <w:webHidden/>
          </w:rPr>
        </w:r>
        <w:r w:rsidR="008B615D">
          <w:rPr>
            <w:noProof/>
            <w:webHidden/>
          </w:rPr>
          <w:fldChar w:fldCharType="separate"/>
        </w:r>
        <w:r w:rsidR="008B615D">
          <w:rPr>
            <w:noProof/>
            <w:webHidden/>
          </w:rPr>
          <w:t>46</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40" w:history="1">
        <w:r w:rsidR="008B615D" w:rsidRPr="00213E4C">
          <w:rPr>
            <w:rStyle w:val="Hyperlink"/>
            <w:rFonts w:cs="Arial"/>
            <w:noProof/>
          </w:rPr>
          <w:t>Afdeling 2.1 Zorgplicht</w:t>
        </w:r>
        <w:r w:rsidR="008B615D">
          <w:rPr>
            <w:noProof/>
            <w:webHidden/>
          </w:rPr>
          <w:tab/>
        </w:r>
        <w:r w:rsidR="008B615D">
          <w:rPr>
            <w:noProof/>
            <w:webHidden/>
          </w:rPr>
          <w:fldChar w:fldCharType="begin"/>
        </w:r>
        <w:r w:rsidR="008B615D">
          <w:rPr>
            <w:noProof/>
            <w:webHidden/>
          </w:rPr>
          <w:instrText xml:space="preserve"> PAGEREF _Toc431375540 \h </w:instrText>
        </w:r>
        <w:r w:rsidR="008B615D">
          <w:rPr>
            <w:noProof/>
            <w:webHidden/>
          </w:rPr>
        </w:r>
        <w:r w:rsidR="008B615D">
          <w:rPr>
            <w:noProof/>
            <w:webHidden/>
          </w:rPr>
          <w:fldChar w:fldCharType="separate"/>
        </w:r>
        <w:r w:rsidR="008B615D">
          <w:rPr>
            <w:noProof/>
            <w:webHidden/>
          </w:rPr>
          <w:t>46</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41" w:history="1">
        <w:r w:rsidR="008B615D" w:rsidRPr="00213E4C">
          <w:rPr>
            <w:rStyle w:val="Hyperlink"/>
            <w:rFonts w:cs="Arial"/>
            <w:noProof/>
          </w:rPr>
          <w:t>Afdeling 2.2. Lozingen</w:t>
        </w:r>
        <w:r w:rsidR="008B615D">
          <w:rPr>
            <w:noProof/>
            <w:webHidden/>
          </w:rPr>
          <w:tab/>
        </w:r>
        <w:r w:rsidR="008B615D">
          <w:rPr>
            <w:noProof/>
            <w:webHidden/>
          </w:rPr>
          <w:fldChar w:fldCharType="begin"/>
        </w:r>
        <w:r w:rsidR="008B615D">
          <w:rPr>
            <w:noProof/>
            <w:webHidden/>
          </w:rPr>
          <w:instrText xml:space="preserve"> PAGEREF _Toc431375541 \h </w:instrText>
        </w:r>
        <w:r w:rsidR="008B615D">
          <w:rPr>
            <w:noProof/>
            <w:webHidden/>
          </w:rPr>
        </w:r>
        <w:r w:rsidR="008B615D">
          <w:rPr>
            <w:noProof/>
            <w:webHidden/>
          </w:rPr>
          <w:fldChar w:fldCharType="separate"/>
        </w:r>
        <w:r w:rsidR="008B615D">
          <w:rPr>
            <w:noProof/>
            <w:webHidden/>
          </w:rPr>
          <w:t>47</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42" w:history="1">
        <w:r w:rsidR="00C22D2D">
          <w:rPr>
            <w:rStyle w:val="Hyperlink"/>
            <w:noProof/>
          </w:rPr>
          <w:t>Afdeling</w:t>
        </w:r>
        <w:r w:rsidR="008B615D" w:rsidRPr="00213E4C">
          <w:rPr>
            <w:rStyle w:val="Hyperlink"/>
            <w:noProof/>
          </w:rPr>
          <w:t xml:space="preserve"> 2.3. </w:t>
        </w:r>
        <w:r w:rsidR="00C22D2D">
          <w:rPr>
            <w:rStyle w:val="Hyperlink"/>
            <w:rFonts w:cs="Arial"/>
            <w:noProof/>
          </w:rPr>
          <w:t>Lucht en geur</w:t>
        </w:r>
        <w:r w:rsidR="008B615D">
          <w:rPr>
            <w:noProof/>
            <w:webHidden/>
          </w:rPr>
          <w:tab/>
        </w:r>
        <w:r w:rsidR="008B615D">
          <w:rPr>
            <w:noProof/>
            <w:webHidden/>
          </w:rPr>
          <w:fldChar w:fldCharType="begin"/>
        </w:r>
        <w:r w:rsidR="008B615D">
          <w:rPr>
            <w:noProof/>
            <w:webHidden/>
          </w:rPr>
          <w:instrText xml:space="preserve"> PAGEREF _Toc431375542 \h </w:instrText>
        </w:r>
        <w:r w:rsidR="008B615D">
          <w:rPr>
            <w:noProof/>
            <w:webHidden/>
          </w:rPr>
        </w:r>
        <w:r w:rsidR="008B615D">
          <w:rPr>
            <w:noProof/>
            <w:webHidden/>
          </w:rPr>
          <w:fldChar w:fldCharType="separate"/>
        </w:r>
        <w:r w:rsidR="008B615D">
          <w:rPr>
            <w:noProof/>
            <w:webHidden/>
          </w:rPr>
          <w:t>49</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43" w:history="1">
        <w:r w:rsidR="008B615D" w:rsidRPr="00213E4C">
          <w:rPr>
            <w:rStyle w:val="Hyperlink"/>
            <w:rFonts w:cs="Arial"/>
            <w:noProof/>
          </w:rPr>
          <w:t>Afdeling 2.4. Bodem</w:t>
        </w:r>
        <w:r w:rsidR="008B615D">
          <w:rPr>
            <w:noProof/>
            <w:webHidden/>
          </w:rPr>
          <w:tab/>
        </w:r>
        <w:r w:rsidR="008B615D">
          <w:rPr>
            <w:noProof/>
            <w:webHidden/>
          </w:rPr>
          <w:fldChar w:fldCharType="begin"/>
        </w:r>
        <w:r w:rsidR="008B615D">
          <w:rPr>
            <w:noProof/>
            <w:webHidden/>
          </w:rPr>
          <w:instrText xml:space="preserve"> PAGEREF _Toc431375543 \h </w:instrText>
        </w:r>
        <w:r w:rsidR="008B615D">
          <w:rPr>
            <w:noProof/>
            <w:webHidden/>
          </w:rPr>
        </w:r>
        <w:r w:rsidR="008B615D">
          <w:rPr>
            <w:noProof/>
            <w:webHidden/>
          </w:rPr>
          <w:fldChar w:fldCharType="separate"/>
        </w:r>
        <w:r w:rsidR="008B615D">
          <w:rPr>
            <w:noProof/>
            <w:webHidden/>
          </w:rPr>
          <w:t>58</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544" w:history="1">
        <w:r w:rsidR="008B615D" w:rsidRPr="00213E4C">
          <w:rPr>
            <w:rStyle w:val="Hyperlink"/>
            <w:noProof/>
          </w:rPr>
          <w:t>§ 2.1.1. Bodembeschermende maatregelen</w:t>
        </w:r>
        <w:r w:rsidR="008B615D">
          <w:rPr>
            <w:noProof/>
            <w:webHidden/>
          </w:rPr>
          <w:tab/>
        </w:r>
        <w:r w:rsidR="008B615D">
          <w:rPr>
            <w:noProof/>
            <w:webHidden/>
          </w:rPr>
          <w:fldChar w:fldCharType="begin"/>
        </w:r>
        <w:r w:rsidR="008B615D">
          <w:rPr>
            <w:noProof/>
            <w:webHidden/>
          </w:rPr>
          <w:instrText xml:space="preserve"> PAGEREF _Toc431375544 \h </w:instrText>
        </w:r>
        <w:r w:rsidR="008B615D">
          <w:rPr>
            <w:noProof/>
            <w:webHidden/>
          </w:rPr>
        </w:r>
        <w:r w:rsidR="008B615D">
          <w:rPr>
            <w:noProof/>
            <w:webHidden/>
          </w:rPr>
          <w:fldChar w:fldCharType="separate"/>
        </w:r>
        <w:r w:rsidR="008B615D">
          <w:rPr>
            <w:noProof/>
            <w:webHidden/>
          </w:rPr>
          <w:t>61</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545" w:history="1">
        <w:r w:rsidR="008B615D" w:rsidRPr="00213E4C">
          <w:rPr>
            <w:rStyle w:val="Hyperlink"/>
            <w:noProof/>
          </w:rPr>
          <w:t>§ 2.1.2. Bodembeschermende voorzieningen</w:t>
        </w:r>
        <w:r w:rsidR="008B615D">
          <w:rPr>
            <w:noProof/>
            <w:webHidden/>
          </w:rPr>
          <w:tab/>
        </w:r>
        <w:r w:rsidR="008B615D">
          <w:rPr>
            <w:noProof/>
            <w:webHidden/>
          </w:rPr>
          <w:fldChar w:fldCharType="begin"/>
        </w:r>
        <w:r w:rsidR="008B615D">
          <w:rPr>
            <w:noProof/>
            <w:webHidden/>
          </w:rPr>
          <w:instrText xml:space="preserve"> PAGEREF _Toc431375545 \h </w:instrText>
        </w:r>
        <w:r w:rsidR="008B615D">
          <w:rPr>
            <w:noProof/>
            <w:webHidden/>
          </w:rPr>
        </w:r>
        <w:r w:rsidR="008B615D">
          <w:rPr>
            <w:noProof/>
            <w:webHidden/>
          </w:rPr>
          <w:fldChar w:fldCharType="separate"/>
        </w:r>
        <w:r w:rsidR="008B615D">
          <w:rPr>
            <w:noProof/>
            <w:webHidden/>
          </w:rPr>
          <w:t>63</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546" w:history="1">
        <w:r w:rsidR="008B615D" w:rsidRPr="00213E4C">
          <w:rPr>
            <w:rStyle w:val="Hyperlink"/>
            <w:noProof/>
          </w:rPr>
          <w:t>§ 2.1.3. Aanvaardbaar bodemrisico</w:t>
        </w:r>
        <w:r w:rsidR="008B615D">
          <w:rPr>
            <w:noProof/>
            <w:webHidden/>
          </w:rPr>
          <w:tab/>
        </w:r>
        <w:r w:rsidR="008B615D">
          <w:rPr>
            <w:noProof/>
            <w:webHidden/>
          </w:rPr>
          <w:fldChar w:fldCharType="begin"/>
        </w:r>
        <w:r w:rsidR="008B615D">
          <w:rPr>
            <w:noProof/>
            <w:webHidden/>
          </w:rPr>
          <w:instrText xml:space="preserve"> PAGEREF _Toc431375546 \h </w:instrText>
        </w:r>
        <w:r w:rsidR="008B615D">
          <w:rPr>
            <w:noProof/>
            <w:webHidden/>
          </w:rPr>
        </w:r>
        <w:r w:rsidR="008B615D">
          <w:rPr>
            <w:noProof/>
            <w:webHidden/>
          </w:rPr>
          <w:fldChar w:fldCharType="separate"/>
        </w:r>
        <w:r w:rsidR="008B615D">
          <w:rPr>
            <w:noProof/>
            <w:webHidden/>
          </w:rPr>
          <w:t>63</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547" w:history="1">
        <w:r w:rsidR="008B615D" w:rsidRPr="00213E4C">
          <w:rPr>
            <w:rStyle w:val="Hyperlink"/>
            <w:noProof/>
          </w:rPr>
          <w:t>§ 2.1.4. Bewaren van documenten</w:t>
        </w:r>
        <w:r w:rsidR="008B615D">
          <w:rPr>
            <w:noProof/>
            <w:webHidden/>
          </w:rPr>
          <w:tab/>
        </w:r>
        <w:r w:rsidR="008B615D">
          <w:rPr>
            <w:noProof/>
            <w:webHidden/>
          </w:rPr>
          <w:fldChar w:fldCharType="begin"/>
        </w:r>
        <w:r w:rsidR="008B615D">
          <w:rPr>
            <w:noProof/>
            <w:webHidden/>
          </w:rPr>
          <w:instrText xml:space="preserve"> PAGEREF _Toc431375547 \h </w:instrText>
        </w:r>
        <w:r w:rsidR="008B615D">
          <w:rPr>
            <w:noProof/>
            <w:webHidden/>
          </w:rPr>
        </w:r>
        <w:r w:rsidR="008B615D">
          <w:rPr>
            <w:noProof/>
            <w:webHidden/>
          </w:rPr>
          <w:fldChar w:fldCharType="separate"/>
        </w:r>
        <w:r w:rsidR="008B615D">
          <w:rPr>
            <w:noProof/>
            <w:webHidden/>
          </w:rPr>
          <w:t>64</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48" w:history="1">
        <w:r w:rsidR="008B615D" w:rsidRPr="00213E4C">
          <w:rPr>
            <w:rStyle w:val="Hyperlink"/>
            <w:rFonts w:cs="Arial"/>
            <w:noProof/>
          </w:rPr>
          <w:t>Afdeling 2.5. Doelmatig beheer van afvalstoffen</w:t>
        </w:r>
        <w:r w:rsidR="008B615D">
          <w:rPr>
            <w:noProof/>
            <w:webHidden/>
          </w:rPr>
          <w:tab/>
        </w:r>
        <w:r w:rsidR="008B615D">
          <w:rPr>
            <w:noProof/>
            <w:webHidden/>
          </w:rPr>
          <w:fldChar w:fldCharType="begin"/>
        </w:r>
        <w:r w:rsidR="008B615D">
          <w:rPr>
            <w:noProof/>
            <w:webHidden/>
          </w:rPr>
          <w:instrText xml:space="preserve"> PAGEREF _Toc431375548 \h </w:instrText>
        </w:r>
        <w:r w:rsidR="008B615D">
          <w:rPr>
            <w:noProof/>
            <w:webHidden/>
          </w:rPr>
        </w:r>
        <w:r w:rsidR="008B615D">
          <w:rPr>
            <w:noProof/>
            <w:webHidden/>
          </w:rPr>
          <w:fldChar w:fldCharType="separate"/>
        </w:r>
        <w:r w:rsidR="008B615D">
          <w:rPr>
            <w:noProof/>
            <w:webHidden/>
          </w:rPr>
          <w:t>64</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49" w:history="1">
        <w:r w:rsidR="008B615D" w:rsidRPr="00213E4C">
          <w:rPr>
            <w:rStyle w:val="Hyperlink"/>
            <w:rFonts w:cs="Arial"/>
            <w:noProof/>
          </w:rPr>
          <w:t>Afdeling 2.6. Energiebesparing</w:t>
        </w:r>
        <w:r w:rsidR="008B615D">
          <w:rPr>
            <w:noProof/>
            <w:webHidden/>
          </w:rPr>
          <w:tab/>
        </w:r>
        <w:r w:rsidR="008B615D">
          <w:rPr>
            <w:noProof/>
            <w:webHidden/>
          </w:rPr>
          <w:fldChar w:fldCharType="begin"/>
        </w:r>
        <w:r w:rsidR="008B615D">
          <w:rPr>
            <w:noProof/>
            <w:webHidden/>
          </w:rPr>
          <w:instrText xml:space="preserve"> PAGEREF _Toc431375549 \h </w:instrText>
        </w:r>
        <w:r w:rsidR="008B615D">
          <w:rPr>
            <w:noProof/>
            <w:webHidden/>
          </w:rPr>
        </w:r>
        <w:r w:rsidR="008B615D">
          <w:rPr>
            <w:noProof/>
            <w:webHidden/>
          </w:rPr>
          <w:fldChar w:fldCharType="separate"/>
        </w:r>
        <w:r w:rsidR="008B615D">
          <w:rPr>
            <w:noProof/>
            <w:webHidden/>
          </w:rPr>
          <w:t>66</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50" w:history="1">
        <w:r w:rsidR="008B615D" w:rsidRPr="00213E4C">
          <w:rPr>
            <w:rStyle w:val="Hyperlink"/>
            <w:rFonts w:cs="Arial"/>
            <w:noProof/>
          </w:rPr>
          <w:t>Afdeling 2.7. Verkeer en vervoer</w:t>
        </w:r>
        <w:r w:rsidR="008B615D">
          <w:rPr>
            <w:noProof/>
            <w:webHidden/>
          </w:rPr>
          <w:tab/>
        </w:r>
        <w:r w:rsidR="008B615D">
          <w:rPr>
            <w:noProof/>
            <w:webHidden/>
          </w:rPr>
          <w:fldChar w:fldCharType="begin"/>
        </w:r>
        <w:r w:rsidR="008B615D">
          <w:rPr>
            <w:noProof/>
            <w:webHidden/>
          </w:rPr>
          <w:instrText xml:space="preserve"> PAGEREF _Toc431375550 \h </w:instrText>
        </w:r>
        <w:r w:rsidR="008B615D">
          <w:rPr>
            <w:noProof/>
            <w:webHidden/>
          </w:rPr>
        </w:r>
        <w:r w:rsidR="008B615D">
          <w:rPr>
            <w:noProof/>
            <w:webHidden/>
          </w:rPr>
          <w:fldChar w:fldCharType="separate"/>
        </w:r>
        <w:r w:rsidR="008B615D">
          <w:rPr>
            <w:noProof/>
            <w:webHidden/>
          </w:rPr>
          <w:t>67</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52" w:history="1">
        <w:r w:rsidR="008B615D" w:rsidRPr="00213E4C">
          <w:rPr>
            <w:rStyle w:val="Hyperlink"/>
            <w:rFonts w:cs="Arial"/>
            <w:noProof/>
          </w:rPr>
          <w:t>Afdeling 2.8. Geluidhinder</w:t>
        </w:r>
        <w:r w:rsidR="008B615D">
          <w:rPr>
            <w:noProof/>
            <w:webHidden/>
          </w:rPr>
          <w:tab/>
        </w:r>
        <w:r w:rsidR="008B615D">
          <w:rPr>
            <w:noProof/>
            <w:webHidden/>
          </w:rPr>
          <w:fldChar w:fldCharType="begin"/>
        </w:r>
        <w:r w:rsidR="008B615D">
          <w:rPr>
            <w:noProof/>
            <w:webHidden/>
          </w:rPr>
          <w:instrText xml:space="preserve"> PAGEREF _Toc431375552 \h </w:instrText>
        </w:r>
        <w:r w:rsidR="008B615D">
          <w:rPr>
            <w:noProof/>
            <w:webHidden/>
          </w:rPr>
        </w:r>
        <w:r w:rsidR="008B615D">
          <w:rPr>
            <w:noProof/>
            <w:webHidden/>
          </w:rPr>
          <w:fldChar w:fldCharType="separate"/>
        </w:r>
        <w:r w:rsidR="008B615D">
          <w:rPr>
            <w:noProof/>
            <w:webHidden/>
          </w:rPr>
          <w:t>68</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53" w:history="1">
        <w:r w:rsidR="008B615D" w:rsidRPr="00213E4C">
          <w:rPr>
            <w:rStyle w:val="Hyperlink"/>
            <w:rFonts w:cs="Arial"/>
            <w:noProof/>
          </w:rPr>
          <w:t>Afdeling 2.9. Trillinghinder</w:t>
        </w:r>
        <w:r w:rsidR="008B615D">
          <w:rPr>
            <w:noProof/>
            <w:webHidden/>
          </w:rPr>
          <w:tab/>
        </w:r>
        <w:r w:rsidR="008B615D">
          <w:rPr>
            <w:noProof/>
            <w:webHidden/>
          </w:rPr>
          <w:fldChar w:fldCharType="begin"/>
        </w:r>
        <w:r w:rsidR="008B615D">
          <w:rPr>
            <w:noProof/>
            <w:webHidden/>
          </w:rPr>
          <w:instrText xml:space="preserve"> PAGEREF _Toc431375553 \h </w:instrText>
        </w:r>
        <w:r w:rsidR="008B615D">
          <w:rPr>
            <w:noProof/>
            <w:webHidden/>
          </w:rPr>
        </w:r>
        <w:r w:rsidR="008B615D">
          <w:rPr>
            <w:noProof/>
            <w:webHidden/>
          </w:rPr>
          <w:fldChar w:fldCharType="separate"/>
        </w:r>
        <w:r w:rsidR="008B615D">
          <w:rPr>
            <w:noProof/>
            <w:webHidden/>
          </w:rPr>
          <w:t>77</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54" w:history="1">
        <w:r w:rsidR="008B615D" w:rsidRPr="00213E4C">
          <w:rPr>
            <w:rStyle w:val="Hyperlink"/>
            <w:rFonts w:cs="Arial"/>
            <w:noProof/>
          </w:rPr>
          <w:t>Afdeling 2.10. Financiële zekerheid</w:t>
        </w:r>
        <w:r w:rsidR="008B615D">
          <w:rPr>
            <w:noProof/>
            <w:webHidden/>
          </w:rPr>
          <w:tab/>
        </w:r>
        <w:r w:rsidR="008B615D">
          <w:rPr>
            <w:noProof/>
            <w:webHidden/>
          </w:rPr>
          <w:fldChar w:fldCharType="begin"/>
        </w:r>
        <w:r w:rsidR="008B615D">
          <w:rPr>
            <w:noProof/>
            <w:webHidden/>
          </w:rPr>
          <w:instrText xml:space="preserve"> PAGEREF _Toc431375554 \h </w:instrText>
        </w:r>
        <w:r w:rsidR="008B615D">
          <w:rPr>
            <w:noProof/>
            <w:webHidden/>
          </w:rPr>
        </w:r>
        <w:r w:rsidR="008B615D">
          <w:rPr>
            <w:noProof/>
            <w:webHidden/>
          </w:rPr>
          <w:fldChar w:fldCharType="separate"/>
        </w:r>
        <w:r w:rsidR="008B615D">
          <w:rPr>
            <w:noProof/>
            <w:webHidden/>
          </w:rPr>
          <w:t>77</w:t>
        </w:r>
        <w:r w:rsidR="008B615D">
          <w:rPr>
            <w:noProof/>
            <w:webHidden/>
          </w:rPr>
          <w:fldChar w:fldCharType="end"/>
        </w:r>
      </w:hyperlink>
    </w:p>
    <w:p w:rsidR="008B615D" w:rsidRDefault="00C428B8" w:rsidP="00263727">
      <w:pPr>
        <w:pStyle w:val="Inhopg2"/>
        <w:tabs>
          <w:tab w:val="left" w:pos="1760"/>
          <w:tab w:val="right" w:leader="dot" w:pos="9061"/>
        </w:tabs>
        <w:spacing w:line="240" w:lineRule="auto"/>
        <w:rPr>
          <w:noProof/>
        </w:rPr>
      </w:pPr>
      <w:hyperlink w:anchor="_Toc431375555" w:history="1">
        <w:r w:rsidR="008B615D" w:rsidRPr="00213E4C">
          <w:rPr>
            <w:rStyle w:val="Hyperlink"/>
            <w:rFonts w:cs="Arial"/>
            <w:noProof/>
          </w:rPr>
          <w:t>Afdeling 2.11.</w:t>
        </w:r>
        <w:r w:rsidR="008B615D">
          <w:rPr>
            <w:noProof/>
          </w:rPr>
          <w:tab/>
        </w:r>
        <w:r w:rsidR="008B615D" w:rsidRPr="00213E4C">
          <w:rPr>
            <w:rStyle w:val="Hyperlink"/>
            <w:rFonts w:cs="Arial"/>
            <w:noProof/>
          </w:rPr>
          <w:t>Oplosmiddelen</w:t>
        </w:r>
        <w:r w:rsidR="008B615D">
          <w:rPr>
            <w:noProof/>
            <w:webHidden/>
          </w:rPr>
          <w:tab/>
        </w:r>
        <w:r w:rsidR="008B615D">
          <w:rPr>
            <w:noProof/>
            <w:webHidden/>
          </w:rPr>
          <w:fldChar w:fldCharType="begin"/>
        </w:r>
        <w:r w:rsidR="008B615D">
          <w:rPr>
            <w:noProof/>
            <w:webHidden/>
          </w:rPr>
          <w:instrText xml:space="preserve"> PAGEREF _Toc431375555 \h </w:instrText>
        </w:r>
        <w:r w:rsidR="008B615D">
          <w:rPr>
            <w:noProof/>
            <w:webHidden/>
          </w:rPr>
        </w:r>
        <w:r w:rsidR="008B615D">
          <w:rPr>
            <w:noProof/>
            <w:webHidden/>
          </w:rPr>
          <w:fldChar w:fldCharType="separate"/>
        </w:r>
        <w:r w:rsidR="008B615D">
          <w:rPr>
            <w:noProof/>
            <w:webHidden/>
          </w:rPr>
          <w:t>78</w:t>
        </w:r>
        <w:r w:rsidR="008B615D">
          <w:rPr>
            <w:noProof/>
            <w:webHidden/>
          </w:rPr>
          <w:fldChar w:fldCharType="end"/>
        </w:r>
      </w:hyperlink>
    </w:p>
    <w:p w:rsidR="008B615D" w:rsidRDefault="00C428B8" w:rsidP="00263727">
      <w:pPr>
        <w:pStyle w:val="Inhopg1"/>
        <w:tabs>
          <w:tab w:val="right" w:leader="dot" w:pos="9061"/>
        </w:tabs>
        <w:spacing w:line="240" w:lineRule="auto"/>
        <w:rPr>
          <w:noProof/>
        </w:rPr>
      </w:pPr>
      <w:hyperlink w:anchor="_Toc431375556" w:history="1">
        <w:r w:rsidR="008B615D" w:rsidRPr="00213E4C">
          <w:rPr>
            <w:rStyle w:val="Hyperlink"/>
            <w:rFonts w:cs="Arial"/>
            <w:noProof/>
          </w:rPr>
          <w:t>Hoofdstuk 3. Bepalingen met betrekking tot activiteiten, tevens geldend voor inrichtingen type C</w:t>
        </w:r>
        <w:r w:rsidR="008B615D">
          <w:rPr>
            <w:noProof/>
            <w:webHidden/>
          </w:rPr>
          <w:tab/>
        </w:r>
        <w:r w:rsidR="008B615D">
          <w:rPr>
            <w:noProof/>
            <w:webHidden/>
          </w:rPr>
          <w:fldChar w:fldCharType="begin"/>
        </w:r>
        <w:r w:rsidR="008B615D">
          <w:rPr>
            <w:noProof/>
            <w:webHidden/>
          </w:rPr>
          <w:instrText xml:space="preserve"> PAGEREF _Toc431375556 \h </w:instrText>
        </w:r>
        <w:r w:rsidR="008B615D">
          <w:rPr>
            <w:noProof/>
            <w:webHidden/>
          </w:rPr>
        </w:r>
        <w:r w:rsidR="008B615D">
          <w:rPr>
            <w:noProof/>
            <w:webHidden/>
          </w:rPr>
          <w:fldChar w:fldCharType="separate"/>
        </w:r>
        <w:r w:rsidR="008B615D">
          <w:rPr>
            <w:noProof/>
            <w:webHidden/>
          </w:rPr>
          <w:t>91</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57" w:history="1">
        <w:r w:rsidR="008B615D" w:rsidRPr="00213E4C">
          <w:rPr>
            <w:rStyle w:val="Hyperlink"/>
            <w:noProof/>
          </w:rPr>
          <w:t>Afdeling 3.0. Reikwijdte hoofdstuk 3</w:t>
        </w:r>
        <w:r w:rsidR="008B615D">
          <w:rPr>
            <w:noProof/>
            <w:webHidden/>
          </w:rPr>
          <w:tab/>
        </w:r>
        <w:r w:rsidR="008B615D">
          <w:rPr>
            <w:noProof/>
            <w:webHidden/>
          </w:rPr>
          <w:fldChar w:fldCharType="begin"/>
        </w:r>
        <w:r w:rsidR="008B615D">
          <w:rPr>
            <w:noProof/>
            <w:webHidden/>
          </w:rPr>
          <w:instrText xml:space="preserve"> PAGEREF _Toc431375557 \h </w:instrText>
        </w:r>
        <w:r w:rsidR="008B615D">
          <w:rPr>
            <w:noProof/>
            <w:webHidden/>
          </w:rPr>
        </w:r>
        <w:r w:rsidR="008B615D">
          <w:rPr>
            <w:noProof/>
            <w:webHidden/>
          </w:rPr>
          <w:fldChar w:fldCharType="separate"/>
        </w:r>
        <w:r w:rsidR="008B615D">
          <w:rPr>
            <w:noProof/>
            <w:webHidden/>
          </w:rPr>
          <w:t>91</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58" w:history="1">
        <w:r w:rsidR="008B615D" w:rsidRPr="00213E4C">
          <w:rPr>
            <w:rStyle w:val="Hyperlink"/>
            <w:rFonts w:cs="Arial"/>
            <w:noProof/>
          </w:rPr>
          <w:t>Afdeling 3.1. Afvalwaterbeheer</w:t>
        </w:r>
        <w:r w:rsidR="008B615D">
          <w:rPr>
            <w:noProof/>
            <w:webHidden/>
          </w:rPr>
          <w:tab/>
        </w:r>
        <w:r w:rsidR="008B615D">
          <w:rPr>
            <w:noProof/>
            <w:webHidden/>
          </w:rPr>
          <w:fldChar w:fldCharType="begin"/>
        </w:r>
        <w:r w:rsidR="008B615D">
          <w:rPr>
            <w:noProof/>
            <w:webHidden/>
          </w:rPr>
          <w:instrText xml:space="preserve"> PAGEREF _Toc431375558 \h </w:instrText>
        </w:r>
        <w:r w:rsidR="008B615D">
          <w:rPr>
            <w:noProof/>
            <w:webHidden/>
          </w:rPr>
        </w:r>
        <w:r w:rsidR="008B615D">
          <w:rPr>
            <w:noProof/>
            <w:webHidden/>
          </w:rPr>
          <w:fldChar w:fldCharType="separate"/>
        </w:r>
        <w:r w:rsidR="008B615D">
          <w:rPr>
            <w:noProof/>
            <w:webHidden/>
          </w:rPr>
          <w:t>91</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59" w:history="1">
        <w:r w:rsidR="008B615D" w:rsidRPr="00213E4C">
          <w:rPr>
            <w:rStyle w:val="Hyperlink"/>
            <w:rFonts w:cs="Arial"/>
            <w:noProof/>
          </w:rPr>
          <w:t>§ 3.1.1</w:t>
        </w:r>
        <w:r w:rsidR="008B615D">
          <w:rPr>
            <w:noProof/>
          </w:rPr>
          <w:tab/>
        </w:r>
        <w:r w:rsidR="008B615D" w:rsidRPr="00213E4C">
          <w:rPr>
            <w:rStyle w:val="Hyperlink"/>
            <w:rFonts w:cs="Arial"/>
            <w:noProof/>
          </w:rPr>
          <w:t>Bodemsanering en proefbronnering</w:t>
        </w:r>
        <w:r w:rsidR="008B615D">
          <w:rPr>
            <w:noProof/>
            <w:webHidden/>
          </w:rPr>
          <w:tab/>
        </w:r>
        <w:r w:rsidR="008B615D">
          <w:rPr>
            <w:noProof/>
            <w:webHidden/>
          </w:rPr>
          <w:fldChar w:fldCharType="begin"/>
        </w:r>
        <w:r w:rsidR="008B615D">
          <w:rPr>
            <w:noProof/>
            <w:webHidden/>
          </w:rPr>
          <w:instrText xml:space="preserve"> PAGEREF _Toc431375559 \h </w:instrText>
        </w:r>
        <w:r w:rsidR="008B615D">
          <w:rPr>
            <w:noProof/>
            <w:webHidden/>
          </w:rPr>
        </w:r>
        <w:r w:rsidR="008B615D">
          <w:rPr>
            <w:noProof/>
            <w:webHidden/>
          </w:rPr>
          <w:fldChar w:fldCharType="separate"/>
        </w:r>
        <w:r w:rsidR="008B615D">
          <w:rPr>
            <w:noProof/>
            <w:webHidden/>
          </w:rPr>
          <w:t>91</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60" w:history="1">
        <w:r w:rsidR="008B615D" w:rsidRPr="00213E4C">
          <w:rPr>
            <w:rStyle w:val="Hyperlink"/>
            <w:rFonts w:cs="Arial"/>
            <w:noProof/>
          </w:rPr>
          <w:t>§ 3.1.2</w:t>
        </w:r>
        <w:r w:rsidR="008B615D">
          <w:rPr>
            <w:noProof/>
          </w:rPr>
          <w:tab/>
        </w:r>
        <w:r w:rsidR="008B615D" w:rsidRPr="00213E4C">
          <w:rPr>
            <w:rStyle w:val="Hyperlink"/>
            <w:rFonts w:cs="Arial"/>
            <w:noProof/>
          </w:rPr>
          <w:t>Lozen van grondwater bij ontwatering</w:t>
        </w:r>
        <w:r w:rsidR="008B615D">
          <w:rPr>
            <w:noProof/>
            <w:webHidden/>
          </w:rPr>
          <w:tab/>
        </w:r>
        <w:r w:rsidR="008B615D">
          <w:rPr>
            <w:noProof/>
            <w:webHidden/>
          </w:rPr>
          <w:fldChar w:fldCharType="begin"/>
        </w:r>
        <w:r w:rsidR="008B615D">
          <w:rPr>
            <w:noProof/>
            <w:webHidden/>
          </w:rPr>
          <w:instrText xml:space="preserve"> PAGEREF _Toc431375560 \h </w:instrText>
        </w:r>
        <w:r w:rsidR="008B615D">
          <w:rPr>
            <w:noProof/>
            <w:webHidden/>
          </w:rPr>
        </w:r>
        <w:r w:rsidR="008B615D">
          <w:rPr>
            <w:noProof/>
            <w:webHidden/>
          </w:rPr>
          <w:fldChar w:fldCharType="separate"/>
        </w:r>
        <w:r w:rsidR="008B615D">
          <w:rPr>
            <w:noProof/>
            <w:webHidden/>
          </w:rPr>
          <w:t>93</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61" w:history="1">
        <w:r w:rsidR="008B615D" w:rsidRPr="00213E4C">
          <w:rPr>
            <w:rStyle w:val="Hyperlink"/>
            <w:rFonts w:cs="Arial"/>
            <w:noProof/>
          </w:rPr>
          <w:t>§ 3.1.3</w:t>
        </w:r>
        <w:r w:rsidR="008B615D">
          <w:rPr>
            <w:noProof/>
          </w:rPr>
          <w:tab/>
        </w:r>
        <w:r w:rsidR="008B615D" w:rsidRPr="00213E4C">
          <w:rPr>
            <w:rStyle w:val="Hyperlink"/>
            <w:rFonts w:cs="Arial"/>
            <w:noProof/>
          </w:rPr>
          <w:t>Lozen van hemelwater, dat niet afkomstig is van een bodembeschermende voorziening</w:t>
        </w:r>
        <w:r w:rsidR="008B615D">
          <w:rPr>
            <w:noProof/>
            <w:webHidden/>
          </w:rPr>
          <w:tab/>
        </w:r>
        <w:r w:rsidR="008B615D">
          <w:rPr>
            <w:noProof/>
            <w:webHidden/>
          </w:rPr>
          <w:fldChar w:fldCharType="begin"/>
        </w:r>
        <w:r w:rsidR="008B615D">
          <w:rPr>
            <w:noProof/>
            <w:webHidden/>
          </w:rPr>
          <w:instrText xml:space="preserve"> PAGEREF _Toc431375561 \h </w:instrText>
        </w:r>
        <w:r w:rsidR="008B615D">
          <w:rPr>
            <w:noProof/>
            <w:webHidden/>
          </w:rPr>
        </w:r>
        <w:r w:rsidR="008B615D">
          <w:rPr>
            <w:noProof/>
            <w:webHidden/>
          </w:rPr>
          <w:fldChar w:fldCharType="separate"/>
        </w:r>
        <w:r w:rsidR="008B615D">
          <w:rPr>
            <w:noProof/>
            <w:webHidden/>
          </w:rPr>
          <w:t>94</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62" w:history="1">
        <w:r w:rsidR="008B615D" w:rsidRPr="00213E4C">
          <w:rPr>
            <w:rStyle w:val="Hyperlink"/>
            <w:rFonts w:cs="Arial"/>
            <w:noProof/>
          </w:rPr>
          <w:t>§ 3.1.4</w:t>
        </w:r>
        <w:r w:rsidR="008B615D">
          <w:rPr>
            <w:noProof/>
          </w:rPr>
          <w:tab/>
        </w:r>
        <w:r w:rsidR="008B615D" w:rsidRPr="00213E4C">
          <w:rPr>
            <w:rStyle w:val="Hyperlink"/>
            <w:rFonts w:cs="Arial"/>
            <w:noProof/>
          </w:rPr>
          <w:t>Behandelen van huishoudelijk afvalwater op locatie</w:t>
        </w:r>
        <w:r w:rsidR="008B615D">
          <w:rPr>
            <w:noProof/>
            <w:webHidden/>
          </w:rPr>
          <w:tab/>
        </w:r>
        <w:r w:rsidR="008B615D">
          <w:rPr>
            <w:noProof/>
            <w:webHidden/>
          </w:rPr>
          <w:fldChar w:fldCharType="begin"/>
        </w:r>
        <w:r w:rsidR="008B615D">
          <w:rPr>
            <w:noProof/>
            <w:webHidden/>
          </w:rPr>
          <w:instrText xml:space="preserve"> PAGEREF _Toc431375562 \h </w:instrText>
        </w:r>
        <w:r w:rsidR="008B615D">
          <w:rPr>
            <w:noProof/>
            <w:webHidden/>
          </w:rPr>
        </w:r>
        <w:r w:rsidR="008B615D">
          <w:rPr>
            <w:noProof/>
            <w:webHidden/>
          </w:rPr>
          <w:fldChar w:fldCharType="separate"/>
        </w:r>
        <w:r w:rsidR="008B615D">
          <w:rPr>
            <w:noProof/>
            <w:webHidden/>
          </w:rPr>
          <w:t>95</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563" w:history="1">
        <w:r w:rsidR="008B615D" w:rsidRPr="00213E4C">
          <w:rPr>
            <w:rStyle w:val="Hyperlink"/>
            <w:rFonts w:cs="Arial"/>
            <w:noProof/>
          </w:rPr>
          <w:t>§ 3.1.4a Behandeling van stedelijk afvalwater</w:t>
        </w:r>
        <w:r w:rsidR="008B615D">
          <w:rPr>
            <w:noProof/>
            <w:webHidden/>
          </w:rPr>
          <w:tab/>
        </w:r>
        <w:r w:rsidR="008B615D">
          <w:rPr>
            <w:noProof/>
            <w:webHidden/>
          </w:rPr>
          <w:fldChar w:fldCharType="begin"/>
        </w:r>
        <w:r w:rsidR="008B615D">
          <w:rPr>
            <w:noProof/>
            <w:webHidden/>
          </w:rPr>
          <w:instrText xml:space="preserve"> PAGEREF _Toc431375563 \h </w:instrText>
        </w:r>
        <w:r w:rsidR="008B615D">
          <w:rPr>
            <w:noProof/>
            <w:webHidden/>
          </w:rPr>
        </w:r>
        <w:r w:rsidR="008B615D">
          <w:rPr>
            <w:noProof/>
            <w:webHidden/>
          </w:rPr>
          <w:fldChar w:fldCharType="separate"/>
        </w:r>
        <w:r w:rsidR="008B615D">
          <w:rPr>
            <w:noProof/>
            <w:webHidden/>
          </w:rPr>
          <w:t>98</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64" w:history="1">
        <w:r w:rsidR="008B615D" w:rsidRPr="00213E4C">
          <w:rPr>
            <w:rStyle w:val="Hyperlink"/>
            <w:rFonts w:cs="Arial"/>
            <w:noProof/>
          </w:rPr>
          <w:t>§ 3.1.5</w:t>
        </w:r>
        <w:r w:rsidR="008B615D">
          <w:rPr>
            <w:noProof/>
          </w:rPr>
          <w:tab/>
        </w:r>
        <w:r w:rsidR="008B615D" w:rsidRPr="00213E4C">
          <w:rPr>
            <w:rStyle w:val="Hyperlink"/>
            <w:rFonts w:cs="Arial"/>
            <w:noProof/>
          </w:rPr>
          <w:t>Lozen van koelwater</w:t>
        </w:r>
        <w:r w:rsidR="008B615D">
          <w:rPr>
            <w:noProof/>
            <w:webHidden/>
          </w:rPr>
          <w:tab/>
        </w:r>
        <w:r w:rsidR="008B615D">
          <w:rPr>
            <w:noProof/>
            <w:webHidden/>
          </w:rPr>
          <w:fldChar w:fldCharType="begin"/>
        </w:r>
        <w:r w:rsidR="008B615D">
          <w:rPr>
            <w:noProof/>
            <w:webHidden/>
          </w:rPr>
          <w:instrText xml:space="preserve"> PAGEREF _Toc431375564 \h </w:instrText>
        </w:r>
        <w:r w:rsidR="008B615D">
          <w:rPr>
            <w:noProof/>
            <w:webHidden/>
          </w:rPr>
        </w:r>
        <w:r w:rsidR="008B615D">
          <w:rPr>
            <w:noProof/>
            <w:webHidden/>
          </w:rPr>
          <w:fldChar w:fldCharType="separate"/>
        </w:r>
        <w:r w:rsidR="008B615D">
          <w:rPr>
            <w:noProof/>
            <w:webHidden/>
          </w:rPr>
          <w:t>105</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565" w:history="1">
        <w:r w:rsidR="008B615D" w:rsidRPr="00213E4C">
          <w:rPr>
            <w:rStyle w:val="Hyperlink"/>
            <w:rFonts w:cs="Arial"/>
            <w:noProof/>
          </w:rPr>
          <w:t>§ 3.1.6 Lozen ten gevolge van werkzaamheden aan vaste objecten</w:t>
        </w:r>
        <w:r w:rsidR="008B615D">
          <w:rPr>
            <w:noProof/>
            <w:webHidden/>
          </w:rPr>
          <w:tab/>
        </w:r>
        <w:r w:rsidR="008B615D">
          <w:rPr>
            <w:noProof/>
            <w:webHidden/>
          </w:rPr>
          <w:fldChar w:fldCharType="begin"/>
        </w:r>
        <w:r w:rsidR="008B615D">
          <w:rPr>
            <w:noProof/>
            <w:webHidden/>
          </w:rPr>
          <w:instrText xml:space="preserve"> PAGEREF _Toc431375565 \h </w:instrText>
        </w:r>
        <w:r w:rsidR="008B615D">
          <w:rPr>
            <w:noProof/>
            <w:webHidden/>
          </w:rPr>
        </w:r>
        <w:r w:rsidR="008B615D">
          <w:rPr>
            <w:noProof/>
            <w:webHidden/>
          </w:rPr>
          <w:fldChar w:fldCharType="separate"/>
        </w:r>
        <w:r w:rsidR="008B615D">
          <w:rPr>
            <w:noProof/>
            <w:webHidden/>
          </w:rPr>
          <w:t>106</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67" w:history="1">
        <w:r w:rsidR="008B615D" w:rsidRPr="00213E4C">
          <w:rPr>
            <w:rStyle w:val="Hyperlink"/>
            <w:rFonts w:cs="Arial"/>
            <w:bCs/>
            <w:noProof/>
          </w:rPr>
          <w:t>§ 3.1.7.</w:t>
        </w:r>
        <w:r w:rsidR="008B615D">
          <w:rPr>
            <w:noProof/>
          </w:rPr>
          <w:tab/>
        </w:r>
        <w:r w:rsidR="008B615D" w:rsidRPr="00213E4C">
          <w:rPr>
            <w:rStyle w:val="Hyperlink"/>
            <w:rFonts w:cs="Arial"/>
            <w:bCs/>
            <w:noProof/>
          </w:rPr>
          <w:t xml:space="preserve">Handelingen in </w:t>
        </w:r>
        <w:r w:rsidR="008B615D" w:rsidRPr="00213E4C">
          <w:rPr>
            <w:rStyle w:val="Hyperlink"/>
            <w:rFonts w:cs="Arial"/>
            <w:noProof/>
          </w:rPr>
          <w:t>een</w:t>
        </w:r>
        <w:r w:rsidR="008B615D" w:rsidRPr="00213E4C">
          <w:rPr>
            <w:rStyle w:val="Hyperlink"/>
            <w:rFonts w:cs="Arial"/>
            <w:bCs/>
            <w:noProof/>
          </w:rPr>
          <w:t xml:space="preserve"> oppervlaktewaterlichaam</w:t>
        </w:r>
        <w:r w:rsidR="008B615D">
          <w:rPr>
            <w:noProof/>
            <w:webHidden/>
          </w:rPr>
          <w:tab/>
        </w:r>
        <w:r w:rsidR="008B615D">
          <w:rPr>
            <w:noProof/>
            <w:webHidden/>
          </w:rPr>
          <w:fldChar w:fldCharType="begin"/>
        </w:r>
        <w:r w:rsidR="008B615D">
          <w:rPr>
            <w:noProof/>
            <w:webHidden/>
          </w:rPr>
          <w:instrText xml:space="preserve"> PAGEREF _Toc431375567 \h </w:instrText>
        </w:r>
        <w:r w:rsidR="008B615D">
          <w:rPr>
            <w:noProof/>
            <w:webHidden/>
          </w:rPr>
        </w:r>
        <w:r w:rsidR="008B615D">
          <w:rPr>
            <w:noProof/>
            <w:webHidden/>
          </w:rPr>
          <w:fldChar w:fldCharType="separate"/>
        </w:r>
        <w:r w:rsidR="008B615D">
          <w:rPr>
            <w:noProof/>
            <w:webHidden/>
          </w:rPr>
          <w:t>115</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68" w:history="1">
        <w:r w:rsidR="008B615D" w:rsidRPr="00213E4C">
          <w:rPr>
            <w:rStyle w:val="Hyperlink"/>
            <w:rFonts w:cs="Arial"/>
            <w:bCs/>
            <w:noProof/>
          </w:rPr>
          <w:t>§ 3.1.8.</w:t>
        </w:r>
        <w:r w:rsidR="008B615D">
          <w:rPr>
            <w:noProof/>
          </w:rPr>
          <w:tab/>
        </w:r>
        <w:r w:rsidR="008B615D" w:rsidRPr="00213E4C">
          <w:rPr>
            <w:rStyle w:val="Hyperlink"/>
            <w:rFonts w:cs="Arial"/>
            <w:bCs/>
            <w:noProof/>
          </w:rPr>
          <w:t xml:space="preserve">Lozen ten gevolge </w:t>
        </w:r>
        <w:r w:rsidR="008B615D" w:rsidRPr="00213E4C">
          <w:rPr>
            <w:rStyle w:val="Hyperlink"/>
            <w:rFonts w:cs="Arial"/>
            <w:noProof/>
          </w:rPr>
          <w:t>van</w:t>
        </w:r>
        <w:r w:rsidR="008B615D" w:rsidRPr="00213E4C">
          <w:rPr>
            <w:rStyle w:val="Hyperlink"/>
            <w:rFonts w:cs="Arial"/>
            <w:bCs/>
            <w:noProof/>
          </w:rPr>
          <w:t xml:space="preserve"> schoonmaken drinkwaterleidingen</w:t>
        </w:r>
        <w:r w:rsidR="008B615D">
          <w:rPr>
            <w:noProof/>
            <w:webHidden/>
          </w:rPr>
          <w:tab/>
        </w:r>
        <w:r w:rsidR="008B615D">
          <w:rPr>
            <w:noProof/>
            <w:webHidden/>
          </w:rPr>
          <w:fldChar w:fldCharType="begin"/>
        </w:r>
        <w:r w:rsidR="008B615D">
          <w:rPr>
            <w:noProof/>
            <w:webHidden/>
          </w:rPr>
          <w:instrText xml:space="preserve"> PAGEREF _Toc431375568 \h </w:instrText>
        </w:r>
        <w:r w:rsidR="008B615D">
          <w:rPr>
            <w:noProof/>
            <w:webHidden/>
          </w:rPr>
        </w:r>
        <w:r w:rsidR="008B615D">
          <w:rPr>
            <w:noProof/>
            <w:webHidden/>
          </w:rPr>
          <w:fldChar w:fldCharType="separate"/>
        </w:r>
        <w:r w:rsidR="008B615D">
          <w:rPr>
            <w:noProof/>
            <w:webHidden/>
          </w:rPr>
          <w:t>115</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69" w:history="1">
        <w:r w:rsidR="008B615D" w:rsidRPr="00213E4C">
          <w:rPr>
            <w:rStyle w:val="Hyperlink"/>
            <w:rFonts w:cs="Arial"/>
            <w:bCs/>
            <w:noProof/>
          </w:rPr>
          <w:t>§ 3.1.9.</w:t>
        </w:r>
        <w:r w:rsidR="008B615D">
          <w:rPr>
            <w:noProof/>
          </w:rPr>
          <w:tab/>
        </w:r>
        <w:r w:rsidR="008B615D" w:rsidRPr="00213E4C">
          <w:rPr>
            <w:rStyle w:val="Hyperlink"/>
            <w:rFonts w:cs="Arial"/>
            <w:bCs/>
            <w:noProof/>
          </w:rPr>
          <w:t xml:space="preserve">Lozen van afvalwater ten </w:t>
        </w:r>
        <w:r w:rsidR="008B615D" w:rsidRPr="00213E4C">
          <w:rPr>
            <w:rStyle w:val="Hyperlink"/>
            <w:rFonts w:cs="Arial"/>
            <w:noProof/>
          </w:rPr>
          <w:t>gevolge</w:t>
        </w:r>
        <w:r w:rsidR="008B615D" w:rsidRPr="00213E4C">
          <w:rPr>
            <w:rStyle w:val="Hyperlink"/>
            <w:rFonts w:cs="Arial"/>
            <w:bCs/>
            <w:noProof/>
          </w:rPr>
          <w:t xml:space="preserve"> van calamiteitenoefeningen</w:t>
        </w:r>
        <w:r w:rsidR="008B615D">
          <w:rPr>
            <w:noProof/>
            <w:webHidden/>
          </w:rPr>
          <w:tab/>
        </w:r>
        <w:r w:rsidR="008B615D">
          <w:rPr>
            <w:noProof/>
            <w:webHidden/>
          </w:rPr>
          <w:fldChar w:fldCharType="begin"/>
        </w:r>
        <w:r w:rsidR="008B615D">
          <w:rPr>
            <w:noProof/>
            <w:webHidden/>
          </w:rPr>
          <w:instrText xml:space="preserve"> PAGEREF _Toc431375569 \h </w:instrText>
        </w:r>
        <w:r w:rsidR="008B615D">
          <w:rPr>
            <w:noProof/>
            <w:webHidden/>
          </w:rPr>
        </w:r>
        <w:r w:rsidR="008B615D">
          <w:rPr>
            <w:noProof/>
            <w:webHidden/>
          </w:rPr>
          <w:fldChar w:fldCharType="separate"/>
        </w:r>
        <w:r w:rsidR="008B615D">
          <w:rPr>
            <w:noProof/>
            <w:webHidden/>
          </w:rPr>
          <w:t>116</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70" w:history="1">
        <w:r w:rsidR="008B615D" w:rsidRPr="00213E4C">
          <w:rPr>
            <w:rStyle w:val="Hyperlink"/>
            <w:rFonts w:cs="Arial"/>
            <w:noProof/>
          </w:rPr>
          <w:t>Afdeling 3.2. Installaties</w:t>
        </w:r>
        <w:r w:rsidR="008B615D">
          <w:rPr>
            <w:noProof/>
            <w:webHidden/>
          </w:rPr>
          <w:tab/>
        </w:r>
        <w:r w:rsidR="008B615D">
          <w:rPr>
            <w:noProof/>
            <w:webHidden/>
          </w:rPr>
          <w:fldChar w:fldCharType="begin"/>
        </w:r>
        <w:r w:rsidR="008B615D">
          <w:rPr>
            <w:noProof/>
            <w:webHidden/>
          </w:rPr>
          <w:instrText xml:space="preserve"> PAGEREF _Toc431375570 \h </w:instrText>
        </w:r>
        <w:r w:rsidR="008B615D">
          <w:rPr>
            <w:noProof/>
            <w:webHidden/>
          </w:rPr>
        </w:r>
        <w:r w:rsidR="008B615D">
          <w:rPr>
            <w:noProof/>
            <w:webHidden/>
          </w:rPr>
          <w:fldChar w:fldCharType="separate"/>
        </w:r>
        <w:r w:rsidR="008B615D">
          <w:rPr>
            <w:noProof/>
            <w:webHidden/>
          </w:rPr>
          <w:t>116</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71" w:history="1">
        <w:r w:rsidR="008B615D" w:rsidRPr="00213E4C">
          <w:rPr>
            <w:rStyle w:val="Hyperlink"/>
            <w:noProof/>
          </w:rPr>
          <w:t>§ 3.2.1.</w:t>
        </w:r>
        <w:r w:rsidR="008B615D">
          <w:rPr>
            <w:noProof/>
          </w:rPr>
          <w:tab/>
        </w:r>
        <w:r w:rsidR="008B615D" w:rsidRPr="00213E4C">
          <w:rPr>
            <w:rStyle w:val="Hyperlink"/>
            <w:noProof/>
          </w:rPr>
          <w:t>Het in werking hebben van een stookinstallatie, niet zijnde een grote stookinstallatie.</w:t>
        </w:r>
        <w:r w:rsidR="008B615D">
          <w:rPr>
            <w:noProof/>
            <w:webHidden/>
          </w:rPr>
          <w:tab/>
        </w:r>
        <w:r w:rsidR="008B615D">
          <w:rPr>
            <w:noProof/>
            <w:webHidden/>
          </w:rPr>
          <w:fldChar w:fldCharType="begin"/>
        </w:r>
        <w:r w:rsidR="008B615D">
          <w:rPr>
            <w:noProof/>
            <w:webHidden/>
          </w:rPr>
          <w:instrText xml:space="preserve"> PAGEREF _Toc431375571 \h </w:instrText>
        </w:r>
        <w:r w:rsidR="008B615D">
          <w:rPr>
            <w:noProof/>
            <w:webHidden/>
          </w:rPr>
        </w:r>
        <w:r w:rsidR="008B615D">
          <w:rPr>
            <w:noProof/>
            <w:webHidden/>
          </w:rPr>
          <w:fldChar w:fldCharType="separate"/>
        </w:r>
        <w:r w:rsidR="008B615D">
          <w:rPr>
            <w:noProof/>
            <w:webHidden/>
          </w:rPr>
          <w:t>116</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73" w:history="1">
        <w:r w:rsidR="008B615D" w:rsidRPr="00213E4C">
          <w:rPr>
            <w:rStyle w:val="Hyperlink"/>
            <w:noProof/>
          </w:rPr>
          <w:t>§ 3.2.2</w:t>
        </w:r>
        <w:r w:rsidR="008B615D">
          <w:rPr>
            <w:noProof/>
          </w:rPr>
          <w:tab/>
        </w:r>
        <w:r w:rsidR="008B615D" w:rsidRPr="00213E4C">
          <w:rPr>
            <w:rStyle w:val="Hyperlink"/>
            <w:noProof/>
          </w:rPr>
          <w:t>In werking hebben van een installatie voor het reduceren van aardgasdruk, meten en regelen van aardgashoeveelheid of aardgaskwaliteit</w:t>
        </w:r>
        <w:r w:rsidR="008B615D">
          <w:rPr>
            <w:noProof/>
            <w:webHidden/>
          </w:rPr>
          <w:tab/>
        </w:r>
        <w:r w:rsidR="008B615D">
          <w:rPr>
            <w:noProof/>
            <w:webHidden/>
          </w:rPr>
          <w:fldChar w:fldCharType="begin"/>
        </w:r>
        <w:r w:rsidR="008B615D">
          <w:rPr>
            <w:noProof/>
            <w:webHidden/>
          </w:rPr>
          <w:instrText xml:space="preserve"> PAGEREF _Toc431375573 \h </w:instrText>
        </w:r>
        <w:r w:rsidR="008B615D">
          <w:rPr>
            <w:noProof/>
            <w:webHidden/>
          </w:rPr>
        </w:r>
        <w:r w:rsidR="008B615D">
          <w:rPr>
            <w:noProof/>
            <w:webHidden/>
          </w:rPr>
          <w:fldChar w:fldCharType="separate"/>
        </w:r>
        <w:r w:rsidR="008B615D">
          <w:rPr>
            <w:noProof/>
            <w:webHidden/>
          </w:rPr>
          <w:t>131</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75" w:history="1">
        <w:r w:rsidR="008B615D" w:rsidRPr="00213E4C">
          <w:rPr>
            <w:rStyle w:val="Hyperlink"/>
            <w:rFonts w:cs="Arial"/>
            <w:noProof/>
          </w:rPr>
          <w:t>§ 3.2.3</w:t>
        </w:r>
        <w:r w:rsidR="008B615D">
          <w:rPr>
            <w:noProof/>
          </w:rPr>
          <w:tab/>
        </w:r>
        <w:r w:rsidR="008B615D" w:rsidRPr="00213E4C">
          <w:rPr>
            <w:rStyle w:val="Hyperlink"/>
            <w:rFonts w:cs="Arial"/>
            <w:noProof/>
          </w:rPr>
          <w:t>In werking hebben van een windturbine</w:t>
        </w:r>
        <w:r w:rsidR="008B615D">
          <w:rPr>
            <w:noProof/>
            <w:webHidden/>
          </w:rPr>
          <w:tab/>
        </w:r>
        <w:r w:rsidR="008B615D">
          <w:rPr>
            <w:noProof/>
            <w:webHidden/>
          </w:rPr>
          <w:fldChar w:fldCharType="begin"/>
        </w:r>
        <w:r w:rsidR="008B615D">
          <w:rPr>
            <w:noProof/>
            <w:webHidden/>
          </w:rPr>
          <w:instrText xml:space="preserve"> PAGEREF _Toc431375575 \h </w:instrText>
        </w:r>
        <w:r w:rsidR="008B615D">
          <w:rPr>
            <w:noProof/>
            <w:webHidden/>
          </w:rPr>
        </w:r>
        <w:r w:rsidR="008B615D">
          <w:rPr>
            <w:noProof/>
            <w:webHidden/>
          </w:rPr>
          <w:fldChar w:fldCharType="separate"/>
        </w:r>
        <w:r w:rsidR="008B615D">
          <w:rPr>
            <w:noProof/>
            <w:webHidden/>
          </w:rPr>
          <w:t>133</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77" w:history="1">
        <w:r w:rsidR="008B615D" w:rsidRPr="00213E4C">
          <w:rPr>
            <w:rStyle w:val="Hyperlink"/>
            <w:rFonts w:cs="Arial"/>
            <w:noProof/>
          </w:rPr>
          <w:t>§ 3.2.4</w:t>
        </w:r>
        <w:r w:rsidR="008B615D">
          <w:rPr>
            <w:noProof/>
          </w:rPr>
          <w:tab/>
        </w:r>
        <w:r w:rsidR="008B615D" w:rsidRPr="00213E4C">
          <w:rPr>
            <w:rStyle w:val="Hyperlink"/>
            <w:rFonts w:cs="Arial"/>
            <w:noProof/>
          </w:rPr>
          <w:t>In werking hebben van een installatie voor het doorvoeren, bufferen of keren van rioolwater</w:t>
        </w:r>
        <w:r w:rsidR="008B615D">
          <w:rPr>
            <w:noProof/>
            <w:webHidden/>
          </w:rPr>
          <w:tab/>
        </w:r>
        <w:r w:rsidR="008B615D">
          <w:rPr>
            <w:noProof/>
            <w:webHidden/>
          </w:rPr>
          <w:fldChar w:fldCharType="begin"/>
        </w:r>
        <w:r w:rsidR="008B615D">
          <w:rPr>
            <w:noProof/>
            <w:webHidden/>
          </w:rPr>
          <w:instrText xml:space="preserve"> PAGEREF _Toc431375577 \h </w:instrText>
        </w:r>
        <w:r w:rsidR="008B615D">
          <w:rPr>
            <w:noProof/>
            <w:webHidden/>
          </w:rPr>
        </w:r>
        <w:r w:rsidR="008B615D">
          <w:rPr>
            <w:noProof/>
            <w:webHidden/>
          </w:rPr>
          <w:fldChar w:fldCharType="separate"/>
        </w:r>
        <w:r w:rsidR="008B615D">
          <w:rPr>
            <w:noProof/>
            <w:webHidden/>
          </w:rPr>
          <w:t>137</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78" w:history="1">
        <w:r w:rsidR="008B615D" w:rsidRPr="00213E4C">
          <w:rPr>
            <w:rStyle w:val="Hyperlink"/>
            <w:rFonts w:cs="Arial"/>
            <w:noProof/>
          </w:rPr>
          <w:t>§ 3.2.5</w:t>
        </w:r>
        <w:r w:rsidR="008B615D">
          <w:rPr>
            <w:noProof/>
          </w:rPr>
          <w:tab/>
        </w:r>
        <w:r w:rsidR="008B615D" w:rsidRPr="00213E4C">
          <w:rPr>
            <w:rStyle w:val="Hyperlink"/>
            <w:rFonts w:cs="Arial"/>
            <w:noProof/>
          </w:rPr>
          <w:t>In werking hebben van een natte koeltoren</w:t>
        </w:r>
        <w:r w:rsidR="008B615D">
          <w:rPr>
            <w:noProof/>
            <w:webHidden/>
          </w:rPr>
          <w:tab/>
        </w:r>
        <w:r w:rsidR="008B615D">
          <w:rPr>
            <w:noProof/>
            <w:webHidden/>
          </w:rPr>
          <w:fldChar w:fldCharType="begin"/>
        </w:r>
        <w:r w:rsidR="008B615D">
          <w:rPr>
            <w:noProof/>
            <w:webHidden/>
          </w:rPr>
          <w:instrText xml:space="preserve"> PAGEREF _Toc431375578 \h </w:instrText>
        </w:r>
        <w:r w:rsidR="008B615D">
          <w:rPr>
            <w:noProof/>
            <w:webHidden/>
          </w:rPr>
        </w:r>
        <w:r w:rsidR="008B615D">
          <w:rPr>
            <w:noProof/>
            <w:webHidden/>
          </w:rPr>
          <w:fldChar w:fldCharType="separate"/>
        </w:r>
        <w:r w:rsidR="008B615D">
          <w:rPr>
            <w:noProof/>
            <w:webHidden/>
          </w:rPr>
          <w:t>138</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80" w:history="1">
        <w:r w:rsidR="008B615D" w:rsidRPr="00213E4C">
          <w:rPr>
            <w:rStyle w:val="Hyperlink"/>
            <w:noProof/>
          </w:rPr>
          <w:t>§ 3.2.6.</w:t>
        </w:r>
        <w:r w:rsidR="008B615D">
          <w:rPr>
            <w:noProof/>
          </w:rPr>
          <w:tab/>
        </w:r>
        <w:r w:rsidR="008B615D" w:rsidRPr="00213E4C">
          <w:rPr>
            <w:rStyle w:val="Hyperlink"/>
            <w:noProof/>
          </w:rPr>
          <w:t>In werking hebben van een koelinstallatie</w:t>
        </w:r>
        <w:r w:rsidR="008B615D">
          <w:rPr>
            <w:noProof/>
            <w:webHidden/>
          </w:rPr>
          <w:tab/>
        </w:r>
        <w:r w:rsidR="008B615D">
          <w:rPr>
            <w:noProof/>
            <w:webHidden/>
          </w:rPr>
          <w:fldChar w:fldCharType="begin"/>
        </w:r>
        <w:r w:rsidR="008B615D">
          <w:rPr>
            <w:noProof/>
            <w:webHidden/>
          </w:rPr>
          <w:instrText xml:space="preserve"> PAGEREF _Toc431375580 \h </w:instrText>
        </w:r>
        <w:r w:rsidR="008B615D">
          <w:rPr>
            <w:noProof/>
            <w:webHidden/>
          </w:rPr>
        </w:r>
        <w:r w:rsidR="008B615D">
          <w:rPr>
            <w:noProof/>
            <w:webHidden/>
          </w:rPr>
          <w:fldChar w:fldCharType="separate"/>
        </w:r>
        <w:r w:rsidR="008B615D">
          <w:rPr>
            <w:noProof/>
            <w:webHidden/>
          </w:rPr>
          <w:t>139</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82" w:history="1">
        <w:r w:rsidR="008B615D" w:rsidRPr="00213E4C">
          <w:rPr>
            <w:rStyle w:val="Hyperlink"/>
            <w:noProof/>
          </w:rPr>
          <w:t>§ 3.2.7.</w:t>
        </w:r>
        <w:r w:rsidR="008B615D">
          <w:rPr>
            <w:noProof/>
          </w:rPr>
          <w:tab/>
        </w:r>
        <w:r w:rsidR="008B615D" w:rsidRPr="00213E4C">
          <w:rPr>
            <w:rStyle w:val="Hyperlink"/>
            <w:noProof/>
          </w:rPr>
          <w:t>In werking hebben van een wisselverwarmingsinstallatie</w:t>
        </w:r>
        <w:r w:rsidR="008B615D">
          <w:rPr>
            <w:noProof/>
            <w:webHidden/>
          </w:rPr>
          <w:tab/>
        </w:r>
        <w:r w:rsidR="008B615D">
          <w:rPr>
            <w:noProof/>
            <w:webHidden/>
          </w:rPr>
          <w:fldChar w:fldCharType="begin"/>
        </w:r>
        <w:r w:rsidR="008B615D">
          <w:rPr>
            <w:noProof/>
            <w:webHidden/>
          </w:rPr>
          <w:instrText xml:space="preserve"> PAGEREF _Toc431375582 \h </w:instrText>
        </w:r>
        <w:r w:rsidR="008B615D">
          <w:rPr>
            <w:noProof/>
            <w:webHidden/>
          </w:rPr>
        </w:r>
        <w:r w:rsidR="008B615D">
          <w:rPr>
            <w:noProof/>
            <w:webHidden/>
          </w:rPr>
          <w:fldChar w:fldCharType="separate"/>
        </w:r>
        <w:r w:rsidR="008B615D">
          <w:rPr>
            <w:noProof/>
            <w:webHidden/>
          </w:rPr>
          <w:t>140</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584" w:history="1">
        <w:r w:rsidR="008B615D" w:rsidRPr="00213E4C">
          <w:rPr>
            <w:rStyle w:val="Hyperlink"/>
            <w:noProof/>
          </w:rPr>
          <w:t>§ 3.2.8</w:t>
        </w:r>
        <w:r w:rsidR="00C22D2D">
          <w:rPr>
            <w:rStyle w:val="Hyperlink"/>
            <w:noProof/>
          </w:rPr>
          <w:t xml:space="preserve">         </w:t>
        </w:r>
        <w:r w:rsidR="008B615D" w:rsidRPr="00213E4C">
          <w:rPr>
            <w:rStyle w:val="Hyperlink"/>
            <w:noProof/>
          </w:rPr>
          <w:t xml:space="preserve"> Installeren en in werking hebben van een gesloten bodemenergiesysteem</w:t>
        </w:r>
        <w:r w:rsidR="008B615D">
          <w:rPr>
            <w:noProof/>
            <w:webHidden/>
          </w:rPr>
          <w:tab/>
        </w:r>
        <w:r w:rsidR="008B615D">
          <w:rPr>
            <w:noProof/>
            <w:webHidden/>
          </w:rPr>
          <w:fldChar w:fldCharType="begin"/>
        </w:r>
        <w:r w:rsidR="008B615D">
          <w:rPr>
            <w:noProof/>
            <w:webHidden/>
          </w:rPr>
          <w:instrText xml:space="preserve"> PAGEREF _Toc431375584 \h </w:instrText>
        </w:r>
        <w:r w:rsidR="008B615D">
          <w:rPr>
            <w:noProof/>
            <w:webHidden/>
          </w:rPr>
        </w:r>
        <w:r w:rsidR="008B615D">
          <w:rPr>
            <w:noProof/>
            <w:webHidden/>
          </w:rPr>
          <w:fldChar w:fldCharType="separate"/>
        </w:r>
        <w:r w:rsidR="008B615D">
          <w:rPr>
            <w:noProof/>
            <w:webHidden/>
          </w:rPr>
          <w:t>141</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86" w:history="1">
        <w:r w:rsidR="008B615D" w:rsidRPr="00213E4C">
          <w:rPr>
            <w:rStyle w:val="Hyperlink"/>
            <w:rFonts w:cs="Arial"/>
            <w:noProof/>
          </w:rPr>
          <w:t>Afdeling 3.3. Activiteiten met voertuigen, vaartuigen of luchtvaartuigen</w:t>
        </w:r>
        <w:r w:rsidR="008B615D">
          <w:rPr>
            <w:noProof/>
            <w:webHidden/>
          </w:rPr>
          <w:tab/>
        </w:r>
        <w:r w:rsidR="008B615D">
          <w:rPr>
            <w:noProof/>
            <w:webHidden/>
          </w:rPr>
          <w:fldChar w:fldCharType="begin"/>
        </w:r>
        <w:r w:rsidR="008B615D">
          <w:rPr>
            <w:noProof/>
            <w:webHidden/>
          </w:rPr>
          <w:instrText xml:space="preserve"> PAGEREF _Toc431375586 \h </w:instrText>
        </w:r>
        <w:r w:rsidR="008B615D">
          <w:rPr>
            <w:noProof/>
            <w:webHidden/>
          </w:rPr>
        </w:r>
        <w:r w:rsidR="008B615D">
          <w:rPr>
            <w:noProof/>
            <w:webHidden/>
          </w:rPr>
          <w:fldChar w:fldCharType="separate"/>
        </w:r>
        <w:r w:rsidR="008B615D">
          <w:rPr>
            <w:noProof/>
            <w:webHidden/>
          </w:rPr>
          <w:t>144</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87" w:history="1">
        <w:r w:rsidR="008B615D" w:rsidRPr="00213E4C">
          <w:rPr>
            <w:rStyle w:val="Hyperlink"/>
            <w:rFonts w:cs="Arial"/>
            <w:noProof/>
          </w:rPr>
          <w:t>§ 3.3.1.</w:t>
        </w:r>
        <w:r w:rsidR="008B615D">
          <w:rPr>
            <w:noProof/>
          </w:rPr>
          <w:tab/>
        </w:r>
        <w:r w:rsidR="008B615D" w:rsidRPr="00213E4C">
          <w:rPr>
            <w:rStyle w:val="Hyperlink"/>
            <w:rFonts w:cs="Arial"/>
            <w:noProof/>
          </w:rPr>
          <w:t>Afleveren van vloeibare brandstof of gecomprimeerd aardgas aan motorvoertuigen voor het wegverkeer of</w:t>
        </w:r>
        <w:r w:rsidR="008B615D" w:rsidRPr="00213E4C">
          <w:rPr>
            <w:rStyle w:val="Hyperlink"/>
            <w:noProof/>
          </w:rPr>
          <w:t xml:space="preserve"> </w:t>
        </w:r>
        <w:r w:rsidR="008B615D" w:rsidRPr="00213E4C">
          <w:rPr>
            <w:rStyle w:val="Hyperlink"/>
            <w:rFonts w:cs="Arial"/>
            <w:noProof/>
          </w:rPr>
          <w:t>afleveren van vloeibare brandstof aan spoorvoertuigen</w:t>
        </w:r>
        <w:r w:rsidR="008B615D">
          <w:rPr>
            <w:noProof/>
            <w:webHidden/>
          </w:rPr>
          <w:tab/>
        </w:r>
        <w:r w:rsidR="008B615D">
          <w:rPr>
            <w:noProof/>
            <w:webHidden/>
          </w:rPr>
          <w:fldChar w:fldCharType="begin"/>
        </w:r>
        <w:r w:rsidR="008B615D">
          <w:rPr>
            <w:noProof/>
            <w:webHidden/>
          </w:rPr>
          <w:instrText xml:space="preserve"> PAGEREF _Toc431375587 \h </w:instrText>
        </w:r>
        <w:r w:rsidR="008B615D">
          <w:rPr>
            <w:noProof/>
            <w:webHidden/>
          </w:rPr>
        </w:r>
        <w:r w:rsidR="008B615D">
          <w:rPr>
            <w:noProof/>
            <w:webHidden/>
          </w:rPr>
          <w:fldChar w:fldCharType="separate"/>
        </w:r>
        <w:r w:rsidR="008B615D">
          <w:rPr>
            <w:noProof/>
            <w:webHidden/>
          </w:rPr>
          <w:t>144</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589" w:history="1">
        <w:r w:rsidR="008B615D" w:rsidRPr="00213E4C">
          <w:rPr>
            <w:rStyle w:val="Hyperlink"/>
            <w:rFonts w:cs="Arial"/>
            <w:noProof/>
          </w:rPr>
          <w:t xml:space="preserve">§ 3.3.2 </w:t>
        </w:r>
        <w:r w:rsidR="008B615D">
          <w:rPr>
            <w:noProof/>
          </w:rPr>
          <w:tab/>
        </w:r>
        <w:r w:rsidR="008B615D" w:rsidRPr="00213E4C">
          <w:rPr>
            <w:rStyle w:val="Hyperlink"/>
            <w:rFonts w:cs="Arial"/>
            <w:noProof/>
          </w:rPr>
          <w:t>Het uitwendig wassen en stallen van motorvoertuigen of werktuigen of van spoorvoertuigen</w:t>
        </w:r>
        <w:r w:rsidR="008B615D">
          <w:rPr>
            <w:noProof/>
            <w:webHidden/>
          </w:rPr>
          <w:tab/>
        </w:r>
        <w:r w:rsidR="008B615D">
          <w:rPr>
            <w:noProof/>
            <w:webHidden/>
          </w:rPr>
          <w:fldChar w:fldCharType="begin"/>
        </w:r>
        <w:r w:rsidR="008B615D">
          <w:rPr>
            <w:noProof/>
            <w:webHidden/>
          </w:rPr>
          <w:instrText xml:space="preserve"> PAGEREF _Toc431375589 \h </w:instrText>
        </w:r>
        <w:r w:rsidR="008B615D">
          <w:rPr>
            <w:noProof/>
            <w:webHidden/>
          </w:rPr>
        </w:r>
        <w:r w:rsidR="008B615D">
          <w:rPr>
            <w:noProof/>
            <w:webHidden/>
          </w:rPr>
          <w:fldChar w:fldCharType="separate"/>
        </w:r>
        <w:r w:rsidR="008B615D">
          <w:rPr>
            <w:noProof/>
            <w:webHidden/>
          </w:rPr>
          <w:t>152</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91" w:history="1">
        <w:r w:rsidR="008B615D" w:rsidRPr="00213E4C">
          <w:rPr>
            <w:rStyle w:val="Hyperlink"/>
            <w:noProof/>
          </w:rPr>
          <w:t>§ 3.3.3.</w:t>
        </w:r>
        <w:r w:rsidR="008B615D">
          <w:rPr>
            <w:noProof/>
          </w:rPr>
          <w:tab/>
        </w:r>
        <w:r w:rsidR="008B615D" w:rsidRPr="00213E4C">
          <w:rPr>
            <w:rStyle w:val="Hyperlink"/>
            <w:noProof/>
          </w:rPr>
          <w:t>Het demonteren van autowrakken of wrakken van tweewielige motorvoertuigen en daarmee samenhangende activiteiten</w:t>
        </w:r>
        <w:r w:rsidR="008B615D">
          <w:rPr>
            <w:noProof/>
            <w:webHidden/>
          </w:rPr>
          <w:tab/>
        </w:r>
        <w:r w:rsidR="008B615D">
          <w:rPr>
            <w:noProof/>
            <w:webHidden/>
          </w:rPr>
          <w:fldChar w:fldCharType="begin"/>
        </w:r>
        <w:r w:rsidR="008B615D">
          <w:rPr>
            <w:noProof/>
            <w:webHidden/>
          </w:rPr>
          <w:instrText xml:space="preserve"> PAGEREF _Toc431375591 \h </w:instrText>
        </w:r>
        <w:r w:rsidR="008B615D">
          <w:rPr>
            <w:noProof/>
            <w:webHidden/>
          </w:rPr>
        </w:r>
        <w:r w:rsidR="008B615D">
          <w:rPr>
            <w:noProof/>
            <w:webHidden/>
          </w:rPr>
          <w:fldChar w:fldCharType="separate"/>
        </w:r>
        <w:r w:rsidR="008B615D">
          <w:rPr>
            <w:noProof/>
            <w:webHidden/>
          </w:rPr>
          <w:t>154</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93" w:history="1">
        <w:r w:rsidR="008B615D" w:rsidRPr="00213E4C">
          <w:rPr>
            <w:rStyle w:val="Hyperlink"/>
            <w:noProof/>
          </w:rPr>
          <w:t>§ 3.3.4.</w:t>
        </w:r>
        <w:r w:rsidR="008B615D">
          <w:rPr>
            <w:noProof/>
          </w:rPr>
          <w:tab/>
        </w:r>
        <w:r w:rsidR="008B615D" w:rsidRPr="00213E4C">
          <w:rPr>
            <w:rStyle w:val="Hyperlink"/>
            <w:noProof/>
          </w:rPr>
          <w:t>Bieden van parkeergelegenheid in een parkeergarage</w:t>
        </w:r>
        <w:r w:rsidR="008B615D">
          <w:rPr>
            <w:noProof/>
            <w:webHidden/>
          </w:rPr>
          <w:tab/>
        </w:r>
        <w:r w:rsidR="008B615D">
          <w:rPr>
            <w:noProof/>
            <w:webHidden/>
          </w:rPr>
          <w:fldChar w:fldCharType="begin"/>
        </w:r>
        <w:r w:rsidR="008B615D">
          <w:rPr>
            <w:noProof/>
            <w:webHidden/>
          </w:rPr>
          <w:instrText xml:space="preserve"> PAGEREF _Toc431375593 \h </w:instrText>
        </w:r>
        <w:r w:rsidR="008B615D">
          <w:rPr>
            <w:noProof/>
            <w:webHidden/>
          </w:rPr>
        </w:r>
        <w:r w:rsidR="008B615D">
          <w:rPr>
            <w:noProof/>
            <w:webHidden/>
          </w:rPr>
          <w:fldChar w:fldCharType="separate"/>
        </w:r>
        <w:r w:rsidR="008B615D">
          <w:rPr>
            <w:noProof/>
            <w:webHidden/>
          </w:rPr>
          <w:t>166</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595" w:history="1">
        <w:r w:rsidR="008B615D" w:rsidRPr="00213E4C">
          <w:rPr>
            <w:rStyle w:val="Hyperlink"/>
            <w:noProof/>
          </w:rPr>
          <w:t>§ 3.3.5.</w:t>
        </w:r>
        <w:r w:rsidR="008B615D">
          <w:rPr>
            <w:noProof/>
          </w:rPr>
          <w:tab/>
        </w:r>
        <w:r w:rsidR="008B615D" w:rsidRPr="00213E4C">
          <w:rPr>
            <w:rStyle w:val="Hyperlink"/>
            <w:noProof/>
          </w:rPr>
          <w:t>Bieden van gelegenheid tot het afmeren van pleziervaartuigen in een jachthaven</w:t>
        </w:r>
        <w:r w:rsidR="008B615D">
          <w:rPr>
            <w:noProof/>
            <w:webHidden/>
          </w:rPr>
          <w:tab/>
        </w:r>
        <w:r w:rsidR="008B615D">
          <w:rPr>
            <w:noProof/>
            <w:webHidden/>
          </w:rPr>
          <w:fldChar w:fldCharType="begin"/>
        </w:r>
        <w:r w:rsidR="008B615D">
          <w:rPr>
            <w:noProof/>
            <w:webHidden/>
          </w:rPr>
          <w:instrText xml:space="preserve"> PAGEREF _Toc431375595 \h </w:instrText>
        </w:r>
        <w:r w:rsidR="008B615D">
          <w:rPr>
            <w:noProof/>
            <w:webHidden/>
          </w:rPr>
        </w:r>
        <w:r w:rsidR="008B615D">
          <w:rPr>
            <w:noProof/>
            <w:webHidden/>
          </w:rPr>
          <w:fldChar w:fldCharType="separate"/>
        </w:r>
        <w:r w:rsidR="008B615D">
          <w:rPr>
            <w:noProof/>
            <w:webHidden/>
          </w:rPr>
          <w:t>167</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598" w:history="1">
        <w:r w:rsidR="008B615D" w:rsidRPr="00213E4C">
          <w:rPr>
            <w:rStyle w:val="Hyperlink"/>
            <w:noProof/>
          </w:rPr>
          <w:t>§ 3.3.6 Het gebruik van hefschroefvliegtuigen bij ziekenhuizen</w:t>
        </w:r>
        <w:r w:rsidR="008B615D">
          <w:rPr>
            <w:noProof/>
            <w:webHidden/>
          </w:rPr>
          <w:tab/>
        </w:r>
        <w:r w:rsidR="008B615D">
          <w:rPr>
            <w:noProof/>
            <w:webHidden/>
          </w:rPr>
          <w:fldChar w:fldCharType="begin"/>
        </w:r>
        <w:r w:rsidR="008B615D">
          <w:rPr>
            <w:noProof/>
            <w:webHidden/>
          </w:rPr>
          <w:instrText xml:space="preserve"> PAGEREF _Toc431375598 \h </w:instrText>
        </w:r>
        <w:r w:rsidR="008B615D">
          <w:rPr>
            <w:noProof/>
            <w:webHidden/>
          </w:rPr>
        </w:r>
        <w:r w:rsidR="008B615D">
          <w:rPr>
            <w:noProof/>
            <w:webHidden/>
          </w:rPr>
          <w:fldChar w:fldCharType="separate"/>
        </w:r>
        <w:r w:rsidR="008B615D">
          <w:rPr>
            <w:noProof/>
            <w:webHidden/>
          </w:rPr>
          <w:t>169</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599" w:history="1">
        <w:r w:rsidR="008B615D" w:rsidRPr="00213E4C">
          <w:rPr>
            <w:rStyle w:val="Hyperlink"/>
            <w:rFonts w:cs="Arial"/>
            <w:noProof/>
          </w:rPr>
          <w:t>Afdeling 3.4 Opslaan van stoffen of het vullen van gasflessen</w:t>
        </w:r>
        <w:r w:rsidR="008B615D">
          <w:rPr>
            <w:noProof/>
            <w:webHidden/>
          </w:rPr>
          <w:tab/>
        </w:r>
        <w:r w:rsidR="008B615D">
          <w:rPr>
            <w:noProof/>
            <w:webHidden/>
          </w:rPr>
          <w:fldChar w:fldCharType="begin"/>
        </w:r>
        <w:r w:rsidR="008B615D">
          <w:rPr>
            <w:noProof/>
            <w:webHidden/>
          </w:rPr>
          <w:instrText xml:space="preserve"> PAGEREF _Toc431375599 \h </w:instrText>
        </w:r>
        <w:r w:rsidR="008B615D">
          <w:rPr>
            <w:noProof/>
            <w:webHidden/>
          </w:rPr>
        </w:r>
        <w:r w:rsidR="008B615D">
          <w:rPr>
            <w:noProof/>
            <w:webHidden/>
          </w:rPr>
          <w:fldChar w:fldCharType="separate"/>
        </w:r>
        <w:r w:rsidR="008B615D">
          <w:rPr>
            <w:noProof/>
            <w:webHidden/>
          </w:rPr>
          <w:t>170</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600" w:history="1">
        <w:r w:rsidR="008B615D" w:rsidRPr="00213E4C">
          <w:rPr>
            <w:rStyle w:val="Hyperlink"/>
            <w:rFonts w:cs="Arial"/>
            <w:noProof/>
          </w:rPr>
          <w:t>§ 3.4.1</w:t>
        </w:r>
        <w:r w:rsidR="008B615D">
          <w:rPr>
            <w:noProof/>
          </w:rPr>
          <w:tab/>
        </w:r>
        <w:r w:rsidR="008B615D" w:rsidRPr="00213E4C">
          <w:rPr>
            <w:rStyle w:val="Hyperlink"/>
            <w:rFonts w:cs="Arial"/>
            <w:noProof/>
          </w:rPr>
          <w:t>Opslaan van propaan</w:t>
        </w:r>
        <w:r w:rsidR="008B615D">
          <w:rPr>
            <w:noProof/>
            <w:webHidden/>
          </w:rPr>
          <w:tab/>
        </w:r>
        <w:r w:rsidR="008B615D">
          <w:rPr>
            <w:noProof/>
            <w:webHidden/>
          </w:rPr>
          <w:fldChar w:fldCharType="begin"/>
        </w:r>
        <w:r w:rsidR="008B615D">
          <w:rPr>
            <w:noProof/>
            <w:webHidden/>
          </w:rPr>
          <w:instrText xml:space="preserve"> PAGEREF _Toc431375600 \h </w:instrText>
        </w:r>
        <w:r w:rsidR="008B615D">
          <w:rPr>
            <w:noProof/>
            <w:webHidden/>
          </w:rPr>
        </w:r>
        <w:r w:rsidR="008B615D">
          <w:rPr>
            <w:noProof/>
            <w:webHidden/>
          </w:rPr>
          <w:fldChar w:fldCharType="separate"/>
        </w:r>
        <w:r w:rsidR="008B615D">
          <w:rPr>
            <w:noProof/>
            <w:webHidden/>
          </w:rPr>
          <w:t>170</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02" w:history="1">
        <w:r w:rsidR="008B615D" w:rsidRPr="00213E4C">
          <w:rPr>
            <w:rStyle w:val="Hyperlink"/>
            <w:noProof/>
          </w:rPr>
          <w:t>§ 3.4.2.</w:t>
        </w:r>
        <w:r w:rsidR="008B615D">
          <w:rPr>
            <w:noProof/>
          </w:rPr>
          <w:tab/>
        </w:r>
        <w:r w:rsidR="008B615D" w:rsidRPr="00213E4C">
          <w:rPr>
            <w:rStyle w:val="Hyperlink"/>
            <w:noProof/>
          </w:rPr>
          <w:t>Opslaan in ondergrondse opslagtanks van vloeibare brandstof, afgewerkte olie, bepaalde organische oplosmiddelen of vloeibare bodembedreigende stoffen die geen gevaarlijke stoffen of CMR stoffen zijn.</w:t>
        </w:r>
        <w:r w:rsidR="008B615D">
          <w:rPr>
            <w:noProof/>
            <w:webHidden/>
          </w:rPr>
          <w:tab/>
        </w:r>
        <w:r w:rsidR="008B615D">
          <w:rPr>
            <w:noProof/>
            <w:webHidden/>
          </w:rPr>
          <w:fldChar w:fldCharType="begin"/>
        </w:r>
        <w:r w:rsidR="008B615D">
          <w:rPr>
            <w:noProof/>
            <w:webHidden/>
          </w:rPr>
          <w:instrText xml:space="preserve"> PAGEREF _Toc431375602 \h </w:instrText>
        </w:r>
        <w:r w:rsidR="008B615D">
          <w:rPr>
            <w:noProof/>
            <w:webHidden/>
          </w:rPr>
        </w:r>
        <w:r w:rsidR="008B615D">
          <w:rPr>
            <w:noProof/>
            <w:webHidden/>
          </w:rPr>
          <w:fldChar w:fldCharType="separate"/>
        </w:r>
        <w:r w:rsidR="008B615D">
          <w:rPr>
            <w:noProof/>
            <w:webHidden/>
          </w:rPr>
          <w:t>172</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05" w:history="1">
        <w:r w:rsidR="008B615D" w:rsidRPr="00213E4C">
          <w:rPr>
            <w:rStyle w:val="Hyperlink"/>
            <w:noProof/>
          </w:rPr>
          <w:t>§ 3.4.3 Opslaan en overslaan van goederen</w:t>
        </w:r>
        <w:r w:rsidR="008B615D">
          <w:rPr>
            <w:noProof/>
            <w:webHidden/>
          </w:rPr>
          <w:tab/>
        </w:r>
        <w:r w:rsidR="008B615D">
          <w:rPr>
            <w:noProof/>
            <w:webHidden/>
          </w:rPr>
          <w:fldChar w:fldCharType="begin"/>
        </w:r>
        <w:r w:rsidR="008B615D">
          <w:rPr>
            <w:noProof/>
            <w:webHidden/>
          </w:rPr>
          <w:instrText xml:space="preserve"> PAGEREF _Toc431375605 \h </w:instrText>
        </w:r>
        <w:r w:rsidR="008B615D">
          <w:rPr>
            <w:noProof/>
            <w:webHidden/>
          </w:rPr>
        </w:r>
        <w:r w:rsidR="008B615D">
          <w:rPr>
            <w:noProof/>
            <w:webHidden/>
          </w:rPr>
          <w:fldChar w:fldCharType="separate"/>
        </w:r>
        <w:r w:rsidR="008B615D">
          <w:rPr>
            <w:noProof/>
            <w:webHidden/>
          </w:rPr>
          <w:t>183</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07" w:history="1">
        <w:r w:rsidR="008B615D" w:rsidRPr="00213E4C">
          <w:rPr>
            <w:rStyle w:val="Hyperlink"/>
            <w:rFonts w:cs="Arial"/>
            <w:noProof/>
          </w:rPr>
          <w:t>§ 3.4.5 Opslaan van agrarische bedrijfsstoffen</w:t>
        </w:r>
        <w:r w:rsidR="008B615D">
          <w:rPr>
            <w:noProof/>
            <w:webHidden/>
          </w:rPr>
          <w:tab/>
        </w:r>
        <w:r w:rsidR="008B615D">
          <w:rPr>
            <w:noProof/>
            <w:webHidden/>
          </w:rPr>
          <w:fldChar w:fldCharType="begin"/>
        </w:r>
        <w:r w:rsidR="008B615D">
          <w:rPr>
            <w:noProof/>
            <w:webHidden/>
          </w:rPr>
          <w:instrText xml:space="preserve"> PAGEREF _Toc431375607 \h </w:instrText>
        </w:r>
        <w:r w:rsidR="008B615D">
          <w:rPr>
            <w:noProof/>
            <w:webHidden/>
          </w:rPr>
        </w:r>
        <w:r w:rsidR="008B615D">
          <w:rPr>
            <w:noProof/>
            <w:webHidden/>
          </w:rPr>
          <w:fldChar w:fldCharType="separate"/>
        </w:r>
        <w:r w:rsidR="008B615D">
          <w:rPr>
            <w:noProof/>
            <w:webHidden/>
          </w:rPr>
          <w:t>192</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09" w:history="1">
        <w:r w:rsidR="008B615D" w:rsidRPr="00213E4C">
          <w:rPr>
            <w:rStyle w:val="Hyperlink"/>
            <w:rFonts w:cs="Arial"/>
            <w:noProof/>
          </w:rPr>
          <w:t>§ 3.4.6 Opslaan van drijfmest en digestaat</w:t>
        </w:r>
        <w:r w:rsidR="008B615D">
          <w:rPr>
            <w:noProof/>
            <w:webHidden/>
          </w:rPr>
          <w:tab/>
        </w:r>
        <w:r w:rsidR="008B615D">
          <w:rPr>
            <w:noProof/>
            <w:webHidden/>
          </w:rPr>
          <w:fldChar w:fldCharType="begin"/>
        </w:r>
        <w:r w:rsidR="008B615D">
          <w:rPr>
            <w:noProof/>
            <w:webHidden/>
          </w:rPr>
          <w:instrText xml:space="preserve"> PAGEREF _Toc431375609 \h </w:instrText>
        </w:r>
        <w:r w:rsidR="008B615D">
          <w:rPr>
            <w:noProof/>
            <w:webHidden/>
          </w:rPr>
        </w:r>
        <w:r w:rsidR="008B615D">
          <w:rPr>
            <w:noProof/>
            <w:webHidden/>
          </w:rPr>
          <w:fldChar w:fldCharType="separate"/>
        </w:r>
        <w:r w:rsidR="008B615D">
          <w:rPr>
            <w:noProof/>
            <w:webHidden/>
          </w:rPr>
          <w:t>195</w:t>
        </w:r>
        <w:r w:rsidR="008B615D">
          <w:rPr>
            <w:noProof/>
            <w:webHidden/>
          </w:rPr>
          <w:fldChar w:fldCharType="end"/>
        </w:r>
      </w:hyperlink>
      <w:hyperlink w:anchor="_Toc431375610" w:history="1"/>
    </w:p>
    <w:p w:rsidR="008B615D" w:rsidRDefault="00C428B8" w:rsidP="00263727">
      <w:pPr>
        <w:pStyle w:val="Inhopg3"/>
        <w:tabs>
          <w:tab w:val="right" w:leader="dot" w:pos="9061"/>
        </w:tabs>
        <w:spacing w:line="240" w:lineRule="auto"/>
        <w:rPr>
          <w:noProof/>
        </w:rPr>
      </w:pPr>
      <w:hyperlink w:anchor="_Toc431375611" w:history="1">
        <w:r w:rsidR="008B615D" w:rsidRPr="00213E4C">
          <w:rPr>
            <w:rStyle w:val="Hyperlink"/>
            <w:rFonts w:cs="Arial"/>
            <w:noProof/>
          </w:rPr>
          <w:t>§ 3.4.7 Opslaan van vloeibare bijvoedermiddelen</w:t>
        </w:r>
        <w:r w:rsidR="008B615D">
          <w:rPr>
            <w:noProof/>
            <w:webHidden/>
          </w:rPr>
          <w:tab/>
        </w:r>
        <w:r w:rsidR="008B615D">
          <w:rPr>
            <w:noProof/>
            <w:webHidden/>
          </w:rPr>
          <w:fldChar w:fldCharType="begin"/>
        </w:r>
        <w:r w:rsidR="008B615D">
          <w:rPr>
            <w:noProof/>
            <w:webHidden/>
          </w:rPr>
          <w:instrText xml:space="preserve"> PAGEREF _Toc431375611 \h </w:instrText>
        </w:r>
        <w:r w:rsidR="008B615D">
          <w:rPr>
            <w:noProof/>
            <w:webHidden/>
          </w:rPr>
        </w:r>
        <w:r w:rsidR="008B615D">
          <w:rPr>
            <w:noProof/>
            <w:webHidden/>
          </w:rPr>
          <w:fldChar w:fldCharType="separate"/>
        </w:r>
        <w:r w:rsidR="008B615D">
          <w:rPr>
            <w:noProof/>
            <w:webHidden/>
          </w:rPr>
          <w:t>198</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13" w:history="1">
        <w:r w:rsidR="008B615D" w:rsidRPr="00213E4C">
          <w:rPr>
            <w:rStyle w:val="Hyperlink"/>
            <w:noProof/>
          </w:rPr>
          <w:t>§ 3.4.8.</w:t>
        </w:r>
        <w:r w:rsidR="008B615D">
          <w:rPr>
            <w:noProof/>
          </w:rPr>
          <w:tab/>
        </w:r>
        <w:r w:rsidR="008B615D" w:rsidRPr="00213E4C">
          <w:rPr>
            <w:rStyle w:val="Hyperlink"/>
            <w:noProof/>
          </w:rPr>
          <w:t>Het vullen van gasflessen met propaan of butaan</w:t>
        </w:r>
        <w:r w:rsidR="008B615D">
          <w:rPr>
            <w:noProof/>
            <w:webHidden/>
          </w:rPr>
          <w:tab/>
        </w:r>
        <w:r w:rsidR="008B615D">
          <w:rPr>
            <w:noProof/>
            <w:webHidden/>
          </w:rPr>
          <w:fldChar w:fldCharType="begin"/>
        </w:r>
        <w:r w:rsidR="008B615D">
          <w:rPr>
            <w:noProof/>
            <w:webHidden/>
          </w:rPr>
          <w:instrText xml:space="preserve"> PAGEREF _Toc431375613 \h </w:instrText>
        </w:r>
        <w:r w:rsidR="008B615D">
          <w:rPr>
            <w:noProof/>
            <w:webHidden/>
          </w:rPr>
        </w:r>
        <w:r w:rsidR="008B615D">
          <w:rPr>
            <w:noProof/>
            <w:webHidden/>
          </w:rPr>
          <w:fldChar w:fldCharType="separate"/>
        </w:r>
        <w:r w:rsidR="008B615D">
          <w:rPr>
            <w:noProof/>
            <w:webHidden/>
          </w:rPr>
          <w:t>199</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15" w:history="1">
        <w:r w:rsidR="008B615D" w:rsidRPr="00213E4C">
          <w:rPr>
            <w:rStyle w:val="Hyperlink"/>
            <w:noProof/>
          </w:rPr>
          <w:t>§ 3.4.9.</w:t>
        </w:r>
        <w:r w:rsidR="008B615D">
          <w:rPr>
            <w:noProof/>
          </w:rPr>
          <w:tab/>
        </w:r>
        <w:r w:rsidR="008B615D" w:rsidRPr="00213E4C">
          <w:rPr>
            <w:rStyle w:val="Hyperlink"/>
            <w:noProof/>
          </w:rPr>
          <w:t>Opslaan van gasolie, smeerolie of afgewerkte olie in een bovengrondse opslagtank</w:t>
        </w:r>
        <w:r w:rsidR="008B615D">
          <w:rPr>
            <w:noProof/>
            <w:webHidden/>
          </w:rPr>
          <w:tab/>
        </w:r>
        <w:r w:rsidR="008B615D">
          <w:rPr>
            <w:noProof/>
            <w:webHidden/>
          </w:rPr>
          <w:fldChar w:fldCharType="begin"/>
        </w:r>
        <w:r w:rsidR="008B615D">
          <w:rPr>
            <w:noProof/>
            <w:webHidden/>
          </w:rPr>
          <w:instrText xml:space="preserve"> PAGEREF _Toc431375615 \h </w:instrText>
        </w:r>
        <w:r w:rsidR="008B615D">
          <w:rPr>
            <w:noProof/>
            <w:webHidden/>
          </w:rPr>
        </w:r>
        <w:r w:rsidR="008B615D">
          <w:rPr>
            <w:noProof/>
            <w:webHidden/>
          </w:rPr>
          <w:fldChar w:fldCharType="separate"/>
        </w:r>
        <w:r w:rsidR="008B615D">
          <w:rPr>
            <w:noProof/>
            <w:webHidden/>
          </w:rPr>
          <w:t>199</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17" w:history="1">
        <w:r w:rsidR="008B615D" w:rsidRPr="00213E4C">
          <w:rPr>
            <w:rStyle w:val="Hyperlink"/>
            <w:noProof/>
          </w:rPr>
          <w:t>§ 3.4.10 Opslaan of bewerken van ontplofbare stoffen of voorwerpen bij defensie-inrichtingen</w:t>
        </w:r>
        <w:r w:rsidR="008B615D">
          <w:rPr>
            <w:noProof/>
            <w:webHidden/>
          </w:rPr>
          <w:tab/>
        </w:r>
        <w:r w:rsidR="008B615D">
          <w:rPr>
            <w:noProof/>
            <w:webHidden/>
          </w:rPr>
          <w:fldChar w:fldCharType="begin"/>
        </w:r>
        <w:r w:rsidR="008B615D">
          <w:rPr>
            <w:noProof/>
            <w:webHidden/>
          </w:rPr>
          <w:instrText xml:space="preserve"> PAGEREF _Toc431375617 \h </w:instrText>
        </w:r>
        <w:r w:rsidR="008B615D">
          <w:rPr>
            <w:noProof/>
            <w:webHidden/>
          </w:rPr>
        </w:r>
        <w:r w:rsidR="008B615D">
          <w:rPr>
            <w:noProof/>
            <w:webHidden/>
          </w:rPr>
          <w:fldChar w:fldCharType="separate"/>
        </w:r>
        <w:r w:rsidR="008B615D">
          <w:rPr>
            <w:noProof/>
            <w:webHidden/>
          </w:rPr>
          <w:t>204</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19" w:history="1">
        <w:r w:rsidR="008B615D" w:rsidRPr="00213E4C">
          <w:rPr>
            <w:rStyle w:val="Hyperlink"/>
            <w:noProof/>
          </w:rPr>
          <w:t>§ 3.4.11 Op- en overslaan van verwijderd asbest</w:t>
        </w:r>
        <w:r w:rsidR="008B615D">
          <w:rPr>
            <w:noProof/>
            <w:webHidden/>
          </w:rPr>
          <w:tab/>
        </w:r>
        <w:r w:rsidR="008B615D">
          <w:rPr>
            <w:noProof/>
            <w:webHidden/>
          </w:rPr>
          <w:fldChar w:fldCharType="begin"/>
        </w:r>
        <w:r w:rsidR="008B615D">
          <w:rPr>
            <w:noProof/>
            <w:webHidden/>
          </w:rPr>
          <w:instrText xml:space="preserve"> PAGEREF _Toc431375619 \h </w:instrText>
        </w:r>
        <w:r w:rsidR="008B615D">
          <w:rPr>
            <w:noProof/>
            <w:webHidden/>
          </w:rPr>
        </w:r>
        <w:r w:rsidR="008B615D">
          <w:rPr>
            <w:noProof/>
            <w:webHidden/>
          </w:rPr>
          <w:fldChar w:fldCharType="separate"/>
        </w:r>
        <w:r w:rsidR="008B615D">
          <w:rPr>
            <w:noProof/>
            <w:webHidden/>
          </w:rPr>
          <w:t>206</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620" w:history="1">
        <w:r w:rsidR="008B615D" w:rsidRPr="00213E4C">
          <w:rPr>
            <w:rStyle w:val="Hyperlink"/>
            <w:rFonts w:cs="Arial"/>
            <w:noProof/>
          </w:rPr>
          <w:t>Afdeling 3.5 Agrarische activiteiten</w:t>
        </w:r>
        <w:r w:rsidR="008B615D">
          <w:rPr>
            <w:noProof/>
            <w:webHidden/>
          </w:rPr>
          <w:tab/>
        </w:r>
        <w:r w:rsidR="008B615D">
          <w:rPr>
            <w:noProof/>
            <w:webHidden/>
          </w:rPr>
          <w:fldChar w:fldCharType="begin"/>
        </w:r>
        <w:r w:rsidR="008B615D">
          <w:rPr>
            <w:noProof/>
            <w:webHidden/>
          </w:rPr>
          <w:instrText xml:space="preserve"> PAGEREF _Toc431375620 \h </w:instrText>
        </w:r>
        <w:r w:rsidR="008B615D">
          <w:rPr>
            <w:noProof/>
            <w:webHidden/>
          </w:rPr>
        </w:r>
        <w:r w:rsidR="008B615D">
          <w:rPr>
            <w:noProof/>
            <w:webHidden/>
          </w:rPr>
          <w:fldChar w:fldCharType="separate"/>
        </w:r>
        <w:r w:rsidR="008B615D">
          <w:rPr>
            <w:noProof/>
            <w:webHidden/>
          </w:rPr>
          <w:t>206</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21" w:history="1">
        <w:r w:rsidR="008B615D" w:rsidRPr="00213E4C">
          <w:rPr>
            <w:rStyle w:val="Hyperlink"/>
            <w:rFonts w:cs="Arial"/>
            <w:noProof/>
          </w:rPr>
          <w:t>§ 3.5.1 Telen of kweken van gewassen in een kas</w:t>
        </w:r>
        <w:r w:rsidR="008B615D">
          <w:rPr>
            <w:noProof/>
            <w:webHidden/>
          </w:rPr>
          <w:tab/>
        </w:r>
        <w:r w:rsidR="008B615D">
          <w:rPr>
            <w:noProof/>
            <w:webHidden/>
          </w:rPr>
          <w:fldChar w:fldCharType="begin"/>
        </w:r>
        <w:r w:rsidR="008B615D">
          <w:rPr>
            <w:noProof/>
            <w:webHidden/>
          </w:rPr>
          <w:instrText xml:space="preserve"> PAGEREF _Toc431375621 \h </w:instrText>
        </w:r>
        <w:r w:rsidR="008B615D">
          <w:rPr>
            <w:noProof/>
            <w:webHidden/>
          </w:rPr>
        </w:r>
        <w:r w:rsidR="008B615D">
          <w:rPr>
            <w:noProof/>
            <w:webHidden/>
          </w:rPr>
          <w:fldChar w:fldCharType="separate"/>
        </w:r>
        <w:r w:rsidR="008B615D">
          <w:rPr>
            <w:noProof/>
            <w:webHidden/>
          </w:rPr>
          <w:t>206</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23" w:history="1">
        <w:r w:rsidR="008B615D" w:rsidRPr="00213E4C">
          <w:rPr>
            <w:rStyle w:val="Hyperlink"/>
            <w:rFonts w:cs="Arial"/>
            <w:noProof/>
          </w:rPr>
          <w:t>§ 3.5.2 Telen en kweken van gewassen in een gebouw, anders dan in een kas</w:t>
        </w:r>
        <w:r w:rsidR="008B615D">
          <w:rPr>
            <w:noProof/>
            <w:webHidden/>
          </w:rPr>
          <w:tab/>
        </w:r>
        <w:r w:rsidR="008B615D">
          <w:rPr>
            <w:noProof/>
            <w:webHidden/>
          </w:rPr>
          <w:fldChar w:fldCharType="begin"/>
        </w:r>
        <w:r w:rsidR="008B615D">
          <w:rPr>
            <w:noProof/>
            <w:webHidden/>
          </w:rPr>
          <w:instrText xml:space="preserve"> PAGEREF _Toc431375623 \h </w:instrText>
        </w:r>
        <w:r w:rsidR="008B615D">
          <w:rPr>
            <w:noProof/>
            <w:webHidden/>
          </w:rPr>
        </w:r>
        <w:r w:rsidR="008B615D">
          <w:rPr>
            <w:noProof/>
            <w:webHidden/>
          </w:rPr>
          <w:fldChar w:fldCharType="separate"/>
        </w:r>
        <w:r w:rsidR="008B615D">
          <w:rPr>
            <w:noProof/>
            <w:webHidden/>
          </w:rPr>
          <w:t>218</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24" w:history="1">
        <w:r w:rsidR="008B615D" w:rsidRPr="00213E4C">
          <w:rPr>
            <w:rStyle w:val="Hyperlink"/>
            <w:rFonts w:cs="Arial"/>
            <w:noProof/>
          </w:rPr>
          <w:t>§ 3.5.3 Telen van gewassen in de open lucht</w:t>
        </w:r>
        <w:r w:rsidR="008B615D">
          <w:rPr>
            <w:noProof/>
            <w:webHidden/>
          </w:rPr>
          <w:tab/>
        </w:r>
        <w:r w:rsidR="008B615D">
          <w:rPr>
            <w:noProof/>
            <w:webHidden/>
          </w:rPr>
          <w:fldChar w:fldCharType="begin"/>
        </w:r>
        <w:r w:rsidR="008B615D">
          <w:rPr>
            <w:noProof/>
            <w:webHidden/>
          </w:rPr>
          <w:instrText xml:space="preserve"> PAGEREF _Toc431375624 \h </w:instrText>
        </w:r>
        <w:r w:rsidR="008B615D">
          <w:rPr>
            <w:noProof/>
            <w:webHidden/>
          </w:rPr>
        </w:r>
        <w:r w:rsidR="008B615D">
          <w:rPr>
            <w:noProof/>
            <w:webHidden/>
          </w:rPr>
          <w:fldChar w:fldCharType="separate"/>
        </w:r>
        <w:r w:rsidR="008B615D">
          <w:rPr>
            <w:noProof/>
            <w:webHidden/>
          </w:rPr>
          <w:t>220</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26" w:history="1">
        <w:r w:rsidR="008B615D" w:rsidRPr="00213E4C">
          <w:rPr>
            <w:rStyle w:val="Hyperlink"/>
            <w:rFonts w:cs="Arial"/>
            <w:noProof/>
          </w:rPr>
          <w:t>§ 3.5.4 Waterbehandeling voor agrarische activiteiten</w:t>
        </w:r>
        <w:r w:rsidR="008B615D">
          <w:rPr>
            <w:noProof/>
            <w:webHidden/>
          </w:rPr>
          <w:tab/>
        </w:r>
        <w:r w:rsidR="008B615D">
          <w:rPr>
            <w:noProof/>
            <w:webHidden/>
          </w:rPr>
          <w:fldChar w:fldCharType="begin"/>
        </w:r>
        <w:r w:rsidR="008B615D">
          <w:rPr>
            <w:noProof/>
            <w:webHidden/>
          </w:rPr>
          <w:instrText xml:space="preserve"> PAGEREF _Toc431375626 \h </w:instrText>
        </w:r>
        <w:r w:rsidR="008B615D">
          <w:rPr>
            <w:noProof/>
            <w:webHidden/>
          </w:rPr>
        </w:r>
        <w:r w:rsidR="008B615D">
          <w:rPr>
            <w:noProof/>
            <w:webHidden/>
          </w:rPr>
          <w:fldChar w:fldCharType="separate"/>
        </w:r>
        <w:r w:rsidR="008B615D">
          <w:rPr>
            <w:noProof/>
            <w:webHidden/>
          </w:rPr>
          <w:t>230</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627" w:history="1">
        <w:r w:rsidR="008B615D" w:rsidRPr="00213E4C">
          <w:rPr>
            <w:rStyle w:val="Hyperlink"/>
            <w:rFonts w:cs="Arial"/>
            <w:noProof/>
          </w:rPr>
          <w:t>§ 3.5.5</w:t>
        </w:r>
        <w:r w:rsidR="008B615D">
          <w:rPr>
            <w:noProof/>
          </w:rPr>
          <w:tab/>
        </w:r>
        <w:r w:rsidR="008B615D" w:rsidRPr="00213E4C">
          <w:rPr>
            <w:rStyle w:val="Hyperlink"/>
            <w:rFonts w:cs="Arial"/>
            <w:noProof/>
          </w:rPr>
          <w:t>Aanmaken of transporteren via vaste leidingen of apparatuur van gewasbeschermingsmiddelen, biociden of bladmeststoffen</w:t>
        </w:r>
        <w:r w:rsidR="008B615D">
          <w:rPr>
            <w:noProof/>
            <w:webHidden/>
          </w:rPr>
          <w:tab/>
        </w:r>
        <w:r w:rsidR="008B615D">
          <w:rPr>
            <w:noProof/>
            <w:webHidden/>
          </w:rPr>
          <w:fldChar w:fldCharType="begin"/>
        </w:r>
        <w:r w:rsidR="008B615D">
          <w:rPr>
            <w:noProof/>
            <w:webHidden/>
          </w:rPr>
          <w:instrText xml:space="preserve"> PAGEREF _Toc431375627 \h </w:instrText>
        </w:r>
        <w:r w:rsidR="008B615D">
          <w:rPr>
            <w:noProof/>
            <w:webHidden/>
          </w:rPr>
        </w:r>
        <w:r w:rsidR="008B615D">
          <w:rPr>
            <w:noProof/>
            <w:webHidden/>
          </w:rPr>
          <w:fldChar w:fldCharType="separate"/>
        </w:r>
        <w:r w:rsidR="008B615D">
          <w:rPr>
            <w:noProof/>
            <w:webHidden/>
          </w:rPr>
          <w:t>231</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629" w:history="1">
        <w:r w:rsidR="008B615D" w:rsidRPr="00213E4C">
          <w:rPr>
            <w:rStyle w:val="Hyperlink"/>
            <w:rFonts w:cs="Arial"/>
            <w:noProof/>
          </w:rPr>
          <w:t>§ 3.5.6</w:t>
        </w:r>
        <w:r w:rsidR="008B615D">
          <w:rPr>
            <w:noProof/>
          </w:rPr>
          <w:tab/>
        </w:r>
        <w:r w:rsidR="008B615D" w:rsidRPr="00213E4C">
          <w:rPr>
            <w:rStyle w:val="Hyperlink"/>
            <w:rFonts w:cs="Arial"/>
            <w:noProof/>
          </w:rPr>
          <w:t>Het behandelen van gewassen</w:t>
        </w:r>
        <w:r w:rsidR="008B615D">
          <w:rPr>
            <w:noProof/>
            <w:webHidden/>
          </w:rPr>
          <w:tab/>
        </w:r>
        <w:r w:rsidR="008B615D">
          <w:rPr>
            <w:noProof/>
            <w:webHidden/>
          </w:rPr>
          <w:fldChar w:fldCharType="begin"/>
        </w:r>
        <w:r w:rsidR="008B615D">
          <w:rPr>
            <w:noProof/>
            <w:webHidden/>
          </w:rPr>
          <w:instrText xml:space="preserve"> PAGEREF _Toc431375629 \h </w:instrText>
        </w:r>
        <w:r w:rsidR="008B615D">
          <w:rPr>
            <w:noProof/>
            <w:webHidden/>
          </w:rPr>
        </w:r>
        <w:r w:rsidR="008B615D">
          <w:rPr>
            <w:noProof/>
            <w:webHidden/>
          </w:rPr>
          <w:fldChar w:fldCharType="separate"/>
        </w:r>
        <w:r w:rsidR="008B615D">
          <w:rPr>
            <w:noProof/>
            <w:webHidden/>
          </w:rPr>
          <w:t>233</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31" w:history="1">
        <w:r w:rsidR="008B615D" w:rsidRPr="00213E4C">
          <w:rPr>
            <w:rStyle w:val="Hyperlink"/>
            <w:rFonts w:cs="Arial"/>
            <w:noProof/>
          </w:rPr>
          <w:t>§ 3.5.7 Composteren</w:t>
        </w:r>
        <w:r w:rsidR="008B615D">
          <w:rPr>
            <w:noProof/>
            <w:webHidden/>
          </w:rPr>
          <w:tab/>
        </w:r>
        <w:r w:rsidR="008B615D">
          <w:rPr>
            <w:noProof/>
            <w:webHidden/>
          </w:rPr>
          <w:fldChar w:fldCharType="begin"/>
        </w:r>
        <w:r w:rsidR="008B615D">
          <w:rPr>
            <w:noProof/>
            <w:webHidden/>
          </w:rPr>
          <w:instrText xml:space="preserve"> PAGEREF _Toc431375631 \h </w:instrText>
        </w:r>
        <w:r w:rsidR="008B615D">
          <w:rPr>
            <w:noProof/>
            <w:webHidden/>
          </w:rPr>
        </w:r>
        <w:r w:rsidR="008B615D">
          <w:rPr>
            <w:noProof/>
            <w:webHidden/>
          </w:rPr>
          <w:fldChar w:fldCharType="separate"/>
        </w:r>
        <w:r w:rsidR="008B615D">
          <w:rPr>
            <w:noProof/>
            <w:webHidden/>
          </w:rPr>
          <w:t>236</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633" w:history="1">
        <w:r w:rsidR="008B615D" w:rsidRPr="00213E4C">
          <w:rPr>
            <w:rStyle w:val="Hyperlink"/>
            <w:rFonts w:cs="Arial"/>
            <w:noProof/>
          </w:rPr>
          <w:t>§ 3.5.8</w:t>
        </w:r>
        <w:r w:rsidR="008B615D">
          <w:rPr>
            <w:noProof/>
          </w:rPr>
          <w:tab/>
        </w:r>
        <w:r w:rsidR="008B615D" w:rsidRPr="00213E4C">
          <w:rPr>
            <w:rStyle w:val="Hyperlink"/>
            <w:rFonts w:cs="Arial"/>
            <w:noProof/>
          </w:rPr>
          <w:t>Houden van landbouwhuisdieren in dierenverblijven</w:t>
        </w:r>
        <w:r w:rsidR="008B615D">
          <w:rPr>
            <w:noProof/>
            <w:webHidden/>
          </w:rPr>
          <w:tab/>
        </w:r>
        <w:r w:rsidR="008B615D">
          <w:rPr>
            <w:noProof/>
            <w:webHidden/>
          </w:rPr>
          <w:fldChar w:fldCharType="begin"/>
        </w:r>
        <w:r w:rsidR="008B615D">
          <w:rPr>
            <w:noProof/>
            <w:webHidden/>
          </w:rPr>
          <w:instrText xml:space="preserve"> PAGEREF _Toc431375633 \h </w:instrText>
        </w:r>
        <w:r w:rsidR="008B615D">
          <w:rPr>
            <w:noProof/>
            <w:webHidden/>
          </w:rPr>
        </w:r>
        <w:r w:rsidR="008B615D">
          <w:rPr>
            <w:noProof/>
            <w:webHidden/>
          </w:rPr>
          <w:fldChar w:fldCharType="separate"/>
        </w:r>
        <w:r w:rsidR="008B615D">
          <w:rPr>
            <w:noProof/>
            <w:webHidden/>
          </w:rPr>
          <w:t>237</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35" w:history="1">
        <w:r w:rsidR="008B615D" w:rsidRPr="00213E4C">
          <w:rPr>
            <w:rStyle w:val="Hyperlink"/>
            <w:noProof/>
          </w:rPr>
          <w:t>§ 3.5.9. Bereiden van brijvoer voor eigen landbouwhuisdieren</w:t>
        </w:r>
        <w:r w:rsidR="008B615D">
          <w:rPr>
            <w:noProof/>
            <w:webHidden/>
          </w:rPr>
          <w:tab/>
        </w:r>
        <w:r w:rsidR="008B615D">
          <w:rPr>
            <w:noProof/>
            <w:webHidden/>
          </w:rPr>
          <w:fldChar w:fldCharType="begin"/>
        </w:r>
        <w:r w:rsidR="008B615D">
          <w:rPr>
            <w:noProof/>
            <w:webHidden/>
          </w:rPr>
          <w:instrText xml:space="preserve"> PAGEREF _Toc431375635 \h </w:instrText>
        </w:r>
        <w:r w:rsidR="008B615D">
          <w:rPr>
            <w:noProof/>
            <w:webHidden/>
          </w:rPr>
        </w:r>
        <w:r w:rsidR="008B615D">
          <w:rPr>
            <w:noProof/>
            <w:webHidden/>
          </w:rPr>
          <w:fldChar w:fldCharType="separate"/>
        </w:r>
        <w:r w:rsidR="008B615D">
          <w:rPr>
            <w:noProof/>
            <w:webHidden/>
          </w:rPr>
          <w:t>245</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37" w:history="1">
        <w:r w:rsidR="008B615D" w:rsidRPr="00213E4C">
          <w:rPr>
            <w:rStyle w:val="Hyperlink"/>
            <w:noProof/>
          </w:rPr>
          <w:t>§ 3.5.10. Kleinschalig vergisten van uitsluitend dierlijke meststoffen</w:t>
        </w:r>
        <w:r w:rsidR="008B615D">
          <w:rPr>
            <w:noProof/>
            <w:webHidden/>
          </w:rPr>
          <w:tab/>
        </w:r>
        <w:r w:rsidR="008B615D">
          <w:rPr>
            <w:noProof/>
            <w:webHidden/>
          </w:rPr>
          <w:fldChar w:fldCharType="begin"/>
        </w:r>
        <w:r w:rsidR="008B615D">
          <w:rPr>
            <w:noProof/>
            <w:webHidden/>
          </w:rPr>
          <w:instrText xml:space="preserve"> PAGEREF _Toc431375637 \h </w:instrText>
        </w:r>
        <w:r w:rsidR="008B615D">
          <w:rPr>
            <w:noProof/>
            <w:webHidden/>
          </w:rPr>
        </w:r>
        <w:r w:rsidR="008B615D">
          <w:rPr>
            <w:noProof/>
            <w:webHidden/>
          </w:rPr>
          <w:fldChar w:fldCharType="separate"/>
        </w:r>
        <w:r w:rsidR="008B615D">
          <w:rPr>
            <w:noProof/>
            <w:webHidden/>
          </w:rPr>
          <w:t>246</w:t>
        </w:r>
        <w:r w:rsidR="008B615D">
          <w:rPr>
            <w:noProof/>
            <w:webHidden/>
          </w:rPr>
          <w:fldChar w:fldCharType="end"/>
        </w:r>
      </w:hyperlink>
    </w:p>
    <w:p w:rsidR="008B615D" w:rsidRDefault="00C428B8" w:rsidP="00263727">
      <w:pPr>
        <w:pStyle w:val="Inhopg2"/>
        <w:tabs>
          <w:tab w:val="left" w:pos="1760"/>
          <w:tab w:val="right" w:leader="dot" w:pos="9061"/>
        </w:tabs>
        <w:spacing w:line="240" w:lineRule="auto"/>
        <w:rPr>
          <w:noProof/>
        </w:rPr>
      </w:pPr>
      <w:hyperlink w:anchor="_Toc431375639" w:history="1">
        <w:r w:rsidR="008B615D" w:rsidRPr="00213E4C">
          <w:rPr>
            <w:rStyle w:val="Hyperlink"/>
            <w:noProof/>
          </w:rPr>
          <w:t>Afdeling 3.6.</w:t>
        </w:r>
        <w:r w:rsidR="008B615D">
          <w:rPr>
            <w:noProof/>
          </w:rPr>
          <w:tab/>
        </w:r>
        <w:r w:rsidR="008B615D" w:rsidRPr="00213E4C">
          <w:rPr>
            <w:rStyle w:val="Hyperlink"/>
            <w:noProof/>
          </w:rPr>
          <w:t>Voedingsmiddelen</w:t>
        </w:r>
        <w:r w:rsidR="008B615D">
          <w:rPr>
            <w:noProof/>
            <w:webHidden/>
          </w:rPr>
          <w:tab/>
        </w:r>
        <w:r w:rsidR="008B615D">
          <w:rPr>
            <w:noProof/>
            <w:webHidden/>
          </w:rPr>
          <w:fldChar w:fldCharType="begin"/>
        </w:r>
        <w:r w:rsidR="008B615D">
          <w:rPr>
            <w:noProof/>
            <w:webHidden/>
          </w:rPr>
          <w:instrText xml:space="preserve"> PAGEREF _Toc431375639 \h </w:instrText>
        </w:r>
        <w:r w:rsidR="008B615D">
          <w:rPr>
            <w:noProof/>
            <w:webHidden/>
          </w:rPr>
        </w:r>
        <w:r w:rsidR="008B615D">
          <w:rPr>
            <w:noProof/>
            <w:webHidden/>
          </w:rPr>
          <w:fldChar w:fldCharType="separate"/>
        </w:r>
        <w:r w:rsidR="008B615D">
          <w:rPr>
            <w:noProof/>
            <w:webHidden/>
          </w:rPr>
          <w:t>250</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40" w:history="1">
        <w:r w:rsidR="008B615D" w:rsidRPr="00213E4C">
          <w:rPr>
            <w:rStyle w:val="Hyperlink"/>
            <w:noProof/>
          </w:rPr>
          <w:t>§ 3.6.1.</w:t>
        </w:r>
        <w:r w:rsidR="008B615D">
          <w:rPr>
            <w:noProof/>
          </w:rPr>
          <w:tab/>
        </w:r>
        <w:r w:rsidR="008B615D" w:rsidRPr="00213E4C">
          <w:rPr>
            <w:rStyle w:val="Hyperlink"/>
            <w:noProof/>
          </w:rPr>
          <w:t>Bereiden van voedingsmiddelen</w:t>
        </w:r>
        <w:r w:rsidR="008B615D">
          <w:rPr>
            <w:noProof/>
            <w:webHidden/>
          </w:rPr>
          <w:tab/>
        </w:r>
        <w:r w:rsidR="008B615D">
          <w:rPr>
            <w:noProof/>
            <w:webHidden/>
          </w:rPr>
          <w:fldChar w:fldCharType="begin"/>
        </w:r>
        <w:r w:rsidR="008B615D">
          <w:rPr>
            <w:noProof/>
            <w:webHidden/>
          </w:rPr>
          <w:instrText xml:space="preserve"> PAGEREF _Toc431375640 \h </w:instrText>
        </w:r>
        <w:r w:rsidR="008B615D">
          <w:rPr>
            <w:noProof/>
            <w:webHidden/>
          </w:rPr>
        </w:r>
        <w:r w:rsidR="008B615D">
          <w:rPr>
            <w:noProof/>
            <w:webHidden/>
          </w:rPr>
          <w:fldChar w:fldCharType="separate"/>
        </w:r>
        <w:r w:rsidR="008B615D">
          <w:rPr>
            <w:noProof/>
            <w:webHidden/>
          </w:rPr>
          <w:t>250</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42" w:history="1">
        <w:r w:rsidR="008B615D" w:rsidRPr="00213E4C">
          <w:rPr>
            <w:rStyle w:val="Hyperlink"/>
            <w:noProof/>
          </w:rPr>
          <w:t>§ 3.6.2.</w:t>
        </w:r>
        <w:r w:rsidR="008B615D">
          <w:rPr>
            <w:noProof/>
          </w:rPr>
          <w:tab/>
        </w:r>
        <w:r w:rsidR="008B615D" w:rsidRPr="00213E4C">
          <w:rPr>
            <w:rStyle w:val="Hyperlink"/>
            <w:noProof/>
          </w:rPr>
          <w:t>Slachten van dieren, uitsnijden van vlees of vis of bewerken van dierlijke bijproducten</w:t>
        </w:r>
        <w:r w:rsidR="008B615D">
          <w:rPr>
            <w:noProof/>
            <w:webHidden/>
          </w:rPr>
          <w:tab/>
        </w:r>
        <w:r w:rsidR="008B615D">
          <w:rPr>
            <w:noProof/>
            <w:webHidden/>
          </w:rPr>
          <w:fldChar w:fldCharType="begin"/>
        </w:r>
        <w:r w:rsidR="008B615D">
          <w:rPr>
            <w:noProof/>
            <w:webHidden/>
          </w:rPr>
          <w:instrText xml:space="preserve"> PAGEREF _Toc431375642 \h </w:instrText>
        </w:r>
        <w:r w:rsidR="008B615D">
          <w:rPr>
            <w:noProof/>
            <w:webHidden/>
          </w:rPr>
        </w:r>
        <w:r w:rsidR="008B615D">
          <w:rPr>
            <w:noProof/>
            <w:webHidden/>
          </w:rPr>
          <w:fldChar w:fldCharType="separate"/>
        </w:r>
        <w:r w:rsidR="008B615D">
          <w:rPr>
            <w:noProof/>
            <w:webHidden/>
          </w:rPr>
          <w:t>252</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44" w:history="1">
        <w:r w:rsidR="008B615D" w:rsidRPr="00213E4C">
          <w:rPr>
            <w:rStyle w:val="Hyperlink"/>
            <w:noProof/>
          </w:rPr>
          <w:t>§ 3.6.3.</w:t>
        </w:r>
        <w:r w:rsidR="008B615D">
          <w:rPr>
            <w:noProof/>
          </w:rPr>
          <w:tab/>
        </w:r>
        <w:r w:rsidR="008B615D" w:rsidRPr="00213E4C">
          <w:rPr>
            <w:rStyle w:val="Hyperlink"/>
            <w:noProof/>
          </w:rPr>
          <w:t>Industrieel vervaardigen of bewerken van voedingsmiddelen of dranken</w:t>
        </w:r>
        <w:r w:rsidR="008B615D">
          <w:rPr>
            <w:noProof/>
            <w:webHidden/>
          </w:rPr>
          <w:tab/>
        </w:r>
        <w:r w:rsidR="008B615D">
          <w:rPr>
            <w:noProof/>
            <w:webHidden/>
          </w:rPr>
          <w:fldChar w:fldCharType="begin"/>
        </w:r>
        <w:r w:rsidR="008B615D">
          <w:rPr>
            <w:noProof/>
            <w:webHidden/>
          </w:rPr>
          <w:instrText xml:space="preserve"> PAGEREF _Toc431375644 \h </w:instrText>
        </w:r>
        <w:r w:rsidR="008B615D">
          <w:rPr>
            <w:noProof/>
            <w:webHidden/>
          </w:rPr>
        </w:r>
        <w:r w:rsidR="008B615D">
          <w:rPr>
            <w:noProof/>
            <w:webHidden/>
          </w:rPr>
          <w:fldChar w:fldCharType="separate"/>
        </w:r>
        <w:r w:rsidR="008B615D">
          <w:rPr>
            <w:noProof/>
            <w:webHidden/>
          </w:rPr>
          <w:t>254</w:t>
        </w:r>
        <w:r w:rsidR="008B615D">
          <w:rPr>
            <w:noProof/>
            <w:webHidden/>
          </w:rPr>
          <w:fldChar w:fldCharType="end"/>
        </w:r>
      </w:hyperlink>
    </w:p>
    <w:p w:rsidR="008B615D" w:rsidRDefault="00C428B8" w:rsidP="00263727">
      <w:pPr>
        <w:pStyle w:val="Inhopg2"/>
        <w:tabs>
          <w:tab w:val="left" w:pos="1760"/>
          <w:tab w:val="right" w:leader="dot" w:pos="9061"/>
        </w:tabs>
        <w:spacing w:line="240" w:lineRule="auto"/>
        <w:rPr>
          <w:noProof/>
        </w:rPr>
      </w:pPr>
      <w:hyperlink w:anchor="_Toc431375646" w:history="1">
        <w:r w:rsidR="008B615D" w:rsidRPr="00213E4C">
          <w:rPr>
            <w:rStyle w:val="Hyperlink"/>
            <w:noProof/>
          </w:rPr>
          <w:t>Afdeling 3.7.</w:t>
        </w:r>
        <w:r w:rsidR="008B615D">
          <w:rPr>
            <w:noProof/>
          </w:rPr>
          <w:tab/>
        </w:r>
        <w:r w:rsidR="008B615D" w:rsidRPr="00213E4C">
          <w:rPr>
            <w:rStyle w:val="Hyperlink"/>
            <w:noProof/>
          </w:rPr>
          <w:t>Sport en recreatie</w:t>
        </w:r>
        <w:r w:rsidR="008B615D">
          <w:rPr>
            <w:noProof/>
            <w:webHidden/>
          </w:rPr>
          <w:tab/>
        </w:r>
        <w:r w:rsidR="008B615D">
          <w:rPr>
            <w:noProof/>
            <w:webHidden/>
          </w:rPr>
          <w:fldChar w:fldCharType="begin"/>
        </w:r>
        <w:r w:rsidR="008B615D">
          <w:rPr>
            <w:noProof/>
            <w:webHidden/>
          </w:rPr>
          <w:instrText xml:space="preserve"> PAGEREF _Toc431375646 \h </w:instrText>
        </w:r>
        <w:r w:rsidR="008B615D">
          <w:rPr>
            <w:noProof/>
            <w:webHidden/>
          </w:rPr>
        </w:r>
        <w:r w:rsidR="008B615D">
          <w:rPr>
            <w:noProof/>
            <w:webHidden/>
          </w:rPr>
          <w:fldChar w:fldCharType="separate"/>
        </w:r>
        <w:r w:rsidR="008B615D">
          <w:rPr>
            <w:noProof/>
            <w:webHidden/>
          </w:rPr>
          <w:t>257</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47" w:history="1">
        <w:r w:rsidR="008B615D" w:rsidRPr="00213E4C">
          <w:rPr>
            <w:rStyle w:val="Hyperlink"/>
            <w:noProof/>
          </w:rPr>
          <w:t>§ 3.7.1.</w:t>
        </w:r>
        <w:r w:rsidR="008B615D">
          <w:rPr>
            <w:noProof/>
          </w:rPr>
          <w:tab/>
        </w:r>
        <w:r w:rsidR="008B615D" w:rsidRPr="00213E4C">
          <w:rPr>
            <w:rStyle w:val="Hyperlink"/>
            <w:noProof/>
          </w:rPr>
          <w:t>Binnenschietbanen</w:t>
        </w:r>
        <w:r w:rsidR="008B615D">
          <w:rPr>
            <w:noProof/>
            <w:webHidden/>
          </w:rPr>
          <w:tab/>
        </w:r>
        <w:r w:rsidR="008B615D">
          <w:rPr>
            <w:noProof/>
            <w:webHidden/>
          </w:rPr>
          <w:fldChar w:fldCharType="begin"/>
        </w:r>
        <w:r w:rsidR="008B615D">
          <w:rPr>
            <w:noProof/>
            <w:webHidden/>
          </w:rPr>
          <w:instrText xml:space="preserve"> PAGEREF _Toc431375647 \h </w:instrText>
        </w:r>
        <w:r w:rsidR="008B615D">
          <w:rPr>
            <w:noProof/>
            <w:webHidden/>
          </w:rPr>
        </w:r>
        <w:r w:rsidR="008B615D">
          <w:rPr>
            <w:noProof/>
            <w:webHidden/>
          </w:rPr>
          <w:fldChar w:fldCharType="separate"/>
        </w:r>
        <w:r w:rsidR="008B615D">
          <w:rPr>
            <w:noProof/>
            <w:webHidden/>
          </w:rPr>
          <w:t>257</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49" w:history="1">
        <w:r w:rsidR="008B615D" w:rsidRPr="00213E4C">
          <w:rPr>
            <w:rStyle w:val="Hyperlink"/>
            <w:noProof/>
          </w:rPr>
          <w:t>§ 3.7.2.</w:t>
        </w:r>
        <w:r w:rsidR="008B615D">
          <w:rPr>
            <w:noProof/>
          </w:rPr>
          <w:tab/>
        </w:r>
        <w:r w:rsidR="008B615D" w:rsidRPr="00213E4C">
          <w:rPr>
            <w:rStyle w:val="Hyperlink"/>
            <w:noProof/>
          </w:rPr>
          <w:t>Traditioneel schieten</w:t>
        </w:r>
        <w:r w:rsidR="008B615D">
          <w:rPr>
            <w:noProof/>
            <w:webHidden/>
          </w:rPr>
          <w:tab/>
        </w:r>
        <w:r w:rsidR="008B615D">
          <w:rPr>
            <w:noProof/>
            <w:webHidden/>
          </w:rPr>
          <w:fldChar w:fldCharType="begin"/>
        </w:r>
        <w:r w:rsidR="008B615D">
          <w:rPr>
            <w:noProof/>
            <w:webHidden/>
          </w:rPr>
          <w:instrText xml:space="preserve"> PAGEREF _Toc431375649 \h </w:instrText>
        </w:r>
        <w:r w:rsidR="008B615D">
          <w:rPr>
            <w:noProof/>
            <w:webHidden/>
          </w:rPr>
        </w:r>
        <w:r w:rsidR="008B615D">
          <w:rPr>
            <w:noProof/>
            <w:webHidden/>
          </w:rPr>
          <w:fldChar w:fldCharType="separate"/>
        </w:r>
        <w:r w:rsidR="008B615D">
          <w:rPr>
            <w:noProof/>
            <w:webHidden/>
          </w:rPr>
          <w:t>260</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51" w:history="1">
        <w:r w:rsidR="008B615D" w:rsidRPr="00213E4C">
          <w:rPr>
            <w:rStyle w:val="Hyperlink"/>
            <w:noProof/>
          </w:rPr>
          <w:t>§ 3.7.3.</w:t>
        </w:r>
        <w:r w:rsidR="008B615D">
          <w:rPr>
            <w:noProof/>
          </w:rPr>
          <w:tab/>
        </w:r>
        <w:r w:rsidR="008B615D" w:rsidRPr="00213E4C">
          <w:rPr>
            <w:rStyle w:val="Hyperlink"/>
            <w:noProof/>
          </w:rPr>
          <w:t>Bieden van gelegenheid voor het beoefenen van sport in de buitenlucht</w:t>
        </w:r>
        <w:r w:rsidR="008B615D">
          <w:rPr>
            <w:noProof/>
            <w:webHidden/>
          </w:rPr>
          <w:tab/>
        </w:r>
        <w:r w:rsidR="008B615D">
          <w:rPr>
            <w:noProof/>
            <w:webHidden/>
          </w:rPr>
          <w:fldChar w:fldCharType="begin"/>
        </w:r>
        <w:r w:rsidR="008B615D">
          <w:rPr>
            <w:noProof/>
            <w:webHidden/>
          </w:rPr>
          <w:instrText xml:space="preserve"> PAGEREF _Toc431375651 \h </w:instrText>
        </w:r>
        <w:r w:rsidR="008B615D">
          <w:rPr>
            <w:noProof/>
            <w:webHidden/>
          </w:rPr>
        </w:r>
        <w:r w:rsidR="008B615D">
          <w:rPr>
            <w:noProof/>
            <w:webHidden/>
          </w:rPr>
          <w:fldChar w:fldCharType="separate"/>
        </w:r>
        <w:r w:rsidR="008B615D">
          <w:rPr>
            <w:noProof/>
            <w:webHidden/>
          </w:rPr>
          <w:t>261</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52" w:history="1">
        <w:r w:rsidR="008B615D" w:rsidRPr="00213E4C">
          <w:rPr>
            <w:rStyle w:val="Hyperlink"/>
            <w:noProof/>
          </w:rPr>
          <w:t>§ 3.7.4.</w:t>
        </w:r>
        <w:r w:rsidR="008B615D">
          <w:rPr>
            <w:noProof/>
          </w:rPr>
          <w:tab/>
        </w:r>
        <w:r w:rsidR="008B615D" w:rsidRPr="00213E4C">
          <w:rPr>
            <w:rStyle w:val="Hyperlink"/>
            <w:noProof/>
          </w:rPr>
          <w:t>Recreatieve visvijvers</w:t>
        </w:r>
        <w:r w:rsidR="008B615D">
          <w:rPr>
            <w:noProof/>
            <w:webHidden/>
          </w:rPr>
          <w:tab/>
        </w:r>
        <w:r w:rsidR="008B615D">
          <w:rPr>
            <w:noProof/>
            <w:webHidden/>
          </w:rPr>
          <w:fldChar w:fldCharType="begin"/>
        </w:r>
        <w:r w:rsidR="008B615D">
          <w:rPr>
            <w:noProof/>
            <w:webHidden/>
          </w:rPr>
          <w:instrText xml:space="preserve"> PAGEREF _Toc431375652 \h </w:instrText>
        </w:r>
        <w:r w:rsidR="008B615D">
          <w:rPr>
            <w:noProof/>
            <w:webHidden/>
          </w:rPr>
        </w:r>
        <w:r w:rsidR="008B615D">
          <w:rPr>
            <w:noProof/>
            <w:webHidden/>
          </w:rPr>
          <w:fldChar w:fldCharType="separate"/>
        </w:r>
        <w:r w:rsidR="008B615D">
          <w:rPr>
            <w:noProof/>
            <w:webHidden/>
          </w:rPr>
          <w:t>262</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53" w:history="1">
        <w:r w:rsidR="008B615D" w:rsidRPr="00213E4C">
          <w:rPr>
            <w:rStyle w:val="Hyperlink"/>
            <w:noProof/>
          </w:rPr>
          <w:t>§ 3.7.5.</w:t>
        </w:r>
        <w:r w:rsidR="008B615D">
          <w:rPr>
            <w:noProof/>
          </w:rPr>
          <w:tab/>
        </w:r>
        <w:r w:rsidR="008B615D" w:rsidRPr="00213E4C">
          <w:rPr>
            <w:rStyle w:val="Hyperlink"/>
            <w:noProof/>
          </w:rPr>
          <w:t>Gebruiken van gewasbeschermingsmiddelen op sport- of recreatieterreinen.</w:t>
        </w:r>
        <w:r w:rsidR="008B615D">
          <w:rPr>
            <w:noProof/>
            <w:webHidden/>
          </w:rPr>
          <w:tab/>
        </w:r>
        <w:r w:rsidR="008B615D">
          <w:rPr>
            <w:noProof/>
            <w:webHidden/>
          </w:rPr>
          <w:fldChar w:fldCharType="begin"/>
        </w:r>
        <w:r w:rsidR="008B615D">
          <w:rPr>
            <w:noProof/>
            <w:webHidden/>
          </w:rPr>
          <w:instrText xml:space="preserve"> PAGEREF _Toc431375653 \h </w:instrText>
        </w:r>
        <w:r w:rsidR="008B615D">
          <w:rPr>
            <w:noProof/>
            <w:webHidden/>
          </w:rPr>
        </w:r>
        <w:r w:rsidR="008B615D">
          <w:rPr>
            <w:noProof/>
            <w:webHidden/>
          </w:rPr>
          <w:fldChar w:fldCharType="separate"/>
        </w:r>
        <w:r w:rsidR="008B615D">
          <w:rPr>
            <w:noProof/>
            <w:webHidden/>
          </w:rPr>
          <w:t>262</w:t>
        </w:r>
        <w:r w:rsidR="008B615D">
          <w:rPr>
            <w:noProof/>
            <w:webHidden/>
          </w:rPr>
          <w:fldChar w:fldCharType="end"/>
        </w:r>
      </w:hyperlink>
    </w:p>
    <w:p w:rsidR="008B615D" w:rsidRDefault="00C428B8" w:rsidP="00263727">
      <w:pPr>
        <w:pStyle w:val="Inhopg2"/>
        <w:tabs>
          <w:tab w:val="left" w:pos="1760"/>
          <w:tab w:val="right" w:leader="dot" w:pos="9061"/>
        </w:tabs>
        <w:spacing w:line="240" w:lineRule="auto"/>
        <w:rPr>
          <w:noProof/>
        </w:rPr>
      </w:pPr>
      <w:hyperlink w:anchor="_Toc431375654" w:history="1">
        <w:r w:rsidR="008B615D" w:rsidRPr="00213E4C">
          <w:rPr>
            <w:rStyle w:val="Hyperlink"/>
            <w:noProof/>
          </w:rPr>
          <w:t>Afdeling 3.8.</w:t>
        </w:r>
        <w:r w:rsidR="008B615D">
          <w:rPr>
            <w:noProof/>
          </w:rPr>
          <w:tab/>
        </w:r>
        <w:r w:rsidR="008B615D" w:rsidRPr="00213E4C">
          <w:rPr>
            <w:rStyle w:val="Hyperlink"/>
            <w:noProof/>
          </w:rPr>
          <w:t>Overige activiteiten</w:t>
        </w:r>
        <w:r w:rsidR="008B615D">
          <w:rPr>
            <w:noProof/>
            <w:webHidden/>
          </w:rPr>
          <w:tab/>
        </w:r>
        <w:r w:rsidR="008B615D">
          <w:rPr>
            <w:noProof/>
            <w:webHidden/>
          </w:rPr>
          <w:fldChar w:fldCharType="begin"/>
        </w:r>
        <w:r w:rsidR="008B615D">
          <w:rPr>
            <w:noProof/>
            <w:webHidden/>
          </w:rPr>
          <w:instrText xml:space="preserve"> PAGEREF _Toc431375654 \h </w:instrText>
        </w:r>
        <w:r w:rsidR="008B615D">
          <w:rPr>
            <w:noProof/>
            <w:webHidden/>
          </w:rPr>
        </w:r>
        <w:r w:rsidR="008B615D">
          <w:rPr>
            <w:noProof/>
            <w:webHidden/>
          </w:rPr>
          <w:fldChar w:fldCharType="separate"/>
        </w:r>
        <w:r w:rsidR="008B615D">
          <w:rPr>
            <w:noProof/>
            <w:webHidden/>
          </w:rPr>
          <w:t>262</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55" w:history="1">
        <w:r w:rsidR="008B615D" w:rsidRPr="00213E4C">
          <w:rPr>
            <w:rStyle w:val="Hyperlink"/>
            <w:noProof/>
          </w:rPr>
          <w:t>§ 3.8.1.</w:t>
        </w:r>
        <w:r w:rsidR="008B615D">
          <w:rPr>
            <w:noProof/>
          </w:rPr>
          <w:tab/>
        </w:r>
        <w:r w:rsidR="008B615D" w:rsidRPr="00213E4C">
          <w:rPr>
            <w:rStyle w:val="Hyperlink"/>
            <w:noProof/>
          </w:rPr>
          <w:t>Tandheelkunde</w:t>
        </w:r>
        <w:r w:rsidR="008B615D">
          <w:rPr>
            <w:noProof/>
            <w:webHidden/>
          </w:rPr>
          <w:tab/>
        </w:r>
        <w:r w:rsidR="008B615D">
          <w:rPr>
            <w:noProof/>
            <w:webHidden/>
          </w:rPr>
          <w:fldChar w:fldCharType="begin"/>
        </w:r>
        <w:r w:rsidR="008B615D">
          <w:rPr>
            <w:noProof/>
            <w:webHidden/>
          </w:rPr>
          <w:instrText xml:space="preserve"> PAGEREF _Toc431375655 \h </w:instrText>
        </w:r>
        <w:r w:rsidR="008B615D">
          <w:rPr>
            <w:noProof/>
            <w:webHidden/>
          </w:rPr>
        </w:r>
        <w:r w:rsidR="008B615D">
          <w:rPr>
            <w:noProof/>
            <w:webHidden/>
          </w:rPr>
          <w:fldChar w:fldCharType="separate"/>
        </w:r>
        <w:r w:rsidR="008B615D">
          <w:rPr>
            <w:noProof/>
            <w:webHidden/>
          </w:rPr>
          <w:t>262</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56" w:history="1">
        <w:r w:rsidR="008B615D" w:rsidRPr="00213E4C">
          <w:rPr>
            <w:rStyle w:val="Hyperlink"/>
            <w:noProof/>
          </w:rPr>
          <w:t>§ 3.8.2.</w:t>
        </w:r>
        <w:r w:rsidR="008B615D">
          <w:rPr>
            <w:noProof/>
          </w:rPr>
          <w:tab/>
        </w:r>
        <w:r w:rsidR="008B615D" w:rsidRPr="00213E4C">
          <w:rPr>
            <w:rStyle w:val="Hyperlink"/>
            <w:noProof/>
          </w:rPr>
          <w:t>Gemeentelijke milieustraat</w:t>
        </w:r>
        <w:r w:rsidR="008B615D">
          <w:rPr>
            <w:noProof/>
            <w:webHidden/>
          </w:rPr>
          <w:tab/>
        </w:r>
        <w:r w:rsidR="008B615D">
          <w:rPr>
            <w:noProof/>
            <w:webHidden/>
          </w:rPr>
          <w:fldChar w:fldCharType="begin"/>
        </w:r>
        <w:r w:rsidR="008B615D">
          <w:rPr>
            <w:noProof/>
            <w:webHidden/>
          </w:rPr>
          <w:instrText xml:space="preserve"> PAGEREF _Toc431375656 \h </w:instrText>
        </w:r>
        <w:r w:rsidR="008B615D">
          <w:rPr>
            <w:noProof/>
            <w:webHidden/>
          </w:rPr>
        </w:r>
        <w:r w:rsidR="008B615D">
          <w:rPr>
            <w:noProof/>
            <w:webHidden/>
          </w:rPr>
          <w:fldChar w:fldCharType="separate"/>
        </w:r>
        <w:r w:rsidR="008B615D">
          <w:rPr>
            <w:noProof/>
            <w:webHidden/>
          </w:rPr>
          <w:t>263</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58" w:history="1">
        <w:r w:rsidR="008B615D" w:rsidRPr="00213E4C">
          <w:rPr>
            <w:rStyle w:val="Hyperlink"/>
            <w:noProof/>
          </w:rPr>
          <w:t>§ 3.8.3. Buitenschietbanen</w:t>
        </w:r>
        <w:r w:rsidR="008B615D">
          <w:rPr>
            <w:noProof/>
            <w:webHidden/>
          </w:rPr>
          <w:tab/>
        </w:r>
        <w:r w:rsidR="008B615D">
          <w:rPr>
            <w:noProof/>
            <w:webHidden/>
          </w:rPr>
          <w:fldChar w:fldCharType="begin"/>
        </w:r>
        <w:r w:rsidR="008B615D">
          <w:rPr>
            <w:noProof/>
            <w:webHidden/>
          </w:rPr>
          <w:instrText xml:space="preserve"> PAGEREF _Toc431375658 \h </w:instrText>
        </w:r>
        <w:r w:rsidR="008B615D">
          <w:rPr>
            <w:noProof/>
            <w:webHidden/>
          </w:rPr>
        </w:r>
        <w:r w:rsidR="008B615D">
          <w:rPr>
            <w:noProof/>
            <w:webHidden/>
          </w:rPr>
          <w:fldChar w:fldCharType="separate"/>
        </w:r>
        <w:r w:rsidR="008B615D">
          <w:rPr>
            <w:noProof/>
            <w:webHidden/>
          </w:rPr>
          <w:t>264</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60" w:history="1">
        <w:r w:rsidR="008B615D" w:rsidRPr="00213E4C">
          <w:rPr>
            <w:rStyle w:val="Hyperlink"/>
            <w:noProof/>
          </w:rPr>
          <w:t>§ 3.8.4 Coaten of lijmen van planten of onderdelen van planten</w:t>
        </w:r>
        <w:r w:rsidR="008B615D">
          <w:rPr>
            <w:noProof/>
            <w:webHidden/>
          </w:rPr>
          <w:tab/>
        </w:r>
        <w:r w:rsidR="008B615D">
          <w:rPr>
            <w:noProof/>
            <w:webHidden/>
          </w:rPr>
          <w:fldChar w:fldCharType="begin"/>
        </w:r>
        <w:r w:rsidR="008B615D">
          <w:rPr>
            <w:noProof/>
            <w:webHidden/>
          </w:rPr>
          <w:instrText xml:space="preserve"> PAGEREF _Toc431375660 \h </w:instrText>
        </w:r>
        <w:r w:rsidR="008B615D">
          <w:rPr>
            <w:noProof/>
            <w:webHidden/>
          </w:rPr>
        </w:r>
        <w:r w:rsidR="008B615D">
          <w:rPr>
            <w:noProof/>
            <w:webHidden/>
          </w:rPr>
          <w:fldChar w:fldCharType="separate"/>
        </w:r>
        <w:r w:rsidR="008B615D">
          <w:rPr>
            <w:noProof/>
            <w:webHidden/>
          </w:rPr>
          <w:t>268</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662" w:history="1">
        <w:r w:rsidR="008B615D" w:rsidRPr="00213E4C">
          <w:rPr>
            <w:rStyle w:val="Hyperlink"/>
            <w:noProof/>
          </w:rPr>
          <w:t>§ 3.8.5 Fokken, houden of trainen van vogels of zoogdieren</w:t>
        </w:r>
        <w:r w:rsidR="008B615D">
          <w:rPr>
            <w:noProof/>
            <w:webHidden/>
          </w:rPr>
          <w:tab/>
        </w:r>
        <w:r w:rsidR="008B615D">
          <w:rPr>
            <w:noProof/>
            <w:webHidden/>
          </w:rPr>
          <w:fldChar w:fldCharType="begin"/>
        </w:r>
        <w:r w:rsidR="008B615D">
          <w:rPr>
            <w:noProof/>
            <w:webHidden/>
          </w:rPr>
          <w:instrText xml:space="preserve"> PAGEREF _Toc431375662 \h </w:instrText>
        </w:r>
        <w:r w:rsidR="008B615D">
          <w:rPr>
            <w:noProof/>
            <w:webHidden/>
          </w:rPr>
        </w:r>
        <w:r w:rsidR="008B615D">
          <w:rPr>
            <w:noProof/>
            <w:webHidden/>
          </w:rPr>
          <w:fldChar w:fldCharType="separate"/>
        </w:r>
        <w:r w:rsidR="008B615D">
          <w:rPr>
            <w:noProof/>
            <w:webHidden/>
          </w:rPr>
          <w:t>270</w:t>
        </w:r>
        <w:r w:rsidR="008B615D">
          <w:rPr>
            <w:noProof/>
            <w:webHidden/>
          </w:rPr>
          <w:fldChar w:fldCharType="end"/>
        </w:r>
      </w:hyperlink>
    </w:p>
    <w:p w:rsidR="008B615D" w:rsidRDefault="00C428B8" w:rsidP="00263727">
      <w:pPr>
        <w:pStyle w:val="Inhopg1"/>
        <w:tabs>
          <w:tab w:val="right" w:leader="dot" w:pos="9061"/>
        </w:tabs>
        <w:spacing w:line="240" w:lineRule="auto"/>
        <w:rPr>
          <w:noProof/>
        </w:rPr>
      </w:pPr>
      <w:hyperlink w:anchor="_Toc431375664" w:history="1">
        <w:r w:rsidR="008B615D" w:rsidRPr="00213E4C">
          <w:rPr>
            <w:rStyle w:val="Hyperlink"/>
            <w:rFonts w:cs="Arial"/>
            <w:noProof/>
          </w:rPr>
          <w:t>Hoofdstuk 4. Bepalingen met betrekking tot overige activiteiten; geldend voor een inrichting type A of een inrichting type B</w:t>
        </w:r>
        <w:r w:rsidR="008B615D">
          <w:rPr>
            <w:noProof/>
            <w:webHidden/>
          </w:rPr>
          <w:tab/>
        </w:r>
        <w:r w:rsidR="008B615D">
          <w:rPr>
            <w:noProof/>
            <w:webHidden/>
          </w:rPr>
          <w:fldChar w:fldCharType="begin"/>
        </w:r>
        <w:r w:rsidR="008B615D">
          <w:rPr>
            <w:noProof/>
            <w:webHidden/>
          </w:rPr>
          <w:instrText xml:space="preserve"> PAGEREF _Toc431375664 \h </w:instrText>
        </w:r>
        <w:r w:rsidR="008B615D">
          <w:rPr>
            <w:noProof/>
            <w:webHidden/>
          </w:rPr>
        </w:r>
        <w:r w:rsidR="008B615D">
          <w:rPr>
            <w:noProof/>
            <w:webHidden/>
          </w:rPr>
          <w:fldChar w:fldCharType="separate"/>
        </w:r>
        <w:r w:rsidR="008B615D">
          <w:rPr>
            <w:noProof/>
            <w:webHidden/>
          </w:rPr>
          <w:t>271</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665" w:history="1">
        <w:r w:rsidR="008B615D" w:rsidRPr="00213E4C">
          <w:rPr>
            <w:rStyle w:val="Hyperlink"/>
            <w:noProof/>
          </w:rPr>
          <w:t>Afdeling 4.0. Reikwijdte hoofdstuk 4</w:t>
        </w:r>
        <w:r w:rsidR="008B615D">
          <w:rPr>
            <w:noProof/>
            <w:webHidden/>
          </w:rPr>
          <w:tab/>
        </w:r>
        <w:r w:rsidR="008B615D">
          <w:rPr>
            <w:noProof/>
            <w:webHidden/>
          </w:rPr>
          <w:fldChar w:fldCharType="begin"/>
        </w:r>
        <w:r w:rsidR="008B615D">
          <w:rPr>
            <w:noProof/>
            <w:webHidden/>
          </w:rPr>
          <w:instrText xml:space="preserve"> PAGEREF _Toc431375665 \h </w:instrText>
        </w:r>
        <w:r w:rsidR="008B615D">
          <w:rPr>
            <w:noProof/>
            <w:webHidden/>
          </w:rPr>
        </w:r>
        <w:r w:rsidR="008B615D">
          <w:rPr>
            <w:noProof/>
            <w:webHidden/>
          </w:rPr>
          <w:fldChar w:fldCharType="separate"/>
        </w:r>
        <w:r w:rsidR="008B615D">
          <w:rPr>
            <w:noProof/>
            <w:webHidden/>
          </w:rPr>
          <w:t>271</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666" w:history="1">
        <w:r w:rsidR="008B615D" w:rsidRPr="00213E4C">
          <w:rPr>
            <w:rStyle w:val="Hyperlink"/>
            <w:rFonts w:cs="Arial"/>
            <w:noProof/>
          </w:rPr>
          <w:t>Afdeling 4.1. Op- en overslaan van gevaarlijke en andere stoffen en gassen en het vullen van gasflessen</w:t>
        </w:r>
        <w:r w:rsidR="008B615D">
          <w:rPr>
            <w:noProof/>
            <w:webHidden/>
          </w:rPr>
          <w:tab/>
        </w:r>
        <w:r w:rsidR="008B615D">
          <w:rPr>
            <w:noProof/>
            <w:webHidden/>
          </w:rPr>
          <w:fldChar w:fldCharType="begin"/>
        </w:r>
        <w:r w:rsidR="008B615D">
          <w:rPr>
            <w:noProof/>
            <w:webHidden/>
          </w:rPr>
          <w:instrText xml:space="preserve"> PAGEREF _Toc431375666 \h </w:instrText>
        </w:r>
        <w:r w:rsidR="008B615D">
          <w:rPr>
            <w:noProof/>
            <w:webHidden/>
          </w:rPr>
        </w:r>
        <w:r w:rsidR="008B615D">
          <w:rPr>
            <w:noProof/>
            <w:webHidden/>
          </w:rPr>
          <w:fldChar w:fldCharType="separate"/>
        </w:r>
        <w:r w:rsidR="008B615D">
          <w:rPr>
            <w:noProof/>
            <w:webHidden/>
          </w:rPr>
          <w:t>271</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67" w:history="1">
        <w:r w:rsidR="008B615D" w:rsidRPr="00213E4C">
          <w:rPr>
            <w:rStyle w:val="Hyperlink"/>
            <w:noProof/>
          </w:rPr>
          <w:t>§ 4.1.1.</w:t>
        </w:r>
        <w:r w:rsidR="008B615D">
          <w:rPr>
            <w:noProof/>
          </w:rPr>
          <w:tab/>
        </w:r>
        <w:r w:rsidR="008B615D" w:rsidRPr="00213E4C">
          <w:rPr>
            <w:rStyle w:val="Hyperlink"/>
            <w:noProof/>
          </w:rPr>
          <w:t>Opslaan van gevaarlijke stoffen, CMR-stoffen of bodembedreigende stoffen in verpakking, niet zijnde vuurwerk, pyrotechnische artikelen voor theatergebruik, andere ontplofbare stoffen, bepaalde organische peroxiden, asbest, gedemonteerde airbags, gordelspanners of vaste kunstmeststoffen.</w:t>
        </w:r>
        <w:r w:rsidR="008B615D">
          <w:rPr>
            <w:noProof/>
            <w:webHidden/>
          </w:rPr>
          <w:tab/>
        </w:r>
        <w:r w:rsidR="008B615D">
          <w:rPr>
            <w:noProof/>
            <w:webHidden/>
          </w:rPr>
          <w:fldChar w:fldCharType="begin"/>
        </w:r>
        <w:r w:rsidR="008B615D">
          <w:rPr>
            <w:noProof/>
            <w:webHidden/>
          </w:rPr>
          <w:instrText xml:space="preserve"> PAGEREF _Toc431375667 \h </w:instrText>
        </w:r>
        <w:r w:rsidR="008B615D">
          <w:rPr>
            <w:noProof/>
            <w:webHidden/>
          </w:rPr>
        </w:r>
        <w:r w:rsidR="008B615D">
          <w:rPr>
            <w:noProof/>
            <w:webHidden/>
          </w:rPr>
          <w:fldChar w:fldCharType="separate"/>
        </w:r>
        <w:r w:rsidR="008B615D">
          <w:rPr>
            <w:noProof/>
            <w:webHidden/>
          </w:rPr>
          <w:t>271</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69" w:history="1">
        <w:r w:rsidR="008B615D" w:rsidRPr="00213E4C">
          <w:rPr>
            <w:rStyle w:val="Hyperlink"/>
            <w:rFonts w:cs="Arial"/>
            <w:noProof/>
          </w:rPr>
          <w:t>§ 4.1.2.</w:t>
        </w:r>
        <w:r w:rsidR="008B615D">
          <w:rPr>
            <w:noProof/>
          </w:rPr>
          <w:tab/>
        </w:r>
        <w:r w:rsidR="008B615D" w:rsidRPr="00213E4C">
          <w:rPr>
            <w:rStyle w:val="Hyperlink"/>
            <w:rFonts w:cs="Arial"/>
            <w:noProof/>
          </w:rPr>
          <w:t>Opslaan van vuurwerk, pyrotechnische artikelen voor theatergebruik of andere ontplofbare stoffen.</w:t>
        </w:r>
        <w:r w:rsidR="008B615D">
          <w:rPr>
            <w:noProof/>
            <w:webHidden/>
          </w:rPr>
          <w:tab/>
        </w:r>
        <w:r w:rsidR="008B615D">
          <w:rPr>
            <w:noProof/>
            <w:webHidden/>
          </w:rPr>
          <w:fldChar w:fldCharType="begin"/>
        </w:r>
        <w:r w:rsidR="008B615D">
          <w:rPr>
            <w:noProof/>
            <w:webHidden/>
          </w:rPr>
          <w:instrText xml:space="preserve"> PAGEREF _Toc431375669 \h </w:instrText>
        </w:r>
        <w:r w:rsidR="008B615D">
          <w:rPr>
            <w:noProof/>
            <w:webHidden/>
          </w:rPr>
        </w:r>
        <w:r w:rsidR="008B615D">
          <w:rPr>
            <w:noProof/>
            <w:webHidden/>
          </w:rPr>
          <w:fldChar w:fldCharType="separate"/>
        </w:r>
        <w:r w:rsidR="008B615D">
          <w:rPr>
            <w:noProof/>
            <w:webHidden/>
          </w:rPr>
          <w:t>282</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671" w:history="1">
        <w:r w:rsidR="008B615D" w:rsidRPr="00213E4C">
          <w:rPr>
            <w:rStyle w:val="Hyperlink"/>
            <w:rFonts w:cs="Arial"/>
            <w:noProof/>
          </w:rPr>
          <w:t>§ 4.1.3</w:t>
        </w:r>
        <w:r w:rsidR="008B615D">
          <w:rPr>
            <w:noProof/>
          </w:rPr>
          <w:tab/>
        </w:r>
        <w:r w:rsidR="008B615D" w:rsidRPr="00213E4C">
          <w:rPr>
            <w:rStyle w:val="Hyperlink"/>
            <w:rFonts w:cs="Arial"/>
            <w:noProof/>
          </w:rPr>
          <w:t>Opslaan van stoffen in opslagtanks</w:t>
        </w:r>
        <w:r w:rsidR="008B615D">
          <w:rPr>
            <w:noProof/>
            <w:webHidden/>
          </w:rPr>
          <w:tab/>
        </w:r>
        <w:r w:rsidR="008B615D">
          <w:rPr>
            <w:noProof/>
            <w:webHidden/>
          </w:rPr>
          <w:fldChar w:fldCharType="begin"/>
        </w:r>
        <w:r w:rsidR="008B615D">
          <w:rPr>
            <w:noProof/>
            <w:webHidden/>
          </w:rPr>
          <w:instrText xml:space="preserve"> PAGEREF _Toc431375671 \h </w:instrText>
        </w:r>
        <w:r w:rsidR="008B615D">
          <w:rPr>
            <w:noProof/>
            <w:webHidden/>
          </w:rPr>
        </w:r>
        <w:r w:rsidR="008B615D">
          <w:rPr>
            <w:noProof/>
            <w:webHidden/>
          </w:rPr>
          <w:fldChar w:fldCharType="separate"/>
        </w:r>
        <w:r w:rsidR="008B615D">
          <w:rPr>
            <w:noProof/>
            <w:webHidden/>
          </w:rPr>
          <w:t>284</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72" w:history="1">
        <w:r w:rsidR="008B615D" w:rsidRPr="00213E4C">
          <w:rPr>
            <w:rStyle w:val="Hyperlink"/>
            <w:noProof/>
          </w:rPr>
          <w:t>§ 4.1.3.1.</w:t>
        </w:r>
        <w:r w:rsidR="008B615D">
          <w:rPr>
            <w:noProof/>
          </w:rPr>
          <w:tab/>
        </w:r>
        <w:r w:rsidR="008B615D" w:rsidRPr="00213E4C">
          <w:rPr>
            <w:rStyle w:val="Hyperlink"/>
            <w:noProof/>
          </w:rPr>
          <w:t>Opslaan van stoffen klasse 5.1 van het ADR en stoffen klasse 8 van het ADR verpakkingsgroep II en III zonder bijkomend gevaar, halfzware olie, PER, polyesterhars of andere vloeibare bodembedreigende stoffen, niet zijnde gevaarlijke stoffen, CMR-stoffen, smeerolie of afgewerkte olie, in bovengrondse opslagtanks</w:t>
        </w:r>
        <w:r w:rsidR="008B615D">
          <w:rPr>
            <w:noProof/>
            <w:webHidden/>
          </w:rPr>
          <w:tab/>
        </w:r>
        <w:r w:rsidR="008B615D">
          <w:rPr>
            <w:noProof/>
            <w:webHidden/>
          </w:rPr>
          <w:fldChar w:fldCharType="begin"/>
        </w:r>
        <w:r w:rsidR="008B615D">
          <w:rPr>
            <w:noProof/>
            <w:webHidden/>
          </w:rPr>
          <w:instrText xml:space="preserve"> PAGEREF _Toc431375672 \h </w:instrText>
        </w:r>
        <w:r w:rsidR="008B615D">
          <w:rPr>
            <w:noProof/>
            <w:webHidden/>
          </w:rPr>
        </w:r>
        <w:r w:rsidR="008B615D">
          <w:rPr>
            <w:noProof/>
            <w:webHidden/>
          </w:rPr>
          <w:fldChar w:fldCharType="separate"/>
        </w:r>
        <w:r w:rsidR="008B615D">
          <w:rPr>
            <w:noProof/>
            <w:webHidden/>
          </w:rPr>
          <w:t>286</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75" w:history="1">
        <w:r w:rsidR="008B615D" w:rsidRPr="00213E4C">
          <w:rPr>
            <w:rStyle w:val="Hyperlink"/>
            <w:noProof/>
          </w:rPr>
          <w:t>§ 4.1.3.2.</w:t>
        </w:r>
        <w:r w:rsidR="008B615D">
          <w:rPr>
            <w:noProof/>
          </w:rPr>
          <w:tab/>
        </w:r>
        <w:r w:rsidR="008B615D" w:rsidRPr="00213E4C">
          <w:rPr>
            <w:rStyle w:val="Hyperlink"/>
            <w:noProof/>
          </w:rPr>
          <w:t>Opslaan van zuurstof, koolzuur, lucht, argon, helium of stikstof in een bovengrondse stationaire opslagtank</w:t>
        </w:r>
        <w:r w:rsidR="008B615D">
          <w:rPr>
            <w:noProof/>
            <w:webHidden/>
          </w:rPr>
          <w:tab/>
        </w:r>
        <w:r w:rsidR="008B615D">
          <w:rPr>
            <w:noProof/>
            <w:webHidden/>
          </w:rPr>
          <w:fldChar w:fldCharType="begin"/>
        </w:r>
        <w:r w:rsidR="008B615D">
          <w:rPr>
            <w:noProof/>
            <w:webHidden/>
          </w:rPr>
          <w:instrText xml:space="preserve"> PAGEREF _Toc431375675 \h </w:instrText>
        </w:r>
        <w:r w:rsidR="008B615D">
          <w:rPr>
            <w:noProof/>
            <w:webHidden/>
          </w:rPr>
        </w:r>
        <w:r w:rsidR="008B615D">
          <w:rPr>
            <w:noProof/>
            <w:webHidden/>
          </w:rPr>
          <w:fldChar w:fldCharType="separate"/>
        </w:r>
        <w:r w:rsidR="008B615D">
          <w:rPr>
            <w:noProof/>
            <w:webHidden/>
          </w:rPr>
          <w:t>298</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76" w:history="1">
        <w:r w:rsidR="008B615D" w:rsidRPr="00213E4C">
          <w:rPr>
            <w:rStyle w:val="Hyperlink"/>
            <w:noProof/>
          </w:rPr>
          <w:t>§ 4.1.3.3.</w:t>
        </w:r>
        <w:r w:rsidR="008B615D">
          <w:rPr>
            <w:noProof/>
          </w:rPr>
          <w:tab/>
        </w:r>
        <w:r w:rsidR="008B615D" w:rsidRPr="00213E4C">
          <w:rPr>
            <w:rStyle w:val="Hyperlink"/>
            <w:noProof/>
          </w:rPr>
          <w:t>Opslaan van propeen</w:t>
        </w:r>
        <w:r w:rsidR="008B615D">
          <w:rPr>
            <w:noProof/>
            <w:webHidden/>
          </w:rPr>
          <w:tab/>
        </w:r>
        <w:r w:rsidR="008B615D">
          <w:rPr>
            <w:noProof/>
            <w:webHidden/>
          </w:rPr>
          <w:fldChar w:fldCharType="begin"/>
        </w:r>
        <w:r w:rsidR="008B615D">
          <w:rPr>
            <w:noProof/>
            <w:webHidden/>
          </w:rPr>
          <w:instrText xml:space="preserve"> PAGEREF _Toc431375676 \h </w:instrText>
        </w:r>
        <w:r w:rsidR="008B615D">
          <w:rPr>
            <w:noProof/>
            <w:webHidden/>
          </w:rPr>
        </w:r>
        <w:r w:rsidR="008B615D">
          <w:rPr>
            <w:noProof/>
            <w:webHidden/>
          </w:rPr>
          <w:fldChar w:fldCharType="separate"/>
        </w:r>
        <w:r w:rsidR="008B615D">
          <w:rPr>
            <w:noProof/>
            <w:webHidden/>
          </w:rPr>
          <w:t>299</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677" w:history="1">
        <w:r w:rsidR="008B615D" w:rsidRPr="00213E4C">
          <w:rPr>
            <w:rStyle w:val="Hyperlink"/>
            <w:rFonts w:cs="Arial"/>
            <w:noProof/>
          </w:rPr>
          <w:t>§ 4.1.4</w:t>
        </w:r>
        <w:r w:rsidR="008B615D">
          <w:rPr>
            <w:noProof/>
          </w:rPr>
          <w:tab/>
        </w:r>
        <w:r w:rsidR="008B615D" w:rsidRPr="00213E4C">
          <w:rPr>
            <w:rStyle w:val="Hyperlink"/>
            <w:rFonts w:cs="Arial"/>
            <w:noProof/>
          </w:rPr>
          <w:t>Parkeren van vervoerseenheden met gevaarlijke stoffen</w:t>
        </w:r>
        <w:r w:rsidR="008B615D">
          <w:rPr>
            <w:noProof/>
            <w:webHidden/>
          </w:rPr>
          <w:tab/>
        </w:r>
        <w:r w:rsidR="008B615D">
          <w:rPr>
            <w:noProof/>
            <w:webHidden/>
          </w:rPr>
          <w:fldChar w:fldCharType="begin"/>
        </w:r>
        <w:r w:rsidR="008B615D">
          <w:rPr>
            <w:noProof/>
            <w:webHidden/>
          </w:rPr>
          <w:instrText xml:space="preserve"> PAGEREF _Toc431375677 \h </w:instrText>
        </w:r>
        <w:r w:rsidR="008B615D">
          <w:rPr>
            <w:noProof/>
            <w:webHidden/>
          </w:rPr>
        </w:r>
        <w:r w:rsidR="008B615D">
          <w:rPr>
            <w:noProof/>
            <w:webHidden/>
          </w:rPr>
          <w:fldChar w:fldCharType="separate"/>
        </w:r>
        <w:r w:rsidR="008B615D">
          <w:rPr>
            <w:noProof/>
            <w:webHidden/>
          </w:rPr>
          <w:t>300</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79" w:history="1">
        <w:r w:rsidR="008B615D" w:rsidRPr="00213E4C">
          <w:rPr>
            <w:rStyle w:val="Hyperlink"/>
            <w:noProof/>
          </w:rPr>
          <w:t>§ 4.1.5.</w:t>
        </w:r>
        <w:r w:rsidR="008B615D">
          <w:rPr>
            <w:noProof/>
          </w:rPr>
          <w:tab/>
        </w:r>
        <w:r w:rsidR="008B615D" w:rsidRPr="00213E4C">
          <w:rPr>
            <w:rStyle w:val="Hyperlink"/>
            <w:noProof/>
          </w:rPr>
          <w:t>Gebruik of opslag van bepaalde organische peroxiden</w:t>
        </w:r>
        <w:r w:rsidR="008B615D">
          <w:rPr>
            <w:noProof/>
            <w:webHidden/>
          </w:rPr>
          <w:tab/>
        </w:r>
        <w:r w:rsidR="008B615D">
          <w:rPr>
            <w:noProof/>
            <w:webHidden/>
          </w:rPr>
          <w:fldChar w:fldCharType="begin"/>
        </w:r>
        <w:r w:rsidR="008B615D">
          <w:rPr>
            <w:noProof/>
            <w:webHidden/>
          </w:rPr>
          <w:instrText xml:space="preserve"> PAGEREF _Toc431375679 \h </w:instrText>
        </w:r>
        <w:r w:rsidR="008B615D">
          <w:rPr>
            <w:noProof/>
            <w:webHidden/>
          </w:rPr>
        </w:r>
        <w:r w:rsidR="008B615D">
          <w:rPr>
            <w:noProof/>
            <w:webHidden/>
          </w:rPr>
          <w:fldChar w:fldCharType="separate"/>
        </w:r>
        <w:r w:rsidR="008B615D">
          <w:rPr>
            <w:noProof/>
            <w:webHidden/>
          </w:rPr>
          <w:t>300</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681" w:history="1">
        <w:r w:rsidR="008B615D" w:rsidRPr="00213E4C">
          <w:rPr>
            <w:rStyle w:val="Hyperlink"/>
            <w:rFonts w:cs="Arial"/>
            <w:noProof/>
          </w:rPr>
          <w:t>§ 4.1.7</w:t>
        </w:r>
        <w:r w:rsidR="008B615D">
          <w:rPr>
            <w:noProof/>
          </w:rPr>
          <w:tab/>
        </w:r>
        <w:r w:rsidR="008B615D" w:rsidRPr="00213E4C">
          <w:rPr>
            <w:rStyle w:val="Hyperlink"/>
            <w:rFonts w:cs="Arial"/>
            <w:noProof/>
          </w:rPr>
          <w:t>Opslaan van vaste kunstmeststoffen</w:t>
        </w:r>
        <w:r w:rsidR="008B615D">
          <w:rPr>
            <w:noProof/>
            <w:webHidden/>
          </w:rPr>
          <w:tab/>
        </w:r>
        <w:r w:rsidR="008B615D">
          <w:rPr>
            <w:noProof/>
            <w:webHidden/>
          </w:rPr>
          <w:fldChar w:fldCharType="begin"/>
        </w:r>
        <w:r w:rsidR="008B615D">
          <w:rPr>
            <w:noProof/>
            <w:webHidden/>
          </w:rPr>
          <w:instrText xml:space="preserve"> PAGEREF _Toc431375681 \h </w:instrText>
        </w:r>
        <w:r w:rsidR="008B615D">
          <w:rPr>
            <w:noProof/>
            <w:webHidden/>
          </w:rPr>
        </w:r>
        <w:r w:rsidR="008B615D">
          <w:rPr>
            <w:noProof/>
            <w:webHidden/>
          </w:rPr>
          <w:fldChar w:fldCharType="separate"/>
        </w:r>
        <w:r w:rsidR="008B615D">
          <w:rPr>
            <w:noProof/>
            <w:webHidden/>
          </w:rPr>
          <w:t>303</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683" w:history="1">
        <w:r w:rsidR="008B615D" w:rsidRPr="00213E4C">
          <w:rPr>
            <w:rStyle w:val="Hyperlink"/>
            <w:rFonts w:cs="Arial"/>
            <w:noProof/>
          </w:rPr>
          <w:t>Afdeling 4.3. Activiteiten met betrekking tot hout of kurk</w:t>
        </w:r>
        <w:r w:rsidR="008B615D">
          <w:rPr>
            <w:noProof/>
            <w:webHidden/>
          </w:rPr>
          <w:tab/>
        </w:r>
        <w:r w:rsidR="008B615D">
          <w:rPr>
            <w:noProof/>
            <w:webHidden/>
          </w:rPr>
          <w:fldChar w:fldCharType="begin"/>
        </w:r>
        <w:r w:rsidR="008B615D">
          <w:rPr>
            <w:noProof/>
            <w:webHidden/>
          </w:rPr>
          <w:instrText xml:space="preserve"> PAGEREF _Toc431375683 \h </w:instrText>
        </w:r>
        <w:r w:rsidR="008B615D">
          <w:rPr>
            <w:noProof/>
            <w:webHidden/>
          </w:rPr>
        </w:r>
        <w:r w:rsidR="008B615D">
          <w:rPr>
            <w:noProof/>
            <w:webHidden/>
          </w:rPr>
          <w:fldChar w:fldCharType="separate"/>
        </w:r>
        <w:r w:rsidR="008B615D">
          <w:rPr>
            <w:noProof/>
            <w:webHidden/>
          </w:rPr>
          <w:t>304</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684" w:history="1">
        <w:r w:rsidR="008B615D" w:rsidRPr="00213E4C">
          <w:rPr>
            <w:rStyle w:val="Hyperlink"/>
            <w:rFonts w:cs="Arial"/>
            <w:noProof/>
          </w:rPr>
          <w:t>§ 4.3.1</w:t>
        </w:r>
        <w:r w:rsidR="008B615D">
          <w:rPr>
            <w:noProof/>
          </w:rPr>
          <w:tab/>
        </w:r>
        <w:r w:rsidR="008B615D" w:rsidRPr="00213E4C">
          <w:rPr>
            <w:rStyle w:val="Hyperlink"/>
            <w:rFonts w:cs="Arial"/>
            <w:noProof/>
          </w:rPr>
          <w:t>Mechanische bewerkingen van hout of kurk dan wel van houten, kurken of houtachtige voorwerpen</w:t>
        </w:r>
        <w:r w:rsidR="008B615D">
          <w:rPr>
            <w:noProof/>
            <w:webHidden/>
          </w:rPr>
          <w:tab/>
        </w:r>
        <w:r w:rsidR="008B615D">
          <w:rPr>
            <w:noProof/>
            <w:webHidden/>
          </w:rPr>
          <w:fldChar w:fldCharType="begin"/>
        </w:r>
        <w:r w:rsidR="008B615D">
          <w:rPr>
            <w:noProof/>
            <w:webHidden/>
          </w:rPr>
          <w:instrText xml:space="preserve"> PAGEREF _Toc431375684 \h </w:instrText>
        </w:r>
        <w:r w:rsidR="008B615D">
          <w:rPr>
            <w:noProof/>
            <w:webHidden/>
          </w:rPr>
        </w:r>
        <w:r w:rsidR="008B615D">
          <w:rPr>
            <w:noProof/>
            <w:webHidden/>
          </w:rPr>
          <w:fldChar w:fldCharType="separate"/>
        </w:r>
        <w:r w:rsidR="008B615D">
          <w:rPr>
            <w:noProof/>
            <w:webHidden/>
          </w:rPr>
          <w:t>304</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686" w:history="1">
        <w:r w:rsidR="008B615D" w:rsidRPr="00213E4C">
          <w:rPr>
            <w:rStyle w:val="Hyperlink"/>
            <w:rFonts w:cs="Arial"/>
            <w:noProof/>
          </w:rPr>
          <w:t>§ 4.3.2</w:t>
        </w:r>
        <w:r w:rsidR="008B615D">
          <w:rPr>
            <w:noProof/>
          </w:rPr>
          <w:tab/>
        </w:r>
        <w:r w:rsidR="008B615D" w:rsidRPr="00213E4C">
          <w:rPr>
            <w:rStyle w:val="Hyperlink"/>
            <w:rFonts w:cs="Arial"/>
            <w:noProof/>
          </w:rPr>
          <w:t>Reinigen, coaten of lijmen van hout of kurk dan wel van houten, kurken of houtachtige voorwerpen</w:t>
        </w:r>
        <w:r w:rsidR="008B615D">
          <w:rPr>
            <w:noProof/>
            <w:webHidden/>
          </w:rPr>
          <w:tab/>
        </w:r>
        <w:r w:rsidR="008B615D">
          <w:rPr>
            <w:noProof/>
            <w:webHidden/>
          </w:rPr>
          <w:fldChar w:fldCharType="begin"/>
        </w:r>
        <w:r w:rsidR="008B615D">
          <w:rPr>
            <w:noProof/>
            <w:webHidden/>
          </w:rPr>
          <w:instrText xml:space="preserve"> PAGEREF _Toc431375686 \h </w:instrText>
        </w:r>
        <w:r w:rsidR="008B615D">
          <w:rPr>
            <w:noProof/>
            <w:webHidden/>
          </w:rPr>
        </w:r>
        <w:r w:rsidR="008B615D">
          <w:rPr>
            <w:noProof/>
            <w:webHidden/>
          </w:rPr>
          <w:fldChar w:fldCharType="separate"/>
        </w:r>
        <w:r w:rsidR="008B615D">
          <w:rPr>
            <w:noProof/>
            <w:webHidden/>
          </w:rPr>
          <w:t>305</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688" w:history="1">
        <w:r w:rsidR="008B615D" w:rsidRPr="00213E4C">
          <w:rPr>
            <w:rStyle w:val="Hyperlink"/>
            <w:rFonts w:cs="Arial"/>
            <w:noProof/>
          </w:rPr>
          <w:t>Afdeling 4.4. Activiteiten met betrekking tot rubber of kunststof</w:t>
        </w:r>
        <w:r w:rsidR="008B615D">
          <w:rPr>
            <w:noProof/>
            <w:webHidden/>
          </w:rPr>
          <w:tab/>
        </w:r>
        <w:r w:rsidR="008B615D">
          <w:rPr>
            <w:noProof/>
            <w:webHidden/>
          </w:rPr>
          <w:fldChar w:fldCharType="begin"/>
        </w:r>
        <w:r w:rsidR="008B615D">
          <w:rPr>
            <w:noProof/>
            <w:webHidden/>
          </w:rPr>
          <w:instrText xml:space="preserve"> PAGEREF _Toc431375688 \h </w:instrText>
        </w:r>
        <w:r w:rsidR="008B615D">
          <w:rPr>
            <w:noProof/>
            <w:webHidden/>
          </w:rPr>
        </w:r>
        <w:r w:rsidR="008B615D">
          <w:rPr>
            <w:noProof/>
            <w:webHidden/>
          </w:rPr>
          <w:fldChar w:fldCharType="separate"/>
        </w:r>
        <w:r w:rsidR="008B615D">
          <w:rPr>
            <w:noProof/>
            <w:webHidden/>
          </w:rPr>
          <w:t>309</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89" w:history="1">
        <w:r w:rsidR="008B615D" w:rsidRPr="00213E4C">
          <w:rPr>
            <w:rStyle w:val="Hyperlink"/>
            <w:noProof/>
          </w:rPr>
          <w:t>§ 4.4.1.</w:t>
        </w:r>
        <w:r w:rsidR="008B615D">
          <w:rPr>
            <w:noProof/>
          </w:rPr>
          <w:tab/>
        </w:r>
        <w:r w:rsidR="008B615D" w:rsidRPr="00213E4C">
          <w:rPr>
            <w:rStyle w:val="Hyperlink"/>
            <w:noProof/>
          </w:rPr>
          <w:t>Mechanische bewerkingen van rubber, kunststof of rubber- of kunststofproducten</w:t>
        </w:r>
        <w:r w:rsidR="008B615D">
          <w:rPr>
            <w:noProof/>
            <w:webHidden/>
          </w:rPr>
          <w:tab/>
        </w:r>
        <w:r w:rsidR="008B615D">
          <w:rPr>
            <w:noProof/>
            <w:webHidden/>
          </w:rPr>
          <w:fldChar w:fldCharType="begin"/>
        </w:r>
        <w:r w:rsidR="008B615D">
          <w:rPr>
            <w:noProof/>
            <w:webHidden/>
          </w:rPr>
          <w:instrText xml:space="preserve"> PAGEREF _Toc431375689 \h </w:instrText>
        </w:r>
        <w:r w:rsidR="008B615D">
          <w:rPr>
            <w:noProof/>
            <w:webHidden/>
          </w:rPr>
        </w:r>
        <w:r w:rsidR="008B615D">
          <w:rPr>
            <w:noProof/>
            <w:webHidden/>
          </w:rPr>
          <w:fldChar w:fldCharType="separate"/>
        </w:r>
        <w:r w:rsidR="008B615D">
          <w:rPr>
            <w:noProof/>
            <w:webHidden/>
          </w:rPr>
          <w:t>309</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91" w:history="1">
        <w:r w:rsidR="008B615D" w:rsidRPr="00213E4C">
          <w:rPr>
            <w:rStyle w:val="Hyperlink"/>
            <w:rFonts w:cs="Arial"/>
            <w:noProof/>
          </w:rPr>
          <w:t>§ 4.4.2.</w:t>
        </w:r>
        <w:r w:rsidR="008B615D">
          <w:rPr>
            <w:noProof/>
          </w:rPr>
          <w:tab/>
        </w:r>
        <w:r w:rsidR="008B615D" w:rsidRPr="00213E4C">
          <w:rPr>
            <w:rStyle w:val="Hyperlink"/>
            <w:rFonts w:cs="Arial"/>
            <w:noProof/>
          </w:rPr>
          <w:t>Reinigen, coaten of lijmen van rubber, kunststof of rubber- of kunststofproducten.</w:t>
        </w:r>
        <w:r w:rsidR="008B615D">
          <w:rPr>
            <w:noProof/>
            <w:webHidden/>
          </w:rPr>
          <w:tab/>
        </w:r>
        <w:r w:rsidR="008B615D">
          <w:rPr>
            <w:noProof/>
            <w:webHidden/>
          </w:rPr>
          <w:fldChar w:fldCharType="begin"/>
        </w:r>
        <w:r w:rsidR="008B615D">
          <w:rPr>
            <w:noProof/>
            <w:webHidden/>
          </w:rPr>
          <w:instrText xml:space="preserve"> PAGEREF _Toc431375691 \h </w:instrText>
        </w:r>
        <w:r w:rsidR="008B615D">
          <w:rPr>
            <w:noProof/>
            <w:webHidden/>
          </w:rPr>
        </w:r>
        <w:r w:rsidR="008B615D">
          <w:rPr>
            <w:noProof/>
            <w:webHidden/>
          </w:rPr>
          <w:fldChar w:fldCharType="separate"/>
        </w:r>
        <w:r w:rsidR="008B615D">
          <w:rPr>
            <w:noProof/>
            <w:webHidden/>
          </w:rPr>
          <w:t>310</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93" w:history="1">
        <w:r w:rsidR="008B615D" w:rsidRPr="00213E4C">
          <w:rPr>
            <w:rStyle w:val="Hyperlink"/>
            <w:noProof/>
          </w:rPr>
          <w:t>§ 4.4.3.</w:t>
        </w:r>
        <w:r w:rsidR="008B615D">
          <w:rPr>
            <w:noProof/>
          </w:rPr>
          <w:tab/>
        </w:r>
        <w:r w:rsidR="008B615D" w:rsidRPr="00213E4C">
          <w:rPr>
            <w:rStyle w:val="Hyperlink"/>
            <w:noProof/>
          </w:rPr>
          <w:t>Wegen of mengen van rubbercompounds of het verwerken van rubber, thermoplastisch kunststof of polyesterhars</w:t>
        </w:r>
        <w:r w:rsidR="008B615D">
          <w:rPr>
            <w:noProof/>
            <w:webHidden/>
          </w:rPr>
          <w:tab/>
        </w:r>
        <w:r w:rsidR="008B615D">
          <w:rPr>
            <w:noProof/>
            <w:webHidden/>
          </w:rPr>
          <w:fldChar w:fldCharType="begin"/>
        </w:r>
        <w:r w:rsidR="008B615D">
          <w:rPr>
            <w:noProof/>
            <w:webHidden/>
          </w:rPr>
          <w:instrText xml:space="preserve"> PAGEREF _Toc431375693 \h </w:instrText>
        </w:r>
        <w:r w:rsidR="008B615D">
          <w:rPr>
            <w:noProof/>
            <w:webHidden/>
          </w:rPr>
        </w:r>
        <w:r w:rsidR="008B615D">
          <w:rPr>
            <w:noProof/>
            <w:webHidden/>
          </w:rPr>
          <w:fldChar w:fldCharType="separate"/>
        </w:r>
        <w:r w:rsidR="008B615D">
          <w:rPr>
            <w:noProof/>
            <w:webHidden/>
          </w:rPr>
          <w:t>314</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695" w:history="1">
        <w:r w:rsidR="008B615D" w:rsidRPr="00213E4C">
          <w:rPr>
            <w:rStyle w:val="Hyperlink"/>
            <w:rFonts w:cs="Arial"/>
            <w:noProof/>
          </w:rPr>
          <w:t>Afdeling 4.5. Activiteiten met betrekking tot metaal</w:t>
        </w:r>
        <w:r w:rsidR="008B615D">
          <w:rPr>
            <w:noProof/>
            <w:webHidden/>
          </w:rPr>
          <w:tab/>
        </w:r>
        <w:r w:rsidR="008B615D">
          <w:rPr>
            <w:noProof/>
            <w:webHidden/>
          </w:rPr>
          <w:fldChar w:fldCharType="begin"/>
        </w:r>
        <w:r w:rsidR="008B615D">
          <w:rPr>
            <w:noProof/>
            <w:webHidden/>
          </w:rPr>
          <w:instrText xml:space="preserve"> PAGEREF _Toc431375695 \h </w:instrText>
        </w:r>
        <w:r w:rsidR="008B615D">
          <w:rPr>
            <w:noProof/>
            <w:webHidden/>
          </w:rPr>
        </w:r>
        <w:r w:rsidR="008B615D">
          <w:rPr>
            <w:noProof/>
            <w:webHidden/>
          </w:rPr>
          <w:fldChar w:fldCharType="separate"/>
        </w:r>
        <w:r w:rsidR="008B615D">
          <w:rPr>
            <w:noProof/>
            <w:webHidden/>
          </w:rPr>
          <w:t>316</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696" w:history="1">
        <w:r w:rsidR="008B615D" w:rsidRPr="00213E4C">
          <w:rPr>
            <w:rStyle w:val="Hyperlink"/>
            <w:rFonts w:cs="Arial"/>
            <w:noProof/>
          </w:rPr>
          <w:t>§ 4.5.1.</w:t>
        </w:r>
        <w:r w:rsidR="008B615D">
          <w:rPr>
            <w:noProof/>
          </w:rPr>
          <w:tab/>
        </w:r>
        <w:r w:rsidR="008B615D" w:rsidRPr="00213E4C">
          <w:rPr>
            <w:rStyle w:val="Hyperlink"/>
            <w:rFonts w:cs="Arial"/>
            <w:noProof/>
          </w:rPr>
          <w:t>Spaanloze, verspanende of thermische bewerking of mechanische eindafwerking van metalen.</w:t>
        </w:r>
        <w:r w:rsidR="008B615D">
          <w:rPr>
            <w:noProof/>
            <w:webHidden/>
          </w:rPr>
          <w:tab/>
        </w:r>
        <w:r w:rsidR="008B615D">
          <w:rPr>
            <w:noProof/>
            <w:webHidden/>
          </w:rPr>
          <w:fldChar w:fldCharType="begin"/>
        </w:r>
        <w:r w:rsidR="008B615D">
          <w:rPr>
            <w:noProof/>
            <w:webHidden/>
          </w:rPr>
          <w:instrText xml:space="preserve"> PAGEREF _Toc431375696 \h </w:instrText>
        </w:r>
        <w:r w:rsidR="008B615D">
          <w:rPr>
            <w:noProof/>
            <w:webHidden/>
          </w:rPr>
        </w:r>
        <w:r w:rsidR="008B615D">
          <w:rPr>
            <w:noProof/>
            <w:webHidden/>
          </w:rPr>
          <w:fldChar w:fldCharType="separate"/>
        </w:r>
        <w:r w:rsidR="008B615D">
          <w:rPr>
            <w:noProof/>
            <w:webHidden/>
          </w:rPr>
          <w:t>316</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698" w:history="1">
        <w:r w:rsidR="008B615D" w:rsidRPr="00213E4C">
          <w:rPr>
            <w:rStyle w:val="Hyperlink"/>
            <w:rFonts w:cs="Arial"/>
            <w:noProof/>
          </w:rPr>
          <w:t>§ 4.5.2</w:t>
        </w:r>
        <w:r w:rsidR="008B615D">
          <w:rPr>
            <w:noProof/>
          </w:rPr>
          <w:tab/>
        </w:r>
        <w:r w:rsidR="008B615D" w:rsidRPr="00213E4C">
          <w:rPr>
            <w:rStyle w:val="Hyperlink"/>
            <w:rFonts w:cs="Arial"/>
            <w:noProof/>
          </w:rPr>
          <w:t>Lassen van metalen</w:t>
        </w:r>
        <w:r w:rsidR="008B615D">
          <w:rPr>
            <w:noProof/>
            <w:webHidden/>
          </w:rPr>
          <w:tab/>
        </w:r>
        <w:r w:rsidR="008B615D">
          <w:rPr>
            <w:noProof/>
            <w:webHidden/>
          </w:rPr>
          <w:fldChar w:fldCharType="begin"/>
        </w:r>
        <w:r w:rsidR="008B615D">
          <w:rPr>
            <w:noProof/>
            <w:webHidden/>
          </w:rPr>
          <w:instrText xml:space="preserve"> PAGEREF _Toc431375698 \h </w:instrText>
        </w:r>
        <w:r w:rsidR="008B615D">
          <w:rPr>
            <w:noProof/>
            <w:webHidden/>
          </w:rPr>
        </w:r>
        <w:r w:rsidR="008B615D">
          <w:rPr>
            <w:noProof/>
            <w:webHidden/>
          </w:rPr>
          <w:fldChar w:fldCharType="separate"/>
        </w:r>
        <w:r w:rsidR="008B615D">
          <w:rPr>
            <w:noProof/>
            <w:webHidden/>
          </w:rPr>
          <w:t>319</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00" w:history="1">
        <w:r w:rsidR="008B615D" w:rsidRPr="00213E4C">
          <w:rPr>
            <w:rStyle w:val="Hyperlink"/>
            <w:rFonts w:cs="Arial"/>
            <w:noProof/>
          </w:rPr>
          <w:t>§ 4.5.3</w:t>
        </w:r>
        <w:r w:rsidR="008B615D">
          <w:rPr>
            <w:noProof/>
          </w:rPr>
          <w:tab/>
        </w:r>
        <w:r w:rsidR="008B615D" w:rsidRPr="00213E4C">
          <w:rPr>
            <w:rStyle w:val="Hyperlink"/>
            <w:rFonts w:cs="Arial"/>
            <w:noProof/>
          </w:rPr>
          <w:t>Solderen van metalen</w:t>
        </w:r>
        <w:r w:rsidR="008B615D">
          <w:rPr>
            <w:noProof/>
            <w:webHidden/>
          </w:rPr>
          <w:tab/>
        </w:r>
        <w:r w:rsidR="008B615D">
          <w:rPr>
            <w:noProof/>
            <w:webHidden/>
          </w:rPr>
          <w:fldChar w:fldCharType="begin"/>
        </w:r>
        <w:r w:rsidR="008B615D">
          <w:rPr>
            <w:noProof/>
            <w:webHidden/>
          </w:rPr>
          <w:instrText xml:space="preserve"> PAGEREF _Toc431375700 \h </w:instrText>
        </w:r>
        <w:r w:rsidR="008B615D">
          <w:rPr>
            <w:noProof/>
            <w:webHidden/>
          </w:rPr>
        </w:r>
        <w:r w:rsidR="008B615D">
          <w:rPr>
            <w:noProof/>
            <w:webHidden/>
          </w:rPr>
          <w:fldChar w:fldCharType="separate"/>
        </w:r>
        <w:r w:rsidR="008B615D">
          <w:rPr>
            <w:noProof/>
            <w:webHidden/>
          </w:rPr>
          <w:t>322</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02" w:history="1">
        <w:r w:rsidR="008B615D" w:rsidRPr="00213E4C">
          <w:rPr>
            <w:rStyle w:val="Hyperlink"/>
            <w:rFonts w:cs="Arial"/>
            <w:noProof/>
          </w:rPr>
          <w:t>§ 4.5.4</w:t>
        </w:r>
        <w:r w:rsidR="008B615D">
          <w:rPr>
            <w:noProof/>
          </w:rPr>
          <w:tab/>
        </w:r>
        <w:r w:rsidR="008B615D" w:rsidRPr="00213E4C">
          <w:rPr>
            <w:rStyle w:val="Hyperlink"/>
            <w:rFonts w:cs="Arial"/>
            <w:noProof/>
          </w:rPr>
          <w:t>Stralen van metalen</w:t>
        </w:r>
        <w:r w:rsidR="008B615D">
          <w:rPr>
            <w:noProof/>
            <w:webHidden/>
          </w:rPr>
          <w:tab/>
        </w:r>
        <w:r w:rsidR="008B615D">
          <w:rPr>
            <w:noProof/>
            <w:webHidden/>
          </w:rPr>
          <w:fldChar w:fldCharType="begin"/>
        </w:r>
        <w:r w:rsidR="008B615D">
          <w:rPr>
            <w:noProof/>
            <w:webHidden/>
          </w:rPr>
          <w:instrText xml:space="preserve"> PAGEREF _Toc431375702 \h </w:instrText>
        </w:r>
        <w:r w:rsidR="008B615D">
          <w:rPr>
            <w:noProof/>
            <w:webHidden/>
          </w:rPr>
        </w:r>
        <w:r w:rsidR="008B615D">
          <w:rPr>
            <w:noProof/>
            <w:webHidden/>
          </w:rPr>
          <w:fldChar w:fldCharType="separate"/>
        </w:r>
        <w:r w:rsidR="008B615D">
          <w:rPr>
            <w:noProof/>
            <w:webHidden/>
          </w:rPr>
          <w:t>324</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04" w:history="1">
        <w:r w:rsidR="008B615D" w:rsidRPr="00213E4C">
          <w:rPr>
            <w:rStyle w:val="Hyperlink"/>
            <w:rFonts w:cs="Arial"/>
            <w:noProof/>
          </w:rPr>
          <w:t>§ 4.5.5</w:t>
        </w:r>
        <w:r w:rsidR="008B615D">
          <w:rPr>
            <w:noProof/>
          </w:rPr>
          <w:tab/>
        </w:r>
        <w:r w:rsidR="008B615D" w:rsidRPr="00213E4C">
          <w:rPr>
            <w:rStyle w:val="Hyperlink"/>
            <w:rFonts w:cs="Arial"/>
            <w:noProof/>
          </w:rPr>
          <w:t>Reinigen, lijmen of coaten van metalen</w:t>
        </w:r>
        <w:r w:rsidR="008B615D">
          <w:rPr>
            <w:noProof/>
            <w:webHidden/>
          </w:rPr>
          <w:tab/>
        </w:r>
        <w:r w:rsidR="008B615D">
          <w:rPr>
            <w:noProof/>
            <w:webHidden/>
          </w:rPr>
          <w:fldChar w:fldCharType="begin"/>
        </w:r>
        <w:r w:rsidR="008B615D">
          <w:rPr>
            <w:noProof/>
            <w:webHidden/>
          </w:rPr>
          <w:instrText xml:space="preserve"> PAGEREF _Toc431375704 \h </w:instrText>
        </w:r>
        <w:r w:rsidR="008B615D">
          <w:rPr>
            <w:noProof/>
            <w:webHidden/>
          </w:rPr>
        </w:r>
        <w:r w:rsidR="008B615D">
          <w:rPr>
            <w:noProof/>
            <w:webHidden/>
          </w:rPr>
          <w:fldChar w:fldCharType="separate"/>
        </w:r>
        <w:r w:rsidR="008B615D">
          <w:rPr>
            <w:noProof/>
            <w:webHidden/>
          </w:rPr>
          <w:t>326</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06" w:history="1">
        <w:r w:rsidR="008B615D" w:rsidRPr="00213E4C">
          <w:rPr>
            <w:rStyle w:val="Hyperlink"/>
            <w:rFonts w:cs="Arial"/>
            <w:noProof/>
          </w:rPr>
          <w:t>§ 4.5.6</w:t>
        </w:r>
        <w:r w:rsidR="008B615D">
          <w:rPr>
            <w:noProof/>
          </w:rPr>
          <w:tab/>
        </w:r>
        <w:r w:rsidR="008B615D" w:rsidRPr="00213E4C">
          <w:rPr>
            <w:rStyle w:val="Hyperlink"/>
            <w:rFonts w:cs="Arial"/>
            <w:noProof/>
          </w:rPr>
          <w:t>Aanbrengen anorganische deklagen op metalen</w:t>
        </w:r>
        <w:r w:rsidR="008B615D">
          <w:rPr>
            <w:noProof/>
            <w:webHidden/>
          </w:rPr>
          <w:tab/>
        </w:r>
        <w:r w:rsidR="008B615D">
          <w:rPr>
            <w:noProof/>
            <w:webHidden/>
          </w:rPr>
          <w:fldChar w:fldCharType="begin"/>
        </w:r>
        <w:r w:rsidR="008B615D">
          <w:rPr>
            <w:noProof/>
            <w:webHidden/>
          </w:rPr>
          <w:instrText xml:space="preserve"> PAGEREF _Toc431375706 \h </w:instrText>
        </w:r>
        <w:r w:rsidR="008B615D">
          <w:rPr>
            <w:noProof/>
            <w:webHidden/>
          </w:rPr>
        </w:r>
        <w:r w:rsidR="008B615D">
          <w:rPr>
            <w:noProof/>
            <w:webHidden/>
          </w:rPr>
          <w:fldChar w:fldCharType="separate"/>
        </w:r>
        <w:r w:rsidR="008B615D">
          <w:rPr>
            <w:noProof/>
            <w:webHidden/>
          </w:rPr>
          <w:t>331</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08" w:history="1">
        <w:r w:rsidR="008B615D" w:rsidRPr="00213E4C">
          <w:rPr>
            <w:rStyle w:val="Hyperlink"/>
            <w:rFonts w:cs="Arial"/>
            <w:noProof/>
          </w:rPr>
          <w:t>§ 4.5.7</w:t>
        </w:r>
        <w:r w:rsidR="008B615D">
          <w:rPr>
            <w:noProof/>
          </w:rPr>
          <w:tab/>
        </w:r>
        <w:r w:rsidR="008B615D" w:rsidRPr="00213E4C">
          <w:rPr>
            <w:rStyle w:val="Hyperlink"/>
            <w:rFonts w:cs="Arial"/>
            <w:noProof/>
          </w:rPr>
          <w:t>Beitsen of etsen van metalen</w:t>
        </w:r>
        <w:r w:rsidR="008B615D">
          <w:rPr>
            <w:noProof/>
            <w:webHidden/>
          </w:rPr>
          <w:tab/>
        </w:r>
        <w:r w:rsidR="008B615D">
          <w:rPr>
            <w:noProof/>
            <w:webHidden/>
          </w:rPr>
          <w:fldChar w:fldCharType="begin"/>
        </w:r>
        <w:r w:rsidR="008B615D">
          <w:rPr>
            <w:noProof/>
            <w:webHidden/>
          </w:rPr>
          <w:instrText xml:space="preserve"> PAGEREF _Toc431375708 \h </w:instrText>
        </w:r>
        <w:r w:rsidR="008B615D">
          <w:rPr>
            <w:noProof/>
            <w:webHidden/>
          </w:rPr>
        </w:r>
        <w:r w:rsidR="008B615D">
          <w:rPr>
            <w:noProof/>
            <w:webHidden/>
          </w:rPr>
          <w:fldChar w:fldCharType="separate"/>
        </w:r>
        <w:r w:rsidR="008B615D">
          <w:rPr>
            <w:noProof/>
            <w:webHidden/>
          </w:rPr>
          <w:t>333</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10" w:history="1">
        <w:r w:rsidR="008B615D" w:rsidRPr="00213E4C">
          <w:rPr>
            <w:rStyle w:val="Hyperlink"/>
            <w:rFonts w:cs="Arial"/>
            <w:noProof/>
          </w:rPr>
          <w:t>§ 4.5.8</w:t>
        </w:r>
        <w:r w:rsidR="008B615D">
          <w:rPr>
            <w:noProof/>
          </w:rPr>
          <w:tab/>
        </w:r>
        <w:r w:rsidR="008B615D" w:rsidRPr="00213E4C">
          <w:rPr>
            <w:rStyle w:val="Hyperlink"/>
            <w:rFonts w:cs="Arial"/>
            <w:noProof/>
          </w:rPr>
          <w:t>Elektrolytisch of stroomloos aanbrengen van metaallagen op metalen</w:t>
        </w:r>
        <w:r w:rsidR="008B615D">
          <w:rPr>
            <w:noProof/>
            <w:webHidden/>
          </w:rPr>
          <w:tab/>
        </w:r>
        <w:r w:rsidR="008B615D">
          <w:rPr>
            <w:noProof/>
            <w:webHidden/>
          </w:rPr>
          <w:fldChar w:fldCharType="begin"/>
        </w:r>
        <w:r w:rsidR="008B615D">
          <w:rPr>
            <w:noProof/>
            <w:webHidden/>
          </w:rPr>
          <w:instrText xml:space="preserve"> PAGEREF _Toc431375710 \h </w:instrText>
        </w:r>
        <w:r w:rsidR="008B615D">
          <w:rPr>
            <w:noProof/>
            <w:webHidden/>
          </w:rPr>
        </w:r>
        <w:r w:rsidR="008B615D">
          <w:rPr>
            <w:noProof/>
            <w:webHidden/>
          </w:rPr>
          <w:fldChar w:fldCharType="separate"/>
        </w:r>
        <w:r w:rsidR="008B615D">
          <w:rPr>
            <w:noProof/>
            <w:webHidden/>
          </w:rPr>
          <w:t>335</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12" w:history="1">
        <w:r w:rsidR="008B615D" w:rsidRPr="00213E4C">
          <w:rPr>
            <w:rStyle w:val="Hyperlink"/>
            <w:rFonts w:cs="Arial"/>
            <w:noProof/>
          </w:rPr>
          <w:t>§ 4.5.9</w:t>
        </w:r>
        <w:r w:rsidR="008B615D">
          <w:rPr>
            <w:noProof/>
          </w:rPr>
          <w:tab/>
        </w:r>
        <w:r w:rsidR="008B615D" w:rsidRPr="00213E4C">
          <w:rPr>
            <w:rStyle w:val="Hyperlink"/>
            <w:rFonts w:cs="Arial"/>
            <w:noProof/>
          </w:rPr>
          <w:t>Drogen van metalen</w:t>
        </w:r>
        <w:r w:rsidR="008B615D">
          <w:rPr>
            <w:noProof/>
            <w:webHidden/>
          </w:rPr>
          <w:tab/>
        </w:r>
        <w:r w:rsidR="008B615D">
          <w:rPr>
            <w:noProof/>
            <w:webHidden/>
          </w:rPr>
          <w:fldChar w:fldCharType="begin"/>
        </w:r>
        <w:r w:rsidR="008B615D">
          <w:rPr>
            <w:noProof/>
            <w:webHidden/>
          </w:rPr>
          <w:instrText xml:space="preserve"> PAGEREF _Toc431375712 \h </w:instrText>
        </w:r>
        <w:r w:rsidR="008B615D">
          <w:rPr>
            <w:noProof/>
            <w:webHidden/>
          </w:rPr>
        </w:r>
        <w:r w:rsidR="008B615D">
          <w:rPr>
            <w:noProof/>
            <w:webHidden/>
          </w:rPr>
          <w:fldChar w:fldCharType="separate"/>
        </w:r>
        <w:r w:rsidR="008B615D">
          <w:rPr>
            <w:noProof/>
            <w:webHidden/>
          </w:rPr>
          <w:t>336</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13" w:history="1">
        <w:r w:rsidR="008B615D" w:rsidRPr="00213E4C">
          <w:rPr>
            <w:rStyle w:val="Hyperlink"/>
            <w:rFonts w:cs="Arial"/>
            <w:noProof/>
          </w:rPr>
          <w:t>§ 4.5.10</w:t>
        </w:r>
        <w:r w:rsidR="008B615D">
          <w:rPr>
            <w:noProof/>
          </w:rPr>
          <w:tab/>
        </w:r>
        <w:r w:rsidR="008B615D" w:rsidRPr="00213E4C">
          <w:rPr>
            <w:rStyle w:val="Hyperlink"/>
            <w:rFonts w:cs="Arial"/>
            <w:noProof/>
          </w:rPr>
          <w:t>Aanbrengen van conversielagen op metalen</w:t>
        </w:r>
        <w:r w:rsidR="008B615D">
          <w:rPr>
            <w:noProof/>
            <w:webHidden/>
          </w:rPr>
          <w:tab/>
        </w:r>
        <w:r w:rsidR="008B615D">
          <w:rPr>
            <w:noProof/>
            <w:webHidden/>
          </w:rPr>
          <w:fldChar w:fldCharType="begin"/>
        </w:r>
        <w:r w:rsidR="008B615D">
          <w:rPr>
            <w:noProof/>
            <w:webHidden/>
          </w:rPr>
          <w:instrText xml:space="preserve"> PAGEREF _Toc431375713 \h </w:instrText>
        </w:r>
        <w:r w:rsidR="008B615D">
          <w:rPr>
            <w:noProof/>
            <w:webHidden/>
          </w:rPr>
        </w:r>
        <w:r w:rsidR="008B615D">
          <w:rPr>
            <w:noProof/>
            <w:webHidden/>
          </w:rPr>
          <w:fldChar w:fldCharType="separate"/>
        </w:r>
        <w:r w:rsidR="008B615D">
          <w:rPr>
            <w:noProof/>
            <w:webHidden/>
          </w:rPr>
          <w:t>336</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15" w:history="1">
        <w:r w:rsidR="008B615D" w:rsidRPr="00213E4C">
          <w:rPr>
            <w:rStyle w:val="Hyperlink"/>
            <w:rFonts w:cs="Arial"/>
            <w:noProof/>
          </w:rPr>
          <w:t>§ 4.5.11</w:t>
        </w:r>
        <w:r w:rsidR="008B615D">
          <w:rPr>
            <w:noProof/>
          </w:rPr>
          <w:tab/>
        </w:r>
        <w:r w:rsidR="008B615D" w:rsidRPr="00213E4C">
          <w:rPr>
            <w:rStyle w:val="Hyperlink"/>
            <w:rFonts w:cs="Arial"/>
            <w:noProof/>
          </w:rPr>
          <w:t>Thermisch aanbrengen van metaallagen op metalen</w:t>
        </w:r>
        <w:r w:rsidR="008B615D">
          <w:rPr>
            <w:noProof/>
            <w:webHidden/>
          </w:rPr>
          <w:tab/>
        </w:r>
        <w:r w:rsidR="008B615D">
          <w:rPr>
            <w:noProof/>
            <w:webHidden/>
          </w:rPr>
          <w:fldChar w:fldCharType="begin"/>
        </w:r>
        <w:r w:rsidR="008B615D">
          <w:rPr>
            <w:noProof/>
            <w:webHidden/>
          </w:rPr>
          <w:instrText xml:space="preserve"> PAGEREF _Toc431375715 \h </w:instrText>
        </w:r>
        <w:r w:rsidR="008B615D">
          <w:rPr>
            <w:noProof/>
            <w:webHidden/>
          </w:rPr>
        </w:r>
        <w:r w:rsidR="008B615D">
          <w:rPr>
            <w:noProof/>
            <w:webHidden/>
          </w:rPr>
          <w:fldChar w:fldCharType="separate"/>
        </w:r>
        <w:r w:rsidR="008B615D">
          <w:rPr>
            <w:noProof/>
            <w:webHidden/>
          </w:rPr>
          <w:t>338</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17" w:history="1">
        <w:r w:rsidR="008B615D" w:rsidRPr="00213E4C">
          <w:rPr>
            <w:rStyle w:val="Hyperlink"/>
            <w:rFonts w:cs="Arial"/>
            <w:noProof/>
          </w:rPr>
          <w:t>§ 4.5.12</w:t>
        </w:r>
        <w:r w:rsidR="008B615D">
          <w:rPr>
            <w:noProof/>
          </w:rPr>
          <w:tab/>
        </w:r>
        <w:r w:rsidR="008B615D" w:rsidRPr="00213E4C">
          <w:rPr>
            <w:rStyle w:val="Hyperlink"/>
            <w:rFonts w:cs="Arial"/>
            <w:noProof/>
          </w:rPr>
          <w:t>Lozen van afvalwater afkomstig van activiteiten in § 4.5.1 tot en met 4.5.11</w:t>
        </w:r>
        <w:r w:rsidR="008B615D">
          <w:rPr>
            <w:noProof/>
            <w:webHidden/>
          </w:rPr>
          <w:tab/>
        </w:r>
        <w:r w:rsidR="008B615D">
          <w:rPr>
            <w:noProof/>
            <w:webHidden/>
          </w:rPr>
          <w:fldChar w:fldCharType="begin"/>
        </w:r>
        <w:r w:rsidR="008B615D">
          <w:rPr>
            <w:noProof/>
            <w:webHidden/>
          </w:rPr>
          <w:instrText xml:space="preserve"> PAGEREF _Toc431375717 \h </w:instrText>
        </w:r>
        <w:r w:rsidR="008B615D">
          <w:rPr>
            <w:noProof/>
            <w:webHidden/>
          </w:rPr>
        </w:r>
        <w:r w:rsidR="008B615D">
          <w:rPr>
            <w:noProof/>
            <w:webHidden/>
          </w:rPr>
          <w:fldChar w:fldCharType="separate"/>
        </w:r>
        <w:r w:rsidR="008B615D">
          <w:rPr>
            <w:noProof/>
            <w:webHidden/>
          </w:rPr>
          <w:t>339</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719" w:history="1">
        <w:r w:rsidR="008B615D" w:rsidRPr="00213E4C">
          <w:rPr>
            <w:rStyle w:val="Hyperlink"/>
            <w:noProof/>
          </w:rPr>
          <w:t>§ 4.5.13 Smelten en gieten van metalen</w:t>
        </w:r>
        <w:r w:rsidR="008B615D">
          <w:rPr>
            <w:noProof/>
            <w:webHidden/>
          </w:rPr>
          <w:tab/>
        </w:r>
        <w:r w:rsidR="008B615D">
          <w:rPr>
            <w:noProof/>
            <w:webHidden/>
          </w:rPr>
          <w:fldChar w:fldCharType="begin"/>
        </w:r>
        <w:r w:rsidR="008B615D">
          <w:rPr>
            <w:noProof/>
            <w:webHidden/>
          </w:rPr>
          <w:instrText xml:space="preserve"> PAGEREF _Toc431375719 \h </w:instrText>
        </w:r>
        <w:r w:rsidR="008B615D">
          <w:rPr>
            <w:noProof/>
            <w:webHidden/>
          </w:rPr>
        </w:r>
        <w:r w:rsidR="008B615D">
          <w:rPr>
            <w:noProof/>
            <w:webHidden/>
          </w:rPr>
          <w:fldChar w:fldCharType="separate"/>
        </w:r>
        <w:r w:rsidR="008B615D">
          <w:rPr>
            <w:noProof/>
            <w:webHidden/>
          </w:rPr>
          <w:t>342</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721" w:history="1">
        <w:r w:rsidR="008B615D" w:rsidRPr="00213E4C">
          <w:rPr>
            <w:rStyle w:val="Hyperlink"/>
            <w:rFonts w:cs="Arial"/>
            <w:noProof/>
          </w:rPr>
          <w:t>Afdeling 4.5a. Activiteiten met betrekking tot steen</w:t>
        </w:r>
        <w:r w:rsidR="008B615D">
          <w:rPr>
            <w:noProof/>
            <w:webHidden/>
          </w:rPr>
          <w:tab/>
        </w:r>
        <w:r w:rsidR="008B615D">
          <w:rPr>
            <w:noProof/>
            <w:webHidden/>
          </w:rPr>
          <w:fldChar w:fldCharType="begin"/>
        </w:r>
        <w:r w:rsidR="008B615D">
          <w:rPr>
            <w:noProof/>
            <w:webHidden/>
          </w:rPr>
          <w:instrText xml:space="preserve"> PAGEREF _Toc431375721 \h </w:instrText>
        </w:r>
        <w:r w:rsidR="008B615D">
          <w:rPr>
            <w:noProof/>
            <w:webHidden/>
          </w:rPr>
        </w:r>
        <w:r w:rsidR="008B615D">
          <w:rPr>
            <w:noProof/>
            <w:webHidden/>
          </w:rPr>
          <w:fldChar w:fldCharType="separate"/>
        </w:r>
        <w:r w:rsidR="008B615D">
          <w:rPr>
            <w:noProof/>
            <w:webHidden/>
          </w:rPr>
          <w:t>345</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22" w:history="1">
        <w:r w:rsidR="008B615D" w:rsidRPr="00213E4C">
          <w:rPr>
            <w:rStyle w:val="Hyperlink"/>
            <w:rFonts w:cs="Arial"/>
            <w:noProof/>
          </w:rPr>
          <w:t>§ 4.5a.1</w:t>
        </w:r>
        <w:r w:rsidR="008B615D">
          <w:rPr>
            <w:noProof/>
          </w:rPr>
          <w:tab/>
        </w:r>
        <w:r w:rsidR="008B615D" w:rsidRPr="00213E4C">
          <w:rPr>
            <w:rStyle w:val="Hyperlink"/>
            <w:rFonts w:cs="Arial"/>
            <w:noProof/>
          </w:rPr>
          <w:t>Mechanische bewerkingen van steen</w:t>
        </w:r>
        <w:r w:rsidR="008B615D">
          <w:rPr>
            <w:noProof/>
            <w:webHidden/>
          </w:rPr>
          <w:tab/>
        </w:r>
        <w:r w:rsidR="008B615D">
          <w:rPr>
            <w:noProof/>
            <w:webHidden/>
          </w:rPr>
          <w:fldChar w:fldCharType="begin"/>
        </w:r>
        <w:r w:rsidR="008B615D">
          <w:rPr>
            <w:noProof/>
            <w:webHidden/>
          </w:rPr>
          <w:instrText xml:space="preserve"> PAGEREF _Toc431375722 \h </w:instrText>
        </w:r>
        <w:r w:rsidR="008B615D">
          <w:rPr>
            <w:noProof/>
            <w:webHidden/>
          </w:rPr>
        </w:r>
        <w:r w:rsidR="008B615D">
          <w:rPr>
            <w:noProof/>
            <w:webHidden/>
          </w:rPr>
          <w:fldChar w:fldCharType="separate"/>
        </w:r>
        <w:r w:rsidR="008B615D">
          <w:rPr>
            <w:noProof/>
            <w:webHidden/>
          </w:rPr>
          <w:t>345</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24" w:history="1">
        <w:r w:rsidR="008B615D" w:rsidRPr="00213E4C">
          <w:rPr>
            <w:rStyle w:val="Hyperlink"/>
            <w:rFonts w:cs="Arial"/>
            <w:noProof/>
          </w:rPr>
          <w:t>§ 4.5a.2</w:t>
        </w:r>
        <w:r w:rsidR="008B615D">
          <w:rPr>
            <w:noProof/>
          </w:rPr>
          <w:tab/>
        </w:r>
        <w:r w:rsidR="008B615D" w:rsidRPr="00213E4C">
          <w:rPr>
            <w:rStyle w:val="Hyperlink"/>
            <w:rFonts w:cs="Arial"/>
            <w:noProof/>
          </w:rPr>
          <w:t>Aanbrengen van lijmen, harsen of coatings op steen</w:t>
        </w:r>
        <w:r w:rsidR="008B615D">
          <w:rPr>
            <w:noProof/>
            <w:webHidden/>
          </w:rPr>
          <w:tab/>
        </w:r>
        <w:r w:rsidR="008B615D">
          <w:rPr>
            <w:noProof/>
            <w:webHidden/>
          </w:rPr>
          <w:fldChar w:fldCharType="begin"/>
        </w:r>
        <w:r w:rsidR="008B615D">
          <w:rPr>
            <w:noProof/>
            <w:webHidden/>
          </w:rPr>
          <w:instrText xml:space="preserve"> PAGEREF _Toc431375724 \h </w:instrText>
        </w:r>
        <w:r w:rsidR="008B615D">
          <w:rPr>
            <w:noProof/>
            <w:webHidden/>
          </w:rPr>
        </w:r>
        <w:r w:rsidR="008B615D">
          <w:rPr>
            <w:noProof/>
            <w:webHidden/>
          </w:rPr>
          <w:fldChar w:fldCharType="separate"/>
        </w:r>
        <w:r w:rsidR="008B615D">
          <w:rPr>
            <w:noProof/>
            <w:webHidden/>
          </w:rPr>
          <w:t>347</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26" w:history="1">
        <w:r w:rsidR="008B615D" w:rsidRPr="00213E4C">
          <w:rPr>
            <w:rStyle w:val="Hyperlink"/>
            <w:rFonts w:cs="Arial"/>
            <w:noProof/>
          </w:rPr>
          <w:t>§ 4.5a.3</w:t>
        </w:r>
        <w:r w:rsidR="008B615D">
          <w:rPr>
            <w:noProof/>
          </w:rPr>
          <w:tab/>
        </w:r>
        <w:r w:rsidR="008B615D" w:rsidRPr="00213E4C">
          <w:rPr>
            <w:rStyle w:val="Hyperlink"/>
            <w:rFonts w:cs="Arial"/>
            <w:noProof/>
          </w:rPr>
          <w:t>Chemisch behandelen van steen</w:t>
        </w:r>
        <w:r w:rsidR="008B615D">
          <w:rPr>
            <w:noProof/>
            <w:webHidden/>
          </w:rPr>
          <w:tab/>
        </w:r>
        <w:r w:rsidR="008B615D">
          <w:rPr>
            <w:noProof/>
            <w:webHidden/>
          </w:rPr>
          <w:fldChar w:fldCharType="begin"/>
        </w:r>
        <w:r w:rsidR="008B615D">
          <w:rPr>
            <w:noProof/>
            <w:webHidden/>
          </w:rPr>
          <w:instrText xml:space="preserve"> PAGEREF _Toc431375726 \h </w:instrText>
        </w:r>
        <w:r w:rsidR="008B615D">
          <w:rPr>
            <w:noProof/>
            <w:webHidden/>
          </w:rPr>
        </w:r>
        <w:r w:rsidR="008B615D">
          <w:rPr>
            <w:noProof/>
            <w:webHidden/>
          </w:rPr>
          <w:fldChar w:fldCharType="separate"/>
        </w:r>
        <w:r w:rsidR="008B615D">
          <w:rPr>
            <w:noProof/>
            <w:webHidden/>
          </w:rPr>
          <w:t>348</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28" w:history="1">
        <w:r w:rsidR="008B615D" w:rsidRPr="00213E4C">
          <w:rPr>
            <w:rStyle w:val="Hyperlink"/>
            <w:noProof/>
          </w:rPr>
          <w:t>§ 4.5a.4.</w:t>
        </w:r>
        <w:r w:rsidR="008B615D">
          <w:rPr>
            <w:noProof/>
          </w:rPr>
          <w:tab/>
        </w:r>
        <w:r w:rsidR="008B615D" w:rsidRPr="00213E4C">
          <w:rPr>
            <w:rStyle w:val="Hyperlink"/>
            <w:noProof/>
          </w:rPr>
          <w:t>Het vervaardigen van betonmortel</w:t>
        </w:r>
        <w:r w:rsidR="008B615D">
          <w:rPr>
            <w:noProof/>
            <w:webHidden/>
          </w:rPr>
          <w:tab/>
        </w:r>
        <w:r w:rsidR="008B615D">
          <w:rPr>
            <w:noProof/>
            <w:webHidden/>
          </w:rPr>
          <w:fldChar w:fldCharType="begin"/>
        </w:r>
        <w:r w:rsidR="008B615D">
          <w:rPr>
            <w:noProof/>
            <w:webHidden/>
          </w:rPr>
          <w:instrText xml:space="preserve"> PAGEREF _Toc431375728 \h </w:instrText>
        </w:r>
        <w:r w:rsidR="008B615D">
          <w:rPr>
            <w:noProof/>
            <w:webHidden/>
          </w:rPr>
        </w:r>
        <w:r w:rsidR="008B615D">
          <w:rPr>
            <w:noProof/>
            <w:webHidden/>
          </w:rPr>
          <w:fldChar w:fldCharType="separate"/>
        </w:r>
        <w:r w:rsidR="008B615D">
          <w:rPr>
            <w:noProof/>
            <w:webHidden/>
          </w:rPr>
          <w:t>349</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30" w:history="1">
        <w:r w:rsidR="008B615D" w:rsidRPr="00213E4C">
          <w:rPr>
            <w:rStyle w:val="Hyperlink"/>
            <w:noProof/>
          </w:rPr>
          <w:t>§ 4.5a.5.</w:t>
        </w:r>
        <w:r w:rsidR="008B615D">
          <w:rPr>
            <w:noProof/>
          </w:rPr>
          <w:tab/>
        </w:r>
        <w:r w:rsidR="008B615D" w:rsidRPr="00213E4C">
          <w:rPr>
            <w:rStyle w:val="Hyperlink"/>
            <w:noProof/>
          </w:rPr>
          <w:t>Het vormgeven van betonproducten</w:t>
        </w:r>
        <w:r w:rsidR="008B615D">
          <w:rPr>
            <w:noProof/>
            <w:webHidden/>
          </w:rPr>
          <w:tab/>
        </w:r>
        <w:r w:rsidR="008B615D">
          <w:rPr>
            <w:noProof/>
            <w:webHidden/>
          </w:rPr>
          <w:fldChar w:fldCharType="begin"/>
        </w:r>
        <w:r w:rsidR="008B615D">
          <w:rPr>
            <w:noProof/>
            <w:webHidden/>
          </w:rPr>
          <w:instrText xml:space="preserve"> PAGEREF _Toc431375730 \h </w:instrText>
        </w:r>
        <w:r w:rsidR="008B615D">
          <w:rPr>
            <w:noProof/>
            <w:webHidden/>
          </w:rPr>
        </w:r>
        <w:r w:rsidR="008B615D">
          <w:rPr>
            <w:noProof/>
            <w:webHidden/>
          </w:rPr>
          <w:fldChar w:fldCharType="separate"/>
        </w:r>
        <w:r w:rsidR="008B615D">
          <w:rPr>
            <w:noProof/>
            <w:webHidden/>
          </w:rPr>
          <w:t>350</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32" w:history="1">
        <w:r w:rsidR="008B615D" w:rsidRPr="00213E4C">
          <w:rPr>
            <w:rStyle w:val="Hyperlink"/>
            <w:noProof/>
          </w:rPr>
          <w:t>§ 4.5a.6.</w:t>
        </w:r>
        <w:r w:rsidR="008B615D">
          <w:rPr>
            <w:noProof/>
          </w:rPr>
          <w:tab/>
        </w:r>
        <w:r w:rsidR="008B615D" w:rsidRPr="00213E4C">
          <w:rPr>
            <w:rStyle w:val="Hyperlink"/>
            <w:noProof/>
          </w:rPr>
          <w:t>Het breken van steenachtig materiaal</w:t>
        </w:r>
        <w:r w:rsidR="008B615D">
          <w:rPr>
            <w:noProof/>
            <w:webHidden/>
          </w:rPr>
          <w:tab/>
        </w:r>
        <w:r w:rsidR="008B615D">
          <w:rPr>
            <w:noProof/>
            <w:webHidden/>
          </w:rPr>
          <w:fldChar w:fldCharType="begin"/>
        </w:r>
        <w:r w:rsidR="008B615D">
          <w:rPr>
            <w:noProof/>
            <w:webHidden/>
          </w:rPr>
          <w:instrText xml:space="preserve"> PAGEREF _Toc431375732 \h </w:instrText>
        </w:r>
        <w:r w:rsidR="008B615D">
          <w:rPr>
            <w:noProof/>
            <w:webHidden/>
          </w:rPr>
        </w:r>
        <w:r w:rsidR="008B615D">
          <w:rPr>
            <w:noProof/>
            <w:webHidden/>
          </w:rPr>
          <w:fldChar w:fldCharType="separate"/>
        </w:r>
        <w:r w:rsidR="008B615D">
          <w:rPr>
            <w:noProof/>
            <w:webHidden/>
          </w:rPr>
          <w:t>352</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735" w:history="1">
        <w:r w:rsidR="008B615D" w:rsidRPr="00213E4C">
          <w:rPr>
            <w:rStyle w:val="Hyperlink"/>
            <w:rFonts w:cs="Arial"/>
            <w:noProof/>
          </w:rPr>
          <w:t>Afdeling 4.6. Activiteiten met betrekking tot motoren, motorvoer- en vaartuigen en andere gemotoriseerde apparaten</w:t>
        </w:r>
        <w:r w:rsidR="008B615D">
          <w:rPr>
            <w:noProof/>
            <w:webHidden/>
          </w:rPr>
          <w:tab/>
        </w:r>
        <w:r w:rsidR="008B615D">
          <w:rPr>
            <w:noProof/>
            <w:webHidden/>
          </w:rPr>
          <w:fldChar w:fldCharType="begin"/>
        </w:r>
        <w:r w:rsidR="008B615D">
          <w:rPr>
            <w:noProof/>
            <w:webHidden/>
          </w:rPr>
          <w:instrText xml:space="preserve"> PAGEREF _Toc431375735 \h </w:instrText>
        </w:r>
        <w:r w:rsidR="008B615D">
          <w:rPr>
            <w:noProof/>
            <w:webHidden/>
          </w:rPr>
        </w:r>
        <w:r w:rsidR="008B615D">
          <w:rPr>
            <w:noProof/>
            <w:webHidden/>
          </w:rPr>
          <w:fldChar w:fldCharType="separate"/>
        </w:r>
        <w:r w:rsidR="008B615D">
          <w:rPr>
            <w:noProof/>
            <w:webHidden/>
          </w:rPr>
          <w:t>354</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36" w:history="1">
        <w:r w:rsidR="008B615D" w:rsidRPr="00213E4C">
          <w:rPr>
            <w:rStyle w:val="Hyperlink"/>
            <w:rFonts w:cs="Arial"/>
            <w:noProof/>
          </w:rPr>
          <w:t>§ 4.6.1</w:t>
        </w:r>
        <w:r w:rsidR="008B615D">
          <w:rPr>
            <w:noProof/>
          </w:rPr>
          <w:tab/>
        </w:r>
        <w:r w:rsidR="008B615D" w:rsidRPr="00213E4C">
          <w:rPr>
            <w:rStyle w:val="Hyperlink"/>
            <w:rFonts w:cs="Arial"/>
            <w:noProof/>
          </w:rPr>
          <w:t>Lozen van afvalwater (algemeen)</w:t>
        </w:r>
        <w:r w:rsidR="008B615D">
          <w:rPr>
            <w:noProof/>
            <w:webHidden/>
          </w:rPr>
          <w:tab/>
        </w:r>
        <w:r w:rsidR="008B615D">
          <w:rPr>
            <w:noProof/>
            <w:webHidden/>
          </w:rPr>
          <w:fldChar w:fldCharType="begin"/>
        </w:r>
        <w:r w:rsidR="008B615D">
          <w:rPr>
            <w:noProof/>
            <w:webHidden/>
          </w:rPr>
          <w:instrText xml:space="preserve"> PAGEREF _Toc431375736 \h </w:instrText>
        </w:r>
        <w:r w:rsidR="008B615D">
          <w:rPr>
            <w:noProof/>
            <w:webHidden/>
          </w:rPr>
        </w:r>
        <w:r w:rsidR="008B615D">
          <w:rPr>
            <w:noProof/>
            <w:webHidden/>
          </w:rPr>
          <w:fldChar w:fldCharType="separate"/>
        </w:r>
        <w:r w:rsidR="008B615D">
          <w:rPr>
            <w:noProof/>
            <w:webHidden/>
          </w:rPr>
          <w:t>354</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37" w:history="1">
        <w:r w:rsidR="008B615D" w:rsidRPr="00213E4C">
          <w:rPr>
            <w:rStyle w:val="Hyperlink"/>
            <w:noProof/>
          </w:rPr>
          <w:t>§ 4.6.3</w:t>
        </w:r>
        <w:r w:rsidR="008B615D">
          <w:rPr>
            <w:noProof/>
          </w:rPr>
          <w:tab/>
        </w:r>
        <w:r w:rsidR="008B615D" w:rsidRPr="00213E4C">
          <w:rPr>
            <w:rStyle w:val="Hyperlink"/>
            <w:noProof/>
          </w:rPr>
          <w:t>Afleveren van vloeibare brandstoffen aan vaartuigen</w:t>
        </w:r>
        <w:r w:rsidR="008B615D">
          <w:rPr>
            <w:noProof/>
            <w:webHidden/>
          </w:rPr>
          <w:tab/>
        </w:r>
        <w:r w:rsidR="008B615D">
          <w:rPr>
            <w:noProof/>
            <w:webHidden/>
          </w:rPr>
          <w:fldChar w:fldCharType="begin"/>
        </w:r>
        <w:r w:rsidR="008B615D">
          <w:rPr>
            <w:noProof/>
            <w:webHidden/>
          </w:rPr>
          <w:instrText xml:space="preserve"> PAGEREF _Toc431375737 \h </w:instrText>
        </w:r>
        <w:r w:rsidR="008B615D">
          <w:rPr>
            <w:noProof/>
            <w:webHidden/>
          </w:rPr>
        </w:r>
        <w:r w:rsidR="008B615D">
          <w:rPr>
            <w:noProof/>
            <w:webHidden/>
          </w:rPr>
          <w:fldChar w:fldCharType="separate"/>
        </w:r>
        <w:r w:rsidR="008B615D">
          <w:rPr>
            <w:noProof/>
            <w:webHidden/>
          </w:rPr>
          <w:t>355</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39" w:history="1">
        <w:r w:rsidR="008B615D" w:rsidRPr="00213E4C">
          <w:rPr>
            <w:rStyle w:val="Hyperlink"/>
            <w:noProof/>
          </w:rPr>
          <w:t>§ 4.6.4.</w:t>
        </w:r>
        <w:r w:rsidR="008B615D">
          <w:rPr>
            <w:noProof/>
          </w:rPr>
          <w:tab/>
        </w:r>
        <w:r w:rsidR="008B615D" w:rsidRPr="00213E4C">
          <w:rPr>
            <w:rStyle w:val="Hyperlink"/>
            <w:noProof/>
          </w:rPr>
          <w:t>Afleveren van vloeibare brandstof of gecomprimeerd aardgas anders dan aan motorvoertuigen voor het wegverkeer, vaartuigen of spoorvoertuigen.</w:t>
        </w:r>
        <w:r w:rsidR="008B615D">
          <w:rPr>
            <w:noProof/>
            <w:webHidden/>
          </w:rPr>
          <w:tab/>
        </w:r>
        <w:r w:rsidR="008B615D">
          <w:rPr>
            <w:noProof/>
            <w:webHidden/>
          </w:rPr>
          <w:fldChar w:fldCharType="begin"/>
        </w:r>
        <w:r w:rsidR="008B615D">
          <w:rPr>
            <w:noProof/>
            <w:webHidden/>
          </w:rPr>
          <w:instrText xml:space="preserve"> PAGEREF _Toc431375739 \h </w:instrText>
        </w:r>
        <w:r w:rsidR="008B615D">
          <w:rPr>
            <w:noProof/>
            <w:webHidden/>
          </w:rPr>
        </w:r>
        <w:r w:rsidR="008B615D">
          <w:rPr>
            <w:noProof/>
            <w:webHidden/>
          </w:rPr>
          <w:fldChar w:fldCharType="separate"/>
        </w:r>
        <w:r w:rsidR="008B615D">
          <w:rPr>
            <w:noProof/>
            <w:webHidden/>
          </w:rPr>
          <w:t>358</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41" w:history="1">
        <w:r w:rsidR="008B615D" w:rsidRPr="00213E4C">
          <w:rPr>
            <w:rStyle w:val="Hyperlink"/>
            <w:rFonts w:cs="Arial"/>
            <w:noProof/>
          </w:rPr>
          <w:t>§ 4.6.5.</w:t>
        </w:r>
        <w:r w:rsidR="008B615D">
          <w:rPr>
            <w:noProof/>
          </w:rPr>
          <w:tab/>
        </w:r>
        <w:r w:rsidR="008B615D" w:rsidRPr="00213E4C">
          <w:rPr>
            <w:rStyle w:val="Hyperlink"/>
            <w:rFonts w:cs="Arial"/>
            <w:noProof/>
          </w:rPr>
          <w:t>Onderhouden of repareren van motoren, motorvoertuigen, spoorvoertuigen of andere gemotoriseerde apparaten of proefdraaien van verbrandingsmotoren</w:t>
        </w:r>
        <w:r w:rsidR="008B615D">
          <w:rPr>
            <w:noProof/>
            <w:webHidden/>
          </w:rPr>
          <w:tab/>
        </w:r>
        <w:r w:rsidR="008B615D">
          <w:rPr>
            <w:noProof/>
            <w:webHidden/>
          </w:rPr>
          <w:fldChar w:fldCharType="begin"/>
        </w:r>
        <w:r w:rsidR="008B615D">
          <w:rPr>
            <w:noProof/>
            <w:webHidden/>
          </w:rPr>
          <w:instrText xml:space="preserve"> PAGEREF _Toc431375741 \h </w:instrText>
        </w:r>
        <w:r w:rsidR="008B615D">
          <w:rPr>
            <w:noProof/>
            <w:webHidden/>
          </w:rPr>
        </w:r>
        <w:r w:rsidR="008B615D">
          <w:rPr>
            <w:noProof/>
            <w:webHidden/>
          </w:rPr>
          <w:fldChar w:fldCharType="separate"/>
        </w:r>
        <w:r w:rsidR="008B615D">
          <w:rPr>
            <w:noProof/>
            <w:webHidden/>
          </w:rPr>
          <w:t>363</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43" w:history="1">
        <w:r w:rsidR="008B615D" w:rsidRPr="00213E4C">
          <w:rPr>
            <w:rStyle w:val="Hyperlink"/>
            <w:rFonts w:cs="Arial"/>
            <w:noProof/>
          </w:rPr>
          <w:t>§ 4.6.6</w:t>
        </w:r>
        <w:r w:rsidR="008B615D">
          <w:rPr>
            <w:noProof/>
          </w:rPr>
          <w:tab/>
        </w:r>
        <w:r w:rsidR="008B615D" w:rsidRPr="00213E4C">
          <w:rPr>
            <w:rStyle w:val="Hyperlink"/>
            <w:rFonts w:cs="Arial"/>
            <w:noProof/>
          </w:rPr>
          <w:t>Onderhouden, repareren of afspuiten van pleziervaartuigen</w:t>
        </w:r>
        <w:r w:rsidR="008B615D">
          <w:rPr>
            <w:noProof/>
            <w:webHidden/>
          </w:rPr>
          <w:tab/>
        </w:r>
        <w:r w:rsidR="008B615D">
          <w:rPr>
            <w:noProof/>
            <w:webHidden/>
          </w:rPr>
          <w:fldChar w:fldCharType="begin"/>
        </w:r>
        <w:r w:rsidR="008B615D">
          <w:rPr>
            <w:noProof/>
            <w:webHidden/>
          </w:rPr>
          <w:instrText xml:space="preserve"> PAGEREF _Toc431375743 \h </w:instrText>
        </w:r>
        <w:r w:rsidR="008B615D">
          <w:rPr>
            <w:noProof/>
            <w:webHidden/>
          </w:rPr>
        </w:r>
        <w:r w:rsidR="008B615D">
          <w:rPr>
            <w:noProof/>
            <w:webHidden/>
          </w:rPr>
          <w:fldChar w:fldCharType="separate"/>
        </w:r>
        <w:r w:rsidR="008B615D">
          <w:rPr>
            <w:noProof/>
            <w:webHidden/>
          </w:rPr>
          <w:t>365</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745" w:history="1">
        <w:r w:rsidR="008B615D" w:rsidRPr="00213E4C">
          <w:rPr>
            <w:rStyle w:val="Hyperlink"/>
            <w:rFonts w:cs="Arial"/>
            <w:noProof/>
          </w:rPr>
          <w:t>Afdeling 4.7. Activiteiten met betrekking tot grafische processen</w:t>
        </w:r>
        <w:r w:rsidR="008B615D">
          <w:rPr>
            <w:noProof/>
            <w:webHidden/>
          </w:rPr>
          <w:tab/>
        </w:r>
        <w:r w:rsidR="008B615D">
          <w:rPr>
            <w:noProof/>
            <w:webHidden/>
          </w:rPr>
          <w:fldChar w:fldCharType="begin"/>
        </w:r>
        <w:r w:rsidR="008B615D">
          <w:rPr>
            <w:noProof/>
            <w:webHidden/>
          </w:rPr>
          <w:instrText xml:space="preserve"> PAGEREF _Toc431375745 \h </w:instrText>
        </w:r>
        <w:r w:rsidR="008B615D">
          <w:rPr>
            <w:noProof/>
            <w:webHidden/>
          </w:rPr>
        </w:r>
        <w:r w:rsidR="008B615D">
          <w:rPr>
            <w:noProof/>
            <w:webHidden/>
          </w:rPr>
          <w:fldChar w:fldCharType="separate"/>
        </w:r>
        <w:r w:rsidR="008B615D">
          <w:rPr>
            <w:noProof/>
            <w:webHidden/>
          </w:rPr>
          <w:t>366</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46" w:history="1">
        <w:r w:rsidR="008B615D" w:rsidRPr="00213E4C">
          <w:rPr>
            <w:rStyle w:val="Hyperlink"/>
            <w:rFonts w:cs="Arial"/>
            <w:noProof/>
          </w:rPr>
          <w:t>§ 4.7.1</w:t>
        </w:r>
        <w:r w:rsidR="008B615D">
          <w:rPr>
            <w:noProof/>
          </w:rPr>
          <w:tab/>
        </w:r>
        <w:r w:rsidR="008B615D" w:rsidRPr="00213E4C">
          <w:rPr>
            <w:rStyle w:val="Hyperlink"/>
            <w:rFonts w:cs="Arial"/>
            <w:noProof/>
          </w:rPr>
          <w:t>Ontwikkelen of afdrukken van fotografisch materiaal</w:t>
        </w:r>
        <w:r w:rsidR="008B615D">
          <w:rPr>
            <w:noProof/>
            <w:webHidden/>
          </w:rPr>
          <w:tab/>
        </w:r>
        <w:r w:rsidR="008B615D">
          <w:rPr>
            <w:noProof/>
            <w:webHidden/>
          </w:rPr>
          <w:fldChar w:fldCharType="begin"/>
        </w:r>
        <w:r w:rsidR="008B615D">
          <w:rPr>
            <w:noProof/>
            <w:webHidden/>
          </w:rPr>
          <w:instrText xml:space="preserve"> PAGEREF _Toc431375746 \h </w:instrText>
        </w:r>
        <w:r w:rsidR="008B615D">
          <w:rPr>
            <w:noProof/>
            <w:webHidden/>
          </w:rPr>
        </w:r>
        <w:r w:rsidR="008B615D">
          <w:rPr>
            <w:noProof/>
            <w:webHidden/>
          </w:rPr>
          <w:fldChar w:fldCharType="separate"/>
        </w:r>
        <w:r w:rsidR="008B615D">
          <w:rPr>
            <w:noProof/>
            <w:webHidden/>
          </w:rPr>
          <w:t>366</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47" w:history="1">
        <w:r w:rsidR="008B615D" w:rsidRPr="00213E4C">
          <w:rPr>
            <w:rStyle w:val="Hyperlink"/>
            <w:rFonts w:cs="Arial"/>
            <w:noProof/>
          </w:rPr>
          <w:t>§ 4.7.2</w:t>
        </w:r>
        <w:r w:rsidR="008B615D">
          <w:rPr>
            <w:noProof/>
          </w:rPr>
          <w:tab/>
        </w:r>
        <w:r w:rsidR="008B615D" w:rsidRPr="00213E4C">
          <w:rPr>
            <w:rStyle w:val="Hyperlink"/>
            <w:rFonts w:cs="Arial"/>
            <w:noProof/>
          </w:rPr>
          <w:t>Zeefdrukken</w:t>
        </w:r>
        <w:r w:rsidR="008B615D">
          <w:rPr>
            <w:noProof/>
            <w:webHidden/>
          </w:rPr>
          <w:tab/>
        </w:r>
        <w:r w:rsidR="008B615D">
          <w:rPr>
            <w:noProof/>
            <w:webHidden/>
          </w:rPr>
          <w:fldChar w:fldCharType="begin"/>
        </w:r>
        <w:r w:rsidR="008B615D">
          <w:rPr>
            <w:noProof/>
            <w:webHidden/>
          </w:rPr>
          <w:instrText xml:space="preserve"> PAGEREF _Toc431375747 \h </w:instrText>
        </w:r>
        <w:r w:rsidR="008B615D">
          <w:rPr>
            <w:noProof/>
            <w:webHidden/>
          </w:rPr>
        </w:r>
        <w:r w:rsidR="008B615D">
          <w:rPr>
            <w:noProof/>
            <w:webHidden/>
          </w:rPr>
          <w:fldChar w:fldCharType="separate"/>
        </w:r>
        <w:r w:rsidR="008B615D">
          <w:rPr>
            <w:noProof/>
            <w:webHidden/>
          </w:rPr>
          <w:t>366</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49" w:history="1">
        <w:r w:rsidR="008B615D" w:rsidRPr="00213E4C">
          <w:rPr>
            <w:rStyle w:val="Hyperlink"/>
            <w:rFonts w:cs="Arial"/>
            <w:noProof/>
          </w:rPr>
          <w:t>§ 4.7.3</w:t>
        </w:r>
        <w:r w:rsidR="008B615D">
          <w:rPr>
            <w:noProof/>
          </w:rPr>
          <w:tab/>
        </w:r>
        <w:r w:rsidR="008B615D" w:rsidRPr="00213E4C">
          <w:rPr>
            <w:rStyle w:val="Hyperlink"/>
            <w:rFonts w:cs="Arial"/>
            <w:noProof/>
          </w:rPr>
          <w:t>Vellenoffset druktechniek</w:t>
        </w:r>
        <w:r w:rsidR="008B615D">
          <w:rPr>
            <w:noProof/>
            <w:webHidden/>
          </w:rPr>
          <w:tab/>
        </w:r>
        <w:r w:rsidR="008B615D">
          <w:rPr>
            <w:noProof/>
            <w:webHidden/>
          </w:rPr>
          <w:fldChar w:fldCharType="begin"/>
        </w:r>
        <w:r w:rsidR="008B615D">
          <w:rPr>
            <w:noProof/>
            <w:webHidden/>
          </w:rPr>
          <w:instrText xml:space="preserve"> PAGEREF _Toc431375749 \h </w:instrText>
        </w:r>
        <w:r w:rsidR="008B615D">
          <w:rPr>
            <w:noProof/>
            <w:webHidden/>
          </w:rPr>
        </w:r>
        <w:r w:rsidR="008B615D">
          <w:rPr>
            <w:noProof/>
            <w:webHidden/>
          </w:rPr>
          <w:fldChar w:fldCharType="separate"/>
        </w:r>
        <w:r w:rsidR="008B615D">
          <w:rPr>
            <w:noProof/>
            <w:webHidden/>
          </w:rPr>
          <w:t>368</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51" w:history="1">
        <w:r w:rsidR="008B615D" w:rsidRPr="00213E4C">
          <w:rPr>
            <w:rStyle w:val="Hyperlink"/>
            <w:noProof/>
          </w:rPr>
          <w:t>§ 4.7.3a.</w:t>
        </w:r>
        <w:r w:rsidR="008B615D">
          <w:rPr>
            <w:noProof/>
          </w:rPr>
          <w:tab/>
        </w:r>
        <w:r w:rsidR="008B615D" w:rsidRPr="00213E4C">
          <w:rPr>
            <w:rStyle w:val="Hyperlink"/>
            <w:noProof/>
          </w:rPr>
          <w:t>Rotatieoffset druktechniek</w:t>
        </w:r>
        <w:r w:rsidR="008B615D">
          <w:rPr>
            <w:noProof/>
            <w:webHidden/>
          </w:rPr>
          <w:tab/>
        </w:r>
        <w:r w:rsidR="008B615D">
          <w:rPr>
            <w:noProof/>
            <w:webHidden/>
          </w:rPr>
          <w:fldChar w:fldCharType="begin"/>
        </w:r>
        <w:r w:rsidR="008B615D">
          <w:rPr>
            <w:noProof/>
            <w:webHidden/>
          </w:rPr>
          <w:instrText xml:space="preserve"> PAGEREF _Toc431375751 \h </w:instrText>
        </w:r>
        <w:r w:rsidR="008B615D">
          <w:rPr>
            <w:noProof/>
            <w:webHidden/>
          </w:rPr>
        </w:r>
        <w:r w:rsidR="008B615D">
          <w:rPr>
            <w:noProof/>
            <w:webHidden/>
          </w:rPr>
          <w:fldChar w:fldCharType="separate"/>
        </w:r>
        <w:r w:rsidR="008B615D">
          <w:rPr>
            <w:noProof/>
            <w:webHidden/>
          </w:rPr>
          <w:t>371</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53" w:history="1">
        <w:r w:rsidR="008B615D" w:rsidRPr="00213E4C">
          <w:rPr>
            <w:rStyle w:val="Hyperlink"/>
            <w:noProof/>
          </w:rPr>
          <w:t>§ 4.7.3b.</w:t>
        </w:r>
        <w:r w:rsidR="008B615D">
          <w:rPr>
            <w:noProof/>
          </w:rPr>
          <w:tab/>
        </w:r>
        <w:r w:rsidR="008B615D" w:rsidRPr="00213E4C">
          <w:rPr>
            <w:rStyle w:val="Hyperlink"/>
            <w:noProof/>
          </w:rPr>
          <w:t>Flexodruk of verpakkingsdiepdruk</w:t>
        </w:r>
        <w:r w:rsidR="008B615D">
          <w:rPr>
            <w:noProof/>
            <w:webHidden/>
          </w:rPr>
          <w:tab/>
        </w:r>
        <w:r w:rsidR="008B615D">
          <w:rPr>
            <w:noProof/>
            <w:webHidden/>
          </w:rPr>
          <w:fldChar w:fldCharType="begin"/>
        </w:r>
        <w:r w:rsidR="008B615D">
          <w:rPr>
            <w:noProof/>
            <w:webHidden/>
          </w:rPr>
          <w:instrText xml:space="preserve"> PAGEREF _Toc431375753 \h </w:instrText>
        </w:r>
        <w:r w:rsidR="008B615D">
          <w:rPr>
            <w:noProof/>
            <w:webHidden/>
          </w:rPr>
        </w:r>
        <w:r w:rsidR="008B615D">
          <w:rPr>
            <w:noProof/>
            <w:webHidden/>
          </w:rPr>
          <w:fldChar w:fldCharType="separate"/>
        </w:r>
        <w:r w:rsidR="008B615D">
          <w:rPr>
            <w:noProof/>
            <w:webHidden/>
          </w:rPr>
          <w:t>372</w:t>
        </w:r>
        <w:r w:rsidR="008B615D">
          <w:rPr>
            <w:noProof/>
            <w:webHidden/>
          </w:rPr>
          <w:fldChar w:fldCharType="end"/>
        </w:r>
      </w:hyperlink>
    </w:p>
    <w:p w:rsidR="008B615D" w:rsidRDefault="00C428B8" w:rsidP="00263727">
      <w:pPr>
        <w:pStyle w:val="Inhopg2"/>
        <w:tabs>
          <w:tab w:val="left" w:pos="1760"/>
          <w:tab w:val="right" w:leader="dot" w:pos="9061"/>
        </w:tabs>
        <w:spacing w:line="240" w:lineRule="auto"/>
        <w:rPr>
          <w:noProof/>
        </w:rPr>
      </w:pPr>
      <w:hyperlink w:anchor="_Toc431375755" w:history="1">
        <w:r w:rsidR="008B615D" w:rsidRPr="00213E4C">
          <w:rPr>
            <w:rStyle w:val="Hyperlink"/>
            <w:noProof/>
          </w:rPr>
          <w:t>Afdeling 4.7a.</w:t>
        </w:r>
        <w:r w:rsidR="008B615D">
          <w:rPr>
            <w:noProof/>
          </w:rPr>
          <w:tab/>
        </w:r>
        <w:r w:rsidR="008B615D" w:rsidRPr="00213E4C">
          <w:rPr>
            <w:rStyle w:val="Hyperlink"/>
            <w:noProof/>
          </w:rPr>
          <w:t>Activiteiten met betrekking tot papier, karton, textiel, leer of bont</w:t>
        </w:r>
        <w:r w:rsidR="008B615D">
          <w:rPr>
            <w:noProof/>
            <w:webHidden/>
          </w:rPr>
          <w:tab/>
        </w:r>
        <w:r w:rsidR="008B615D">
          <w:rPr>
            <w:noProof/>
            <w:webHidden/>
          </w:rPr>
          <w:fldChar w:fldCharType="begin"/>
        </w:r>
        <w:r w:rsidR="008B615D">
          <w:rPr>
            <w:noProof/>
            <w:webHidden/>
          </w:rPr>
          <w:instrText xml:space="preserve"> PAGEREF _Toc431375755 \h </w:instrText>
        </w:r>
        <w:r w:rsidR="008B615D">
          <w:rPr>
            <w:noProof/>
            <w:webHidden/>
          </w:rPr>
        </w:r>
        <w:r w:rsidR="008B615D">
          <w:rPr>
            <w:noProof/>
            <w:webHidden/>
          </w:rPr>
          <w:fldChar w:fldCharType="separate"/>
        </w:r>
        <w:r w:rsidR="008B615D">
          <w:rPr>
            <w:noProof/>
            <w:webHidden/>
          </w:rPr>
          <w:t>374</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56" w:history="1">
        <w:r w:rsidR="008B615D" w:rsidRPr="00213E4C">
          <w:rPr>
            <w:rStyle w:val="Hyperlink"/>
            <w:rFonts w:cs="Arial"/>
            <w:noProof/>
          </w:rPr>
          <w:t>§ 4.7a.1</w:t>
        </w:r>
        <w:r w:rsidR="008B615D">
          <w:rPr>
            <w:noProof/>
          </w:rPr>
          <w:tab/>
        </w:r>
        <w:r w:rsidR="008B615D" w:rsidRPr="00213E4C">
          <w:rPr>
            <w:rStyle w:val="Hyperlink"/>
            <w:rFonts w:cs="Arial"/>
            <w:noProof/>
          </w:rPr>
          <w:t>Bewerken, lijmen, coaten of lamineren van papier of karton</w:t>
        </w:r>
        <w:r w:rsidR="008B615D">
          <w:rPr>
            <w:noProof/>
            <w:webHidden/>
          </w:rPr>
          <w:tab/>
        </w:r>
        <w:r w:rsidR="008B615D">
          <w:rPr>
            <w:noProof/>
            <w:webHidden/>
          </w:rPr>
          <w:fldChar w:fldCharType="begin"/>
        </w:r>
        <w:r w:rsidR="008B615D">
          <w:rPr>
            <w:noProof/>
            <w:webHidden/>
          </w:rPr>
          <w:instrText xml:space="preserve"> PAGEREF _Toc431375756 \h </w:instrText>
        </w:r>
        <w:r w:rsidR="008B615D">
          <w:rPr>
            <w:noProof/>
            <w:webHidden/>
          </w:rPr>
        </w:r>
        <w:r w:rsidR="008B615D">
          <w:rPr>
            <w:noProof/>
            <w:webHidden/>
          </w:rPr>
          <w:fldChar w:fldCharType="separate"/>
        </w:r>
        <w:r w:rsidR="008B615D">
          <w:rPr>
            <w:noProof/>
            <w:webHidden/>
          </w:rPr>
          <w:t>374</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58" w:history="1">
        <w:r w:rsidR="008B615D" w:rsidRPr="00213E4C">
          <w:rPr>
            <w:rStyle w:val="Hyperlink"/>
            <w:rFonts w:cs="Arial"/>
            <w:noProof/>
          </w:rPr>
          <w:t>§ 4.7a.2</w:t>
        </w:r>
        <w:r w:rsidR="008B615D">
          <w:rPr>
            <w:noProof/>
          </w:rPr>
          <w:tab/>
        </w:r>
        <w:r w:rsidR="008B615D" w:rsidRPr="00213E4C">
          <w:rPr>
            <w:rStyle w:val="Hyperlink"/>
            <w:rFonts w:cs="Arial"/>
            <w:noProof/>
          </w:rPr>
          <w:t>Reinigen of wassen van textiel</w:t>
        </w:r>
        <w:r w:rsidR="008B615D">
          <w:rPr>
            <w:noProof/>
            <w:webHidden/>
          </w:rPr>
          <w:tab/>
        </w:r>
        <w:r w:rsidR="008B615D">
          <w:rPr>
            <w:noProof/>
            <w:webHidden/>
          </w:rPr>
          <w:fldChar w:fldCharType="begin"/>
        </w:r>
        <w:r w:rsidR="008B615D">
          <w:rPr>
            <w:noProof/>
            <w:webHidden/>
          </w:rPr>
          <w:instrText xml:space="preserve"> PAGEREF _Toc431375758 \h </w:instrText>
        </w:r>
        <w:r w:rsidR="008B615D">
          <w:rPr>
            <w:noProof/>
            <w:webHidden/>
          </w:rPr>
        </w:r>
        <w:r w:rsidR="008B615D">
          <w:rPr>
            <w:noProof/>
            <w:webHidden/>
          </w:rPr>
          <w:fldChar w:fldCharType="separate"/>
        </w:r>
        <w:r w:rsidR="008B615D">
          <w:rPr>
            <w:noProof/>
            <w:webHidden/>
          </w:rPr>
          <w:t>377</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760" w:history="1">
        <w:r w:rsidR="008B615D" w:rsidRPr="00213E4C">
          <w:rPr>
            <w:rStyle w:val="Hyperlink"/>
            <w:rFonts w:cs="Arial"/>
            <w:noProof/>
          </w:rPr>
          <w:t>§ 4.7a.3 Mechanische bewerking of verwerking van textiel</w:t>
        </w:r>
        <w:r w:rsidR="008B615D">
          <w:rPr>
            <w:noProof/>
            <w:webHidden/>
          </w:rPr>
          <w:tab/>
        </w:r>
        <w:r w:rsidR="008B615D">
          <w:rPr>
            <w:noProof/>
            <w:webHidden/>
          </w:rPr>
          <w:fldChar w:fldCharType="begin"/>
        </w:r>
        <w:r w:rsidR="008B615D">
          <w:rPr>
            <w:noProof/>
            <w:webHidden/>
          </w:rPr>
          <w:instrText xml:space="preserve"> PAGEREF _Toc431375760 \h </w:instrText>
        </w:r>
        <w:r w:rsidR="008B615D">
          <w:rPr>
            <w:noProof/>
            <w:webHidden/>
          </w:rPr>
        </w:r>
        <w:r w:rsidR="008B615D">
          <w:rPr>
            <w:noProof/>
            <w:webHidden/>
          </w:rPr>
          <w:fldChar w:fldCharType="separate"/>
        </w:r>
        <w:r w:rsidR="008B615D">
          <w:rPr>
            <w:noProof/>
            <w:webHidden/>
          </w:rPr>
          <w:t>378</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62" w:history="1">
        <w:r w:rsidR="008B615D" w:rsidRPr="00213E4C">
          <w:rPr>
            <w:rStyle w:val="Hyperlink"/>
            <w:rFonts w:cs="Arial"/>
            <w:noProof/>
          </w:rPr>
          <w:t>§ 4.7a.4</w:t>
        </w:r>
        <w:r w:rsidR="008B615D">
          <w:rPr>
            <w:noProof/>
          </w:rPr>
          <w:tab/>
        </w:r>
        <w:r w:rsidR="008B615D" w:rsidRPr="00213E4C">
          <w:rPr>
            <w:rStyle w:val="Hyperlink"/>
            <w:rFonts w:cs="Arial"/>
            <w:noProof/>
          </w:rPr>
          <w:t>Lassen van textiel</w:t>
        </w:r>
        <w:r w:rsidR="008B615D">
          <w:rPr>
            <w:noProof/>
            <w:webHidden/>
          </w:rPr>
          <w:tab/>
        </w:r>
        <w:r w:rsidR="008B615D">
          <w:rPr>
            <w:noProof/>
            <w:webHidden/>
          </w:rPr>
          <w:fldChar w:fldCharType="begin"/>
        </w:r>
        <w:r w:rsidR="008B615D">
          <w:rPr>
            <w:noProof/>
            <w:webHidden/>
          </w:rPr>
          <w:instrText xml:space="preserve"> PAGEREF _Toc431375762 \h </w:instrText>
        </w:r>
        <w:r w:rsidR="008B615D">
          <w:rPr>
            <w:noProof/>
            <w:webHidden/>
          </w:rPr>
        </w:r>
        <w:r w:rsidR="008B615D">
          <w:rPr>
            <w:noProof/>
            <w:webHidden/>
          </w:rPr>
          <w:fldChar w:fldCharType="separate"/>
        </w:r>
        <w:r w:rsidR="008B615D">
          <w:rPr>
            <w:noProof/>
            <w:webHidden/>
          </w:rPr>
          <w:t>379</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64" w:history="1">
        <w:r w:rsidR="008B615D" w:rsidRPr="00213E4C">
          <w:rPr>
            <w:rStyle w:val="Hyperlink"/>
            <w:rFonts w:cs="Arial"/>
            <w:noProof/>
          </w:rPr>
          <w:t>§ 4.7a.5</w:t>
        </w:r>
        <w:r w:rsidR="008B615D">
          <w:rPr>
            <w:noProof/>
          </w:rPr>
          <w:tab/>
        </w:r>
        <w:r w:rsidR="008B615D" w:rsidRPr="00213E4C">
          <w:rPr>
            <w:rStyle w:val="Hyperlink"/>
            <w:rFonts w:cs="Arial"/>
            <w:noProof/>
          </w:rPr>
          <w:t>Lijmen, coaten of veredelen van textiel, leer of bont</w:t>
        </w:r>
        <w:r w:rsidR="008B615D">
          <w:rPr>
            <w:noProof/>
            <w:webHidden/>
          </w:rPr>
          <w:tab/>
        </w:r>
        <w:r w:rsidR="008B615D">
          <w:rPr>
            <w:noProof/>
            <w:webHidden/>
          </w:rPr>
          <w:fldChar w:fldCharType="begin"/>
        </w:r>
        <w:r w:rsidR="008B615D">
          <w:rPr>
            <w:noProof/>
            <w:webHidden/>
          </w:rPr>
          <w:instrText xml:space="preserve"> PAGEREF _Toc431375764 \h </w:instrText>
        </w:r>
        <w:r w:rsidR="008B615D">
          <w:rPr>
            <w:noProof/>
            <w:webHidden/>
          </w:rPr>
        </w:r>
        <w:r w:rsidR="008B615D">
          <w:rPr>
            <w:noProof/>
            <w:webHidden/>
          </w:rPr>
          <w:fldChar w:fldCharType="separate"/>
        </w:r>
        <w:r w:rsidR="008B615D">
          <w:rPr>
            <w:noProof/>
            <w:webHidden/>
          </w:rPr>
          <w:t>380</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766" w:history="1">
        <w:r w:rsidR="008B615D" w:rsidRPr="00213E4C">
          <w:rPr>
            <w:rStyle w:val="Hyperlink"/>
            <w:rFonts w:cs="Arial"/>
            <w:noProof/>
          </w:rPr>
          <w:t>Afdeling 4.8. Overige activiteiten</w:t>
        </w:r>
        <w:r w:rsidR="008B615D">
          <w:rPr>
            <w:noProof/>
            <w:webHidden/>
          </w:rPr>
          <w:tab/>
        </w:r>
        <w:r w:rsidR="008B615D">
          <w:rPr>
            <w:noProof/>
            <w:webHidden/>
          </w:rPr>
          <w:fldChar w:fldCharType="begin"/>
        </w:r>
        <w:r w:rsidR="008B615D">
          <w:rPr>
            <w:noProof/>
            <w:webHidden/>
          </w:rPr>
          <w:instrText xml:space="preserve"> PAGEREF _Toc431375766 \h </w:instrText>
        </w:r>
        <w:r w:rsidR="008B615D">
          <w:rPr>
            <w:noProof/>
            <w:webHidden/>
          </w:rPr>
        </w:r>
        <w:r w:rsidR="008B615D">
          <w:rPr>
            <w:noProof/>
            <w:webHidden/>
          </w:rPr>
          <w:fldChar w:fldCharType="separate"/>
        </w:r>
        <w:r w:rsidR="008B615D">
          <w:rPr>
            <w:noProof/>
            <w:webHidden/>
          </w:rPr>
          <w:t>383</w:t>
        </w:r>
        <w:r w:rsidR="008B615D">
          <w:rPr>
            <w:noProof/>
            <w:webHidden/>
          </w:rPr>
          <w:fldChar w:fldCharType="end"/>
        </w:r>
      </w:hyperlink>
    </w:p>
    <w:p w:rsidR="008B615D" w:rsidRDefault="00C428B8" w:rsidP="00263727">
      <w:pPr>
        <w:pStyle w:val="Inhopg3"/>
        <w:tabs>
          <w:tab w:val="right" w:leader="dot" w:pos="9061"/>
        </w:tabs>
        <w:spacing w:line="240" w:lineRule="auto"/>
        <w:rPr>
          <w:noProof/>
        </w:rPr>
      </w:pPr>
      <w:hyperlink w:anchor="_Toc431375767" w:history="1">
        <w:r w:rsidR="008B615D" w:rsidRPr="00213E4C">
          <w:rPr>
            <w:rStyle w:val="Hyperlink"/>
            <w:rFonts w:cs="Arial"/>
            <w:noProof/>
          </w:rPr>
          <w:t>§ 4.8.1 Inwendig reinigen of ontsmetten van transportmiddelen</w:t>
        </w:r>
        <w:r w:rsidR="008B615D">
          <w:rPr>
            <w:noProof/>
            <w:webHidden/>
          </w:rPr>
          <w:tab/>
        </w:r>
        <w:r w:rsidR="008B615D">
          <w:rPr>
            <w:noProof/>
            <w:webHidden/>
          </w:rPr>
          <w:fldChar w:fldCharType="begin"/>
        </w:r>
        <w:r w:rsidR="008B615D">
          <w:rPr>
            <w:noProof/>
            <w:webHidden/>
          </w:rPr>
          <w:instrText xml:space="preserve"> PAGEREF _Toc431375767 \h </w:instrText>
        </w:r>
        <w:r w:rsidR="008B615D">
          <w:rPr>
            <w:noProof/>
            <w:webHidden/>
          </w:rPr>
        </w:r>
        <w:r w:rsidR="008B615D">
          <w:rPr>
            <w:noProof/>
            <w:webHidden/>
          </w:rPr>
          <w:fldChar w:fldCharType="separate"/>
        </w:r>
        <w:r w:rsidR="008B615D">
          <w:rPr>
            <w:noProof/>
            <w:webHidden/>
          </w:rPr>
          <w:t>383</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69" w:history="1">
        <w:r w:rsidR="008B615D" w:rsidRPr="00213E4C">
          <w:rPr>
            <w:rStyle w:val="Hyperlink"/>
            <w:rFonts w:cs="Arial"/>
            <w:noProof/>
          </w:rPr>
          <w:t>§ 4.8.6</w:t>
        </w:r>
        <w:r w:rsidR="008B615D">
          <w:rPr>
            <w:noProof/>
          </w:rPr>
          <w:tab/>
        </w:r>
        <w:r w:rsidR="008B615D" w:rsidRPr="00213E4C">
          <w:rPr>
            <w:rStyle w:val="Hyperlink"/>
            <w:rFonts w:cs="Arial"/>
            <w:noProof/>
          </w:rPr>
          <w:t>In werking hebben van een acculader</w:t>
        </w:r>
        <w:r w:rsidR="008B615D">
          <w:rPr>
            <w:noProof/>
            <w:webHidden/>
          </w:rPr>
          <w:tab/>
        </w:r>
        <w:r w:rsidR="008B615D">
          <w:rPr>
            <w:noProof/>
            <w:webHidden/>
          </w:rPr>
          <w:fldChar w:fldCharType="begin"/>
        </w:r>
        <w:r w:rsidR="008B615D">
          <w:rPr>
            <w:noProof/>
            <w:webHidden/>
          </w:rPr>
          <w:instrText xml:space="preserve"> PAGEREF _Toc431375769 \h </w:instrText>
        </w:r>
        <w:r w:rsidR="008B615D">
          <w:rPr>
            <w:noProof/>
            <w:webHidden/>
          </w:rPr>
        </w:r>
        <w:r w:rsidR="008B615D">
          <w:rPr>
            <w:noProof/>
            <w:webHidden/>
          </w:rPr>
          <w:fldChar w:fldCharType="separate"/>
        </w:r>
        <w:r w:rsidR="008B615D">
          <w:rPr>
            <w:noProof/>
            <w:webHidden/>
          </w:rPr>
          <w:t>385</w:t>
        </w:r>
        <w:r w:rsidR="008B615D">
          <w:rPr>
            <w:noProof/>
            <w:webHidden/>
          </w:rPr>
          <w:fldChar w:fldCharType="end"/>
        </w:r>
      </w:hyperlink>
    </w:p>
    <w:p w:rsidR="008B615D" w:rsidRDefault="00C428B8" w:rsidP="00263727">
      <w:pPr>
        <w:pStyle w:val="Inhopg3"/>
        <w:tabs>
          <w:tab w:val="left" w:pos="1320"/>
          <w:tab w:val="right" w:leader="dot" w:pos="9061"/>
        </w:tabs>
        <w:spacing w:line="240" w:lineRule="auto"/>
        <w:rPr>
          <w:noProof/>
        </w:rPr>
      </w:pPr>
      <w:hyperlink w:anchor="_Toc431375771" w:history="1">
        <w:r w:rsidR="008B615D" w:rsidRPr="00213E4C">
          <w:rPr>
            <w:rStyle w:val="Hyperlink"/>
            <w:rFonts w:cs="Arial"/>
            <w:noProof/>
          </w:rPr>
          <w:t>§ 4.8.9</w:t>
        </w:r>
        <w:r w:rsidR="008B615D">
          <w:rPr>
            <w:noProof/>
          </w:rPr>
          <w:tab/>
        </w:r>
        <w:r w:rsidR="008B615D" w:rsidRPr="00213E4C">
          <w:rPr>
            <w:rStyle w:val="Hyperlink"/>
            <w:rFonts w:cs="Arial"/>
            <w:noProof/>
          </w:rPr>
          <w:t>In werking hebben van een crematorium of het in gebruik hebben van een strooiveld</w:t>
        </w:r>
        <w:r w:rsidR="008B615D">
          <w:rPr>
            <w:noProof/>
            <w:webHidden/>
          </w:rPr>
          <w:tab/>
        </w:r>
        <w:r w:rsidR="008B615D">
          <w:rPr>
            <w:noProof/>
            <w:webHidden/>
          </w:rPr>
          <w:fldChar w:fldCharType="begin"/>
        </w:r>
        <w:r w:rsidR="008B615D">
          <w:rPr>
            <w:noProof/>
            <w:webHidden/>
          </w:rPr>
          <w:instrText xml:space="preserve"> PAGEREF _Toc431375771 \h </w:instrText>
        </w:r>
        <w:r w:rsidR="008B615D">
          <w:rPr>
            <w:noProof/>
            <w:webHidden/>
          </w:rPr>
        </w:r>
        <w:r w:rsidR="008B615D">
          <w:rPr>
            <w:noProof/>
            <w:webHidden/>
          </w:rPr>
          <w:fldChar w:fldCharType="separate"/>
        </w:r>
        <w:r w:rsidR="008B615D">
          <w:rPr>
            <w:noProof/>
            <w:webHidden/>
          </w:rPr>
          <w:t>386</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74" w:history="1">
        <w:r w:rsidR="008B615D" w:rsidRPr="00213E4C">
          <w:rPr>
            <w:rStyle w:val="Hyperlink"/>
            <w:rFonts w:cs="Arial"/>
            <w:noProof/>
          </w:rPr>
          <w:t>§ 4.8.10</w:t>
        </w:r>
        <w:r w:rsidR="008B615D">
          <w:rPr>
            <w:noProof/>
          </w:rPr>
          <w:tab/>
        </w:r>
        <w:r w:rsidR="008B615D" w:rsidRPr="00213E4C">
          <w:rPr>
            <w:rStyle w:val="Hyperlink"/>
            <w:rFonts w:cs="Arial"/>
            <w:noProof/>
          </w:rPr>
          <w:t>In werking hebben van een laboratorium of een praktijkruimte</w:t>
        </w:r>
        <w:r w:rsidR="008B615D">
          <w:rPr>
            <w:noProof/>
            <w:webHidden/>
          </w:rPr>
          <w:tab/>
        </w:r>
        <w:r w:rsidR="008B615D">
          <w:rPr>
            <w:noProof/>
            <w:webHidden/>
          </w:rPr>
          <w:fldChar w:fldCharType="begin"/>
        </w:r>
        <w:r w:rsidR="008B615D">
          <w:rPr>
            <w:noProof/>
            <w:webHidden/>
          </w:rPr>
          <w:instrText xml:space="preserve"> PAGEREF _Toc431375774 \h </w:instrText>
        </w:r>
        <w:r w:rsidR="008B615D">
          <w:rPr>
            <w:noProof/>
            <w:webHidden/>
          </w:rPr>
        </w:r>
        <w:r w:rsidR="008B615D">
          <w:rPr>
            <w:noProof/>
            <w:webHidden/>
          </w:rPr>
          <w:fldChar w:fldCharType="separate"/>
        </w:r>
        <w:r w:rsidR="008B615D">
          <w:rPr>
            <w:noProof/>
            <w:webHidden/>
          </w:rPr>
          <w:t>392</w:t>
        </w:r>
        <w:r w:rsidR="008B615D">
          <w:rPr>
            <w:noProof/>
            <w:webHidden/>
          </w:rPr>
          <w:fldChar w:fldCharType="end"/>
        </w:r>
      </w:hyperlink>
    </w:p>
    <w:p w:rsidR="008B615D" w:rsidRDefault="00C428B8" w:rsidP="00263727">
      <w:pPr>
        <w:pStyle w:val="Inhopg1"/>
        <w:tabs>
          <w:tab w:val="right" w:leader="dot" w:pos="9061"/>
        </w:tabs>
        <w:spacing w:line="240" w:lineRule="auto"/>
        <w:rPr>
          <w:noProof/>
        </w:rPr>
      </w:pPr>
      <w:hyperlink w:anchor="_Toc431375776" w:history="1">
        <w:r w:rsidR="008B615D" w:rsidRPr="00213E4C">
          <w:rPr>
            <w:rStyle w:val="Hyperlink"/>
            <w:rFonts w:cs="Arial"/>
            <w:noProof/>
          </w:rPr>
          <w:t>Hoofdstuk 5. Industriële emissies</w:t>
        </w:r>
        <w:r w:rsidR="008B615D">
          <w:rPr>
            <w:noProof/>
            <w:webHidden/>
          </w:rPr>
          <w:tab/>
        </w:r>
        <w:r w:rsidR="008B615D">
          <w:rPr>
            <w:noProof/>
            <w:webHidden/>
          </w:rPr>
          <w:fldChar w:fldCharType="begin"/>
        </w:r>
        <w:r w:rsidR="008B615D">
          <w:rPr>
            <w:noProof/>
            <w:webHidden/>
          </w:rPr>
          <w:instrText xml:space="preserve"> PAGEREF _Toc431375776 \h </w:instrText>
        </w:r>
        <w:r w:rsidR="008B615D">
          <w:rPr>
            <w:noProof/>
            <w:webHidden/>
          </w:rPr>
        </w:r>
        <w:r w:rsidR="008B615D">
          <w:rPr>
            <w:noProof/>
            <w:webHidden/>
          </w:rPr>
          <w:fldChar w:fldCharType="separate"/>
        </w:r>
        <w:r w:rsidR="008B615D">
          <w:rPr>
            <w:noProof/>
            <w:webHidden/>
          </w:rPr>
          <w:t>396</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777" w:history="1">
        <w:r w:rsidR="008B615D" w:rsidRPr="00213E4C">
          <w:rPr>
            <w:rStyle w:val="Hyperlink"/>
            <w:noProof/>
          </w:rPr>
          <w:t>Af</w:t>
        </w:r>
        <w:r w:rsidR="00A94F7E">
          <w:rPr>
            <w:rStyle w:val="Hyperlink"/>
            <w:noProof/>
          </w:rPr>
          <w:t>deling 5.1. INDUSTRIËLE EMISSIES</w:t>
        </w:r>
        <w:r w:rsidR="008B615D">
          <w:rPr>
            <w:noProof/>
            <w:webHidden/>
          </w:rPr>
          <w:tab/>
        </w:r>
        <w:r w:rsidR="008B615D">
          <w:rPr>
            <w:noProof/>
            <w:webHidden/>
          </w:rPr>
          <w:fldChar w:fldCharType="begin"/>
        </w:r>
        <w:r w:rsidR="008B615D">
          <w:rPr>
            <w:noProof/>
            <w:webHidden/>
          </w:rPr>
          <w:instrText xml:space="preserve"> PAGEREF _Toc431375777 \h </w:instrText>
        </w:r>
        <w:r w:rsidR="008B615D">
          <w:rPr>
            <w:noProof/>
            <w:webHidden/>
          </w:rPr>
        </w:r>
        <w:r w:rsidR="008B615D">
          <w:rPr>
            <w:noProof/>
            <w:webHidden/>
          </w:rPr>
          <w:fldChar w:fldCharType="separate"/>
        </w:r>
        <w:r w:rsidR="008B615D">
          <w:rPr>
            <w:noProof/>
            <w:webHidden/>
          </w:rPr>
          <w:t>396</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rStyle w:val="Hyperlink"/>
          <w:noProof/>
        </w:rPr>
      </w:pPr>
      <w:hyperlink w:anchor="_Toc431375778" w:history="1">
        <w:r w:rsidR="008B615D" w:rsidRPr="00213E4C">
          <w:rPr>
            <w:rStyle w:val="Hyperlink"/>
            <w:noProof/>
          </w:rPr>
          <w:t>§ 5.1.1.</w:t>
        </w:r>
        <w:r w:rsidR="008B615D">
          <w:rPr>
            <w:noProof/>
          </w:rPr>
          <w:tab/>
        </w:r>
        <w:r w:rsidR="008B615D" w:rsidRPr="00213E4C">
          <w:rPr>
            <w:rStyle w:val="Hyperlink"/>
            <w:noProof/>
          </w:rPr>
          <w:t>Grote stookinstallatie</w:t>
        </w:r>
        <w:r w:rsidR="008B615D">
          <w:rPr>
            <w:noProof/>
            <w:webHidden/>
          </w:rPr>
          <w:tab/>
        </w:r>
        <w:r w:rsidR="008B615D">
          <w:rPr>
            <w:noProof/>
            <w:webHidden/>
          </w:rPr>
          <w:fldChar w:fldCharType="begin"/>
        </w:r>
        <w:r w:rsidR="008B615D">
          <w:rPr>
            <w:noProof/>
            <w:webHidden/>
          </w:rPr>
          <w:instrText xml:space="preserve"> PAGEREF _Toc431375778 \h </w:instrText>
        </w:r>
        <w:r w:rsidR="008B615D">
          <w:rPr>
            <w:noProof/>
            <w:webHidden/>
          </w:rPr>
        </w:r>
        <w:r w:rsidR="008B615D">
          <w:rPr>
            <w:noProof/>
            <w:webHidden/>
          </w:rPr>
          <w:fldChar w:fldCharType="separate"/>
        </w:r>
        <w:r w:rsidR="008B615D">
          <w:rPr>
            <w:noProof/>
            <w:webHidden/>
          </w:rPr>
          <w:t>396</w:t>
        </w:r>
        <w:r w:rsidR="008B615D">
          <w:rPr>
            <w:noProof/>
            <w:webHidden/>
          </w:rPr>
          <w:fldChar w:fldCharType="end"/>
        </w:r>
      </w:hyperlink>
    </w:p>
    <w:p w:rsidR="00702AAF" w:rsidRPr="00702AAF" w:rsidRDefault="00C428B8" w:rsidP="00263727">
      <w:pPr>
        <w:spacing w:line="240" w:lineRule="auto"/>
        <w:ind w:firstLine="440"/>
        <w:rPr>
          <w:rFonts w:asciiTheme="minorHAnsi" w:hAnsiTheme="minorHAnsi" w:cstheme="minorHAnsi"/>
          <w:sz w:val="22"/>
          <w:szCs w:val="22"/>
          <w:lang w:eastAsia="nl-NL"/>
        </w:rPr>
      </w:pPr>
      <w:hyperlink w:anchor="afvalverbrandingsinstallatie" w:history="1">
        <w:r w:rsidR="00702AAF" w:rsidRPr="00702AAF">
          <w:rPr>
            <w:rStyle w:val="Hyperlink"/>
            <w:rFonts w:asciiTheme="minorHAnsi" w:hAnsiTheme="minorHAnsi" w:cstheme="minorHAnsi"/>
            <w:sz w:val="22"/>
            <w:szCs w:val="22"/>
            <w:lang w:eastAsia="nl-NL"/>
          </w:rPr>
          <w:t>§ 5.1.2.</w:t>
        </w:r>
        <w:r w:rsidR="00702AAF" w:rsidRPr="00702AAF">
          <w:rPr>
            <w:rStyle w:val="Hyperlink"/>
            <w:rFonts w:asciiTheme="minorHAnsi" w:hAnsiTheme="minorHAnsi" w:cstheme="minorHAnsi"/>
            <w:sz w:val="22"/>
            <w:szCs w:val="22"/>
            <w:lang w:eastAsia="nl-NL"/>
          </w:rPr>
          <w:tab/>
          <w:t>Afvalverbrandings- of afvalmeeverbrandingsinstallatie</w:t>
        </w:r>
      </w:hyperlink>
      <w:r w:rsidR="00A94F7E">
        <w:rPr>
          <w:rFonts w:asciiTheme="minorHAnsi" w:hAnsiTheme="minorHAnsi" w:cstheme="minorHAnsi"/>
          <w:sz w:val="22"/>
          <w:szCs w:val="22"/>
          <w:lang w:eastAsia="nl-NL"/>
        </w:rPr>
        <w:t>…………………………………………390</w:t>
      </w:r>
    </w:p>
    <w:p w:rsidR="00702AAF" w:rsidRDefault="00702AAF" w:rsidP="00263727">
      <w:pPr>
        <w:spacing w:line="240" w:lineRule="auto"/>
        <w:ind w:firstLine="440"/>
        <w:rPr>
          <w:rFonts w:asciiTheme="minorHAnsi" w:hAnsiTheme="minorHAnsi" w:cstheme="minorHAnsi"/>
          <w:sz w:val="22"/>
          <w:szCs w:val="22"/>
          <w:lang w:eastAsia="nl-NL"/>
        </w:rPr>
      </w:pPr>
    </w:p>
    <w:p w:rsidR="00702AAF" w:rsidRDefault="00C428B8" w:rsidP="00263727">
      <w:pPr>
        <w:spacing w:line="240" w:lineRule="auto"/>
        <w:ind w:firstLine="440"/>
        <w:rPr>
          <w:rFonts w:asciiTheme="minorHAnsi" w:hAnsiTheme="minorHAnsi" w:cstheme="minorHAnsi"/>
          <w:sz w:val="22"/>
          <w:szCs w:val="22"/>
          <w:lang w:eastAsia="nl-NL"/>
        </w:rPr>
      </w:pPr>
      <w:hyperlink w:anchor="Titaandioxideinstallatie" w:history="1">
        <w:r w:rsidR="00D617C2" w:rsidRPr="00D617C2">
          <w:rPr>
            <w:rStyle w:val="Hyperlink"/>
            <w:rFonts w:asciiTheme="minorHAnsi" w:hAnsiTheme="minorHAnsi" w:cstheme="minorHAnsi"/>
            <w:sz w:val="22"/>
            <w:szCs w:val="22"/>
            <w:lang w:eastAsia="nl-NL"/>
          </w:rPr>
          <w:t>§ 5.1.3.</w:t>
        </w:r>
        <w:r w:rsidR="00D617C2" w:rsidRPr="00D617C2">
          <w:rPr>
            <w:rStyle w:val="Hyperlink"/>
            <w:rFonts w:asciiTheme="minorHAnsi" w:hAnsiTheme="minorHAnsi" w:cstheme="minorHAnsi"/>
            <w:sz w:val="22"/>
            <w:szCs w:val="22"/>
            <w:lang w:eastAsia="nl-NL"/>
          </w:rPr>
          <w:tab/>
          <w:t>Installatie voor de productie van titaandioxide</w:t>
        </w:r>
      </w:hyperlink>
      <w:r w:rsidR="00A94F7E">
        <w:rPr>
          <w:rFonts w:asciiTheme="minorHAnsi" w:hAnsiTheme="minorHAnsi" w:cstheme="minorHAnsi"/>
          <w:sz w:val="22"/>
          <w:szCs w:val="22"/>
          <w:lang w:eastAsia="nl-NL"/>
        </w:rPr>
        <w:t>……………………………………………………..406</w:t>
      </w:r>
    </w:p>
    <w:p w:rsidR="00D617C2" w:rsidRPr="00702AAF" w:rsidRDefault="00D617C2" w:rsidP="00263727">
      <w:pPr>
        <w:spacing w:line="240" w:lineRule="auto"/>
        <w:ind w:firstLine="440"/>
        <w:rPr>
          <w:rFonts w:asciiTheme="minorHAnsi" w:hAnsiTheme="minorHAnsi" w:cstheme="minorHAnsi"/>
          <w:sz w:val="22"/>
          <w:szCs w:val="22"/>
          <w:lang w:eastAsia="nl-NL"/>
        </w:rPr>
      </w:pPr>
    </w:p>
    <w:p w:rsidR="008B615D" w:rsidRDefault="00C428B8" w:rsidP="00263727">
      <w:pPr>
        <w:pStyle w:val="Inhopg3"/>
        <w:tabs>
          <w:tab w:val="left" w:pos="1540"/>
          <w:tab w:val="right" w:leader="dot" w:pos="9061"/>
        </w:tabs>
        <w:spacing w:line="240" w:lineRule="auto"/>
        <w:rPr>
          <w:noProof/>
        </w:rPr>
      </w:pPr>
      <w:hyperlink w:anchor="_Toc431375797" w:history="1">
        <w:r w:rsidR="008B615D" w:rsidRPr="00213E4C">
          <w:rPr>
            <w:rStyle w:val="Hyperlink"/>
            <w:noProof/>
          </w:rPr>
          <w:t>§ 5.1.4.</w:t>
        </w:r>
        <w:r w:rsidR="008B615D">
          <w:rPr>
            <w:noProof/>
          </w:rPr>
          <w:tab/>
        </w:r>
        <w:r w:rsidR="008B615D" w:rsidRPr="00213E4C">
          <w:rPr>
            <w:rStyle w:val="Hyperlink"/>
            <w:noProof/>
          </w:rPr>
          <w:t>Installatie, als onderdeel van olieraffinaderijen, voor de productie van zwavel</w:t>
        </w:r>
        <w:r w:rsidR="008B615D">
          <w:rPr>
            <w:noProof/>
            <w:webHidden/>
          </w:rPr>
          <w:tab/>
        </w:r>
        <w:r w:rsidR="008B615D">
          <w:rPr>
            <w:noProof/>
            <w:webHidden/>
          </w:rPr>
          <w:fldChar w:fldCharType="begin"/>
        </w:r>
        <w:r w:rsidR="008B615D">
          <w:rPr>
            <w:noProof/>
            <w:webHidden/>
          </w:rPr>
          <w:instrText xml:space="preserve"> PAGEREF _Toc431375797 \h </w:instrText>
        </w:r>
        <w:r w:rsidR="008B615D">
          <w:rPr>
            <w:noProof/>
            <w:webHidden/>
          </w:rPr>
        </w:r>
        <w:r w:rsidR="008B615D">
          <w:rPr>
            <w:noProof/>
            <w:webHidden/>
          </w:rPr>
          <w:fldChar w:fldCharType="separate"/>
        </w:r>
        <w:r w:rsidR="008B615D">
          <w:rPr>
            <w:noProof/>
            <w:webHidden/>
          </w:rPr>
          <w:t>424</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98" w:history="1">
        <w:r w:rsidR="008B615D" w:rsidRPr="00213E4C">
          <w:rPr>
            <w:rStyle w:val="Hyperlink"/>
            <w:noProof/>
          </w:rPr>
          <w:t>§ 5.1.5.</w:t>
        </w:r>
        <w:r w:rsidR="008B615D">
          <w:rPr>
            <w:noProof/>
          </w:rPr>
          <w:tab/>
        </w:r>
        <w:r w:rsidR="008B615D" w:rsidRPr="00213E4C">
          <w:rPr>
            <w:rStyle w:val="Hyperlink"/>
            <w:noProof/>
          </w:rPr>
          <w:t>Stookinstallatie voor de regeneratie van glycol</w:t>
        </w:r>
        <w:r w:rsidR="008B615D">
          <w:rPr>
            <w:noProof/>
            <w:webHidden/>
          </w:rPr>
          <w:tab/>
        </w:r>
        <w:r w:rsidR="008B615D">
          <w:rPr>
            <w:noProof/>
            <w:webHidden/>
          </w:rPr>
          <w:fldChar w:fldCharType="begin"/>
        </w:r>
        <w:r w:rsidR="008B615D">
          <w:rPr>
            <w:noProof/>
            <w:webHidden/>
          </w:rPr>
          <w:instrText xml:space="preserve"> PAGEREF _Toc431375798 \h </w:instrText>
        </w:r>
        <w:r w:rsidR="008B615D">
          <w:rPr>
            <w:noProof/>
            <w:webHidden/>
          </w:rPr>
        </w:r>
        <w:r w:rsidR="008B615D">
          <w:rPr>
            <w:noProof/>
            <w:webHidden/>
          </w:rPr>
          <w:fldChar w:fldCharType="separate"/>
        </w:r>
        <w:r w:rsidR="008B615D">
          <w:rPr>
            <w:noProof/>
            <w:webHidden/>
          </w:rPr>
          <w:t>424</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799" w:history="1">
        <w:r w:rsidR="008B615D" w:rsidRPr="00213E4C">
          <w:rPr>
            <w:rStyle w:val="Hyperlink"/>
            <w:noProof/>
          </w:rPr>
          <w:t>§ 5.1.6.</w:t>
        </w:r>
        <w:r w:rsidR="008B615D">
          <w:rPr>
            <w:noProof/>
          </w:rPr>
          <w:tab/>
        </w:r>
        <w:r w:rsidR="008B615D" w:rsidRPr="00213E4C">
          <w:rPr>
            <w:rStyle w:val="Hyperlink"/>
            <w:noProof/>
          </w:rPr>
          <w:t>Installatie voor de productie van asfalt</w:t>
        </w:r>
        <w:r w:rsidR="008B615D">
          <w:rPr>
            <w:noProof/>
            <w:webHidden/>
          </w:rPr>
          <w:tab/>
        </w:r>
        <w:r w:rsidR="008B615D">
          <w:rPr>
            <w:noProof/>
            <w:webHidden/>
          </w:rPr>
          <w:fldChar w:fldCharType="begin"/>
        </w:r>
        <w:r w:rsidR="008B615D">
          <w:rPr>
            <w:noProof/>
            <w:webHidden/>
          </w:rPr>
          <w:instrText xml:space="preserve"> PAGEREF _Toc431375799 \h </w:instrText>
        </w:r>
        <w:r w:rsidR="008B615D">
          <w:rPr>
            <w:noProof/>
            <w:webHidden/>
          </w:rPr>
        </w:r>
        <w:r w:rsidR="008B615D">
          <w:rPr>
            <w:noProof/>
            <w:webHidden/>
          </w:rPr>
          <w:fldChar w:fldCharType="separate"/>
        </w:r>
        <w:r w:rsidR="008B615D">
          <w:rPr>
            <w:noProof/>
            <w:webHidden/>
          </w:rPr>
          <w:t>425</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801" w:history="1">
        <w:r w:rsidR="008B615D" w:rsidRPr="00213E4C">
          <w:rPr>
            <w:rStyle w:val="Hyperlink"/>
            <w:noProof/>
          </w:rPr>
          <w:t>§ 5.1.7.</w:t>
        </w:r>
        <w:r w:rsidR="008B615D">
          <w:rPr>
            <w:noProof/>
          </w:rPr>
          <w:tab/>
        </w:r>
        <w:r w:rsidR="008B615D" w:rsidRPr="00213E4C">
          <w:rPr>
            <w:rStyle w:val="Hyperlink"/>
            <w:noProof/>
          </w:rPr>
          <w:t>Installatie voor de op- en overslag van vloeistoffen</w:t>
        </w:r>
        <w:r w:rsidR="008B615D">
          <w:rPr>
            <w:noProof/>
            <w:webHidden/>
          </w:rPr>
          <w:tab/>
        </w:r>
        <w:r w:rsidR="008B615D">
          <w:rPr>
            <w:noProof/>
            <w:webHidden/>
          </w:rPr>
          <w:fldChar w:fldCharType="begin"/>
        </w:r>
        <w:r w:rsidR="008B615D">
          <w:rPr>
            <w:noProof/>
            <w:webHidden/>
          </w:rPr>
          <w:instrText xml:space="preserve"> PAGEREF _Toc431375801 \h </w:instrText>
        </w:r>
        <w:r w:rsidR="008B615D">
          <w:rPr>
            <w:noProof/>
            <w:webHidden/>
          </w:rPr>
        </w:r>
        <w:r w:rsidR="008B615D">
          <w:rPr>
            <w:noProof/>
            <w:webHidden/>
          </w:rPr>
          <w:fldChar w:fldCharType="separate"/>
        </w:r>
        <w:r w:rsidR="008B615D">
          <w:rPr>
            <w:noProof/>
            <w:webHidden/>
          </w:rPr>
          <w:t>426</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803" w:history="1">
        <w:r w:rsidR="008B615D" w:rsidRPr="00213E4C">
          <w:rPr>
            <w:rStyle w:val="Hyperlink"/>
            <w:noProof/>
          </w:rPr>
          <w:t>AFDELING 5.2. OP- EN OVERSLAG VAN BENZINE</w:t>
        </w:r>
        <w:r w:rsidR="008B615D">
          <w:rPr>
            <w:noProof/>
            <w:webHidden/>
          </w:rPr>
          <w:tab/>
        </w:r>
        <w:r w:rsidR="008B615D">
          <w:rPr>
            <w:noProof/>
            <w:webHidden/>
          </w:rPr>
          <w:fldChar w:fldCharType="begin"/>
        </w:r>
        <w:r w:rsidR="008B615D">
          <w:rPr>
            <w:noProof/>
            <w:webHidden/>
          </w:rPr>
          <w:instrText xml:space="preserve"> PAGEREF _Toc431375803 \h </w:instrText>
        </w:r>
        <w:r w:rsidR="008B615D">
          <w:rPr>
            <w:noProof/>
            <w:webHidden/>
          </w:rPr>
        </w:r>
        <w:r w:rsidR="008B615D">
          <w:rPr>
            <w:noProof/>
            <w:webHidden/>
          </w:rPr>
          <w:fldChar w:fldCharType="separate"/>
        </w:r>
        <w:r w:rsidR="008B615D">
          <w:rPr>
            <w:noProof/>
            <w:webHidden/>
          </w:rPr>
          <w:t>427</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804" w:history="1">
        <w:r w:rsidR="008B615D" w:rsidRPr="00213E4C">
          <w:rPr>
            <w:rStyle w:val="Hyperlink"/>
            <w:noProof/>
          </w:rPr>
          <w:t xml:space="preserve">§ 5.2.1. </w:t>
        </w:r>
        <w:r w:rsidR="008B615D">
          <w:rPr>
            <w:noProof/>
          </w:rPr>
          <w:tab/>
        </w:r>
        <w:r w:rsidR="008B615D" w:rsidRPr="00213E4C">
          <w:rPr>
            <w:rStyle w:val="Hyperlink"/>
            <w:noProof/>
          </w:rPr>
          <w:t>Opslaginstallaties</w:t>
        </w:r>
        <w:r w:rsidR="008B615D">
          <w:rPr>
            <w:noProof/>
            <w:webHidden/>
          </w:rPr>
          <w:tab/>
        </w:r>
        <w:r w:rsidR="008B615D">
          <w:rPr>
            <w:noProof/>
            <w:webHidden/>
          </w:rPr>
          <w:fldChar w:fldCharType="begin"/>
        </w:r>
        <w:r w:rsidR="008B615D">
          <w:rPr>
            <w:noProof/>
            <w:webHidden/>
          </w:rPr>
          <w:instrText xml:space="preserve"> PAGEREF _Toc431375804 \h </w:instrText>
        </w:r>
        <w:r w:rsidR="008B615D">
          <w:rPr>
            <w:noProof/>
            <w:webHidden/>
          </w:rPr>
        </w:r>
        <w:r w:rsidR="008B615D">
          <w:rPr>
            <w:noProof/>
            <w:webHidden/>
          </w:rPr>
          <w:fldChar w:fldCharType="separate"/>
        </w:r>
        <w:r w:rsidR="008B615D">
          <w:rPr>
            <w:noProof/>
            <w:webHidden/>
          </w:rPr>
          <w:t>427</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806" w:history="1">
        <w:r w:rsidR="008B615D" w:rsidRPr="00213E4C">
          <w:rPr>
            <w:rStyle w:val="Hyperlink"/>
            <w:noProof/>
          </w:rPr>
          <w:t xml:space="preserve">§ 5.2.2. </w:t>
        </w:r>
        <w:r w:rsidR="008B615D">
          <w:rPr>
            <w:noProof/>
          </w:rPr>
          <w:tab/>
        </w:r>
        <w:r w:rsidR="008B615D" w:rsidRPr="00213E4C">
          <w:rPr>
            <w:rStyle w:val="Hyperlink"/>
            <w:noProof/>
          </w:rPr>
          <w:t>Overslaginstallaties</w:t>
        </w:r>
        <w:r w:rsidR="008B615D">
          <w:rPr>
            <w:noProof/>
            <w:webHidden/>
          </w:rPr>
          <w:tab/>
        </w:r>
        <w:r w:rsidR="008B615D">
          <w:rPr>
            <w:noProof/>
            <w:webHidden/>
          </w:rPr>
          <w:fldChar w:fldCharType="begin"/>
        </w:r>
        <w:r w:rsidR="008B615D">
          <w:rPr>
            <w:noProof/>
            <w:webHidden/>
          </w:rPr>
          <w:instrText xml:space="preserve"> PAGEREF _Toc431375806 \h </w:instrText>
        </w:r>
        <w:r w:rsidR="008B615D">
          <w:rPr>
            <w:noProof/>
            <w:webHidden/>
          </w:rPr>
        </w:r>
        <w:r w:rsidR="008B615D">
          <w:rPr>
            <w:noProof/>
            <w:webHidden/>
          </w:rPr>
          <w:fldChar w:fldCharType="separate"/>
        </w:r>
        <w:r w:rsidR="008B615D">
          <w:rPr>
            <w:noProof/>
            <w:webHidden/>
          </w:rPr>
          <w:t>428</w:t>
        </w:r>
        <w:r w:rsidR="008B615D">
          <w:rPr>
            <w:noProof/>
            <w:webHidden/>
          </w:rPr>
          <w:fldChar w:fldCharType="end"/>
        </w:r>
      </w:hyperlink>
    </w:p>
    <w:p w:rsidR="008B615D" w:rsidRDefault="00C428B8" w:rsidP="00263727">
      <w:pPr>
        <w:pStyle w:val="Inhopg2"/>
        <w:tabs>
          <w:tab w:val="right" w:leader="dot" w:pos="9061"/>
        </w:tabs>
        <w:spacing w:line="240" w:lineRule="auto"/>
        <w:rPr>
          <w:noProof/>
        </w:rPr>
      </w:pPr>
      <w:hyperlink w:anchor="_Toc431375808" w:history="1">
        <w:r w:rsidR="008B615D" w:rsidRPr="00213E4C">
          <w:rPr>
            <w:rStyle w:val="Hyperlink"/>
            <w:noProof/>
          </w:rPr>
          <w:t>AFDELING 5.3 OVERIGE INSTALLATIES</w:t>
        </w:r>
        <w:r w:rsidR="008B615D">
          <w:rPr>
            <w:noProof/>
            <w:webHidden/>
          </w:rPr>
          <w:tab/>
        </w:r>
        <w:r w:rsidR="008B615D">
          <w:rPr>
            <w:noProof/>
            <w:webHidden/>
          </w:rPr>
          <w:fldChar w:fldCharType="begin"/>
        </w:r>
        <w:r w:rsidR="008B615D">
          <w:rPr>
            <w:noProof/>
            <w:webHidden/>
          </w:rPr>
          <w:instrText xml:space="preserve"> PAGEREF _Toc431375808 \h </w:instrText>
        </w:r>
        <w:r w:rsidR="008B615D">
          <w:rPr>
            <w:noProof/>
            <w:webHidden/>
          </w:rPr>
        </w:r>
        <w:r w:rsidR="008B615D">
          <w:rPr>
            <w:noProof/>
            <w:webHidden/>
          </w:rPr>
          <w:fldChar w:fldCharType="separate"/>
        </w:r>
        <w:r w:rsidR="008B615D">
          <w:rPr>
            <w:noProof/>
            <w:webHidden/>
          </w:rPr>
          <w:t>432</w:t>
        </w:r>
        <w:r w:rsidR="008B615D">
          <w:rPr>
            <w:noProof/>
            <w:webHidden/>
          </w:rPr>
          <w:fldChar w:fldCharType="end"/>
        </w:r>
      </w:hyperlink>
    </w:p>
    <w:p w:rsidR="008B615D" w:rsidRDefault="00C428B8" w:rsidP="00263727">
      <w:pPr>
        <w:pStyle w:val="Inhopg3"/>
        <w:tabs>
          <w:tab w:val="left" w:pos="1540"/>
          <w:tab w:val="right" w:leader="dot" w:pos="9061"/>
        </w:tabs>
        <w:spacing w:line="240" w:lineRule="auto"/>
        <w:rPr>
          <w:noProof/>
        </w:rPr>
      </w:pPr>
      <w:hyperlink w:anchor="_Toc431375809" w:history="1">
        <w:r w:rsidR="008B615D" w:rsidRPr="00213E4C">
          <w:rPr>
            <w:rStyle w:val="Hyperlink"/>
            <w:noProof/>
          </w:rPr>
          <w:t xml:space="preserve">§ 5.3.1. </w:t>
        </w:r>
        <w:r w:rsidR="008B615D">
          <w:rPr>
            <w:noProof/>
          </w:rPr>
          <w:tab/>
        </w:r>
        <w:r w:rsidR="008B615D" w:rsidRPr="00213E4C">
          <w:rPr>
            <w:rStyle w:val="Hyperlink"/>
            <w:noProof/>
          </w:rPr>
          <w:t>LPG-tankstations</w:t>
        </w:r>
        <w:r w:rsidR="008B615D">
          <w:rPr>
            <w:noProof/>
            <w:webHidden/>
          </w:rPr>
          <w:tab/>
        </w:r>
        <w:r w:rsidR="008B615D">
          <w:rPr>
            <w:noProof/>
            <w:webHidden/>
          </w:rPr>
          <w:fldChar w:fldCharType="begin"/>
        </w:r>
        <w:r w:rsidR="008B615D">
          <w:rPr>
            <w:noProof/>
            <w:webHidden/>
          </w:rPr>
          <w:instrText xml:space="preserve"> PAGEREF _Toc431375809 \h </w:instrText>
        </w:r>
        <w:r w:rsidR="008B615D">
          <w:rPr>
            <w:noProof/>
            <w:webHidden/>
          </w:rPr>
        </w:r>
        <w:r w:rsidR="008B615D">
          <w:rPr>
            <w:noProof/>
            <w:webHidden/>
          </w:rPr>
          <w:fldChar w:fldCharType="separate"/>
        </w:r>
        <w:r w:rsidR="008B615D">
          <w:rPr>
            <w:noProof/>
            <w:webHidden/>
          </w:rPr>
          <w:t>432</w:t>
        </w:r>
        <w:r w:rsidR="008B615D">
          <w:rPr>
            <w:noProof/>
            <w:webHidden/>
          </w:rPr>
          <w:fldChar w:fldCharType="end"/>
        </w:r>
      </w:hyperlink>
    </w:p>
    <w:p w:rsidR="008B615D" w:rsidRDefault="00C428B8" w:rsidP="00263727">
      <w:pPr>
        <w:pStyle w:val="Inhopg1"/>
        <w:tabs>
          <w:tab w:val="right" w:leader="dot" w:pos="9061"/>
        </w:tabs>
        <w:spacing w:line="240" w:lineRule="auto"/>
        <w:rPr>
          <w:noProof/>
        </w:rPr>
      </w:pPr>
      <w:hyperlink w:anchor="_Toc431375811" w:history="1">
        <w:r w:rsidR="008B615D" w:rsidRPr="00213E4C">
          <w:rPr>
            <w:rStyle w:val="Hyperlink"/>
            <w:rFonts w:cs="Arial"/>
            <w:noProof/>
          </w:rPr>
          <w:t>Hoofdstuk 6. Overgangs- en slotbepalingen</w:t>
        </w:r>
        <w:r w:rsidR="008B615D">
          <w:rPr>
            <w:noProof/>
            <w:webHidden/>
          </w:rPr>
          <w:tab/>
        </w:r>
        <w:r w:rsidR="008B615D">
          <w:rPr>
            <w:noProof/>
            <w:webHidden/>
          </w:rPr>
          <w:fldChar w:fldCharType="begin"/>
        </w:r>
        <w:r w:rsidR="008B615D">
          <w:rPr>
            <w:noProof/>
            <w:webHidden/>
          </w:rPr>
          <w:instrText xml:space="preserve"> PAGEREF _Toc431375811 \h </w:instrText>
        </w:r>
        <w:r w:rsidR="008B615D">
          <w:rPr>
            <w:noProof/>
            <w:webHidden/>
          </w:rPr>
        </w:r>
        <w:r w:rsidR="008B615D">
          <w:rPr>
            <w:noProof/>
            <w:webHidden/>
          </w:rPr>
          <w:fldChar w:fldCharType="separate"/>
        </w:r>
        <w:r w:rsidR="008B615D">
          <w:rPr>
            <w:noProof/>
            <w:webHidden/>
          </w:rPr>
          <w:t>438</w:t>
        </w:r>
        <w:r w:rsidR="008B615D">
          <w:rPr>
            <w:noProof/>
            <w:webHidden/>
          </w:rPr>
          <w:fldChar w:fldCharType="end"/>
        </w:r>
      </w:hyperlink>
    </w:p>
    <w:p w:rsidR="008B615D" w:rsidRDefault="00C428B8" w:rsidP="00263727">
      <w:pPr>
        <w:pStyle w:val="Inhopg3"/>
        <w:tabs>
          <w:tab w:val="left" w:pos="1100"/>
          <w:tab w:val="right" w:leader="dot" w:pos="9061"/>
        </w:tabs>
        <w:spacing w:line="240" w:lineRule="auto"/>
        <w:rPr>
          <w:noProof/>
        </w:rPr>
      </w:pPr>
      <w:hyperlink w:anchor="_Toc431375812" w:history="1">
        <w:r w:rsidR="008B615D" w:rsidRPr="00213E4C">
          <w:rPr>
            <w:rStyle w:val="Hyperlink"/>
            <w:noProof/>
          </w:rPr>
          <w:t>§ 6.1</w:t>
        </w:r>
        <w:r w:rsidR="008B615D">
          <w:rPr>
            <w:noProof/>
          </w:rPr>
          <w:tab/>
        </w:r>
        <w:r w:rsidR="008B615D" w:rsidRPr="00213E4C">
          <w:rPr>
            <w:rStyle w:val="Hyperlink"/>
            <w:noProof/>
          </w:rPr>
          <w:t>Algemeen overgangsrecht</w:t>
        </w:r>
        <w:r w:rsidR="008B615D">
          <w:rPr>
            <w:noProof/>
            <w:webHidden/>
          </w:rPr>
          <w:tab/>
        </w:r>
        <w:r w:rsidR="008B615D">
          <w:rPr>
            <w:noProof/>
            <w:webHidden/>
          </w:rPr>
          <w:fldChar w:fldCharType="begin"/>
        </w:r>
        <w:r w:rsidR="008B615D">
          <w:rPr>
            <w:noProof/>
            <w:webHidden/>
          </w:rPr>
          <w:instrText xml:space="preserve"> PAGEREF _Toc431375812 \h </w:instrText>
        </w:r>
        <w:r w:rsidR="008B615D">
          <w:rPr>
            <w:noProof/>
            <w:webHidden/>
          </w:rPr>
        </w:r>
        <w:r w:rsidR="008B615D">
          <w:rPr>
            <w:noProof/>
            <w:webHidden/>
          </w:rPr>
          <w:fldChar w:fldCharType="separate"/>
        </w:r>
        <w:r w:rsidR="008B615D">
          <w:rPr>
            <w:noProof/>
            <w:webHidden/>
          </w:rPr>
          <w:t>438</w:t>
        </w:r>
        <w:r w:rsidR="008B615D">
          <w:rPr>
            <w:noProof/>
            <w:webHidden/>
          </w:rPr>
          <w:fldChar w:fldCharType="end"/>
        </w:r>
      </w:hyperlink>
      <w:hyperlink w:anchor="_Toc431375813" w:history="1"/>
    </w:p>
    <w:p w:rsidR="008B615D" w:rsidRDefault="00C428B8" w:rsidP="00263727">
      <w:pPr>
        <w:pStyle w:val="Inhopg3"/>
        <w:tabs>
          <w:tab w:val="left" w:pos="1320"/>
          <w:tab w:val="right" w:leader="dot" w:pos="9061"/>
        </w:tabs>
        <w:spacing w:line="240" w:lineRule="auto"/>
        <w:rPr>
          <w:noProof/>
        </w:rPr>
      </w:pPr>
      <w:hyperlink w:anchor="_Toc431375816" w:history="1">
        <w:r w:rsidR="008B615D" w:rsidRPr="00213E4C">
          <w:rPr>
            <w:rStyle w:val="Hyperlink"/>
            <w:noProof/>
          </w:rPr>
          <w:t>§ 6.29</w:t>
        </w:r>
        <w:r w:rsidR="008B615D">
          <w:rPr>
            <w:noProof/>
          </w:rPr>
          <w:tab/>
        </w:r>
        <w:r w:rsidR="008B615D" w:rsidRPr="00213E4C">
          <w:rPr>
            <w:rStyle w:val="Hyperlink"/>
            <w:noProof/>
          </w:rPr>
          <w:t>Slotbepalingen</w:t>
        </w:r>
        <w:r w:rsidR="008B615D">
          <w:rPr>
            <w:noProof/>
            <w:webHidden/>
          </w:rPr>
          <w:tab/>
        </w:r>
        <w:r w:rsidR="008B615D">
          <w:rPr>
            <w:noProof/>
            <w:webHidden/>
          </w:rPr>
          <w:fldChar w:fldCharType="begin"/>
        </w:r>
        <w:r w:rsidR="008B615D">
          <w:rPr>
            <w:noProof/>
            <w:webHidden/>
          </w:rPr>
          <w:instrText xml:space="preserve"> PAGEREF _Toc431375816 \h </w:instrText>
        </w:r>
        <w:r w:rsidR="008B615D">
          <w:rPr>
            <w:noProof/>
            <w:webHidden/>
          </w:rPr>
        </w:r>
        <w:r w:rsidR="008B615D">
          <w:rPr>
            <w:noProof/>
            <w:webHidden/>
          </w:rPr>
          <w:fldChar w:fldCharType="separate"/>
        </w:r>
        <w:r w:rsidR="008B615D">
          <w:rPr>
            <w:noProof/>
            <w:webHidden/>
          </w:rPr>
          <w:t>442</w:t>
        </w:r>
        <w:r w:rsidR="008B615D">
          <w:rPr>
            <w:noProof/>
            <w:webHidden/>
          </w:rPr>
          <w:fldChar w:fldCharType="end"/>
        </w:r>
      </w:hyperlink>
    </w:p>
    <w:p w:rsidR="008B615D" w:rsidRDefault="00C428B8" w:rsidP="00263727">
      <w:pPr>
        <w:pStyle w:val="Inhopg3"/>
        <w:tabs>
          <w:tab w:val="left" w:pos="1100"/>
          <w:tab w:val="right" w:leader="dot" w:pos="9061"/>
        </w:tabs>
        <w:spacing w:line="240" w:lineRule="auto"/>
        <w:rPr>
          <w:rStyle w:val="Hyperlink"/>
          <w:noProof/>
        </w:rPr>
      </w:pPr>
      <w:hyperlink w:anchor="_Toc431375817" w:history="1"/>
    </w:p>
    <w:p w:rsidR="008B615D" w:rsidRDefault="00C428B8" w:rsidP="00263727">
      <w:pPr>
        <w:spacing w:line="240" w:lineRule="auto"/>
        <w:rPr>
          <w:lang w:eastAsia="nl-NL"/>
        </w:rPr>
      </w:pPr>
      <w:hyperlink w:anchor="Bijlage1AB" w:history="1">
        <w:r w:rsidR="008B615D" w:rsidRPr="00E33EB7">
          <w:rPr>
            <w:rStyle w:val="Hyperlink"/>
            <w:lang w:eastAsia="nl-NL"/>
          </w:rPr>
          <w:t>Bijlage 1 bij het Activiteitenbesluit</w:t>
        </w:r>
      </w:hyperlink>
      <w:r w:rsidR="00A3707E">
        <w:rPr>
          <w:lang w:eastAsia="nl-NL"/>
        </w:rPr>
        <w:t>…………………………………………………………………………...430</w:t>
      </w:r>
    </w:p>
    <w:p w:rsidR="00512F86" w:rsidRDefault="00512F86" w:rsidP="00263727">
      <w:pPr>
        <w:spacing w:line="240" w:lineRule="auto"/>
        <w:rPr>
          <w:lang w:eastAsia="nl-NL"/>
        </w:rPr>
      </w:pPr>
    </w:p>
    <w:p w:rsidR="00D3043C" w:rsidRDefault="00C428B8" w:rsidP="00263727">
      <w:pPr>
        <w:spacing w:line="240" w:lineRule="auto"/>
        <w:rPr>
          <w:lang w:eastAsia="nl-NL"/>
        </w:rPr>
      </w:pPr>
      <w:hyperlink w:anchor="Bijlage1AR" w:history="1">
        <w:r w:rsidR="00D3043C" w:rsidRPr="00E33EB7">
          <w:rPr>
            <w:rStyle w:val="Hyperlink"/>
            <w:lang w:eastAsia="nl-NL"/>
          </w:rPr>
          <w:t>Bijlage 1</w:t>
        </w:r>
        <w:r w:rsidR="008B615D" w:rsidRPr="00E33EB7">
          <w:rPr>
            <w:rStyle w:val="Hyperlink"/>
            <w:lang w:eastAsia="nl-NL"/>
          </w:rPr>
          <w:t xml:space="preserve"> bij de Activiteitenregeling</w:t>
        </w:r>
        <w:r w:rsidR="00E33EB7" w:rsidRPr="00E33EB7">
          <w:rPr>
            <w:rStyle w:val="Hyperlink"/>
            <w:lang w:eastAsia="nl-NL"/>
          </w:rPr>
          <w:t xml:space="preserve">: </w:t>
        </w:r>
        <w:r w:rsidR="00D67F63">
          <w:rPr>
            <w:rStyle w:val="Hyperlink"/>
            <w:lang w:eastAsia="nl-NL"/>
          </w:rPr>
          <w:t>E</w:t>
        </w:r>
        <w:r w:rsidR="00E33EB7" w:rsidRPr="00E33EB7">
          <w:rPr>
            <w:rStyle w:val="Hyperlink"/>
            <w:lang w:eastAsia="nl-NL"/>
          </w:rPr>
          <w:t>rkende maatregelen energiebesparing</w:t>
        </w:r>
      </w:hyperlink>
      <w:r w:rsidR="00E33EB7">
        <w:rPr>
          <w:lang w:eastAsia="nl-NL"/>
        </w:rPr>
        <w:t>……………………</w:t>
      </w:r>
      <w:r w:rsidR="00D67F63">
        <w:rPr>
          <w:lang w:eastAsia="nl-NL"/>
        </w:rPr>
        <w:t>...</w:t>
      </w:r>
      <w:r w:rsidR="00E33EB7">
        <w:rPr>
          <w:lang w:eastAsia="nl-NL"/>
        </w:rPr>
        <w:t>.....430</w:t>
      </w:r>
    </w:p>
    <w:p w:rsidR="00D3043C" w:rsidRPr="008B615D" w:rsidRDefault="00C428B8" w:rsidP="00263727">
      <w:pPr>
        <w:spacing w:line="240" w:lineRule="auto"/>
        <w:rPr>
          <w:lang w:eastAsia="nl-NL"/>
        </w:rPr>
      </w:pPr>
      <w:hyperlink w:anchor="Bijlage2AR" w:history="1">
        <w:r w:rsidR="00D3043C" w:rsidRPr="00A3707E">
          <w:rPr>
            <w:rStyle w:val="Hyperlink"/>
            <w:lang w:eastAsia="nl-NL"/>
          </w:rPr>
          <w:t>Bijlage 2 bij de Activiteitenregeling</w:t>
        </w:r>
        <w:r w:rsidR="00D67F63">
          <w:rPr>
            <w:rStyle w:val="Hyperlink"/>
            <w:lang w:eastAsia="nl-NL"/>
          </w:rPr>
          <w:t>: L</w:t>
        </w:r>
        <w:r w:rsidR="00A3707E" w:rsidRPr="00A3707E">
          <w:rPr>
            <w:rStyle w:val="Hyperlink"/>
            <w:lang w:eastAsia="nl-NL"/>
          </w:rPr>
          <w:t>ijst met grote oppervlaktewaterlichamen*, die met het oog op het lozen geen bijzondere bescherming behoeven per beheerder</w:t>
        </w:r>
      </w:hyperlink>
      <w:r w:rsidR="00A3707E">
        <w:rPr>
          <w:lang w:eastAsia="nl-NL"/>
        </w:rPr>
        <w:t>…………………………………………..432</w:t>
      </w:r>
      <w:r w:rsidR="00D3043C">
        <w:rPr>
          <w:lang w:eastAsia="nl-NL"/>
        </w:rPr>
        <w:t xml:space="preserve"> </w:t>
      </w:r>
    </w:p>
    <w:p w:rsidR="00D3043C" w:rsidRPr="008B615D" w:rsidRDefault="00C428B8" w:rsidP="00263727">
      <w:pPr>
        <w:spacing w:line="240" w:lineRule="auto"/>
        <w:rPr>
          <w:lang w:eastAsia="nl-NL"/>
        </w:rPr>
      </w:pPr>
      <w:hyperlink w:anchor="Bijlage3AR" w:history="1">
        <w:r w:rsidR="00D3043C" w:rsidRPr="00A3707E">
          <w:rPr>
            <w:rStyle w:val="Hyperlink"/>
            <w:lang w:eastAsia="nl-NL"/>
          </w:rPr>
          <w:t>Bijlage 3 bij de Activiteitenregelin</w:t>
        </w:r>
        <w:r w:rsidR="00D67F63">
          <w:rPr>
            <w:rStyle w:val="Hyperlink"/>
            <w:lang w:eastAsia="nl-NL"/>
          </w:rPr>
          <w:t>g: L</w:t>
        </w:r>
        <w:r w:rsidR="00A3707E" w:rsidRPr="00A3707E">
          <w:rPr>
            <w:rStyle w:val="Hyperlink"/>
            <w:lang w:eastAsia="nl-NL"/>
          </w:rPr>
          <w:t>ijst met dierpathogenen</w:t>
        </w:r>
      </w:hyperlink>
      <w:r w:rsidR="00A3707E">
        <w:rPr>
          <w:lang w:eastAsia="nl-NL"/>
        </w:rPr>
        <w:t>………………………</w:t>
      </w:r>
      <w:r w:rsidR="00D67F63">
        <w:rPr>
          <w:lang w:eastAsia="nl-NL"/>
        </w:rPr>
        <w:t>..</w:t>
      </w:r>
      <w:r w:rsidR="00A3707E">
        <w:rPr>
          <w:lang w:eastAsia="nl-NL"/>
        </w:rPr>
        <w:t>………………….448</w:t>
      </w:r>
      <w:r w:rsidR="00D3043C">
        <w:rPr>
          <w:lang w:eastAsia="nl-NL"/>
        </w:rPr>
        <w:t xml:space="preserve"> </w:t>
      </w:r>
    </w:p>
    <w:p w:rsidR="00D3043C" w:rsidRPr="008B615D" w:rsidRDefault="00C428B8" w:rsidP="00263727">
      <w:pPr>
        <w:spacing w:line="240" w:lineRule="auto"/>
        <w:rPr>
          <w:lang w:eastAsia="nl-NL"/>
        </w:rPr>
      </w:pPr>
      <w:hyperlink w:anchor="Bijlage4AR" w:history="1">
        <w:r w:rsidR="00D3043C" w:rsidRPr="00512F86">
          <w:rPr>
            <w:rStyle w:val="Hyperlink"/>
            <w:lang w:eastAsia="nl-NL"/>
          </w:rPr>
          <w:t>Bijlage 4 bij de Activiteitenregelin</w:t>
        </w:r>
        <w:r w:rsidR="00512F86">
          <w:rPr>
            <w:rStyle w:val="Hyperlink"/>
            <w:lang w:eastAsia="nl-NL"/>
          </w:rPr>
          <w:t xml:space="preserve">g: </w:t>
        </w:r>
        <w:r w:rsidR="00512F86" w:rsidRPr="00512F86">
          <w:rPr>
            <w:rStyle w:val="Hyperlink"/>
            <w:lang w:eastAsia="nl-NL"/>
          </w:rPr>
          <w:t>Reken- en meetvoorschrift windturbines</w:t>
        </w:r>
      </w:hyperlink>
      <w:r w:rsidR="00512F86">
        <w:rPr>
          <w:lang w:eastAsia="nl-NL"/>
        </w:rPr>
        <w:t>………………………….455</w:t>
      </w:r>
      <w:r w:rsidR="00D3043C">
        <w:rPr>
          <w:lang w:eastAsia="nl-NL"/>
        </w:rPr>
        <w:t xml:space="preserve"> </w:t>
      </w:r>
    </w:p>
    <w:p w:rsidR="00D3043C" w:rsidRPr="008B615D" w:rsidRDefault="00C428B8" w:rsidP="00263727">
      <w:pPr>
        <w:spacing w:line="240" w:lineRule="auto"/>
        <w:rPr>
          <w:lang w:eastAsia="nl-NL"/>
        </w:rPr>
      </w:pPr>
      <w:hyperlink w:anchor="Bijlage5AR" w:history="1">
        <w:r w:rsidR="00D3043C" w:rsidRPr="00512F86">
          <w:rPr>
            <w:rStyle w:val="Hyperlink"/>
            <w:lang w:eastAsia="nl-NL"/>
          </w:rPr>
          <w:t>Bijlage 5 bij de Activiteitenregelin</w:t>
        </w:r>
        <w:r w:rsidR="00512F86">
          <w:rPr>
            <w:rStyle w:val="Hyperlink"/>
            <w:lang w:eastAsia="nl-NL"/>
          </w:rPr>
          <w:t xml:space="preserve">g: </w:t>
        </w:r>
        <w:r w:rsidR="00512F86" w:rsidRPr="00512F86">
          <w:rPr>
            <w:rStyle w:val="Hyperlink"/>
            <w:lang w:eastAsia="nl-NL"/>
          </w:rPr>
          <w:t>Emmissiefactoren zuiveringstechnische werken</w:t>
        </w:r>
      </w:hyperlink>
      <w:r w:rsidR="00512F86">
        <w:rPr>
          <w:lang w:eastAsia="nl-NL"/>
        </w:rPr>
        <w:t>……………...</w:t>
      </w:r>
      <w:r w:rsidR="00D761F9">
        <w:rPr>
          <w:lang w:eastAsia="nl-NL"/>
        </w:rPr>
        <w:t>...</w:t>
      </w:r>
      <w:r w:rsidR="00512F86">
        <w:rPr>
          <w:lang w:eastAsia="nl-NL"/>
        </w:rPr>
        <w:t xml:space="preserve">480 </w:t>
      </w:r>
    </w:p>
    <w:p w:rsidR="00D3043C" w:rsidRPr="00D761F9" w:rsidRDefault="00D761F9" w:rsidP="00263727">
      <w:pPr>
        <w:spacing w:line="240" w:lineRule="auto"/>
        <w:rPr>
          <w:rStyle w:val="Hyperlink"/>
          <w:lang w:eastAsia="nl-NL"/>
        </w:rPr>
      </w:pPr>
      <w:r>
        <w:rPr>
          <w:lang w:eastAsia="nl-NL"/>
        </w:rPr>
        <w:fldChar w:fldCharType="begin"/>
      </w:r>
      <w:r>
        <w:rPr>
          <w:lang w:eastAsia="nl-NL"/>
        </w:rPr>
        <w:instrText xml:space="preserve"> HYPERLINK  \l "Bijlage6AR" </w:instrText>
      </w:r>
      <w:r>
        <w:rPr>
          <w:lang w:eastAsia="nl-NL"/>
        </w:rPr>
        <w:fldChar w:fldCharType="separate"/>
      </w:r>
      <w:r w:rsidR="00D3043C" w:rsidRPr="00D761F9">
        <w:rPr>
          <w:rStyle w:val="Hyperlink"/>
          <w:lang w:eastAsia="nl-NL"/>
        </w:rPr>
        <w:t>Bijlage 6 bij de Activiteitenregelin</w:t>
      </w:r>
      <w:r>
        <w:rPr>
          <w:rStyle w:val="Hyperlink"/>
          <w:lang w:eastAsia="nl-NL"/>
        </w:rPr>
        <w:t xml:space="preserve">g: </w:t>
      </w:r>
      <w:r w:rsidRPr="00D761F9">
        <w:rPr>
          <w:rStyle w:val="Hyperlink"/>
          <w:lang w:eastAsia="nl-NL"/>
        </w:rPr>
        <w:t>Model voor de rapportage, behorend bij artikel 3.73</w:t>
      </w:r>
      <w:r>
        <w:rPr>
          <w:rStyle w:val="Hyperlink"/>
          <w:lang w:eastAsia="nl-NL"/>
        </w:rPr>
        <w:t>……………482</w:t>
      </w:r>
      <w:r w:rsidR="00D3043C" w:rsidRPr="00D761F9">
        <w:rPr>
          <w:rStyle w:val="Hyperlink"/>
          <w:lang w:eastAsia="nl-NL"/>
        </w:rPr>
        <w:t xml:space="preserve"> </w:t>
      </w:r>
    </w:p>
    <w:p w:rsidR="00D3043C" w:rsidRPr="008B615D" w:rsidRDefault="00D761F9" w:rsidP="00263727">
      <w:pPr>
        <w:spacing w:line="240" w:lineRule="auto"/>
        <w:rPr>
          <w:lang w:eastAsia="nl-NL"/>
        </w:rPr>
      </w:pPr>
      <w:r>
        <w:rPr>
          <w:lang w:eastAsia="nl-NL"/>
        </w:rPr>
        <w:fldChar w:fldCharType="end"/>
      </w:r>
      <w:hyperlink w:anchor="Bijlage7AR" w:history="1">
        <w:r w:rsidR="00D3043C" w:rsidRPr="00B92EE8">
          <w:rPr>
            <w:rStyle w:val="Hyperlink"/>
            <w:lang w:eastAsia="nl-NL"/>
          </w:rPr>
          <w:t>Bijlage 7 bij de Activiteitenregelin</w:t>
        </w:r>
        <w:r w:rsidR="00B92EE8">
          <w:rPr>
            <w:rStyle w:val="Hyperlink"/>
            <w:lang w:eastAsia="nl-NL"/>
          </w:rPr>
          <w:t xml:space="preserve">g: </w:t>
        </w:r>
        <w:r w:rsidR="00B92EE8" w:rsidRPr="00B92EE8">
          <w:rPr>
            <w:rStyle w:val="Hyperlink"/>
            <w:lang w:eastAsia="nl-NL"/>
          </w:rPr>
          <w:t>Meetvoorschrift binnenschietinrichtingen</w:t>
        </w:r>
      </w:hyperlink>
      <w:r w:rsidR="00B92EE8">
        <w:rPr>
          <w:lang w:eastAsia="nl-NL"/>
        </w:rPr>
        <w:t>…………………………492</w:t>
      </w:r>
    </w:p>
    <w:p w:rsidR="00D3043C" w:rsidRPr="008B615D" w:rsidRDefault="00C428B8" w:rsidP="00263727">
      <w:pPr>
        <w:spacing w:line="240" w:lineRule="auto"/>
        <w:rPr>
          <w:lang w:eastAsia="nl-NL"/>
        </w:rPr>
      </w:pPr>
      <w:hyperlink w:anchor="Bijlage8AR" w:history="1">
        <w:r w:rsidR="00D3043C" w:rsidRPr="00B92EE8">
          <w:rPr>
            <w:rStyle w:val="Hyperlink"/>
            <w:lang w:eastAsia="nl-NL"/>
          </w:rPr>
          <w:t>Bijlage 8 bij de Activiteitenregelin</w:t>
        </w:r>
        <w:r w:rsidR="00B92EE8">
          <w:rPr>
            <w:rStyle w:val="Hyperlink"/>
            <w:lang w:eastAsia="nl-NL"/>
          </w:rPr>
          <w:t xml:space="preserve">g: </w:t>
        </w:r>
        <w:r w:rsidR="00B92EE8" w:rsidRPr="00B92EE8">
          <w:rPr>
            <w:rStyle w:val="Hyperlink"/>
            <w:lang w:eastAsia="nl-NL"/>
          </w:rPr>
          <w:t>Rekenmethode zuiveringsrendement van de zuiveringtechnische werken waarvoor het openbaar lichaam of een andere rechtspersoon met de zorg is belast</w:t>
        </w:r>
      </w:hyperlink>
      <w:r w:rsidR="00B92EE8">
        <w:rPr>
          <w:lang w:eastAsia="nl-NL"/>
        </w:rPr>
        <w:t>……….494</w:t>
      </w:r>
      <w:r w:rsidR="00D3043C">
        <w:rPr>
          <w:lang w:eastAsia="nl-NL"/>
        </w:rPr>
        <w:t xml:space="preserve"> </w:t>
      </w:r>
    </w:p>
    <w:p w:rsidR="00D3043C" w:rsidRPr="008B615D" w:rsidRDefault="00C428B8" w:rsidP="00263727">
      <w:pPr>
        <w:spacing w:line="240" w:lineRule="auto"/>
        <w:rPr>
          <w:lang w:eastAsia="nl-NL"/>
        </w:rPr>
      </w:pPr>
      <w:hyperlink w:anchor="Bijlage9AR" w:history="1">
        <w:r w:rsidR="00D3043C" w:rsidRPr="00B92EE8">
          <w:rPr>
            <w:rStyle w:val="Hyperlink"/>
            <w:lang w:eastAsia="nl-NL"/>
          </w:rPr>
          <w:t>Bijlage 9 bij de Activiteitenregelin</w:t>
        </w:r>
        <w:r w:rsidR="00B92EE8">
          <w:rPr>
            <w:rStyle w:val="Hyperlink"/>
            <w:lang w:eastAsia="nl-NL"/>
          </w:rPr>
          <w:t xml:space="preserve">g: </w:t>
        </w:r>
        <w:r w:rsidR="00B92EE8" w:rsidRPr="00B92EE8">
          <w:rPr>
            <w:rStyle w:val="Hyperlink"/>
            <w:lang w:eastAsia="nl-NL"/>
          </w:rPr>
          <w:t>Rekenvoorschrift buitenschietbanen</w:t>
        </w:r>
      </w:hyperlink>
      <w:r w:rsidR="00B92EE8">
        <w:rPr>
          <w:lang w:eastAsia="nl-NL"/>
        </w:rPr>
        <w:t>………………………………495</w:t>
      </w:r>
      <w:r w:rsidR="00D3043C">
        <w:rPr>
          <w:lang w:eastAsia="nl-NL"/>
        </w:rPr>
        <w:t xml:space="preserve"> </w:t>
      </w:r>
    </w:p>
    <w:p w:rsidR="00D3043C" w:rsidRPr="008B615D" w:rsidRDefault="00C428B8" w:rsidP="00263727">
      <w:pPr>
        <w:spacing w:line="240" w:lineRule="auto"/>
        <w:rPr>
          <w:lang w:eastAsia="nl-NL"/>
        </w:rPr>
      </w:pPr>
      <w:hyperlink w:anchor="Bijlage10AR" w:history="1">
        <w:r w:rsidR="00D3043C" w:rsidRPr="00B92EE8">
          <w:rPr>
            <w:rStyle w:val="Hyperlink"/>
            <w:lang w:eastAsia="nl-NL"/>
          </w:rPr>
          <w:t>Bijlage 10 bij de Activiteitenregelin</w:t>
        </w:r>
        <w:r w:rsidR="00D67F63">
          <w:rPr>
            <w:rStyle w:val="Hyperlink"/>
            <w:lang w:eastAsia="nl-NL"/>
          </w:rPr>
          <w:t xml:space="preserve">g: </w:t>
        </w:r>
        <w:r w:rsidR="00D67F63" w:rsidRPr="00D67F63">
          <w:rPr>
            <w:rStyle w:val="Hyperlink"/>
            <w:lang w:eastAsia="nl-NL"/>
          </w:rPr>
          <w:t>Overzicht erkende maatregelen energiebesparing per bedrijfstak</w:t>
        </w:r>
      </w:hyperlink>
      <w:r w:rsidR="00D67F63">
        <w:rPr>
          <w:lang w:eastAsia="nl-NL"/>
        </w:rPr>
        <w:t>…………………………………………………………………………………………………...….563</w:t>
      </w:r>
      <w:r w:rsidR="00D3043C">
        <w:rPr>
          <w:lang w:eastAsia="nl-NL"/>
        </w:rPr>
        <w:t xml:space="preserve"> </w:t>
      </w:r>
    </w:p>
    <w:p w:rsidR="00D3043C" w:rsidRPr="008B615D" w:rsidRDefault="00C428B8" w:rsidP="00263727">
      <w:pPr>
        <w:spacing w:line="240" w:lineRule="auto"/>
        <w:rPr>
          <w:lang w:eastAsia="nl-NL"/>
        </w:rPr>
      </w:pPr>
      <w:hyperlink w:anchor="Bijlage11AR" w:history="1">
        <w:r w:rsidR="00D3043C" w:rsidRPr="001950D8">
          <w:rPr>
            <w:rStyle w:val="Hyperlink"/>
            <w:lang w:eastAsia="nl-NL"/>
          </w:rPr>
          <w:t>Bijlage 11 bij de Activiteitenregelin</w:t>
        </w:r>
        <w:r w:rsidR="001950D8">
          <w:rPr>
            <w:rStyle w:val="Hyperlink"/>
            <w:lang w:eastAsia="nl-NL"/>
          </w:rPr>
          <w:t>g:</w:t>
        </w:r>
        <w:r w:rsidR="001950D8" w:rsidRPr="001950D8">
          <w:t xml:space="preserve"> </w:t>
        </w:r>
        <w:r w:rsidR="001950D8" w:rsidRPr="001950D8">
          <w:rPr>
            <w:rStyle w:val="Hyperlink"/>
            <w:lang w:eastAsia="nl-NL"/>
          </w:rPr>
          <w:t>Categorieën van afvalstoffen</w:t>
        </w:r>
        <w:r w:rsidR="001950D8">
          <w:rPr>
            <w:rStyle w:val="Hyperlink"/>
            <w:lang w:eastAsia="nl-NL"/>
          </w:rPr>
          <w:t>….</w:t>
        </w:r>
      </w:hyperlink>
      <w:r w:rsidR="001950D8">
        <w:rPr>
          <w:lang w:eastAsia="nl-NL"/>
        </w:rPr>
        <w:t>..............................................658</w:t>
      </w:r>
    </w:p>
    <w:p w:rsidR="00D3043C" w:rsidRPr="008B615D" w:rsidRDefault="00C428B8" w:rsidP="00263727">
      <w:pPr>
        <w:spacing w:line="240" w:lineRule="auto"/>
        <w:rPr>
          <w:lang w:eastAsia="nl-NL"/>
        </w:rPr>
      </w:pPr>
      <w:hyperlink w:anchor="Bijlage12aAR" w:history="1">
        <w:r w:rsidR="00D3043C" w:rsidRPr="00697FF3">
          <w:rPr>
            <w:rStyle w:val="Hyperlink"/>
            <w:lang w:eastAsia="nl-NL"/>
          </w:rPr>
          <w:t>Bijlage 12a bij de Activiteitenregelin</w:t>
        </w:r>
        <w:r w:rsidR="00697FF3">
          <w:rPr>
            <w:rStyle w:val="Hyperlink"/>
            <w:lang w:eastAsia="nl-NL"/>
          </w:rPr>
          <w:t xml:space="preserve">g: </w:t>
        </w:r>
        <w:r w:rsidR="00697FF3" w:rsidRPr="00697FF3">
          <w:rPr>
            <w:rStyle w:val="Hyperlink"/>
            <w:lang w:eastAsia="nl-NL"/>
          </w:rPr>
          <w:t>Lijst van stoffen, stofklassen en stofcategorieën</w:t>
        </w:r>
      </w:hyperlink>
      <w:r w:rsidR="00697FF3">
        <w:rPr>
          <w:lang w:eastAsia="nl-NL"/>
        </w:rPr>
        <w:t>……………..</w:t>
      </w:r>
      <w:r w:rsidR="001950D8">
        <w:rPr>
          <w:lang w:eastAsia="nl-NL"/>
        </w:rPr>
        <w:t>665</w:t>
      </w:r>
      <w:r w:rsidR="00D3043C">
        <w:rPr>
          <w:lang w:eastAsia="nl-NL"/>
        </w:rPr>
        <w:t xml:space="preserve"> </w:t>
      </w:r>
    </w:p>
    <w:p w:rsidR="00D3043C" w:rsidRPr="008B615D" w:rsidRDefault="00C428B8" w:rsidP="00263727">
      <w:pPr>
        <w:spacing w:line="240" w:lineRule="auto"/>
        <w:rPr>
          <w:lang w:eastAsia="nl-NL"/>
        </w:rPr>
      </w:pPr>
      <w:hyperlink w:anchor="Bijlage12bAR" w:history="1">
        <w:r w:rsidR="00D3043C" w:rsidRPr="00697FF3">
          <w:rPr>
            <w:rStyle w:val="Hyperlink"/>
            <w:lang w:eastAsia="nl-NL"/>
          </w:rPr>
          <w:t>Bijlage 12b bij de Activiteitenregelin</w:t>
        </w:r>
        <w:r w:rsidR="00697FF3">
          <w:rPr>
            <w:rStyle w:val="Hyperlink"/>
            <w:lang w:eastAsia="nl-NL"/>
          </w:rPr>
          <w:t xml:space="preserve">g: </w:t>
        </w:r>
        <w:r w:rsidR="00697FF3" w:rsidRPr="00697FF3">
          <w:rPr>
            <w:rStyle w:val="Hyperlink"/>
            <w:lang w:eastAsia="nl-NL"/>
          </w:rPr>
          <w:t xml:space="preserve">Stoffen die in een andere stofklasse of stofcategorie zijn ingedeeld met bijbehorende afwijkende waarden als bedoeld in artikel 1.3b, tweede lid, van deze regeling </w:t>
        </w:r>
        <w:r w:rsidR="00697FF3">
          <w:rPr>
            <w:rStyle w:val="Hyperlink"/>
            <w:lang w:eastAsia="nl-NL"/>
          </w:rPr>
          <w:t>………………………………………………………………………………………………………...68</w:t>
        </w:r>
        <w:r w:rsidR="001950D8">
          <w:rPr>
            <w:rStyle w:val="Hyperlink"/>
            <w:lang w:eastAsia="nl-NL"/>
          </w:rPr>
          <w:t>7</w:t>
        </w:r>
      </w:hyperlink>
      <w:r w:rsidR="00D3043C">
        <w:rPr>
          <w:lang w:eastAsia="nl-NL"/>
        </w:rPr>
        <w:t xml:space="preserve"> </w:t>
      </w:r>
    </w:p>
    <w:p w:rsidR="00D3043C" w:rsidRPr="008B615D" w:rsidRDefault="00C428B8" w:rsidP="00263727">
      <w:pPr>
        <w:spacing w:line="240" w:lineRule="auto"/>
        <w:rPr>
          <w:lang w:eastAsia="nl-NL"/>
        </w:rPr>
      </w:pPr>
      <w:hyperlink w:anchor="Bijlage13AR" w:history="1">
        <w:r w:rsidR="00D3043C" w:rsidRPr="00697FF3">
          <w:rPr>
            <w:rStyle w:val="Hyperlink"/>
            <w:lang w:eastAsia="nl-NL"/>
          </w:rPr>
          <w:t>Bijlage 13 bij de Activiteitenregelin</w:t>
        </w:r>
        <w:r w:rsidR="00697FF3">
          <w:rPr>
            <w:rStyle w:val="Hyperlink"/>
            <w:lang w:eastAsia="nl-NL"/>
          </w:rPr>
          <w:t xml:space="preserve">g: </w:t>
        </w:r>
        <w:r w:rsidR="00697FF3" w:rsidRPr="00697FF3">
          <w:rPr>
            <w:rStyle w:val="Hyperlink"/>
            <w:lang w:eastAsia="nl-NL"/>
          </w:rPr>
          <w:t>Lijst waarden (maximaal toelaatbare risico’s) zeer zorgwekkende stoffen</w:t>
        </w:r>
      </w:hyperlink>
      <w:r w:rsidR="00697FF3">
        <w:rPr>
          <w:lang w:eastAsia="nl-NL"/>
        </w:rPr>
        <w:t>…………………………………………………………………………………………………………..68</w:t>
      </w:r>
      <w:r w:rsidR="001950D8">
        <w:rPr>
          <w:lang w:eastAsia="nl-NL"/>
        </w:rPr>
        <w:t>8</w:t>
      </w:r>
      <w:r w:rsidR="00D3043C">
        <w:rPr>
          <w:lang w:eastAsia="nl-NL"/>
        </w:rPr>
        <w:t xml:space="preserve"> </w:t>
      </w:r>
    </w:p>
    <w:p w:rsidR="008B615D" w:rsidRPr="008B615D" w:rsidRDefault="008B615D" w:rsidP="00263727">
      <w:pPr>
        <w:spacing w:line="240" w:lineRule="auto"/>
        <w:rPr>
          <w:lang w:eastAsia="nl-NL"/>
        </w:rPr>
      </w:pPr>
    </w:p>
    <w:p w:rsidR="001C166D" w:rsidRPr="007325DB" w:rsidRDefault="008B615D" w:rsidP="00263727">
      <w:pPr>
        <w:spacing w:line="240" w:lineRule="auto"/>
        <w:rPr>
          <w:rFonts w:cs="Arial"/>
          <w:b/>
        </w:rPr>
      </w:pPr>
      <w:r>
        <w:rPr>
          <w:rFonts w:cs="Arial"/>
          <w:b/>
        </w:rPr>
        <w:fldChar w:fldCharType="end"/>
      </w:r>
    </w:p>
    <w:p w:rsidR="005F161B" w:rsidRDefault="005F161B" w:rsidP="001C166D">
      <w:pPr>
        <w:pStyle w:val="hoofdstuk"/>
        <w:rPr>
          <w:rFonts w:cs="Arial"/>
          <w:i/>
        </w:rPr>
      </w:pPr>
      <w:bookmarkStart w:id="0" w:name="_Toc277243169"/>
      <w:r>
        <w:rPr>
          <w:rFonts w:cs="Arial"/>
          <w:i/>
        </w:rPr>
        <w:br w:type="page"/>
      </w:r>
    </w:p>
    <w:p w:rsidR="00296032" w:rsidRPr="00620047" w:rsidRDefault="00296032">
      <w:pPr>
        <w:pStyle w:val="hoofdstuk"/>
        <w:rPr>
          <w:rFonts w:cs="Arial"/>
        </w:rPr>
      </w:pPr>
      <w:bookmarkStart w:id="1" w:name="_Toc431375532"/>
      <w:r w:rsidRPr="00620047">
        <w:rPr>
          <w:rFonts w:cs="Arial"/>
        </w:rPr>
        <w:t>Hoofdstuk 1. Algemeen</w:t>
      </w:r>
      <w:bookmarkEnd w:id="0"/>
      <w:bookmarkEnd w:id="1"/>
    </w:p>
    <w:p w:rsidR="00296032" w:rsidRPr="00620047" w:rsidRDefault="00296032">
      <w:pPr>
        <w:pStyle w:val="afdeling"/>
        <w:rPr>
          <w:rFonts w:cs="Arial"/>
        </w:rPr>
      </w:pPr>
      <w:bookmarkStart w:id="2" w:name="_Toc277243170"/>
      <w:bookmarkStart w:id="3" w:name="_Toc431375533"/>
      <w:r w:rsidRPr="00620047">
        <w:rPr>
          <w:rFonts w:cs="Arial"/>
        </w:rPr>
        <w:t>Afdeling 1.1. Begripsbepalingen, omhangbepaling, reikwijdte en procedurele bepalingen</w:t>
      </w:r>
      <w:bookmarkEnd w:id="2"/>
      <w:bookmarkEnd w:id="3"/>
    </w:p>
    <w:p w:rsidR="00296032" w:rsidRPr="00296032" w:rsidRDefault="00296032">
      <w:pPr>
        <w:pStyle w:val="artikelkop"/>
      </w:pPr>
      <w:r w:rsidRPr="00296032">
        <w:t>Artikel 1</w:t>
      </w:r>
    </w:p>
    <w:p w:rsidR="00296032" w:rsidRPr="00620047" w:rsidRDefault="00296032">
      <w:pPr>
        <w:pStyle w:val="art1enivo"/>
      </w:pPr>
      <w:r w:rsidRPr="00620047">
        <w:t>1.</w:t>
      </w:r>
      <w:r w:rsidRPr="00620047">
        <w:tab/>
        <w:t>Deze afdeling is van toepassing op degene die een inrichting type A, een inrichting type B of een inrichting type C drijft.</w:t>
      </w:r>
    </w:p>
    <w:p w:rsidR="00296032" w:rsidRPr="00620047" w:rsidRDefault="00296032">
      <w:pPr>
        <w:pStyle w:val="art1enivo"/>
      </w:pPr>
      <w:r w:rsidRPr="00620047">
        <w:t>2.</w:t>
      </w:r>
      <w:r w:rsidRPr="00620047">
        <w:tab/>
        <w:t>Het eerste lid is niet van toepassing op de artikelen 1.4, 1.4a en 1.4b.</w:t>
      </w:r>
    </w:p>
    <w:p w:rsidR="00296032" w:rsidRPr="00296032" w:rsidRDefault="00296032">
      <w:pPr>
        <w:pStyle w:val="paragraaf"/>
      </w:pPr>
      <w:bookmarkStart w:id="4" w:name="_Toc431375534"/>
      <w:r w:rsidRPr="00296032">
        <w:t>§ 1.1.1. Begripsbepalingen</w:t>
      </w:r>
      <w:bookmarkEnd w:id="4"/>
    </w:p>
    <w:p w:rsidR="00296032" w:rsidRPr="00296032" w:rsidRDefault="00296032">
      <w:pPr>
        <w:pStyle w:val="artikelkop"/>
      </w:pPr>
      <w:r w:rsidRPr="00296032">
        <w:t>Artikel 1.1</w:t>
      </w:r>
    </w:p>
    <w:p w:rsidR="00296032" w:rsidRPr="00620047" w:rsidRDefault="00296032">
      <w:pPr>
        <w:pStyle w:val="art1enivo"/>
      </w:pPr>
      <w:r w:rsidRPr="00620047">
        <w:rPr>
          <w:bCs/>
        </w:rPr>
        <w:t>1.</w:t>
      </w:r>
      <w:r w:rsidRPr="00620047">
        <w:rPr>
          <w:bCs/>
        </w:rPr>
        <w:tab/>
      </w:r>
      <w:r w:rsidRPr="00620047">
        <w:t>In dit besluit en de daarop berustende bepalingen wordt verstaan onder:</w:t>
      </w:r>
    </w:p>
    <w:p w:rsidR="00296032" w:rsidRPr="00620047" w:rsidRDefault="00296032">
      <w:pPr>
        <w:pStyle w:val="begrip"/>
      </w:pPr>
      <w:r w:rsidRPr="00620047">
        <w:rPr>
          <w:i/>
          <w:iCs/>
        </w:rPr>
        <w:t>aangewezen oppervlaktewaterlichaam:</w:t>
      </w:r>
      <w:r w:rsidRPr="00620047">
        <w:t xml:space="preserve"> oppervlaktewaterlichaam dat op grond van artikel 1.7, eerste lid, onderdeel b, is aangewezen;</w:t>
      </w:r>
    </w:p>
    <w:p w:rsidR="00296032" w:rsidRPr="00620047" w:rsidRDefault="00296032">
      <w:pPr>
        <w:pStyle w:val="begrip"/>
        <w:rPr>
          <w:rFonts w:cs="Arial"/>
          <w:szCs w:val="20"/>
        </w:rPr>
      </w:pPr>
      <w:r w:rsidRPr="00620047">
        <w:rPr>
          <w:rFonts w:cs="Arial"/>
          <w:i/>
          <w:iCs/>
          <w:szCs w:val="20"/>
        </w:rPr>
        <w:t>aardgas:</w:t>
      </w:r>
      <w:r w:rsidRPr="00620047">
        <w:rPr>
          <w:rFonts w:cs="Arial"/>
          <w:szCs w:val="20"/>
        </w:rPr>
        <w:t xml:space="preserve"> in de natuur voorkomend methaan met maximaal 20 volumeprocent inerte en andere bestanddelen;</w:t>
      </w:r>
    </w:p>
    <w:p w:rsidR="00296032" w:rsidRPr="00620047" w:rsidRDefault="00296032">
      <w:pPr>
        <w:pStyle w:val="begrip"/>
        <w:rPr>
          <w:rFonts w:cs="Arial"/>
          <w:szCs w:val="20"/>
        </w:rPr>
      </w:pPr>
      <w:r w:rsidRPr="00620047">
        <w:rPr>
          <w:rFonts w:cs="Arial"/>
          <w:i/>
          <w:iCs/>
          <w:szCs w:val="20"/>
        </w:rPr>
        <w:t>ADR:</w:t>
      </w:r>
      <w:r w:rsidRPr="00620047">
        <w:rPr>
          <w:rFonts w:cs="Arial"/>
          <w:szCs w:val="20"/>
        </w:rPr>
        <w:t xml:space="preserve"> de op 30 september 1957 te Genève totstandgekomen Europese Overeenkomst betreffende het internationale vervoer van gevaarlijke stoffen over de weg (Trb. 1959, 171);</w:t>
      </w:r>
    </w:p>
    <w:p w:rsidR="00296032" w:rsidRPr="00620047" w:rsidRDefault="00296032">
      <w:pPr>
        <w:pStyle w:val="begrip"/>
        <w:rPr>
          <w:rFonts w:cs="Arial"/>
          <w:szCs w:val="20"/>
        </w:rPr>
      </w:pPr>
      <w:r w:rsidRPr="00620047">
        <w:rPr>
          <w:rFonts w:cs="Arial"/>
          <w:i/>
          <w:iCs/>
          <w:szCs w:val="20"/>
        </w:rPr>
        <w:t>afgewerkte olie:</w:t>
      </w:r>
      <w:r w:rsidRPr="00620047">
        <w:rPr>
          <w:rFonts w:cs="Arial"/>
          <w:szCs w:val="20"/>
        </w:rPr>
        <w:t xml:space="preserve"> afgewerkte olie als bedoeld in artikel 1 van het Besluit inzamelen afvalstoffen;</w:t>
      </w:r>
    </w:p>
    <w:p w:rsidR="00296032" w:rsidRPr="00620047" w:rsidRDefault="00296032">
      <w:pPr>
        <w:pStyle w:val="begrip"/>
        <w:rPr>
          <w:rFonts w:cs="Arial"/>
          <w:szCs w:val="20"/>
        </w:rPr>
      </w:pPr>
      <w:r w:rsidRPr="00620047">
        <w:rPr>
          <w:rFonts w:cs="Arial"/>
          <w:i/>
          <w:iCs/>
          <w:szCs w:val="20"/>
        </w:rPr>
        <w:t>afleverinstallatie:</w:t>
      </w:r>
      <w:r w:rsidRPr="00620047">
        <w:rPr>
          <w:rFonts w:cs="Arial"/>
          <w:szCs w:val="20"/>
        </w:rPr>
        <w:t xml:space="preserve"> geheel van één of meer afleverzuilen, bestaande uit pompen, leidingen, meet en regelwerken, schakelaars en vulpistolen omgeven door een omkasting of daarmee direct in verbinding staand, met daaraan gekoppelde leidingen en appendages;</w:t>
      </w:r>
    </w:p>
    <w:p w:rsidR="00296032" w:rsidRPr="00620047" w:rsidRDefault="00296032">
      <w:pPr>
        <w:pStyle w:val="begrip"/>
        <w:rPr>
          <w:rFonts w:cs="Arial"/>
          <w:szCs w:val="20"/>
        </w:rPr>
      </w:pPr>
      <w:r w:rsidRPr="00620047">
        <w:rPr>
          <w:rFonts w:cs="Arial"/>
          <w:i/>
          <w:iCs/>
          <w:szCs w:val="20"/>
        </w:rPr>
        <w:t>afvalmeeverbrandingsinstallatie:</w:t>
      </w:r>
      <w:r w:rsidRPr="00620047">
        <w:rPr>
          <w:rFonts w:cs="Arial"/>
          <w:szCs w:val="20"/>
        </w:rPr>
        <w:t xml:space="preserve"> technische eenheid die in hoofdzaak is bestemd voor de opwekking van energie of de fabricage van materiële producten en waarin afvalstoffen als normale of aanvullende brandstof worden gebruikt, of waarin afvalstoffen thermisch worden behandeld ten behoeve van verwijdering door de verbranding door oxidatie van afvalstoffen alsmede andere thermische behandelingsprocessen voor zover de producten van de behandeling vervolgens worden verbrand;</w:t>
      </w:r>
    </w:p>
    <w:p w:rsidR="00296032" w:rsidRPr="00620047" w:rsidRDefault="00296032">
      <w:pPr>
        <w:pStyle w:val="begrip"/>
        <w:rPr>
          <w:rFonts w:cs="Arial"/>
          <w:szCs w:val="20"/>
        </w:rPr>
      </w:pPr>
      <w:r w:rsidRPr="00620047">
        <w:rPr>
          <w:rFonts w:cs="Arial"/>
          <w:i/>
          <w:iCs/>
          <w:szCs w:val="20"/>
        </w:rPr>
        <w:t>afvalstoffenlijst:</w:t>
      </w:r>
      <w:r w:rsidRPr="00620047">
        <w:rPr>
          <w:rFonts w:cs="Arial"/>
          <w:szCs w:val="20"/>
        </w:rPr>
        <w:t xml:space="preserve"> afvalstoffenlijst als bedoeld in artikel 1, eerste lid, van de Regeling Europese afvalstoffenlijst;</w:t>
      </w:r>
    </w:p>
    <w:p w:rsidR="00296032" w:rsidRPr="00620047" w:rsidRDefault="00296032">
      <w:pPr>
        <w:pStyle w:val="begrip"/>
        <w:rPr>
          <w:rFonts w:cs="Arial"/>
          <w:szCs w:val="20"/>
        </w:rPr>
      </w:pPr>
      <w:r w:rsidRPr="00620047">
        <w:rPr>
          <w:rFonts w:cs="Arial"/>
          <w:i/>
          <w:iCs/>
          <w:szCs w:val="20"/>
        </w:rPr>
        <w:t>afvalverbrandingsinstallatie:</w:t>
      </w:r>
      <w:r w:rsidRPr="00620047">
        <w:rPr>
          <w:rFonts w:cs="Arial"/>
          <w:szCs w:val="20"/>
        </w:rPr>
        <w:t xml:space="preserve"> technische eenheid die specifiek bestemd is voor de thermische behandeling van afvalstoffen, waarin al dan niet de opgewekte warmte wordt teruggewonnen, door de verbranding door oxidatie van afvalstoffen alsmede andere thermische behandelingsprocessen voor zover de producten van de behandeling vervolgens worden verbrand;</w:t>
      </w:r>
    </w:p>
    <w:p w:rsidR="00296032" w:rsidRPr="00620047" w:rsidRDefault="00296032">
      <w:pPr>
        <w:pStyle w:val="begrip"/>
        <w:rPr>
          <w:rFonts w:cs="Arial"/>
          <w:szCs w:val="20"/>
        </w:rPr>
      </w:pPr>
      <w:r w:rsidRPr="00620047">
        <w:rPr>
          <w:rFonts w:cs="Arial"/>
          <w:i/>
          <w:iCs/>
          <w:szCs w:val="20"/>
        </w:rPr>
        <w:t>afvalverbrandingsresiduen:</w:t>
      </w:r>
      <w:r w:rsidRPr="00620047">
        <w:rPr>
          <w:rFonts w:cs="Arial"/>
          <w:szCs w:val="20"/>
        </w:rPr>
        <w:t xml:space="preserve"> vloeibare of vaste afvalstoffen die worden geproduceerd door een afvalverbrandingsinstallatie of afvalmeeverbrandingsinstallatie;</w:t>
      </w:r>
    </w:p>
    <w:p w:rsidR="00296032" w:rsidRPr="00620047" w:rsidRDefault="00296032">
      <w:pPr>
        <w:pStyle w:val="begrip"/>
        <w:rPr>
          <w:rFonts w:cs="Arial"/>
          <w:szCs w:val="20"/>
        </w:rPr>
      </w:pPr>
      <w:r w:rsidRPr="00620047">
        <w:rPr>
          <w:rFonts w:cs="Arial"/>
          <w:i/>
          <w:iCs/>
          <w:szCs w:val="20"/>
        </w:rPr>
        <w:t>afvangrendement:</w:t>
      </w:r>
      <w:r w:rsidRPr="00620047">
        <w:rPr>
          <w:rFonts w:cs="Arial"/>
          <w:szCs w:val="20"/>
        </w:rPr>
        <w:t xml:space="preserve"> hoeveelheid damp van lichte olie die door een EU-systeem voor dampretour fase-II wordt afgevangen, vergeleken met de hoeveelheid damp van lichte olie die in de atmosfeer zou zijn uitgestoten zonder een dergelijk systeem, uitgedrukt als percentage;</w:t>
      </w:r>
    </w:p>
    <w:p w:rsidR="00296032" w:rsidRPr="00620047" w:rsidRDefault="00296032">
      <w:pPr>
        <w:pStyle w:val="begrip"/>
        <w:rPr>
          <w:rFonts w:cs="Arial"/>
          <w:szCs w:val="20"/>
        </w:rPr>
      </w:pPr>
      <w:r w:rsidRPr="00620047">
        <w:rPr>
          <w:rFonts w:cs="Arial"/>
          <w:i/>
          <w:iCs/>
          <w:szCs w:val="20"/>
        </w:rPr>
        <w:t>agrarische activiteiten:</w:t>
      </w:r>
      <w:r w:rsidRPr="00620047">
        <w:rPr>
          <w:rFonts w:cs="Arial"/>
          <w:szCs w:val="20"/>
        </w:rPr>
        <w:t xml:space="preserve"> geheel van activiteiten dat betrekking heeft op gewassen of landbouwhuisdieren voor zover deze geteeld of gekweekt onderscheidenlijk gefokt, gemest, gehouden of verhandeld worden, daaronder mede begrepen agrarisch gemechaniseerd loonwerk zoals het uitvoeren van cultuurtechnische werken, mestdistributie, grondverzet of soortgelijke dienstverlening;</w:t>
      </w:r>
    </w:p>
    <w:p w:rsidR="00296032" w:rsidRPr="00620047" w:rsidRDefault="00296032">
      <w:pPr>
        <w:pStyle w:val="begrip"/>
        <w:rPr>
          <w:rFonts w:cs="Arial"/>
          <w:szCs w:val="20"/>
        </w:rPr>
      </w:pPr>
      <w:r w:rsidRPr="00620047">
        <w:rPr>
          <w:rFonts w:cs="Arial"/>
          <w:i/>
          <w:iCs/>
          <w:szCs w:val="20"/>
        </w:rPr>
        <w:t>agrarische bedrijfsstoffen:</w:t>
      </w:r>
      <w:r w:rsidRPr="00620047">
        <w:rPr>
          <w:rFonts w:cs="Arial"/>
          <w:szCs w:val="20"/>
        </w:rPr>
        <w:t xml:space="preserve"> dierlijke meststoffen die niet verpompbaar zijn, kuilvoer, bijvoedermiddelen die niet verpompbaar zijn, gebruikt substraatmateriaal van plantaardige oorsprong en restmateriaal afkomstig van de teelt van gewassen, voor zover geen sprake is van inerte goederen;</w:t>
      </w:r>
    </w:p>
    <w:p w:rsidR="00296032" w:rsidRPr="00620047" w:rsidRDefault="00296032">
      <w:pPr>
        <w:pStyle w:val="begrip"/>
        <w:rPr>
          <w:rFonts w:cs="Arial"/>
          <w:szCs w:val="20"/>
        </w:rPr>
      </w:pPr>
      <w:r w:rsidRPr="00620047">
        <w:rPr>
          <w:rFonts w:cs="Arial"/>
          <w:i/>
          <w:iCs/>
          <w:szCs w:val="20"/>
        </w:rPr>
        <w:t>ammoniakemissie:</w:t>
      </w:r>
      <w:r w:rsidRPr="00620047">
        <w:rPr>
          <w:rFonts w:cs="Arial"/>
          <w:szCs w:val="20"/>
        </w:rPr>
        <w:t xml:space="preserve"> emissie van ammoniak, uitgedrukt in kilogram NH</w:t>
      </w:r>
      <w:r w:rsidRPr="00620047">
        <w:rPr>
          <w:rFonts w:cs="Arial"/>
          <w:szCs w:val="20"/>
          <w:vertAlign w:val="subscript"/>
        </w:rPr>
        <w:t>3</w:t>
      </w:r>
      <w:r w:rsidRPr="00620047">
        <w:rPr>
          <w:rFonts w:cs="Arial"/>
          <w:szCs w:val="20"/>
        </w:rPr>
        <w:t xml:space="preserve"> per jaar;</w:t>
      </w:r>
    </w:p>
    <w:p w:rsidR="00296032" w:rsidRPr="00620047" w:rsidRDefault="00296032">
      <w:pPr>
        <w:pStyle w:val="begrip"/>
        <w:rPr>
          <w:rFonts w:cs="Arial"/>
          <w:szCs w:val="20"/>
        </w:rPr>
      </w:pPr>
      <w:r w:rsidRPr="00620047">
        <w:rPr>
          <w:rFonts w:cs="Arial"/>
          <w:i/>
          <w:iCs/>
          <w:szCs w:val="20"/>
        </w:rPr>
        <w:t>andere hernieuwbare brandstoffen:</w:t>
      </w:r>
      <w:r w:rsidRPr="00620047">
        <w:rPr>
          <w:rFonts w:cs="Arial"/>
          <w:szCs w:val="20"/>
        </w:rPr>
        <w:t xml:space="preserve"> andere hernieuwbare brandstoffen als bedoeld in artikel 2, eerste lid, onderdeel c, van richtlijn 2003/30/EG;</w:t>
      </w:r>
    </w:p>
    <w:p w:rsidR="00296032" w:rsidRPr="00620047" w:rsidRDefault="00296032">
      <w:pPr>
        <w:pStyle w:val="begrip"/>
        <w:rPr>
          <w:rFonts w:cs="Arial"/>
          <w:szCs w:val="20"/>
        </w:rPr>
      </w:pPr>
      <w:r w:rsidRPr="00620047">
        <w:rPr>
          <w:rFonts w:cs="Arial"/>
          <w:i/>
          <w:iCs/>
          <w:szCs w:val="20"/>
        </w:rPr>
        <w:t>assimilatiebelichting:</w:t>
      </w:r>
      <w:r w:rsidRPr="00620047">
        <w:rPr>
          <w:rFonts w:cs="Arial"/>
          <w:szCs w:val="20"/>
        </w:rPr>
        <w:t xml:space="preserve"> kunstmatige belichting van gewassen, gericht op de bevordering van het groeiproces van gewassen;</w:t>
      </w:r>
    </w:p>
    <w:p w:rsidR="00296032" w:rsidRPr="00620047" w:rsidRDefault="00296032">
      <w:pPr>
        <w:pStyle w:val="begrip"/>
        <w:rPr>
          <w:rFonts w:cs="Arial"/>
          <w:szCs w:val="20"/>
        </w:rPr>
      </w:pPr>
      <w:r w:rsidRPr="00620047">
        <w:rPr>
          <w:rFonts w:cs="Arial"/>
          <w:i/>
          <w:iCs/>
          <w:szCs w:val="20"/>
        </w:rPr>
        <w:t>autodemontagebedrijf:</w:t>
      </w:r>
      <w:r w:rsidRPr="00620047">
        <w:rPr>
          <w:rFonts w:cs="Arial"/>
          <w:szCs w:val="20"/>
        </w:rPr>
        <w:t xml:space="preserve"> inrichting voor het demonteren van autowrakken;</w:t>
      </w:r>
    </w:p>
    <w:p w:rsidR="00296032" w:rsidRPr="00620047" w:rsidRDefault="00296032">
      <w:pPr>
        <w:pStyle w:val="begrip"/>
        <w:rPr>
          <w:rFonts w:cs="Arial"/>
          <w:szCs w:val="20"/>
        </w:rPr>
      </w:pPr>
      <w:r w:rsidRPr="00620047">
        <w:rPr>
          <w:rFonts w:cs="Arial"/>
          <w:i/>
          <w:iCs/>
          <w:szCs w:val="20"/>
        </w:rPr>
        <w:t>autowrak:</w:t>
      </w:r>
      <w:r w:rsidRPr="00620047">
        <w:rPr>
          <w:rFonts w:cs="Arial"/>
          <w:szCs w:val="20"/>
        </w:rPr>
        <w:t xml:space="preserve"> </w:t>
      </w:r>
    </w:p>
    <w:p w:rsidR="00296032" w:rsidRPr="00620047" w:rsidRDefault="00296032">
      <w:pPr>
        <w:pStyle w:val="art2enivo"/>
      </w:pPr>
      <w:r w:rsidRPr="00620047">
        <w:t>1°.</w:t>
      </w:r>
      <w:r w:rsidRPr="00620047">
        <w:tab/>
        <w:t>bedrijfsauto als bedoeld in de regeling op grond van artikel 21, eerste lid, van de Wegenverkeerswet 1994, met een gewicht van ten hoogste 3500 kilogram,</w:t>
      </w:r>
    </w:p>
    <w:p w:rsidR="00296032" w:rsidRPr="00620047" w:rsidRDefault="00296032">
      <w:pPr>
        <w:pStyle w:val="art2enivo"/>
      </w:pPr>
      <w:r w:rsidRPr="00620047">
        <w:t>2°.</w:t>
      </w:r>
      <w:r w:rsidRPr="00620047">
        <w:tab/>
        <w:t>personenauto als bedoeld in de regeling op grond van artikel 21, eerste lid, van de Wegenverkeerswet 1994, en</w:t>
      </w:r>
    </w:p>
    <w:p w:rsidR="00296032" w:rsidRPr="00620047" w:rsidRDefault="00296032">
      <w:pPr>
        <w:pStyle w:val="art2enivo"/>
      </w:pPr>
      <w:r w:rsidRPr="00620047">
        <w:t>3°.</w:t>
      </w:r>
      <w:r w:rsidRPr="00620047">
        <w:tab/>
        <w:t>bromfiets als bedoeld in de regeling op grond van artikel 21, eerste lid, van de Wegenverkeerswet 1994, niet zijnde een voertuig op twee wielen,</w:t>
      </w:r>
    </w:p>
    <w:p w:rsidR="00296032" w:rsidRPr="00620047" w:rsidRDefault="00296032" w:rsidP="00E66C7C">
      <w:pPr>
        <w:pStyle w:val="artplatletter"/>
        <w:ind w:hanging="1"/>
      </w:pPr>
      <w:r w:rsidRPr="00620047">
        <w:t>die een afv</w:t>
      </w:r>
      <w:r w:rsidR="00E66C7C" w:rsidRPr="00620047">
        <w:t>a</w:t>
      </w:r>
      <w:r w:rsidRPr="00620047">
        <w:t>lstof is in de zin van artikel 1.1, eerste lid, van de wet;</w:t>
      </w:r>
    </w:p>
    <w:p w:rsidR="00296032" w:rsidRPr="00620047" w:rsidRDefault="00296032">
      <w:pPr>
        <w:pStyle w:val="begrip"/>
        <w:rPr>
          <w:rFonts w:cs="Arial"/>
          <w:szCs w:val="20"/>
        </w:rPr>
      </w:pPr>
      <w:r w:rsidRPr="00620047">
        <w:rPr>
          <w:rFonts w:cs="Arial"/>
          <w:i/>
          <w:iCs/>
          <w:szCs w:val="20"/>
        </w:rPr>
        <w:t>autowrakkenrichtlijn:</w:t>
      </w:r>
      <w:r w:rsidRPr="00620047">
        <w:rPr>
          <w:rFonts w:cs="Arial"/>
          <w:szCs w:val="20"/>
        </w:rPr>
        <w:t xml:space="preserve"> richtlijn nr. 2000/53/EG van het Europees Parlement en de Raad van de Europese Unie van 18 september 2000 betreffende autowrakken (PbEG L 269);</w:t>
      </w:r>
    </w:p>
    <w:p w:rsidR="00296032" w:rsidRPr="00620047" w:rsidRDefault="00296032">
      <w:pPr>
        <w:pStyle w:val="begrip"/>
        <w:rPr>
          <w:rFonts w:cs="Arial"/>
          <w:szCs w:val="20"/>
        </w:rPr>
      </w:pPr>
      <w:r w:rsidRPr="00620047">
        <w:rPr>
          <w:rFonts w:cs="Arial"/>
          <w:i/>
          <w:iCs/>
          <w:szCs w:val="20"/>
        </w:rPr>
        <w:t>axiaalspuit:</w:t>
      </w:r>
      <w:r w:rsidRPr="00620047">
        <w:rPr>
          <w:rFonts w:cs="Arial"/>
          <w:szCs w:val="20"/>
        </w:rPr>
        <w:t xml:space="preserve"> apparatuur voor het gebruik van gewasbeschermingsmiddelen in opgaande gewasrijen, waarbij de spuitvloeistof, met luchtondersteuning horizontaal en schuin omhoog verspoten wordt;</w:t>
      </w:r>
    </w:p>
    <w:p w:rsidR="00296032" w:rsidRPr="00620047" w:rsidRDefault="00296032">
      <w:pPr>
        <w:pStyle w:val="begrip"/>
        <w:rPr>
          <w:rFonts w:cs="Arial"/>
          <w:szCs w:val="20"/>
        </w:rPr>
      </w:pPr>
      <w:r w:rsidRPr="00620047">
        <w:rPr>
          <w:rFonts w:cs="Arial"/>
          <w:i/>
          <w:iCs/>
          <w:szCs w:val="20"/>
        </w:rPr>
        <w:t>bedrijfsduurcorrectie:</w:t>
      </w:r>
      <w:r w:rsidRPr="00620047">
        <w:rPr>
          <w:rFonts w:cs="Arial"/>
          <w:szCs w:val="20"/>
        </w:rPr>
        <w:t xml:space="preserve"> correctie als bedoeld in de Handleiding meten en rekenen industrielawaai, zijnde de logaritmische verhouding tussen de tijdsduur dat de geluidsbron gedurende de beoordelingstijd in werking is, en de duur van die beoordelingsperiode;</w:t>
      </w:r>
    </w:p>
    <w:p w:rsidR="00296032" w:rsidRPr="00620047" w:rsidRDefault="00296032">
      <w:pPr>
        <w:pStyle w:val="begrip"/>
        <w:rPr>
          <w:rFonts w:cs="Arial"/>
          <w:szCs w:val="20"/>
        </w:rPr>
      </w:pPr>
      <w:r w:rsidRPr="00620047">
        <w:rPr>
          <w:rFonts w:cs="Arial"/>
          <w:i/>
          <w:iCs/>
          <w:szCs w:val="20"/>
        </w:rPr>
        <w:t>bedrijventerrein:</w:t>
      </w:r>
      <w:r w:rsidRPr="00620047">
        <w:rPr>
          <w:rFonts w:cs="Arial"/>
          <w:szCs w:val="20"/>
        </w:rPr>
        <w:t xml:space="preserve"> cluster aaneengesloten percelen met overwegend bedrijfsbestemmingen, binnen een in een bestemmingsplan als bedrijventerrein aangewezen gebied, daaronder niet begrepen een gezoneerd industrieterrein;</w:t>
      </w:r>
    </w:p>
    <w:p w:rsidR="00296032" w:rsidRPr="00620047" w:rsidRDefault="00296032">
      <w:pPr>
        <w:pStyle w:val="begrip"/>
        <w:rPr>
          <w:rFonts w:cs="Arial"/>
          <w:szCs w:val="20"/>
        </w:rPr>
      </w:pPr>
      <w:r w:rsidRPr="00620047">
        <w:rPr>
          <w:rFonts w:cs="Arial"/>
          <w:i/>
          <w:iCs/>
          <w:szCs w:val="20"/>
        </w:rPr>
        <w:t>beheerder:</w:t>
      </w:r>
      <w:r w:rsidRPr="00620047">
        <w:rPr>
          <w:rFonts w:cs="Arial"/>
          <w:szCs w:val="20"/>
        </w:rPr>
        <w:t xml:space="preserve"> beheerder als bedoeld in artikel 1.1 van de Waterwet;</w:t>
      </w:r>
    </w:p>
    <w:p w:rsidR="00296032" w:rsidRPr="00620047" w:rsidRDefault="00296032">
      <w:pPr>
        <w:pStyle w:val="begrip"/>
        <w:rPr>
          <w:rFonts w:cs="Arial"/>
          <w:szCs w:val="20"/>
        </w:rPr>
      </w:pPr>
      <w:r w:rsidRPr="00620047">
        <w:rPr>
          <w:rFonts w:cs="Arial"/>
          <w:i/>
          <w:iCs/>
          <w:szCs w:val="20"/>
        </w:rPr>
        <w:t>beperkt kwetsbaar object:</w:t>
      </w:r>
      <w:r w:rsidRPr="00620047">
        <w:rPr>
          <w:rFonts w:cs="Arial"/>
          <w:szCs w:val="20"/>
        </w:rPr>
        <w:t xml:space="preserve"> beperkt kwetsbaar object als bedoeld in artikel 1, eerste lid, onderdeel b, van het Besluit externe veiligheid inrichtingen;</w:t>
      </w:r>
    </w:p>
    <w:p w:rsidR="00296032" w:rsidRPr="00620047" w:rsidRDefault="00296032">
      <w:pPr>
        <w:pStyle w:val="begrip"/>
        <w:rPr>
          <w:rFonts w:cs="Arial"/>
          <w:szCs w:val="20"/>
        </w:rPr>
      </w:pPr>
      <w:r w:rsidRPr="00620047">
        <w:rPr>
          <w:rFonts w:cs="Arial"/>
          <w:i/>
          <w:iCs/>
          <w:szCs w:val="20"/>
        </w:rPr>
        <w:t>bijkomend gevaar:</w:t>
      </w:r>
      <w:r w:rsidRPr="00620047">
        <w:rPr>
          <w:rFonts w:cs="Arial"/>
          <w:szCs w:val="20"/>
        </w:rPr>
        <w:t xml:space="preserve"> een gevaar naast de grootste gevaarseigenschap als bedoeld in het ADR;</w:t>
      </w:r>
    </w:p>
    <w:p w:rsidR="00296032" w:rsidRPr="00620047" w:rsidRDefault="00296032">
      <w:pPr>
        <w:pStyle w:val="begrip"/>
        <w:rPr>
          <w:rFonts w:cs="Arial"/>
          <w:szCs w:val="20"/>
        </w:rPr>
      </w:pPr>
      <w:r w:rsidRPr="00620047">
        <w:rPr>
          <w:rFonts w:cs="Arial"/>
          <w:i/>
          <w:iCs/>
          <w:szCs w:val="20"/>
        </w:rPr>
        <w:t>bijvoedermiddel:</w:t>
      </w:r>
      <w:r w:rsidRPr="00620047">
        <w:rPr>
          <w:rFonts w:cs="Arial"/>
          <w:szCs w:val="20"/>
        </w:rPr>
        <w:t xml:space="preserve"> plantaardig restproduct uit de land- en tuinbouw en uit de voedselbereiding en -verwerking, uitgezonderd voedselresten afkomstig van restaurants, cateringfaciliteiten en keukens, met inbegrip van centrale keukens en keukens van huishoudens;</w:t>
      </w:r>
    </w:p>
    <w:p w:rsidR="00296032" w:rsidRPr="00620047" w:rsidRDefault="00296032">
      <w:pPr>
        <w:pStyle w:val="begrip"/>
        <w:rPr>
          <w:rFonts w:cs="Arial"/>
          <w:szCs w:val="20"/>
        </w:rPr>
      </w:pPr>
      <w:r w:rsidRPr="00620047">
        <w:rPr>
          <w:rFonts w:cs="Arial"/>
          <w:i/>
          <w:iCs/>
          <w:szCs w:val="20"/>
        </w:rPr>
        <w:t>binnenschietbaan:</w:t>
      </w:r>
      <w:r w:rsidRPr="00620047">
        <w:rPr>
          <w:rFonts w:cs="Arial"/>
          <w:szCs w:val="20"/>
        </w:rPr>
        <w:t xml:space="preserve"> een schietbaan of een combinatie van schietbanen in een gebouw of een deel van een gebouw, zonder open zijden en met een gesloten afdekking;</w:t>
      </w:r>
    </w:p>
    <w:p w:rsidR="00296032" w:rsidRPr="00620047" w:rsidRDefault="00296032">
      <w:pPr>
        <w:pStyle w:val="begrip"/>
        <w:rPr>
          <w:rFonts w:cs="Arial"/>
          <w:szCs w:val="20"/>
        </w:rPr>
      </w:pPr>
      <w:r w:rsidRPr="00620047">
        <w:rPr>
          <w:rFonts w:cs="Arial"/>
          <w:i/>
          <w:iCs/>
          <w:szCs w:val="20"/>
        </w:rPr>
        <w:t>biobrandstof:</w:t>
      </w:r>
      <w:r w:rsidRPr="00620047">
        <w:rPr>
          <w:rFonts w:cs="Arial"/>
          <w:szCs w:val="20"/>
        </w:rPr>
        <w:t xml:space="preserve"> biobrandstof als bedoeld in artikel 2, eerste lid, onderdeel a, van richtlijn 2003/30/EG, waaronder in elk geval de biobrandstoffen, bedoeld in artikel 2, tweede lid, van richtlijn 2003/30/EG, worden verstaan;</w:t>
      </w:r>
    </w:p>
    <w:p w:rsidR="00296032" w:rsidRPr="00620047" w:rsidRDefault="00296032">
      <w:pPr>
        <w:pStyle w:val="begrip"/>
        <w:rPr>
          <w:rFonts w:cs="Arial"/>
          <w:szCs w:val="20"/>
        </w:rPr>
      </w:pPr>
      <w:r w:rsidRPr="00620047">
        <w:rPr>
          <w:rFonts w:cs="Arial"/>
          <w:szCs w:val="20"/>
        </w:rPr>
        <w:t>b</w:t>
      </w:r>
      <w:r w:rsidRPr="00620047">
        <w:rPr>
          <w:rFonts w:cs="Arial"/>
          <w:i/>
          <w:iCs/>
          <w:szCs w:val="20"/>
        </w:rPr>
        <w:t>iocide:</w:t>
      </w:r>
      <w:r w:rsidRPr="00620047">
        <w:rPr>
          <w:rFonts w:cs="Arial"/>
          <w:szCs w:val="20"/>
        </w:rPr>
        <w:t xml:space="preserve"> biocide als bedoeld in artikel 1, eerste lid, van de Wet gewasbeschermingsmiddelen en biociden;</w:t>
      </w:r>
    </w:p>
    <w:p w:rsidR="00296032" w:rsidRPr="00620047" w:rsidRDefault="00296032">
      <w:pPr>
        <w:pStyle w:val="begrip"/>
        <w:rPr>
          <w:rFonts w:cs="Arial"/>
          <w:szCs w:val="20"/>
        </w:rPr>
      </w:pPr>
      <w:r w:rsidRPr="00620047">
        <w:rPr>
          <w:rFonts w:cs="Arial"/>
          <w:i/>
          <w:iCs/>
          <w:szCs w:val="20"/>
        </w:rPr>
        <w:t>biologische productiemethode:</w:t>
      </w:r>
      <w:r w:rsidRPr="00620047">
        <w:rPr>
          <w:rFonts w:cs="Arial"/>
          <w:szCs w:val="20"/>
        </w:rPr>
        <w:t xml:space="preserve"> productiemethode als bedoeld in artikel 1, eerste lid, onderdeel q, van het Landbouwkwaliteitsbesluit 2007;</w:t>
      </w:r>
    </w:p>
    <w:p w:rsidR="00296032" w:rsidRPr="00620047" w:rsidRDefault="00296032">
      <w:pPr>
        <w:pStyle w:val="begrip"/>
        <w:rPr>
          <w:rFonts w:cs="Arial"/>
          <w:szCs w:val="20"/>
        </w:rPr>
      </w:pPr>
      <w:r w:rsidRPr="00620047">
        <w:rPr>
          <w:rFonts w:cs="Arial"/>
          <w:i/>
          <w:iCs/>
          <w:szCs w:val="20"/>
        </w:rPr>
        <w:t>biomassa:</w:t>
      </w:r>
    </w:p>
    <w:p w:rsidR="00296032" w:rsidRPr="00620047" w:rsidRDefault="00296032">
      <w:pPr>
        <w:pStyle w:val="art2enivo"/>
      </w:pPr>
      <w:r w:rsidRPr="00620047">
        <w:t>a.</w:t>
      </w:r>
      <w:r w:rsidRPr="00620047">
        <w:tab/>
        <w:t>producten die bestaan uit plantaardig landbouw- of bosbouwmateriaal dat gebruikt kan worden als brandstof om de energetische inhoud ervan te benutten;</w:t>
      </w:r>
    </w:p>
    <w:p w:rsidR="00296032" w:rsidRPr="00620047" w:rsidRDefault="00296032">
      <w:pPr>
        <w:pStyle w:val="art2enivo"/>
      </w:pPr>
      <w:r w:rsidRPr="00620047">
        <w:t>b.</w:t>
      </w:r>
      <w:r w:rsidRPr="00620047">
        <w:tab/>
        <w:t>de volgende afvalstoffen:</w:t>
      </w:r>
    </w:p>
    <w:p w:rsidR="00296032" w:rsidRPr="00620047" w:rsidRDefault="00296032">
      <w:pPr>
        <w:pStyle w:val="art3enivo"/>
      </w:pPr>
      <w:r w:rsidRPr="00620047">
        <w:t>1°.</w:t>
      </w:r>
      <w:r w:rsidRPr="00620047">
        <w:tab/>
        <w:t>plantaardig afval uit land- of bosbouw;</w:t>
      </w:r>
    </w:p>
    <w:p w:rsidR="00296032" w:rsidRPr="00620047" w:rsidRDefault="00296032">
      <w:pPr>
        <w:pStyle w:val="art3enivo"/>
      </w:pPr>
      <w:r w:rsidRPr="00620047">
        <w:t>2°.</w:t>
      </w:r>
      <w:r w:rsidRPr="00620047">
        <w:tab/>
        <w:t>plantaardig afval van de levensmiddelenindustrie, indien de opgewekte warmte wordt teruggewonnen;</w:t>
      </w:r>
    </w:p>
    <w:p w:rsidR="00296032" w:rsidRPr="00620047" w:rsidRDefault="00296032">
      <w:pPr>
        <w:pStyle w:val="art3enivo"/>
      </w:pPr>
      <w:r w:rsidRPr="00620047">
        <w:t>3°.</w:t>
      </w:r>
      <w:r w:rsidRPr="00620047">
        <w:tab/>
        <w:t>vezelachtig plantaardig afval afkomstig van de productie van ruwe pulp en van de productie van papier uit pulp, indien het op de plaats van productie wordt meeverbrand en de opgewekte warmte wordt teruggewonnen;</w:t>
      </w:r>
    </w:p>
    <w:p w:rsidR="00296032" w:rsidRPr="00620047" w:rsidRDefault="00296032">
      <w:pPr>
        <w:pStyle w:val="art3enivo"/>
      </w:pPr>
      <w:r w:rsidRPr="00620047">
        <w:t>4°.</w:t>
      </w:r>
      <w:r w:rsidRPr="00620047">
        <w:tab/>
        <w:t>kurkafval;</w:t>
      </w:r>
    </w:p>
    <w:p w:rsidR="00296032" w:rsidRPr="00620047" w:rsidRDefault="00296032">
      <w:pPr>
        <w:pStyle w:val="art3enivo"/>
      </w:pPr>
      <w:r w:rsidRPr="00620047">
        <w:t>5°.</w:t>
      </w:r>
      <w:r w:rsidRPr="00620047">
        <w:tab/>
        <w:t>houtafval, met uitzondering van houtafval dat ten gevolge van een behandeling met houtbeschermingsmiddelen of door het aanbrengen van een beschermingslaag gehalogeneerde organische verbindingen dan wel zware metalen kan bevatten;</w:t>
      </w:r>
    </w:p>
    <w:p w:rsidR="00296032" w:rsidRPr="00620047" w:rsidRDefault="00296032">
      <w:pPr>
        <w:pStyle w:val="begrip"/>
        <w:rPr>
          <w:rFonts w:cs="Arial"/>
          <w:szCs w:val="20"/>
        </w:rPr>
      </w:pPr>
      <w:r w:rsidRPr="00620047">
        <w:rPr>
          <w:rFonts w:cs="Arial"/>
          <w:i/>
          <w:iCs/>
          <w:szCs w:val="20"/>
        </w:rPr>
        <w:t>bodem:</w:t>
      </w:r>
      <w:r w:rsidRPr="00620047">
        <w:rPr>
          <w:rFonts w:cs="Arial"/>
          <w:szCs w:val="20"/>
        </w:rPr>
        <w:t xml:space="preserve"> bovenste laag van de aardkorst die begrensd is door het vaste gesteente en het aardoppervlak, bestaande uit minerale deeltjes, organisch materiaal, water, lucht en levende organismen;</w:t>
      </w:r>
    </w:p>
    <w:p w:rsidR="00296032" w:rsidRPr="00620047" w:rsidRDefault="00296032">
      <w:pPr>
        <w:pStyle w:val="begrip"/>
        <w:rPr>
          <w:rFonts w:cs="Arial"/>
          <w:szCs w:val="20"/>
        </w:rPr>
      </w:pPr>
      <w:r w:rsidRPr="00620047">
        <w:rPr>
          <w:rFonts w:cs="Arial"/>
          <w:i/>
          <w:iCs/>
          <w:szCs w:val="20"/>
        </w:rPr>
        <w:t>bodembedreigende activiteit:</w:t>
      </w:r>
      <w:r w:rsidRPr="00620047">
        <w:rPr>
          <w:rFonts w:cs="Arial"/>
          <w:szCs w:val="20"/>
        </w:rPr>
        <w:t xml:space="preserve"> bedrijfsmatige activiteit die gepaard gaat met het gebruik, de productie of de emissie van een bodembedreigende stof;</w:t>
      </w:r>
    </w:p>
    <w:p w:rsidR="00296032" w:rsidRPr="00620047" w:rsidRDefault="00296032">
      <w:pPr>
        <w:pStyle w:val="begrip"/>
        <w:rPr>
          <w:rFonts w:cs="Arial"/>
          <w:szCs w:val="20"/>
        </w:rPr>
      </w:pPr>
      <w:r w:rsidRPr="00620047">
        <w:rPr>
          <w:rFonts w:cs="Arial"/>
          <w:i/>
          <w:iCs/>
          <w:szCs w:val="20"/>
        </w:rPr>
        <w:t>bodembedreigende stof:</w:t>
      </w:r>
      <w:r w:rsidRPr="00620047">
        <w:rPr>
          <w:rFonts w:cs="Arial"/>
          <w:szCs w:val="20"/>
        </w:rPr>
        <w:t xml:space="preserve"> stof die de bodem kan verontreinigen als bedoeld in bijlage 2 van deel 3 van de NRB, en stoffen of mengsels als omschreven in artikel 3 van de EG-verordening indeling, etikettering en verpakking van stoffen en mengsels die de bodem kunnen verontreinigen;</w:t>
      </w:r>
    </w:p>
    <w:p w:rsidR="00296032" w:rsidRPr="00620047" w:rsidRDefault="00296032">
      <w:pPr>
        <w:pStyle w:val="begrip"/>
        <w:rPr>
          <w:rFonts w:cs="Arial"/>
          <w:szCs w:val="20"/>
        </w:rPr>
      </w:pPr>
      <w:r w:rsidRPr="00620047">
        <w:rPr>
          <w:rFonts w:cs="Arial"/>
          <w:i/>
          <w:iCs/>
          <w:szCs w:val="20"/>
        </w:rPr>
        <w:t>bodembeschermende maatregel:</w:t>
      </w:r>
      <w:r w:rsidRPr="00620047">
        <w:rPr>
          <w:rFonts w:cs="Arial"/>
          <w:szCs w:val="20"/>
        </w:rPr>
        <w:t xml:space="preserve"> op de gebezigde stoffen en gebruikte bodembeschermende voorziening toegesneden beheermaatregel gericht op reparatie, schoonmaak, onderhoud, actie bij incidenten, bedrijfsinterne controle, inspectie of toezicht, ter voorkoming van immissies in de bodem of herstel van de effecten van zulke immissies op de bodemkwaliteit, waarvan de uitvoering is gewaarborgd;</w:t>
      </w:r>
    </w:p>
    <w:p w:rsidR="00296032" w:rsidRPr="00620047" w:rsidRDefault="00296032">
      <w:pPr>
        <w:pStyle w:val="begrip"/>
        <w:rPr>
          <w:rFonts w:cs="Arial"/>
          <w:szCs w:val="20"/>
        </w:rPr>
      </w:pPr>
      <w:r w:rsidRPr="00620047">
        <w:rPr>
          <w:rFonts w:cs="Arial"/>
          <w:i/>
          <w:iCs/>
          <w:szCs w:val="20"/>
        </w:rPr>
        <w:t>bodembeschermende voorziening:</w:t>
      </w:r>
      <w:r w:rsidRPr="00620047">
        <w:rPr>
          <w:rFonts w:cs="Arial"/>
          <w:szCs w:val="20"/>
        </w:rPr>
        <w:t xml:space="preserve"> een vloeistofkerende voorziening, een vloeistofdichte vloer of verharding of een andere doelmatige fysieke voorziening, ter voorkoming van immissies in de bodem;</w:t>
      </w:r>
    </w:p>
    <w:p w:rsidR="00296032" w:rsidRPr="00620047" w:rsidRDefault="00296032">
      <w:pPr>
        <w:pStyle w:val="begrip"/>
        <w:rPr>
          <w:rFonts w:cs="Arial"/>
          <w:szCs w:val="20"/>
        </w:rPr>
      </w:pPr>
      <w:r w:rsidRPr="00620047">
        <w:rPr>
          <w:rFonts w:cs="Arial"/>
          <w:i/>
          <w:iCs/>
          <w:szCs w:val="20"/>
        </w:rPr>
        <w:t>bodemzijdig vermogen:</w:t>
      </w:r>
      <w:r w:rsidRPr="00620047">
        <w:rPr>
          <w:rFonts w:cs="Arial"/>
          <w:szCs w:val="20"/>
        </w:rPr>
        <w:t xml:space="preserve"> grootste hoeveelheid energie, uitgedrukt in kW, die het bodemzijdig deel van een gesloten bodemenergiesysteem bij normaal gebruik kan uitwisselen met de bodem;</w:t>
      </w:r>
    </w:p>
    <w:p w:rsidR="00296032" w:rsidRPr="00620047" w:rsidRDefault="00296032">
      <w:pPr>
        <w:pStyle w:val="begrip"/>
        <w:rPr>
          <w:rFonts w:cs="Arial"/>
          <w:szCs w:val="20"/>
        </w:rPr>
      </w:pPr>
      <w:r w:rsidRPr="00620047">
        <w:rPr>
          <w:rFonts w:cs="Arial"/>
          <w:i/>
          <w:iCs/>
          <w:szCs w:val="20"/>
        </w:rPr>
        <w:t>bovengrondse opslagtank:</w:t>
      </w:r>
      <w:r w:rsidRPr="00620047">
        <w:rPr>
          <w:rFonts w:cs="Arial"/>
          <w:szCs w:val="20"/>
        </w:rPr>
        <w:t xml:space="preserve"> opslagtank niet zijnde een ondergrondse opslagtank en niet zijnde een ladingtank van een bunkerstation;</w:t>
      </w:r>
    </w:p>
    <w:p w:rsidR="00296032" w:rsidRPr="00620047" w:rsidRDefault="00296032">
      <w:pPr>
        <w:pStyle w:val="begrip"/>
        <w:rPr>
          <w:rFonts w:cs="Arial"/>
          <w:szCs w:val="20"/>
        </w:rPr>
      </w:pPr>
      <w:r w:rsidRPr="00620047">
        <w:rPr>
          <w:rFonts w:cs="Arial"/>
          <w:i/>
          <w:iCs/>
          <w:szCs w:val="20"/>
        </w:rPr>
        <w:t>brandcompartiment:</w:t>
      </w:r>
      <w:r w:rsidRPr="00620047">
        <w:rPr>
          <w:rFonts w:cs="Arial"/>
          <w:szCs w:val="20"/>
        </w:rPr>
        <w:t xml:space="preserve"> brandcompartiment als bedoeld in artikel 1.1, eerste lid, van het Bouwbesluit 2012;</w:t>
      </w:r>
    </w:p>
    <w:p w:rsidR="00296032" w:rsidRPr="00620047" w:rsidRDefault="00296032">
      <w:pPr>
        <w:pStyle w:val="begrip"/>
        <w:rPr>
          <w:rFonts w:cs="Arial"/>
          <w:szCs w:val="20"/>
        </w:rPr>
      </w:pPr>
      <w:r w:rsidRPr="00620047">
        <w:rPr>
          <w:rFonts w:cs="Arial"/>
          <w:i/>
          <w:iCs/>
          <w:szCs w:val="20"/>
        </w:rPr>
        <w:t>brandstof:</w:t>
      </w:r>
      <w:r w:rsidRPr="00620047">
        <w:rPr>
          <w:rFonts w:cs="Arial"/>
          <w:szCs w:val="20"/>
        </w:rPr>
        <w:t xml:space="preserve"> vaste, vloeibare of gasvormige brandbare stof;</w:t>
      </w:r>
    </w:p>
    <w:p w:rsidR="00296032" w:rsidRPr="00620047" w:rsidRDefault="00296032">
      <w:pPr>
        <w:pStyle w:val="begrip"/>
        <w:rPr>
          <w:rFonts w:cs="Arial"/>
          <w:szCs w:val="20"/>
        </w:rPr>
      </w:pPr>
      <w:r w:rsidRPr="00620047">
        <w:rPr>
          <w:rFonts w:cs="Arial"/>
          <w:i/>
          <w:szCs w:val="20"/>
        </w:rPr>
        <w:t>B</w:t>
      </w:r>
      <w:r w:rsidRPr="00620047">
        <w:rPr>
          <w:rFonts w:cs="Arial"/>
          <w:i/>
          <w:szCs w:val="20"/>
          <w:vertAlign w:val="subscript"/>
        </w:rPr>
        <w:t>s,dan</w:t>
      </w:r>
      <w:r w:rsidRPr="00620047">
        <w:rPr>
          <w:rFonts w:cs="Arial"/>
          <w:szCs w:val="20"/>
        </w:rPr>
        <w:t>: geluidbelastingindicator inzake schietgeluid voor de dag, avond en nachtperiode, berekend overeenkomstig de berekeningsmethodiek inzake schietgeluid;</w:t>
      </w:r>
    </w:p>
    <w:p w:rsidR="00296032" w:rsidRPr="00620047" w:rsidRDefault="00296032">
      <w:pPr>
        <w:pStyle w:val="begrip"/>
        <w:rPr>
          <w:rFonts w:cs="Arial"/>
          <w:szCs w:val="20"/>
        </w:rPr>
      </w:pPr>
      <w:r w:rsidRPr="00620047">
        <w:rPr>
          <w:rFonts w:cs="Arial"/>
          <w:i/>
          <w:iCs/>
          <w:szCs w:val="20"/>
        </w:rPr>
        <w:t>BTEX:</w:t>
      </w:r>
      <w:r w:rsidRPr="00620047">
        <w:rPr>
          <w:rFonts w:cs="Arial"/>
          <w:szCs w:val="20"/>
        </w:rPr>
        <w:t xml:space="preserve"> benzeen, tolueen, ethylbenzeen en xyleen;</w:t>
      </w:r>
    </w:p>
    <w:p w:rsidR="00296032" w:rsidRPr="00620047" w:rsidRDefault="00296032">
      <w:pPr>
        <w:pStyle w:val="begrip"/>
        <w:rPr>
          <w:rFonts w:cs="Arial"/>
          <w:szCs w:val="20"/>
        </w:rPr>
      </w:pPr>
      <w:r w:rsidRPr="00620047">
        <w:rPr>
          <w:rFonts w:cs="Arial"/>
          <w:i/>
          <w:szCs w:val="20"/>
        </w:rPr>
        <w:t>buitenschietbaan</w:t>
      </w:r>
      <w:r w:rsidRPr="00620047">
        <w:rPr>
          <w:rFonts w:cs="Arial"/>
          <w:szCs w:val="20"/>
        </w:rPr>
        <w:t>: een schietbaan of een combinatie van schietbanen in de buitenlucht of in een gebouw of deel van een gebouw zonder een gesloten afdekking;</w:t>
      </w:r>
    </w:p>
    <w:p w:rsidR="00296032" w:rsidRPr="00620047" w:rsidRDefault="00296032">
      <w:pPr>
        <w:pStyle w:val="begrip"/>
        <w:rPr>
          <w:rFonts w:cs="Arial"/>
          <w:szCs w:val="20"/>
        </w:rPr>
      </w:pPr>
      <w:r w:rsidRPr="00620047">
        <w:rPr>
          <w:rFonts w:cs="Arial"/>
          <w:i/>
          <w:szCs w:val="20"/>
        </w:rPr>
        <w:t>buitenschietbaan met beperkte onveilige zone</w:t>
      </w:r>
      <w:r w:rsidRPr="00620047">
        <w:rPr>
          <w:rFonts w:cs="Arial"/>
          <w:szCs w:val="20"/>
        </w:rPr>
        <w:t>: buitenschietbaan met zodanige voorzieningen dat de onveilige zone wordt beperkt tot een gebied tussen het wapen en de kogelvanger;</w:t>
      </w:r>
    </w:p>
    <w:p w:rsidR="00296032" w:rsidRPr="00620047" w:rsidRDefault="00296032">
      <w:pPr>
        <w:pStyle w:val="begrip"/>
        <w:rPr>
          <w:rFonts w:cs="Arial"/>
          <w:szCs w:val="20"/>
        </w:rPr>
      </w:pPr>
      <w:r w:rsidRPr="00620047">
        <w:rPr>
          <w:rFonts w:cs="Arial"/>
          <w:i/>
          <w:iCs/>
          <w:szCs w:val="20"/>
        </w:rPr>
        <w:t>bunkerstation:</w:t>
      </w:r>
      <w:r w:rsidRPr="00620047">
        <w:rPr>
          <w:rFonts w:cs="Arial"/>
          <w:szCs w:val="20"/>
        </w:rPr>
        <w:t xml:space="preserve"> drijvend bouwsel dat wegens zijn bestemming in de regel niet wordt verplaatst en dat bestemd of in gebruik is voor de opslag of levering van brandstof voor voortstuwing van schepen;</w:t>
      </w:r>
    </w:p>
    <w:p w:rsidR="00296032" w:rsidRPr="00620047" w:rsidRDefault="00296032">
      <w:pPr>
        <w:pStyle w:val="begrip"/>
      </w:pPr>
      <w:r w:rsidRPr="00620047">
        <w:rPr>
          <w:i/>
          <w:iCs/>
        </w:rPr>
        <w:t>coating:</w:t>
      </w:r>
      <w:r w:rsidRPr="00620047">
        <w:t xml:space="preserve"> mengsel, met inbegrip van alle voor een juist gebruik benodigde organische oplosmiddelen of mengsels, dat wordt gebruikt om op een oppervlak voor een decoratief, beschermend of ander functioneel effect te zorgen;</w:t>
      </w:r>
    </w:p>
    <w:p w:rsidR="00296032" w:rsidRPr="00620047" w:rsidRDefault="00296032">
      <w:pPr>
        <w:pStyle w:val="begrip"/>
        <w:rPr>
          <w:rFonts w:cs="Arial"/>
          <w:szCs w:val="20"/>
        </w:rPr>
      </w:pPr>
      <w:r w:rsidRPr="00620047">
        <w:rPr>
          <w:rFonts w:cs="Arial"/>
          <w:i/>
          <w:iCs/>
          <w:szCs w:val="20"/>
        </w:rPr>
        <w:t>composteren:</w:t>
      </w:r>
      <w:r w:rsidRPr="00620047">
        <w:rPr>
          <w:rFonts w:cs="Arial"/>
          <w:szCs w:val="20"/>
        </w:rPr>
        <w:t xml:space="preserve"> omzetten van groenafval en hulpstoffen in een product dat geheel of grotendeels bestaat uit een of meer organische afvalstoffen die met behulp van micro-organismen zijn afgebroken en omgezet tot een zodanig stabiel eindproduct dat daarin alleen nog een langzame afbraak van humeuze verbindingen plaatsvindt;</w:t>
      </w:r>
    </w:p>
    <w:p w:rsidR="00296032" w:rsidRPr="00620047" w:rsidRDefault="00296032">
      <w:pPr>
        <w:pStyle w:val="begrip"/>
        <w:rPr>
          <w:rFonts w:cs="Arial"/>
          <w:szCs w:val="20"/>
        </w:rPr>
      </w:pPr>
      <w:r w:rsidRPr="00620047">
        <w:rPr>
          <w:rFonts w:cs="Arial"/>
          <w:i/>
          <w:iCs/>
          <w:szCs w:val="20"/>
        </w:rPr>
        <w:t>composteringshoop:</w:t>
      </w:r>
      <w:r w:rsidRPr="00620047">
        <w:rPr>
          <w:rFonts w:cs="Arial"/>
          <w:szCs w:val="20"/>
        </w:rPr>
        <w:t xml:space="preserve"> hoop van groenafval en hulpstoffen, opgezet met als doel dit materiaal te composteren;</w:t>
      </w:r>
    </w:p>
    <w:p w:rsidR="00296032" w:rsidRPr="00620047" w:rsidRDefault="00296032">
      <w:pPr>
        <w:pStyle w:val="begrip"/>
        <w:rPr>
          <w:rFonts w:cs="Arial"/>
          <w:szCs w:val="20"/>
        </w:rPr>
      </w:pPr>
      <w:r w:rsidRPr="00620047">
        <w:rPr>
          <w:rFonts w:cs="Arial"/>
          <w:i/>
          <w:iCs/>
          <w:szCs w:val="20"/>
        </w:rPr>
        <w:t>concentratiegebied:</w:t>
      </w:r>
      <w:r w:rsidRPr="00620047">
        <w:rPr>
          <w:rFonts w:cs="Arial"/>
          <w:szCs w:val="20"/>
        </w:rPr>
        <w:t xml:space="preserve"> concentratiegebied als bedoeld in artikel 1 van de Wet geurhinder en veehouderij;</w:t>
      </w:r>
    </w:p>
    <w:p w:rsidR="00296032" w:rsidRPr="00620047" w:rsidRDefault="00296032">
      <w:pPr>
        <w:pStyle w:val="begrip"/>
        <w:rPr>
          <w:rFonts w:cs="Arial"/>
          <w:szCs w:val="20"/>
        </w:rPr>
      </w:pPr>
      <w:r w:rsidRPr="00620047">
        <w:rPr>
          <w:rFonts w:cs="Arial"/>
          <w:i/>
          <w:iCs/>
          <w:szCs w:val="20"/>
        </w:rPr>
        <w:t>consumentenvuurwerk:</w:t>
      </w:r>
      <w:r w:rsidRPr="00620047">
        <w:rPr>
          <w:rFonts w:cs="Arial"/>
          <w:szCs w:val="20"/>
        </w:rPr>
        <w:t xml:space="preserve"> consumentenvuurwerk als bedoeld in artikel 1.1.1, eerste lid, van het Vuurwerkbesluit;</w:t>
      </w:r>
    </w:p>
    <w:p w:rsidR="00296032" w:rsidRPr="00620047" w:rsidRDefault="00296032">
      <w:pPr>
        <w:pStyle w:val="begrip"/>
        <w:rPr>
          <w:rFonts w:cs="Arial"/>
          <w:szCs w:val="20"/>
        </w:rPr>
      </w:pPr>
      <w:r w:rsidRPr="00620047">
        <w:rPr>
          <w:rFonts w:cs="Arial"/>
          <w:i/>
          <w:iCs/>
          <w:szCs w:val="20"/>
        </w:rPr>
        <w:t>CMR-stof:</w:t>
      </w:r>
      <w:r w:rsidRPr="00620047">
        <w:rPr>
          <w:rFonts w:cs="Arial"/>
          <w:szCs w:val="20"/>
        </w:rPr>
        <w:t xml:space="preserve"> stof of preparaat die volgens bijlage I bij Richtlijn nr. 67/548/EEG geclassificeerd is als Kankerverwekkend categorie 1 of 2 of als Mutageen categorie 1 of 2 of als «Voor de voortplanting giftig» categorie 1 of 2;</w:t>
      </w:r>
    </w:p>
    <w:p w:rsidR="00296032" w:rsidRPr="00620047" w:rsidRDefault="00296032">
      <w:pPr>
        <w:pStyle w:val="begrip"/>
        <w:rPr>
          <w:rFonts w:cs="Arial"/>
          <w:szCs w:val="20"/>
        </w:rPr>
      </w:pPr>
      <w:r w:rsidRPr="00620047">
        <w:rPr>
          <w:rFonts w:cs="Arial"/>
          <w:i/>
          <w:iCs/>
          <w:szCs w:val="20"/>
        </w:rPr>
        <w:t>damp/lichte olie-verhouding:</w:t>
      </w:r>
      <w:r w:rsidRPr="00620047">
        <w:rPr>
          <w:rFonts w:cs="Arial"/>
          <w:szCs w:val="20"/>
        </w:rPr>
        <w:t xml:space="preserve"> verhouding tussen het volume bij atmosferische druk van damp van lichte olie die door een EU-systeem voor dampretour fase-II loopt en het volume van de geleverde lichte olie;</w:t>
      </w:r>
    </w:p>
    <w:p w:rsidR="00296032" w:rsidRPr="00620047" w:rsidRDefault="00296032">
      <w:pPr>
        <w:pStyle w:val="begrip"/>
        <w:rPr>
          <w:rFonts w:cs="Arial"/>
          <w:szCs w:val="20"/>
        </w:rPr>
      </w:pPr>
      <w:r w:rsidRPr="00620047">
        <w:rPr>
          <w:rFonts w:cs="Arial"/>
          <w:i/>
          <w:szCs w:val="20"/>
        </w:rPr>
        <w:t>dampterugwinningseenheid</w:t>
      </w:r>
      <w:r w:rsidRPr="00620047">
        <w:rPr>
          <w:rFonts w:cs="Arial"/>
          <w:szCs w:val="20"/>
        </w:rPr>
        <w:t xml:space="preserve">: installatie voor de terugwinning van benzine uit damp of de omzetting naar elektrische energie of warmte uit damp, met inbegrip van eventuele buffertanksystemen van een terminal; </w:t>
      </w:r>
    </w:p>
    <w:p w:rsidR="00296032" w:rsidRPr="00620047" w:rsidRDefault="00296032">
      <w:pPr>
        <w:pStyle w:val="begrip"/>
        <w:rPr>
          <w:rFonts w:cs="Arial"/>
          <w:szCs w:val="20"/>
        </w:rPr>
      </w:pPr>
      <w:r w:rsidRPr="00620047">
        <w:rPr>
          <w:rFonts w:cs="Arial"/>
          <w:i/>
          <w:iCs/>
          <w:szCs w:val="20"/>
        </w:rPr>
        <w:t>debiet van lichte olie:</w:t>
      </w:r>
      <w:r w:rsidRPr="00620047">
        <w:rPr>
          <w:rFonts w:cs="Arial"/>
          <w:szCs w:val="20"/>
        </w:rPr>
        <w:t xml:space="preserve"> totale jaarlijkse hoeveelheid lichte olie die uit mobiele tanks aan een inrichting wordt geleverd;</w:t>
      </w:r>
    </w:p>
    <w:p w:rsidR="00296032" w:rsidRPr="00620047" w:rsidRDefault="00296032">
      <w:pPr>
        <w:pStyle w:val="begrip"/>
        <w:rPr>
          <w:rFonts w:cs="Arial"/>
          <w:szCs w:val="20"/>
        </w:rPr>
      </w:pPr>
      <w:r w:rsidRPr="00620047">
        <w:rPr>
          <w:rFonts w:cs="Arial"/>
          <w:i/>
          <w:iCs/>
          <w:szCs w:val="20"/>
        </w:rPr>
        <w:t>demontagebedrijf voor tweewielige motorvoertuigen:</w:t>
      </w:r>
      <w:r w:rsidRPr="00620047">
        <w:rPr>
          <w:rFonts w:cs="Arial"/>
          <w:szCs w:val="20"/>
        </w:rPr>
        <w:t xml:space="preserve"> inrichting voor het demonteren van wrakken van tweewielige motorvoertuigen;</w:t>
      </w:r>
    </w:p>
    <w:p w:rsidR="00296032" w:rsidRPr="00620047" w:rsidRDefault="00296032">
      <w:pPr>
        <w:pStyle w:val="begrip"/>
        <w:rPr>
          <w:rFonts w:cs="Arial"/>
          <w:szCs w:val="20"/>
        </w:rPr>
      </w:pPr>
      <w:r w:rsidRPr="00620047">
        <w:rPr>
          <w:rFonts w:cs="Arial"/>
          <w:i/>
          <w:iCs/>
          <w:szCs w:val="20"/>
        </w:rPr>
        <w:t>diercategorie:</w:t>
      </w:r>
      <w:r w:rsidRPr="00620047">
        <w:rPr>
          <w:rFonts w:cs="Arial"/>
          <w:szCs w:val="20"/>
        </w:rPr>
        <w:t xml:space="preserve"> diercategorie als bedoeld in de regeling op grond van artikel 1 van de Wet ammoniak en veehouderij;</w:t>
      </w:r>
    </w:p>
    <w:p w:rsidR="00296032" w:rsidRPr="00620047" w:rsidRDefault="00296032">
      <w:pPr>
        <w:pStyle w:val="begrip"/>
        <w:rPr>
          <w:rFonts w:cs="Arial"/>
          <w:szCs w:val="20"/>
        </w:rPr>
      </w:pPr>
      <w:r w:rsidRPr="00620047">
        <w:rPr>
          <w:rFonts w:cs="Arial"/>
          <w:i/>
          <w:iCs/>
          <w:szCs w:val="20"/>
        </w:rPr>
        <w:t>dieren met geuremissiefactor:</w:t>
      </w:r>
      <w:r w:rsidRPr="00620047">
        <w:rPr>
          <w:rFonts w:cs="Arial"/>
          <w:szCs w:val="20"/>
        </w:rPr>
        <w:t xml:space="preserve"> dieren waarvoor een geuremissiefactor is vastgesteld op grond van artikel 10 van de Wet geurhinder en veehouderij;</w:t>
      </w:r>
    </w:p>
    <w:p w:rsidR="00296032" w:rsidRPr="00620047" w:rsidRDefault="00296032">
      <w:pPr>
        <w:pStyle w:val="begrip"/>
      </w:pPr>
      <w:r w:rsidRPr="00620047">
        <w:rPr>
          <w:i/>
          <w:iCs/>
        </w:rPr>
        <w:t>dieren zonder geuremissiefactor:</w:t>
      </w:r>
      <w:r w:rsidRPr="00620047">
        <w:t xml:space="preserve"> dieren waarvoor geen emissiefactor is vastgesteld op grond van artikel 10 van de Wet geurhinder en veehouderij;</w:t>
      </w:r>
    </w:p>
    <w:p w:rsidR="00296032" w:rsidRPr="00620047" w:rsidRDefault="00296032">
      <w:pPr>
        <w:pStyle w:val="begrip"/>
      </w:pPr>
      <w:r w:rsidRPr="00620047">
        <w:rPr>
          <w:i/>
          <w:iCs/>
        </w:rPr>
        <w:t>dierenverblijf:</w:t>
      </w:r>
      <w:r w:rsidRPr="00620047">
        <w:t xml:space="preserve"> al dan niet overdekte ruimte waarbinnen landbouwhuisdieren worden gehouden;</w:t>
      </w:r>
    </w:p>
    <w:p w:rsidR="00296032" w:rsidRPr="00620047" w:rsidRDefault="00296032">
      <w:pPr>
        <w:pStyle w:val="begrip"/>
      </w:pPr>
      <w:r w:rsidRPr="00620047">
        <w:rPr>
          <w:i/>
          <w:iCs/>
        </w:rPr>
        <w:t>dierlijke bijproducten:</w:t>
      </w:r>
      <w:r w:rsidRPr="00620047">
        <w:t xml:space="preserve"> bijproducten als bedoeld in artikel 2, eerste lid, onder a, van Verordening nr. 1774/2002 van het Europees Parlement en de Raad tot vaststelling van gezondheidsvoorschriften inzake niet voor menselijke consumptie bestemde dierlijke bijproducten;</w:t>
      </w:r>
    </w:p>
    <w:p w:rsidR="00296032" w:rsidRPr="00620047" w:rsidRDefault="00296032">
      <w:pPr>
        <w:pStyle w:val="begrip"/>
      </w:pPr>
      <w:r w:rsidRPr="00620047">
        <w:rPr>
          <w:i/>
          <w:iCs/>
        </w:rPr>
        <w:t>dierlijke meststoffen:</w:t>
      </w:r>
      <w:r w:rsidRPr="00620047">
        <w:t xml:space="preserve"> dierlijke meststoffen als bedoeld in artikel 1, eerste lid, onderdeel c, van de Meststoffenwet;</w:t>
      </w:r>
    </w:p>
    <w:p w:rsidR="00296032" w:rsidRPr="00620047" w:rsidRDefault="00296032">
      <w:pPr>
        <w:pStyle w:val="begrip"/>
      </w:pPr>
      <w:r w:rsidRPr="00620047">
        <w:rPr>
          <w:i/>
          <w:iCs/>
        </w:rPr>
        <w:t>dierplaats:</w:t>
      </w:r>
      <w:r w:rsidRPr="00620047">
        <w:t xml:space="preserve"> dierplaats als bedoeld in artikel 1, eerste lid, van de Wet ammoniak en veehouderij;</w:t>
      </w:r>
    </w:p>
    <w:p w:rsidR="00296032" w:rsidRPr="00620047" w:rsidRDefault="00296032">
      <w:pPr>
        <w:pStyle w:val="begrip"/>
      </w:pPr>
      <w:r w:rsidRPr="00620047">
        <w:rPr>
          <w:i/>
          <w:iCs/>
        </w:rPr>
        <w:t>dieselmotor:</w:t>
      </w:r>
      <w:r w:rsidRPr="00620047">
        <w:t xml:space="preserve"> verbrandingsmotor die werkt volgens de dieselcyclus en die gebruik maakt van compressieontsteking om brandstof te verbranden;</w:t>
      </w:r>
    </w:p>
    <w:p w:rsidR="00296032" w:rsidRPr="00620047" w:rsidRDefault="00296032">
      <w:pPr>
        <w:pStyle w:val="begrip"/>
      </w:pPr>
      <w:r w:rsidRPr="00620047">
        <w:rPr>
          <w:i/>
          <w:iCs/>
        </w:rPr>
        <w:t>diffuse emissie:</w:t>
      </w:r>
      <w:r w:rsidRPr="00620047">
        <w:t xml:space="preserve"> emissie, in een andere vorm dan vanuit een puntbron, in de lucht, bodem of water, almede in enig product, tenzij anders vermeld in tabel 2.28a;</w:t>
      </w:r>
    </w:p>
    <w:p w:rsidR="00296032" w:rsidRPr="00620047" w:rsidRDefault="00296032">
      <w:pPr>
        <w:pStyle w:val="begrip"/>
      </w:pPr>
      <w:r w:rsidRPr="00620047">
        <w:rPr>
          <w:i/>
          <w:iCs/>
        </w:rPr>
        <w:t>digestaat:</w:t>
      </w:r>
      <w:r w:rsidRPr="00620047">
        <w:t xml:space="preserve"> restproduct dat overblijft na het vergisten van ten minste 50% dierlijke uitwerpselen met als nevenbestanddeel uitsluitend producten die krachtens artikel 5 van het Uitvoeringsbesluit Meststoffenwet zijn aangewezen;</w:t>
      </w:r>
    </w:p>
    <w:p w:rsidR="00296032" w:rsidRPr="00620047" w:rsidRDefault="00296032">
      <w:pPr>
        <w:pStyle w:val="begrip"/>
      </w:pPr>
      <w:r w:rsidRPr="00620047">
        <w:rPr>
          <w:i/>
          <w:iCs/>
        </w:rPr>
        <w:t>dioxinen en furanen:</w:t>
      </w:r>
      <w:r w:rsidRPr="00620047">
        <w:t xml:space="preserve"> 2,3,7,8 -tetrachloordibenzodioxine (tcdd), 1,2,3,7,8 -pentachloordibenzodioxine (pecdd), 1,2,3,4,7,8 -hexachloordibenzodioxine (hxcdd), 1,2,3,6,7,8 -hexachloordibenzodioxine (hxcdd), 1,2,3,7,8,9 -hexachloordibenzodioxine (hxcdd), 1,2,3,4,6,7,8 -heptachloordibenzodioxine (hpcdd), octachloordibenzodioxine (ocdd), 2,3,7,8 -tetrachloordibenzofuraan (tcdf), 2,3,4,7,8 -pentachloordibenzofuraan (pecdf), 1,2,3,7,8 -pentachloordibenzofuraan (pecdf), 1,2,3,4,7,8 -hexachloordibenzofuraan (hxcdf), 1,2,3,6,7,8 -hexachloordibenzofuraan (hxcdf), 1,2,3,7,8,9 -hexachloordibenzofuraan (hxcdf), 2,3,4,6,7,8 -hexachloordibenzofuraan (hxcdf), 1,2,3,4,6,7,8 -heptachloordibenzofuraan (hpcdf), 1,2,3,4,7,8,9 -heptachloordibenzofuraan (hpcdf), of octachloordibenzofuraan (ocdf);</w:t>
      </w:r>
    </w:p>
    <w:p w:rsidR="00296032" w:rsidRPr="00620047" w:rsidRDefault="00296032">
      <w:pPr>
        <w:pStyle w:val="begrip"/>
      </w:pPr>
      <w:r w:rsidRPr="00620047">
        <w:rPr>
          <w:i/>
          <w:iCs/>
        </w:rPr>
        <w:t>doelmatig beheer van afvalwater:</w:t>
      </w:r>
      <w:r w:rsidRPr="00620047">
        <w:t xml:space="preserve"> zodanig beheer van afvalwater dat daarbij rekening wordt gehouden met de voorkeursvolgorde aangegeven in artikel 10.29a van de wet;</w:t>
      </w:r>
    </w:p>
    <w:p w:rsidR="00296032" w:rsidRPr="00620047" w:rsidRDefault="00296032">
      <w:pPr>
        <w:pStyle w:val="begrip"/>
      </w:pPr>
      <w:r w:rsidRPr="00620047">
        <w:rPr>
          <w:i/>
          <w:iCs/>
        </w:rPr>
        <w:t>donkerteperiode:</w:t>
      </w:r>
      <w:r w:rsidRPr="00620047">
        <w:t xml:space="preserve"> periode van 1 november tot 1 april van 18.00 tot 24.00 uur en van 1 april tot 1 mei en van 1 september tot 1 november van het tijdstip van een half uur na zonsondergang tot 02.00 uur;</w:t>
      </w:r>
    </w:p>
    <w:p w:rsidR="00296032" w:rsidRPr="00620047" w:rsidRDefault="00296032">
      <w:pPr>
        <w:pStyle w:val="begrip"/>
      </w:pPr>
      <w:r w:rsidRPr="00620047">
        <w:rPr>
          <w:i/>
          <w:iCs/>
        </w:rPr>
        <w:t>drainagewater:</w:t>
      </w:r>
      <w:r w:rsidRPr="00620047">
        <w:t xml:space="preserve"> water dat wordt afgevoerd via een stelsel van geperforeerde buizen die in de grond zijn aangebracht;</w:t>
      </w:r>
    </w:p>
    <w:p w:rsidR="00296032" w:rsidRPr="00620047" w:rsidRDefault="00296032">
      <w:pPr>
        <w:pStyle w:val="begrip"/>
      </w:pPr>
      <w:r w:rsidRPr="00620047">
        <w:rPr>
          <w:i/>
          <w:iCs/>
        </w:rPr>
        <w:t>drainwater:</w:t>
      </w:r>
      <w:r w:rsidRPr="00620047">
        <w:t xml:space="preserve"> voedingswater dat bij substraatteelt niet wordt opgenomen door het gewas;</w:t>
      </w:r>
    </w:p>
    <w:p w:rsidR="00296032" w:rsidRPr="00620047" w:rsidRDefault="00296032">
      <w:pPr>
        <w:pStyle w:val="begrip"/>
      </w:pPr>
      <w:r w:rsidRPr="00620047">
        <w:rPr>
          <w:i/>
          <w:iCs/>
        </w:rPr>
        <w:t>driftarme dop:</w:t>
      </w:r>
      <w:r w:rsidRPr="00620047">
        <w:t xml:space="preserve"> spuitdop als bedoeld in artikel 3.83, eerste lid, onderdeel a;</w:t>
      </w:r>
    </w:p>
    <w:p w:rsidR="00296032" w:rsidRPr="00620047" w:rsidRDefault="00296032">
      <w:pPr>
        <w:pStyle w:val="begrip"/>
      </w:pPr>
      <w:r w:rsidRPr="00620047">
        <w:rPr>
          <w:i/>
          <w:iCs/>
        </w:rPr>
        <w:t>drijfmest:</w:t>
      </w:r>
      <w:r w:rsidRPr="00620047">
        <w:t xml:space="preserve"> dierlijke meststoffen die verpompbaar zijn;</w:t>
      </w:r>
    </w:p>
    <w:p w:rsidR="00296032" w:rsidRPr="00620047" w:rsidRDefault="00296032">
      <w:pPr>
        <w:pStyle w:val="begrip"/>
      </w:pPr>
      <w:r w:rsidRPr="00620047">
        <w:rPr>
          <w:i/>
          <w:iCs/>
        </w:rPr>
        <w:t>dwarsstroomspuit:</w:t>
      </w:r>
      <w:r w:rsidRPr="00620047">
        <w:t xml:space="preserve"> apparatuur voor het gebruik van gewasbeschermingsmiddelen in opgaande gewasrijen waarbij de spuitvloeistof in de hoogte gelijkmatig en links en rechts symmetrisch wordt verdeeld;</w:t>
      </w:r>
    </w:p>
    <w:p w:rsidR="00296032" w:rsidRPr="00620047" w:rsidRDefault="00296032">
      <w:pPr>
        <w:pStyle w:val="begrip"/>
      </w:pPr>
      <w:r w:rsidRPr="00620047">
        <w:rPr>
          <w:i/>
          <w:iCs/>
        </w:rPr>
        <w:t>emissiescherm:</w:t>
      </w:r>
      <w:r w:rsidRPr="00620047">
        <w:t xml:space="preserve"> scherm ter beperking van het verwaaien van spuitvloeistof bij het toepassen van gewasbeschermingsmiddelen of bladmeststoffen;</w:t>
      </w:r>
    </w:p>
    <w:p w:rsidR="00296032" w:rsidRPr="00620047" w:rsidRDefault="00296032">
      <w:pPr>
        <w:pStyle w:val="begrip"/>
      </w:pPr>
      <w:r w:rsidRPr="00620047">
        <w:rPr>
          <w:i/>
          <w:iCs/>
        </w:rPr>
        <w:t>equivalent geluidsniveau:</w:t>
      </w:r>
      <w:r w:rsidRPr="00620047">
        <w:t>: equivalent geluidsniveau als bedoeld in artikel 1 van de Wet geluidhinder;</w:t>
      </w:r>
    </w:p>
    <w:p w:rsidR="00296032" w:rsidRPr="00620047" w:rsidRDefault="00296032">
      <w:pPr>
        <w:pStyle w:val="begrip"/>
      </w:pPr>
      <w:r w:rsidRPr="00620047">
        <w:rPr>
          <w:i/>
          <w:iCs/>
        </w:rPr>
        <w:t>etmaalwaarde:</w:t>
      </w:r>
      <w:r w:rsidRPr="00620047">
        <w:t xml:space="preserve"> de hoogste van de volgende drie waarden:</w:t>
      </w:r>
    </w:p>
    <w:p w:rsidR="00296032" w:rsidRPr="00620047" w:rsidRDefault="00296032">
      <w:pPr>
        <w:pStyle w:val="art2enivo"/>
      </w:pPr>
      <w:r w:rsidRPr="00620047">
        <w:t>a.</w:t>
      </w:r>
      <w:r w:rsidRPr="00620047">
        <w:tab/>
        <w:t>de waarde van het langtijdgemiddelde beoordelingsniveau (L</w:t>
      </w:r>
      <w:r w:rsidRPr="00620047">
        <w:rPr>
          <w:vertAlign w:val="subscript"/>
        </w:rPr>
        <w:t>Ar, LT</w:t>
      </w:r>
      <w:r w:rsidRPr="00620047">
        <w:t>) tussen 07.00 en 19.00 uur (dag);</w:t>
      </w:r>
    </w:p>
    <w:p w:rsidR="00296032" w:rsidRPr="00620047" w:rsidRDefault="00296032">
      <w:pPr>
        <w:pStyle w:val="art2enivo"/>
      </w:pPr>
      <w:r w:rsidRPr="00620047">
        <w:t>b.</w:t>
      </w:r>
      <w:r w:rsidRPr="00620047">
        <w:tab/>
        <w:t>de met 5 dB(A) verhoogde waarde van het langtijdgemiddelde beoordelingsniveau (L</w:t>
      </w:r>
      <w:r w:rsidRPr="00620047">
        <w:rPr>
          <w:vertAlign w:val="subscript"/>
        </w:rPr>
        <w:t>Ar, LT</w:t>
      </w:r>
      <w:r w:rsidRPr="00620047">
        <w:t>) tussen 19.00 en 23.00 uur (avond);</w:t>
      </w:r>
    </w:p>
    <w:p w:rsidR="00296032" w:rsidRPr="00620047" w:rsidRDefault="00296032">
      <w:pPr>
        <w:pStyle w:val="art2enivo"/>
      </w:pPr>
      <w:r w:rsidRPr="00620047">
        <w:t>c.</w:t>
      </w:r>
      <w:r w:rsidRPr="00620047">
        <w:tab/>
        <w:t>de met 10 dB(A) verhoogde waarde van het langtijdgemiddelde beoordelingsniveau (L</w:t>
      </w:r>
      <w:r w:rsidRPr="00620047">
        <w:rPr>
          <w:vertAlign w:val="subscript"/>
        </w:rPr>
        <w:t>Ar, LT</w:t>
      </w:r>
      <w:r w:rsidRPr="00620047">
        <w:t>) tussen 23.00 en 07.00 uur (nacht);</w:t>
      </w:r>
    </w:p>
    <w:p w:rsidR="00296032" w:rsidRPr="00620047" w:rsidRDefault="00296032">
      <w:pPr>
        <w:pStyle w:val="begrip"/>
      </w:pPr>
      <w:r w:rsidRPr="00620047">
        <w:rPr>
          <w:i/>
        </w:rPr>
        <w:t>EU-richtlijn industriële emissies:</w:t>
      </w:r>
      <w:r w:rsidRPr="00620047">
        <w:t xml:space="preserve"> EU-richtlijn industriële emissies als bedoeld in artikel 1.1, eerste lid, van het Besluit omgevingsrecht; </w:t>
      </w:r>
    </w:p>
    <w:p w:rsidR="00296032" w:rsidRPr="00620047" w:rsidRDefault="00296032">
      <w:pPr>
        <w:pStyle w:val="begrip"/>
      </w:pPr>
      <w:r w:rsidRPr="00620047">
        <w:rPr>
          <w:i/>
          <w:iCs/>
        </w:rPr>
        <w:t>EU-systeem voor dampretour fase-II:</w:t>
      </w:r>
      <w:r w:rsidRPr="00620047">
        <w:t xml:space="preserve"> apparatuur als bedoeld in artikel 2, onder 6, van richtlijn nr. 2009/126/EG van het Europees Parlement en de Raad van 21 oktober 2009 inzake fase II-benzinedampterugwinning tijdens het bijtanken van motorvoertuigen in benzinestations (PbEU L 285);</w:t>
      </w:r>
    </w:p>
    <w:p w:rsidR="00296032" w:rsidRPr="00620047" w:rsidRDefault="00296032">
      <w:pPr>
        <w:pStyle w:val="begrip"/>
      </w:pPr>
      <w:r w:rsidRPr="00620047">
        <w:rPr>
          <w:i/>
          <w:iCs/>
        </w:rPr>
        <w:t>gasdrukmeet- en regelstation categorie A:</w:t>
      </w:r>
      <w:r w:rsidRPr="00620047">
        <w:t xml:space="preserve"> gasdrukmeet- en regelstation met:</w:t>
      </w:r>
    </w:p>
    <w:p w:rsidR="00296032" w:rsidRPr="00620047" w:rsidRDefault="00296032">
      <w:pPr>
        <w:pStyle w:val="art2enivo"/>
      </w:pPr>
      <w:r w:rsidRPr="00620047">
        <w:t>-</w:t>
      </w:r>
      <w:r w:rsidRPr="00620047">
        <w:tab/>
        <w:t>een ontwerpcapaciteit die kleiner of gelijk aan 650 normaal kubieke meter per uur is met een maximale operationele inlaatzijdige werkdruk die kleiner of gelijk aan 0,1 bar is;</w:t>
      </w:r>
    </w:p>
    <w:p w:rsidR="00296032" w:rsidRPr="00620047" w:rsidRDefault="00296032">
      <w:pPr>
        <w:pStyle w:val="art2enivo"/>
      </w:pPr>
      <w:r w:rsidRPr="00620047">
        <w:t>-</w:t>
      </w:r>
      <w:r w:rsidRPr="00620047">
        <w:tab/>
        <w:t>een ontwerpcapaciteit die kleiner of gelijk aan 10 normaal kubieke meter per uur is met een maximale operationele inlaatzijdige werkdruk die kleiner of gelijk aan 16 bar is;</w:t>
      </w:r>
    </w:p>
    <w:p w:rsidR="00296032" w:rsidRPr="00620047" w:rsidRDefault="00296032">
      <w:pPr>
        <w:pStyle w:val="begrip"/>
      </w:pPr>
      <w:r w:rsidRPr="00620047">
        <w:rPr>
          <w:i/>
          <w:iCs/>
        </w:rPr>
        <w:t>gasdrukmeet- en regelstation categorie B:</w:t>
      </w:r>
      <w:r w:rsidRPr="00620047">
        <w:t xml:space="preserve"> gasdrukmeet- en regelstation met een ontwerpcapaciteit die kleiner of gelijk aan 6000 normaal kubieke meter per uur is met een maximale operationele inlaatzijdige werkdruk die kleiner of gelijk aan 16 bar is, niet zijnde een gasdrukmeet- en regelstation categorie A;</w:t>
      </w:r>
    </w:p>
    <w:p w:rsidR="00296032" w:rsidRPr="00620047" w:rsidRDefault="00296032">
      <w:pPr>
        <w:pStyle w:val="begrip"/>
      </w:pPr>
      <w:r w:rsidRPr="00620047">
        <w:rPr>
          <w:i/>
          <w:iCs/>
        </w:rPr>
        <w:t>gasdrukmeet- en regelstation categorie C:</w:t>
      </w:r>
      <w:r w:rsidRPr="00620047">
        <w:t xml:space="preserve"> gasdrukmeet- en regelstation met een maximale operationele inlaatzijdige werkdruk die kleiner of gelijk aan 100 bar is, niet zijnde een gasdrukmeet- en regelstation categorie A of gasdrukmeet- en regelstation categorie B;</w:t>
      </w:r>
    </w:p>
    <w:p w:rsidR="00296032" w:rsidRPr="00620047" w:rsidRDefault="00296032">
      <w:pPr>
        <w:pStyle w:val="begrip"/>
      </w:pPr>
      <w:r w:rsidRPr="00620047">
        <w:rPr>
          <w:i/>
          <w:iCs/>
        </w:rPr>
        <w:t>gasfles:</w:t>
      </w:r>
      <w:r w:rsidRPr="00620047">
        <w:t xml:space="preserve"> een verplaatsbare drukhouder met een waterinhoud van niet meer dan 150 liter;</w:t>
      </w:r>
    </w:p>
    <w:p w:rsidR="00296032" w:rsidRPr="00620047" w:rsidRDefault="00296032">
      <w:pPr>
        <w:pStyle w:val="begrip"/>
      </w:pPr>
      <w:r w:rsidRPr="00620047">
        <w:rPr>
          <w:i/>
          <w:iCs/>
        </w:rPr>
        <w:t>gasmotor:</w:t>
      </w:r>
      <w:r w:rsidRPr="00620047">
        <w:t xml:space="preserve"> verbrandingsmotor die werkt volgens de ottocyclus en gebruikmaakt van vonkontsteking of, in het geval van dual-fuelmotoren, compressieontsteking om brandstof te verbranden;</w:t>
      </w:r>
    </w:p>
    <w:p w:rsidR="00296032" w:rsidRPr="00620047" w:rsidRDefault="00296032">
      <w:pPr>
        <w:pStyle w:val="begrip"/>
      </w:pPr>
      <w:r w:rsidRPr="00620047">
        <w:rPr>
          <w:i/>
          <w:iCs/>
        </w:rPr>
        <w:t>gasturbine:</w:t>
      </w:r>
      <w:r w:rsidRPr="00620047">
        <w:t xml:space="preserve"> roterende machine die thermische energie in arbeid omzet, in hoofdzaak bestaande uit een compressor, een thermisch toestel waarin brandstof wordt geoxideerd om het werkmedium te verhitten, en een turbine;</w:t>
      </w:r>
    </w:p>
    <w:p w:rsidR="00296032" w:rsidRPr="00620047" w:rsidRDefault="00296032">
      <w:pPr>
        <w:pStyle w:val="begrip"/>
      </w:pPr>
      <w:r w:rsidRPr="00620047">
        <w:rPr>
          <w:i/>
        </w:rPr>
        <w:t>gaszak</w:t>
      </w:r>
      <w:r w:rsidRPr="00620047">
        <w:t>: flexibele opslagvoorziening voor gassen;</w:t>
      </w:r>
    </w:p>
    <w:p w:rsidR="00296032" w:rsidRPr="00620047" w:rsidRDefault="00296032">
      <w:pPr>
        <w:pStyle w:val="begrip"/>
      </w:pPr>
      <w:r w:rsidRPr="00620047">
        <w:rPr>
          <w:i/>
          <w:iCs/>
        </w:rPr>
        <w:t>geluidsgevoelige ruimte:</w:t>
      </w:r>
      <w:r w:rsidRPr="00620047">
        <w:t xml:space="preserve"> geluidsgevoelige ruimte als bedoeld in artikel 1 van de Wet geluidhinder;</w:t>
      </w:r>
    </w:p>
    <w:p w:rsidR="00296032" w:rsidRPr="00620047" w:rsidRDefault="00296032">
      <w:pPr>
        <w:pStyle w:val="begrip"/>
      </w:pPr>
      <w:r w:rsidRPr="00620047">
        <w:t xml:space="preserve"> </w:t>
      </w:r>
      <w:r w:rsidRPr="00620047">
        <w:rPr>
          <w:i/>
          <w:iCs/>
        </w:rPr>
        <w:t>geluidsniveau:</w:t>
      </w:r>
      <w:r w:rsidRPr="00620047">
        <w:t xml:space="preserve"> geluidsniveau in dB(A) als bedoeld in artikel 1 van de Wet geluidhinder;</w:t>
      </w:r>
    </w:p>
    <w:p w:rsidR="00296032" w:rsidRPr="00620047" w:rsidRDefault="00296032">
      <w:pPr>
        <w:pStyle w:val="begrip"/>
      </w:pPr>
      <w:r w:rsidRPr="00620047">
        <w:rPr>
          <w:i/>
          <w:iCs/>
        </w:rPr>
        <w:t>gesloten bodemenergiesysteem:</w:t>
      </w:r>
      <w:r w:rsidRPr="00620047">
        <w:t xml:space="preserve"> installatie waarmee, zonder grondwater te onttrekken en na gebruik in de bodem terug te brengen, gebruik wordt gemaakt van de bodem voor de levering van warmte of koude ten behoeve van de verwarming of koeling van ruimten in bouwwerken, door middel van een gesloten circuit van leidingen, met inbegrip van een bijbehorende warmtepomp, circulatiepomp en regeneratievoorziening, voor zover aanwezig;</w:t>
      </w:r>
    </w:p>
    <w:p w:rsidR="00296032" w:rsidRPr="00620047" w:rsidRDefault="00296032">
      <w:pPr>
        <w:pStyle w:val="begrip"/>
      </w:pPr>
      <w:r w:rsidRPr="00620047">
        <w:rPr>
          <w:i/>
          <w:iCs/>
        </w:rPr>
        <w:t>geurgevoelig object:</w:t>
      </w:r>
      <w:r w:rsidRPr="00620047">
        <w:t xml:space="preserve"> geurgevoelig object als bedoeld in artikel 1 van de Wet geurhinder en veehouderij;</w:t>
      </w:r>
    </w:p>
    <w:p w:rsidR="00296032" w:rsidRPr="00620047" w:rsidRDefault="00296032">
      <w:pPr>
        <w:pStyle w:val="begrip"/>
      </w:pPr>
      <w:r w:rsidRPr="00620047">
        <w:rPr>
          <w:i/>
          <w:iCs/>
        </w:rPr>
        <w:t>gevaarlijke stoffen:</w:t>
      </w:r>
      <w:r w:rsidRPr="00620047">
        <w:t xml:space="preserve"> stoffen en voorwerpen, waarvan het vervoer volgens het ADR is verboden of slechts onder daarin opgenomen voorwaarden is toegestaan, dan wel stoffen, materialen en voorwerpen aangeduid in de International Maritime Dangerous Goods Code;</w:t>
      </w:r>
    </w:p>
    <w:p w:rsidR="00296032" w:rsidRPr="00620047" w:rsidRDefault="00296032">
      <w:pPr>
        <w:pStyle w:val="begrip"/>
      </w:pPr>
      <w:r w:rsidRPr="00620047">
        <w:rPr>
          <w:i/>
          <w:iCs/>
        </w:rPr>
        <w:t>gevel:</w:t>
      </w:r>
      <w:r w:rsidRPr="00620047">
        <w:t xml:space="preserve"> gevel als bedoeld in artikel 1 juncto artikel 1b, vierde lid, van de Wet geluidhinder;</w:t>
      </w:r>
    </w:p>
    <w:p w:rsidR="00296032" w:rsidRPr="00620047" w:rsidRDefault="00296032">
      <w:pPr>
        <w:pStyle w:val="begrip"/>
      </w:pPr>
      <w:r w:rsidRPr="00620047">
        <w:rPr>
          <w:i/>
          <w:iCs/>
        </w:rPr>
        <w:t>gevoelige gebouwen:</w:t>
      </w:r>
      <w:r w:rsidRPr="00620047">
        <w:t xml:space="preserve"> woningen en gebouwen die op grond van artikel 1 van de Wet geluidhinder worden aangemerkt als andere geluidsgevoelige gebouwen, met uitzondering van die gebouwen behorende bij de betreffende inrichting;</w:t>
      </w:r>
    </w:p>
    <w:p w:rsidR="00296032" w:rsidRPr="00620047" w:rsidRDefault="00296032">
      <w:pPr>
        <w:pStyle w:val="begrip"/>
      </w:pPr>
      <w:r w:rsidRPr="00620047">
        <w:rPr>
          <w:i/>
          <w:iCs/>
        </w:rPr>
        <w:t>gevoelige objecten:</w:t>
      </w:r>
      <w:r w:rsidRPr="00620047">
        <w:t xml:space="preserve"> gevoelige gebouwen en gevoelige terreinen;</w:t>
      </w:r>
    </w:p>
    <w:p w:rsidR="00296032" w:rsidRPr="00620047" w:rsidRDefault="00296032">
      <w:pPr>
        <w:pStyle w:val="begrip"/>
      </w:pPr>
      <w:r w:rsidRPr="00620047">
        <w:rPr>
          <w:i/>
          <w:iCs/>
        </w:rPr>
        <w:t>gevoelige terreinen:</w:t>
      </w:r>
      <w:r w:rsidRPr="00620047">
        <w:t xml:space="preserve"> terreinen die op grond van artikel 1 van de Wet geluidhinder worden aangemerkt als geluidsgevoelige terreinen, met uitzondering van die terreinen behorende bij de betreffende inrichting;</w:t>
      </w:r>
    </w:p>
    <w:p w:rsidR="00296032" w:rsidRPr="00620047" w:rsidRDefault="00296032">
      <w:pPr>
        <w:pStyle w:val="begrip"/>
      </w:pPr>
      <w:r w:rsidRPr="00620047">
        <w:rPr>
          <w:i/>
          <w:iCs/>
        </w:rPr>
        <w:t>gewasbed:</w:t>
      </w:r>
      <w:r w:rsidRPr="00620047">
        <w:t xml:space="preserve"> strook beteelde grond die in de breedte wordt begrensd door een strook onbeteelde grond;</w:t>
      </w:r>
    </w:p>
    <w:p w:rsidR="00296032" w:rsidRPr="00620047" w:rsidRDefault="00296032">
      <w:pPr>
        <w:pStyle w:val="begrip"/>
      </w:pPr>
      <w:r w:rsidRPr="00620047">
        <w:rPr>
          <w:i/>
          <w:iCs/>
        </w:rPr>
        <w:t>gewasbeschermingsmiddel:</w:t>
      </w:r>
      <w:r w:rsidRPr="00620047">
        <w:t xml:space="preserve"> gewasbeschermingsmiddel als bedoeld in artikel 1, eerste lid, van de Wet gewasbeschermingsmiddelen en biociden;</w:t>
      </w:r>
    </w:p>
    <w:p w:rsidR="00296032" w:rsidRPr="00620047" w:rsidRDefault="00296032">
      <w:pPr>
        <w:pStyle w:val="begrip"/>
      </w:pPr>
      <w:r w:rsidRPr="00620047">
        <w:rPr>
          <w:i/>
          <w:iCs/>
        </w:rPr>
        <w:t>gezoneerd industrieterrein:</w:t>
      </w:r>
      <w:r w:rsidRPr="00620047">
        <w:t xml:space="preserve"> industrieterrein als bedoeld in artikel 1 van de Wet geluidhinder;</w:t>
      </w:r>
    </w:p>
    <w:p w:rsidR="00296032" w:rsidRPr="00620047" w:rsidRDefault="00296032">
      <w:pPr>
        <w:pStyle w:val="begrip"/>
      </w:pPr>
      <w:r w:rsidRPr="00620047">
        <w:rPr>
          <w:i/>
          <w:iCs/>
        </w:rPr>
        <w:t>glastuinbouwbedrijf:</w:t>
      </w:r>
      <w:r w:rsidRPr="00620047">
        <w:t xml:space="preserve"> inrichting die uitsluitend of in hoofdzaak is bestemd voor het in een kas telen van gewassen, met uitzondering van een zodanige inrichting die uitsluitend of in hoofdzaak is bestemd tot het in een kas telen van eetbare paddenstoelen of witlof;</w:t>
      </w:r>
    </w:p>
    <w:p w:rsidR="00296032" w:rsidRPr="00620047" w:rsidRDefault="00296032">
      <w:pPr>
        <w:pStyle w:val="begrip"/>
      </w:pPr>
      <w:r w:rsidRPr="00620047">
        <w:rPr>
          <w:i/>
          <w:iCs/>
        </w:rPr>
        <w:t>glastuinbouwgebied:</w:t>
      </w:r>
      <w:r w:rsidRPr="00620047">
        <w:t xml:space="preserve"> cluster aaneengesloten percelen met overwegend glastuinbouwbestemmingen;</w:t>
      </w:r>
    </w:p>
    <w:p w:rsidR="00296032" w:rsidRPr="00620047" w:rsidRDefault="00296032">
      <w:pPr>
        <w:pStyle w:val="begrip"/>
      </w:pPr>
      <w:r w:rsidRPr="00620047">
        <w:rPr>
          <w:i/>
          <w:iCs/>
        </w:rPr>
        <w:t>grote stookinstallatie:</w:t>
      </w:r>
      <w:r w:rsidRPr="00620047">
        <w:t xml:space="preserve"> stookinstallatie met een totaal nominaal thermisch ingangsvermogen van 50 MW of meer, ongeacht het toegepaste brandstoftype;</w:t>
      </w:r>
    </w:p>
    <w:p w:rsidR="00296032" w:rsidRPr="00620047" w:rsidRDefault="00296032">
      <w:pPr>
        <w:pStyle w:val="begrip"/>
      </w:pPr>
      <w:r w:rsidRPr="00620047">
        <w:rPr>
          <w:i/>
        </w:rPr>
        <w:t>helitraumacentrum:</w:t>
      </w:r>
      <w:r w:rsidRPr="00620047">
        <w:t xml:space="preserve"> een academisch ziekenhuis dat binnen de inrichting beschikt over een voorziening voor het landen en opstijgen van hefschroefvliegtuigen en die voorziening hoofdzakelijk in gebruik heeft voor het regulier vervoeren van een mobiel medisch team;</w:t>
      </w:r>
    </w:p>
    <w:p w:rsidR="00296032" w:rsidRPr="00620047" w:rsidRDefault="00296032">
      <w:pPr>
        <w:pStyle w:val="begrip"/>
      </w:pPr>
      <w:r w:rsidRPr="00620047">
        <w:rPr>
          <w:i/>
          <w:iCs/>
        </w:rPr>
        <w:t>huisvestingssysteem:</w:t>
      </w:r>
      <w:r w:rsidRPr="00620047">
        <w:t xml:space="preserve"> gedeelte van een dierenverblijf waarin landbouwhuisdieren van één diercategorie op dezelfde wijze worden gehouden;</w:t>
      </w:r>
    </w:p>
    <w:p w:rsidR="00296032" w:rsidRPr="00620047" w:rsidRDefault="00296032">
      <w:pPr>
        <w:pStyle w:val="begrip"/>
      </w:pPr>
      <w:r w:rsidRPr="00620047">
        <w:rPr>
          <w:i/>
          <w:iCs/>
        </w:rPr>
        <w:t>inerte goederen:</w:t>
      </w:r>
      <w:r w:rsidRPr="00620047">
        <w:t xml:space="preserve"> goederen die geen bodembedreigende stoffen, gevaarlijke stoffen of CMR-stoffen zijn;</w:t>
      </w:r>
    </w:p>
    <w:p w:rsidR="00296032" w:rsidRPr="00620047" w:rsidRDefault="00296032">
      <w:pPr>
        <w:pStyle w:val="begrip"/>
      </w:pPr>
      <w:r w:rsidRPr="00620047">
        <w:rPr>
          <w:i/>
          <w:iCs/>
        </w:rPr>
        <w:t>inkt:</w:t>
      </w:r>
      <w:r w:rsidRPr="00620047">
        <w:t xml:space="preserve"> mengsel dat bij een drukactiviteit wordt gebruikt om een tekst of afbeelding op een oppervlak af te drukken;</w:t>
      </w:r>
    </w:p>
    <w:p w:rsidR="00296032" w:rsidRPr="00620047" w:rsidRDefault="00296032">
      <w:pPr>
        <w:pStyle w:val="begrip"/>
      </w:pPr>
      <w:r w:rsidRPr="00620047">
        <w:rPr>
          <w:i/>
          <w:iCs/>
        </w:rPr>
        <w:t>insteek van een oppervlaktewaterlichaam:</w:t>
      </w:r>
      <w:r w:rsidRPr="00620047">
        <w:t xml:space="preserve"> snijpunt van de raaklijnen van het talud en het horizontale maaiveld;</w:t>
      </w:r>
    </w:p>
    <w:p w:rsidR="00296032" w:rsidRPr="00620047" w:rsidRDefault="00296032">
      <w:pPr>
        <w:pStyle w:val="begrip"/>
      </w:pPr>
      <w:r w:rsidRPr="00620047">
        <w:rPr>
          <w:i/>
          <w:iCs/>
        </w:rPr>
        <w:t>ISO:</w:t>
      </w:r>
      <w:r w:rsidRPr="00620047">
        <w:t xml:space="preserve"> door de Internationale Organisatie voor Standaardisatie uitgegeven norm;</w:t>
      </w:r>
    </w:p>
    <w:p w:rsidR="00296032" w:rsidRPr="00620047" w:rsidRDefault="00296032">
      <w:pPr>
        <w:pStyle w:val="begrip"/>
      </w:pPr>
      <w:r w:rsidRPr="00620047">
        <w:rPr>
          <w:i/>
          <w:iCs/>
        </w:rPr>
        <w:t>jachthaven:</w:t>
      </w:r>
      <w:r w:rsidRPr="00620047">
        <w:t xml:space="preserve"> inrichting voor het bieden van gelegenheid tot het afmeren van pleziervaartuigen;</w:t>
      </w:r>
    </w:p>
    <w:p w:rsidR="00296032" w:rsidRPr="00620047" w:rsidRDefault="00296032">
      <w:pPr>
        <w:pStyle w:val="begrip"/>
      </w:pPr>
      <w:r w:rsidRPr="00620047">
        <w:rPr>
          <w:i/>
          <w:iCs/>
        </w:rPr>
        <w:t>kantdop:</w:t>
      </w:r>
      <w:r w:rsidRPr="00620047">
        <w:t xml:space="preserve"> driftarme dop die een tophoek van maximaal 90° heeft;</w:t>
      </w:r>
    </w:p>
    <w:p w:rsidR="00296032" w:rsidRPr="00620047" w:rsidRDefault="00296032">
      <w:pPr>
        <w:pStyle w:val="begrip"/>
      </w:pPr>
      <w:r w:rsidRPr="00620047">
        <w:rPr>
          <w:i/>
          <w:iCs/>
        </w:rPr>
        <w:t>ketelinstallatie:</w:t>
      </w:r>
      <w:r w:rsidRPr="00620047">
        <w:t xml:space="preserve"> stookinstallatie, bestaande uit een ketel waarin brandstof wordt verstookt, welke verbranding in hoofdzaak is bedoeld om kracht op te wekken of om warmte over te dragen aan water, stoom of een combinatie van water of stoom;</w:t>
      </w:r>
    </w:p>
    <w:p w:rsidR="00296032" w:rsidRPr="00620047" w:rsidRDefault="00296032">
      <w:pPr>
        <w:pStyle w:val="begrip"/>
      </w:pPr>
      <w:r w:rsidRPr="00620047">
        <w:rPr>
          <w:i/>
          <w:iCs/>
        </w:rPr>
        <w:t>kleefstof:</w:t>
      </w:r>
      <w:r w:rsidRPr="00620047">
        <w:t xml:space="preserve"> mengsel dat wordt gebruikt om afzonderlijke delen van een product samen te kleven;</w:t>
      </w:r>
    </w:p>
    <w:p w:rsidR="00296032" w:rsidRPr="00620047" w:rsidRDefault="00296032">
      <w:pPr>
        <w:pStyle w:val="begrip"/>
      </w:pPr>
      <w:r w:rsidRPr="00620047">
        <w:rPr>
          <w:i/>
        </w:rPr>
        <w:t>kleiduiven:</w:t>
      </w:r>
      <w:r w:rsidRPr="00620047">
        <w:t xml:space="preserve"> kleiduiven als bedoeld in artikel 1 van het Besluit kleiduivenschieten milieubeheer;</w:t>
      </w:r>
    </w:p>
    <w:p w:rsidR="00296032" w:rsidRPr="00620047" w:rsidRDefault="00296032">
      <w:pPr>
        <w:pStyle w:val="begrip"/>
      </w:pPr>
      <w:r w:rsidRPr="00620047">
        <w:rPr>
          <w:i/>
        </w:rPr>
        <w:t>kleiduivenbaan:</w:t>
      </w:r>
      <w:r w:rsidRPr="00620047">
        <w:t xml:space="preserve"> buitenschietbaan waarop wordt geschoten met hagelgeweren met als doel, kleiduiven of andere doelen in het kader van de oefening voor de jacht te raken;</w:t>
      </w:r>
    </w:p>
    <w:p w:rsidR="00296032" w:rsidRPr="00620047" w:rsidRDefault="00296032">
      <w:pPr>
        <w:pStyle w:val="begrip"/>
      </w:pPr>
      <w:r w:rsidRPr="00620047">
        <w:rPr>
          <w:i/>
          <w:iCs/>
        </w:rPr>
        <w:t>koelinstallatie:</w:t>
      </w:r>
      <w:r w:rsidRPr="00620047">
        <w:t xml:space="preserve"> een combinatie van met koudemiddel gevulde onderdelen die met elkaar zijn verbonden en die tezamen een gesloten koudemiddelcircuit vormen waarin het koudemiddel circuleert met het doel warmte op te nemen of af te staan;</w:t>
      </w:r>
    </w:p>
    <w:p w:rsidR="00296032" w:rsidRPr="00620047" w:rsidRDefault="00296032">
      <w:pPr>
        <w:pStyle w:val="begrip"/>
      </w:pPr>
      <w:r w:rsidRPr="00620047">
        <w:rPr>
          <w:i/>
          <w:iCs/>
        </w:rPr>
        <w:t>kunststeen:</w:t>
      </w:r>
      <w:r w:rsidRPr="00620047">
        <w:t xml:space="preserve"> blokken van korrels of brokken van natuursteen met bindmiddel;</w:t>
      </w:r>
    </w:p>
    <w:p w:rsidR="00296032" w:rsidRPr="00620047" w:rsidRDefault="00296032">
      <w:pPr>
        <w:pStyle w:val="begrip"/>
      </w:pPr>
      <w:r w:rsidRPr="00620047">
        <w:rPr>
          <w:i/>
          <w:iCs/>
        </w:rPr>
        <w:t>kwetsbaar object:</w:t>
      </w:r>
      <w:r w:rsidRPr="00620047">
        <w:t xml:space="preserve"> kwetsbaar object als bedoeld in artikel 1, eerste lid, onderdeel l, van het Besluit externe veiligheid inrichtingen;</w:t>
      </w:r>
    </w:p>
    <w:p w:rsidR="00296032" w:rsidRPr="00620047" w:rsidRDefault="00296032">
      <w:pPr>
        <w:pStyle w:val="begrip"/>
      </w:pPr>
      <w:r w:rsidRPr="00620047">
        <w:rPr>
          <w:i/>
          <w:iCs/>
        </w:rPr>
        <w:t>L</w:t>
      </w:r>
      <w:r w:rsidRPr="00620047">
        <w:rPr>
          <w:i/>
          <w:iCs/>
          <w:vertAlign w:val="subscript"/>
        </w:rPr>
        <w:t>den</w:t>
      </w:r>
      <w:r w:rsidRPr="00620047">
        <w:rPr>
          <w:i/>
          <w:iCs/>
        </w:rPr>
        <w:t>:</w:t>
      </w:r>
      <w:r w:rsidRPr="00620047">
        <w:t xml:space="preserve"> de geluidsbelastingsindicator zoals opgenomen in artikel 3, onder f, van richtlijn nr. 2002/49/EG van het Europees Parlement en de Raad van de Europese Unie van 25 juni 2002, inzake de evaluatie en de beheersing van omgevingslawaai; </w:t>
      </w:r>
    </w:p>
    <w:p w:rsidR="00296032" w:rsidRPr="00620047" w:rsidRDefault="00296032">
      <w:pPr>
        <w:pStyle w:val="begrip"/>
      </w:pPr>
      <w:r w:rsidRPr="00620047">
        <w:rPr>
          <w:i/>
          <w:iCs/>
        </w:rPr>
        <w:t>L</w:t>
      </w:r>
      <w:r w:rsidRPr="00620047">
        <w:rPr>
          <w:i/>
          <w:iCs/>
          <w:vertAlign w:val="subscript"/>
        </w:rPr>
        <w:t>night</w:t>
      </w:r>
      <w:r w:rsidRPr="00620047">
        <w:rPr>
          <w:i/>
          <w:iCs/>
        </w:rPr>
        <w:t>:</w:t>
      </w:r>
      <w:r w:rsidRPr="00620047">
        <w:t xml:space="preserve"> de geluidsbelastingsindicator zoals opgenomen in artikel 3, onder i, van richtlijn nr. 2002/49/EG van het Europees Parlement en de Raad van de Europese Unie van 25 juni 2002, inzake de evaluatie en de beheersing van omgevingslawaai; </w:t>
      </w:r>
    </w:p>
    <w:p w:rsidR="00296032" w:rsidRPr="00620047" w:rsidRDefault="00296032">
      <w:pPr>
        <w:pStyle w:val="begrip"/>
      </w:pPr>
      <w:r w:rsidRPr="00620047">
        <w:rPr>
          <w:i/>
        </w:rPr>
        <w:t>laadportaal:</w:t>
      </w:r>
      <w:r w:rsidRPr="00620047">
        <w:t xml:space="preserve"> laadportaal als bedoeld in artikel 2, onderdeel o, van richtlijn 94/63;</w:t>
      </w:r>
    </w:p>
    <w:p w:rsidR="00296032" w:rsidRPr="00620047" w:rsidRDefault="00296032">
      <w:pPr>
        <w:pStyle w:val="begrip"/>
      </w:pPr>
      <w:r w:rsidRPr="00620047">
        <w:rPr>
          <w:i/>
          <w:iCs/>
        </w:rPr>
        <w:t>lak:</w:t>
      </w:r>
      <w:r w:rsidRPr="00620047">
        <w:t xml:space="preserve"> doorzichtige coating;</w:t>
      </w:r>
    </w:p>
    <w:p w:rsidR="00296032" w:rsidRPr="00620047" w:rsidRDefault="00296032">
      <w:pPr>
        <w:pStyle w:val="begrip"/>
      </w:pPr>
      <w:r w:rsidRPr="00620047">
        <w:rPr>
          <w:i/>
          <w:iCs/>
        </w:rPr>
        <w:t>langtijdgemiddeld beoordelingsniveau:</w:t>
      </w:r>
      <w:r w:rsidRPr="00620047">
        <w:t xml:space="preserve"> (L</w:t>
      </w:r>
      <w:r w:rsidRPr="00620047">
        <w:rPr>
          <w:vertAlign w:val="subscript"/>
        </w:rPr>
        <w:t>Ar,LT</w:t>
      </w:r>
      <w:r w:rsidRPr="00620047">
        <w:t>) het gemiddelde van de afwisselende niveaus van het ter plaatse optredende geluid, gemeten in een bepaalde periode en vastgesteld en beoordeeld overeenkomstig de Handleiding meten en rekenen industrielawaai;</w:t>
      </w:r>
    </w:p>
    <w:p w:rsidR="00296032" w:rsidRPr="00620047" w:rsidRDefault="00296032">
      <w:pPr>
        <w:pStyle w:val="begrip"/>
      </w:pPr>
      <w:r w:rsidRPr="00620047">
        <w:rPr>
          <w:i/>
          <w:iCs/>
        </w:rPr>
        <w:t>lassen van textiel:</w:t>
      </w:r>
      <w:r w:rsidRPr="00620047">
        <w:t xml:space="preserve"> het door middel van warmteopwekking of warmtetoevoer aaneenhechten van textiel;</w:t>
      </w:r>
    </w:p>
    <w:p w:rsidR="00296032" w:rsidRPr="00620047" w:rsidRDefault="00296032">
      <w:pPr>
        <w:pStyle w:val="begrip"/>
      </w:pPr>
      <w:r w:rsidRPr="00620047">
        <w:rPr>
          <w:i/>
          <w:iCs/>
        </w:rPr>
        <w:t>lekbak:</w:t>
      </w:r>
      <w:r w:rsidRPr="00620047">
        <w:t xml:space="preserve"> een voorziening waarvan de bodembeschermende werking door de daarop afgestemde bodembeschermende maatregelen is gewaarborgd, en die zich rondom of onder een bodembedreigende activiteit bevindt en in staat is de bij normale bedrijfsvoering gemorste of wegspattende vloeistoffen op te vangen;</w:t>
      </w:r>
    </w:p>
    <w:p w:rsidR="00296032" w:rsidRPr="00620047" w:rsidRDefault="00296032">
      <w:pPr>
        <w:pStyle w:val="begrip"/>
      </w:pPr>
      <w:r w:rsidRPr="00620047">
        <w:rPr>
          <w:i/>
          <w:iCs/>
        </w:rPr>
        <w:t>lozen:</w:t>
      </w:r>
      <w:r w:rsidRPr="00620047">
        <w:t xml:space="preserve"> het brengen van:</w:t>
      </w:r>
    </w:p>
    <w:p w:rsidR="00296032" w:rsidRPr="00620047" w:rsidRDefault="00296032">
      <w:pPr>
        <w:pStyle w:val="art2enivo"/>
      </w:pPr>
      <w:r w:rsidRPr="00620047">
        <w:t>1°.</w:t>
      </w:r>
      <w:r w:rsidRPr="00620047">
        <w:tab/>
        <w:t>stoffen als bedoeld in artikel 6.1 van de Waterwet in een oppervlaktewaterlichaam;</w:t>
      </w:r>
    </w:p>
    <w:p w:rsidR="00296032" w:rsidRPr="00620047" w:rsidRDefault="00296032">
      <w:pPr>
        <w:pStyle w:val="art2enivo"/>
      </w:pPr>
      <w:r w:rsidRPr="00620047">
        <w:t>2°.</w:t>
      </w:r>
      <w:r w:rsidRPr="00620047">
        <w:tab/>
        <w:t>afvalwater of overige vloeistoffen op of in de bodem;</w:t>
      </w:r>
    </w:p>
    <w:p w:rsidR="00296032" w:rsidRPr="00620047" w:rsidRDefault="00296032">
      <w:pPr>
        <w:pStyle w:val="art2enivo"/>
      </w:pPr>
      <w:r w:rsidRPr="00620047">
        <w:t>3°.</w:t>
      </w:r>
      <w:r w:rsidRPr="00620047">
        <w:tab/>
        <w:t>afvalwater of andere afvalstoffen in een openbaar hemelwaterstelsel;</w:t>
      </w:r>
    </w:p>
    <w:p w:rsidR="00296032" w:rsidRPr="00620047" w:rsidRDefault="00296032">
      <w:pPr>
        <w:pStyle w:val="art2enivo"/>
      </w:pPr>
      <w:r w:rsidRPr="00620047">
        <w:t>4°.</w:t>
      </w:r>
      <w:r w:rsidRPr="00620047">
        <w:tab/>
        <w:t>afvalwater of andere afvalstoffen in een openbaar ontwateringstelsel;</w:t>
      </w:r>
    </w:p>
    <w:p w:rsidR="00296032" w:rsidRPr="00620047" w:rsidRDefault="00296032">
      <w:pPr>
        <w:pStyle w:val="art2enivo"/>
      </w:pPr>
      <w:r w:rsidRPr="00620047">
        <w:t>5°.</w:t>
      </w:r>
      <w:r w:rsidRPr="00620047">
        <w:tab/>
        <w:t>afvalwater of andere afvalstoffen in een openbaar vuilwaterriool;</w:t>
      </w:r>
    </w:p>
    <w:p w:rsidR="00296032" w:rsidRPr="00620047" w:rsidRDefault="00296032">
      <w:pPr>
        <w:pStyle w:val="art2enivo"/>
      </w:pPr>
      <w:r w:rsidRPr="00620047">
        <w:t>6°.</w:t>
      </w:r>
      <w:r w:rsidRPr="00620047">
        <w:tab/>
        <w:t>afvalwater of andere afvalstoffen in een andere voorziening voor de inzameling en het transport van afvalwater, of</w:t>
      </w:r>
    </w:p>
    <w:p w:rsidR="00296032" w:rsidRPr="00620047" w:rsidRDefault="00296032">
      <w:pPr>
        <w:pStyle w:val="art2enivo"/>
      </w:pPr>
      <w:r w:rsidRPr="00620047">
        <w:t>7°.</w:t>
      </w:r>
      <w:r w:rsidRPr="00620047">
        <w:tab/>
        <w:t>water of stoffen als bedoeld in artikel 6.1 van de Waterwet met behulp van een werk, niet zijnde een openbaar vuilwaterriool, op een zuiveringtechnisch werk;</w:t>
      </w:r>
    </w:p>
    <w:p w:rsidR="00296032" w:rsidRPr="00620047" w:rsidRDefault="00296032">
      <w:pPr>
        <w:pStyle w:val="begrip"/>
      </w:pPr>
      <w:r w:rsidRPr="00620047">
        <w:rPr>
          <w:i/>
        </w:rPr>
        <w:t>LPG</w:t>
      </w:r>
      <w:r w:rsidRPr="00620047">
        <w:t xml:space="preserve">: mengsel, bestaande uit hoofdzakelijk propaan, propeen, butanen en butenen; </w:t>
      </w:r>
    </w:p>
    <w:p w:rsidR="00296032" w:rsidRPr="00620047" w:rsidRDefault="00296032">
      <w:pPr>
        <w:pStyle w:val="begrip"/>
      </w:pPr>
      <w:r w:rsidRPr="00620047">
        <w:rPr>
          <w:i/>
        </w:rPr>
        <w:t>LPG-afleverinstallatie:</w:t>
      </w:r>
      <w:r w:rsidRPr="00620047">
        <w:t xml:space="preserve"> reservoir inclusief de leidingen, appendages en toebehoren, de afleverzuilen en het vulpunt van het reservoir;</w:t>
      </w:r>
    </w:p>
    <w:p w:rsidR="00296032" w:rsidRPr="00620047" w:rsidRDefault="00296032">
      <w:pPr>
        <w:pStyle w:val="begrip"/>
      </w:pPr>
      <w:r w:rsidRPr="00620047">
        <w:rPr>
          <w:i/>
        </w:rPr>
        <w:t>LPG-tankstation:</w:t>
      </w:r>
      <w:r w:rsidRPr="00620047">
        <w:t xml:space="preserve"> inrichting voor het afleveren van LPG aan motorvoertuigen voor het wegverkeer; </w:t>
      </w:r>
    </w:p>
    <w:p w:rsidR="00296032" w:rsidRPr="00620047" w:rsidRDefault="00296032">
      <w:pPr>
        <w:pStyle w:val="begrip"/>
      </w:pPr>
      <w:r w:rsidRPr="00620047">
        <w:rPr>
          <w:i/>
        </w:rPr>
        <w:t>LPG-tankwagen:</w:t>
      </w:r>
      <w:r w:rsidRPr="00620047">
        <w:t xml:space="preserve"> voertuig, gebouwd om LPG te vervoeren en uitgerust met één of meer vaste tanks;</w:t>
      </w:r>
    </w:p>
    <w:p w:rsidR="00296032" w:rsidRPr="00620047" w:rsidRDefault="00296032">
      <w:pPr>
        <w:pStyle w:val="begrip"/>
      </w:pPr>
      <w:r w:rsidRPr="00620047">
        <w:rPr>
          <w:i/>
          <w:iCs/>
        </w:rPr>
        <w:t>LQ:</w:t>
      </w:r>
      <w:r w:rsidRPr="00620047">
        <w:t xml:space="preserve"> Limited Quantities, gelimiteerde hoeveelheden als bedoeld in het ADR;</w:t>
      </w:r>
    </w:p>
    <w:p w:rsidR="00296032" w:rsidRPr="00620047" w:rsidRDefault="00296032">
      <w:pPr>
        <w:pStyle w:val="begrip"/>
      </w:pPr>
      <w:r w:rsidRPr="00620047">
        <w:rPr>
          <w:i/>
          <w:iCs/>
        </w:rPr>
        <w:t>luchtondersteuning:</w:t>
      </w:r>
      <w:r w:rsidRPr="00620047">
        <w:t xml:space="preserve"> voorziening aan de spuitboom van veldspuitapparatuur, waarbij een separate luchtstroom een geforceerde neerwaartse richting van het gewasbeschermingsmiddel creëert;</w:t>
      </w:r>
    </w:p>
    <w:p w:rsidR="00296032" w:rsidRPr="00620047" w:rsidRDefault="00296032">
      <w:pPr>
        <w:pStyle w:val="begrip"/>
      </w:pPr>
      <w:r w:rsidRPr="00620047">
        <w:rPr>
          <w:i/>
          <w:iCs/>
        </w:rPr>
        <w:t>massastroom:</w:t>
      </w:r>
      <w:r w:rsidRPr="00620047">
        <w:t xml:space="preserve"> massa van een bepaalde stof of stoffen die per tijdseenheid wordt geëmitteerd, uitgedrukt in massa per tijdseenheid;</w:t>
      </w:r>
    </w:p>
    <w:p w:rsidR="00296032" w:rsidRPr="00620047" w:rsidRDefault="00296032">
      <w:pPr>
        <w:pStyle w:val="begrip"/>
      </w:pPr>
      <w:r w:rsidRPr="00620047">
        <w:rPr>
          <w:i/>
          <w:iCs/>
        </w:rPr>
        <w:t>maximaal geluidsniveau:</w:t>
      </w:r>
      <w:r w:rsidRPr="00620047">
        <w:t xml:space="preserve"> (L</w:t>
      </w:r>
      <w:r w:rsidRPr="00620047">
        <w:rPr>
          <w:vertAlign w:val="subscript"/>
        </w:rPr>
        <w:t>Amax</w:t>
      </w:r>
      <w:r w:rsidRPr="00620047">
        <w:t>) maximaal geluidsniveau gemeten in de meterstand «F» of «fast», als vastgesteld en beoordeeld overeenkomstig de Handleiding meten en rekenen industrielawaai;</w:t>
      </w:r>
    </w:p>
    <w:p w:rsidR="00296032" w:rsidRPr="00620047" w:rsidRDefault="00296032">
      <w:pPr>
        <w:pStyle w:val="begrip"/>
      </w:pPr>
      <w:r w:rsidRPr="00620047">
        <w:rPr>
          <w:i/>
          <w:iCs/>
        </w:rPr>
        <w:t>maximale emissiewaarde:</w:t>
      </w:r>
      <w:r w:rsidRPr="00620047">
        <w:t xml:space="preserve"> maximale emissiewaarde als bedoeld in artikel 1, eerste lid, van de Wet ammoniak en veehouderij;</w:t>
      </w:r>
    </w:p>
    <w:p w:rsidR="00296032" w:rsidRPr="00620047" w:rsidRDefault="00296032">
      <w:pPr>
        <w:pStyle w:val="begrip"/>
      </w:pPr>
      <w:r w:rsidRPr="00620047">
        <w:rPr>
          <w:i/>
          <w:iCs/>
        </w:rPr>
        <w:t>melkrundvee:</w:t>
      </w:r>
      <w:r w:rsidRPr="00620047">
        <w:t xml:space="preserve"> melkrundvee als bedoeld in artikel 1, eerste lid, van de Wet ammoniak en veehouderij;</w:t>
      </w:r>
    </w:p>
    <w:p w:rsidR="00296032" w:rsidRPr="00620047" w:rsidRDefault="00296032">
      <w:pPr>
        <w:pStyle w:val="begrip"/>
      </w:pPr>
      <w:r w:rsidRPr="00620047">
        <w:rPr>
          <w:i/>
          <w:iCs/>
        </w:rPr>
        <w:t>mestbassin:</w:t>
      </w:r>
      <w:r w:rsidRPr="00620047">
        <w:t xml:space="preserve"> voorziening voor het opslaan van drijfmest, niet zijnde een opslagtank of verpakking;</w:t>
      </w:r>
    </w:p>
    <w:p w:rsidR="00296032" w:rsidRPr="00620047" w:rsidRDefault="00296032">
      <w:pPr>
        <w:pStyle w:val="begrip"/>
      </w:pPr>
      <w:r w:rsidRPr="00620047">
        <w:rPr>
          <w:i/>
          <w:iCs/>
        </w:rPr>
        <w:t>mestkelder:</w:t>
      </w:r>
      <w:r w:rsidRPr="00620047">
        <w:t xml:space="preserve"> ondergronds mestbassin, voorzien van een afdekking die als vloer kan fungeren en onderdeel is van een dierenverblijf of van een voormalig dierenverblijf;</w:t>
      </w:r>
    </w:p>
    <w:p w:rsidR="00296032" w:rsidRPr="00620047" w:rsidRDefault="00296032">
      <w:pPr>
        <w:pStyle w:val="begrip"/>
      </w:pPr>
      <w:r w:rsidRPr="00620047">
        <w:rPr>
          <w:i/>
          <w:iCs/>
        </w:rPr>
        <w:t>meststoffen:</w:t>
      </w:r>
      <w:r w:rsidRPr="00620047">
        <w:t xml:space="preserve"> meststoffen als bedoeld in artikel 1, eerste lid, onderdeel d, van de Meststoffenwet;</w:t>
      </w:r>
    </w:p>
    <w:p w:rsidR="00296032" w:rsidRPr="00620047" w:rsidRDefault="00296032">
      <w:pPr>
        <w:pStyle w:val="begrip"/>
      </w:pPr>
      <w:r w:rsidRPr="00620047">
        <w:rPr>
          <w:i/>
          <w:iCs/>
        </w:rPr>
        <w:t>meststoffengroep:</w:t>
      </w:r>
      <w:r w:rsidRPr="00620047">
        <w:t xml:space="preserve"> aanduiding van de gevaarscategorie van vaste minerale anorganische meststoffen overeenkomstig de indeling van PGS 7;</w:t>
      </w:r>
    </w:p>
    <w:p w:rsidR="00296032" w:rsidRPr="00620047" w:rsidRDefault="00296032">
      <w:pPr>
        <w:pStyle w:val="begrip"/>
      </w:pPr>
      <w:r w:rsidRPr="00620047">
        <w:rPr>
          <w:i/>
        </w:rPr>
        <w:t>mobiel medisch team:</w:t>
      </w:r>
      <w:r w:rsidRPr="00620047">
        <w:t xml:space="preserve"> team bestaande uit in ieder geval een arts en een verpleegkundige, ieder met een specifieke opleiding en ervaring op het gebied van de pre-hospitale spoedeisende medische hulpverlening;</w:t>
      </w:r>
    </w:p>
    <w:p w:rsidR="00296032" w:rsidRPr="00620047" w:rsidRDefault="00296032">
      <w:pPr>
        <w:pStyle w:val="begrip"/>
      </w:pPr>
      <w:r w:rsidRPr="00620047">
        <w:rPr>
          <w:i/>
          <w:iCs/>
        </w:rPr>
        <w:t>motorvoertuigen of werktuigen:</w:t>
      </w:r>
      <w:r w:rsidRPr="00620047">
        <w:t xml:space="preserve"> motorvoertuigen, aanhangers, landbouwwerktuigen en -machines en carrosserieonderdelen;</w:t>
      </w:r>
    </w:p>
    <w:p w:rsidR="00296032" w:rsidRPr="00620047" w:rsidRDefault="00296032">
      <w:pPr>
        <w:pStyle w:val="begrip"/>
      </w:pPr>
      <w:r w:rsidRPr="00620047">
        <w:rPr>
          <w:i/>
        </w:rPr>
        <w:t>munitie-QRA:</w:t>
      </w:r>
      <w:r w:rsidRPr="00620047">
        <w:t xml:space="preserve"> beoordeling van de veiligheidssituatie en het risico van voorgenomen activiteiten in de veiligheidszones van een militaire munitieopslagplaats;</w:t>
      </w:r>
    </w:p>
    <w:p w:rsidR="00296032" w:rsidRPr="00620047" w:rsidRDefault="00296032">
      <w:pPr>
        <w:pStyle w:val="begrip"/>
      </w:pPr>
      <w:r w:rsidRPr="00620047">
        <w:rPr>
          <w:i/>
          <w:iCs/>
        </w:rPr>
        <w:t>nanacht:</w:t>
      </w:r>
      <w:r w:rsidRPr="00620047">
        <w:t xml:space="preserve"> periode van 1 november tot 1 april van 24.00 uur tot het tijdstip van zonsopgang en van 1 april tot 1 mei en van 1 september tot 1 november van 02.00 uur tot het tijdstip van zonsopgang;</w:t>
      </w:r>
    </w:p>
    <w:p w:rsidR="00296032" w:rsidRPr="00620047" w:rsidRDefault="00296032">
      <w:pPr>
        <w:pStyle w:val="begrip"/>
      </w:pPr>
      <w:r w:rsidRPr="00620047">
        <w:rPr>
          <w:i/>
          <w:iCs/>
        </w:rPr>
        <w:t>natte koeltoren:</w:t>
      </w:r>
      <w:r w:rsidRPr="00620047">
        <w:t xml:space="preserve"> installatie gebruikt voor het, middels een open constructie, afvoeren van overtollige warmte uit productieprocessen en gebouwen door middel van het vernevelen van water;</w:t>
      </w:r>
    </w:p>
    <w:p w:rsidR="00296032" w:rsidRPr="00620047" w:rsidRDefault="00296032">
      <w:pPr>
        <w:pStyle w:val="begrip"/>
      </w:pPr>
      <w:r w:rsidRPr="00620047">
        <w:rPr>
          <w:i/>
        </w:rPr>
        <w:t>natuurlijk koudemiddel:</w:t>
      </w:r>
      <w:r w:rsidRPr="00620047">
        <w:t xml:space="preserve"> koolstofdioxide, ammoniak of koolwaterstoffen niet zijnde een gefluoreerd broeikasgas als bedoeld in Verordening (EU) nr. 517/2014 van het Europees Parlement en de Raad van de Europese Unie van 16 april 2014 dan wel een gereguleerde stof als bedoeld in Verordening (EG) nr. 1005/2009 van het Europees Parlement en de Raad van de Europese Unie van 16 september 2009, voor zover toegepast als koudemiddel;</w:t>
      </w:r>
    </w:p>
    <w:p w:rsidR="00296032" w:rsidRPr="00620047" w:rsidRDefault="00296032">
      <w:pPr>
        <w:pStyle w:val="begrip"/>
      </w:pPr>
      <w:r w:rsidRPr="00620047">
        <w:rPr>
          <w:i/>
          <w:iCs/>
        </w:rPr>
        <w:t>natuursteen:</w:t>
      </w:r>
      <w:r w:rsidRPr="00620047">
        <w:t xml:space="preserve"> uit de natuur gewonnen blokken en platen van steen;</w:t>
      </w:r>
    </w:p>
    <w:p w:rsidR="00296032" w:rsidRPr="00620047" w:rsidRDefault="00296032">
      <w:pPr>
        <w:pStyle w:val="begrip"/>
      </w:pPr>
      <w:r w:rsidRPr="00620047">
        <w:rPr>
          <w:i/>
        </w:rPr>
        <w:t>NEG</w:t>
      </w:r>
      <w:r w:rsidRPr="00620047">
        <w:t xml:space="preserve">: netto explosief gewicht, uitgedrukt als de massa van de explosieve stof of de massa van de explosieve stof in een ontplofbaar voorwerp; </w:t>
      </w:r>
    </w:p>
    <w:p w:rsidR="00296032" w:rsidRPr="00620047" w:rsidRDefault="00296032">
      <w:pPr>
        <w:pStyle w:val="begrip"/>
      </w:pPr>
      <w:r w:rsidRPr="00620047">
        <w:rPr>
          <w:i/>
          <w:iCs/>
        </w:rPr>
        <w:t>NEN:</w:t>
      </w:r>
      <w:r w:rsidRPr="00620047">
        <w:t xml:space="preserve"> door de Stichting Nederlands Normalisatie-instituut uitgegeven norm;</w:t>
      </w:r>
    </w:p>
    <w:p w:rsidR="00296032" w:rsidRPr="00620047" w:rsidRDefault="00296032">
      <w:pPr>
        <w:pStyle w:val="begrip"/>
      </w:pPr>
      <w:r w:rsidRPr="00620047">
        <w:rPr>
          <w:i/>
        </w:rPr>
        <w:t>niet</w:t>
      </w:r>
      <w:r w:rsidRPr="00620047">
        <w:rPr>
          <w:i/>
          <w:iCs/>
        </w:rPr>
        <w:t xml:space="preserve"> aangewezen oppervlaktewaterlichaam:</w:t>
      </w:r>
      <w:r w:rsidRPr="00620047">
        <w:t xml:space="preserve"> oppervlaktewaterlichaam dat geen aangewezen oppervlaktewaterlichaam is;</w:t>
      </w:r>
    </w:p>
    <w:p w:rsidR="00296032" w:rsidRPr="00620047" w:rsidRDefault="00296032">
      <w:pPr>
        <w:pStyle w:val="begrip"/>
      </w:pPr>
      <w:r w:rsidRPr="00620047">
        <w:rPr>
          <w:i/>
          <w:iCs/>
        </w:rPr>
        <w:t>niet-doorlatende ondergrond:</w:t>
      </w:r>
      <w:r w:rsidRPr="00620047">
        <w:t xml:space="preserve"> bodembedekkende voorziening waarbij geen uitspoeling plaatsvindt naar de onderliggende bodemlaag;</w:t>
      </w:r>
    </w:p>
    <w:p w:rsidR="00296032" w:rsidRPr="00620047" w:rsidRDefault="00296032">
      <w:pPr>
        <w:pStyle w:val="begrip"/>
      </w:pPr>
      <w:r w:rsidRPr="00620047">
        <w:rPr>
          <w:i/>
        </w:rPr>
        <w:t>Nm</w:t>
      </w:r>
      <w:r w:rsidRPr="00620047">
        <w:rPr>
          <w:i/>
          <w:vertAlign w:val="superscript"/>
        </w:rPr>
        <w:t>3</w:t>
      </w:r>
      <w:r w:rsidRPr="00620047">
        <w:t>: normaal kubieke meter</w:t>
      </w:r>
    </w:p>
    <w:p w:rsidR="00296032" w:rsidRPr="00620047" w:rsidRDefault="00296032">
      <w:pPr>
        <w:pStyle w:val="begrip"/>
      </w:pPr>
      <w:r w:rsidRPr="00620047">
        <w:rPr>
          <w:i/>
          <w:iCs/>
        </w:rPr>
        <w:t>noodsignalen:</w:t>
      </w:r>
      <w:r w:rsidRPr="00620047">
        <w:t xml:space="preserve"> noodsignalen die onder de klasse 1.3 of klasse 1.4 van het ADR vallen;</w:t>
      </w:r>
    </w:p>
    <w:p w:rsidR="00296032" w:rsidRPr="00620047" w:rsidRDefault="00296032">
      <w:pPr>
        <w:pStyle w:val="begrip"/>
      </w:pPr>
      <w:r w:rsidRPr="00620047">
        <w:rPr>
          <w:i/>
          <w:iCs/>
        </w:rPr>
        <w:t>normaal kubieke meter:</w:t>
      </w:r>
      <w:r w:rsidRPr="00620047">
        <w:t xml:space="preserve"> afgashoeveelheid bij 273,15 Kelvin en 101,3 kilo Pascal en betrokken op droge lucht;</w:t>
      </w:r>
    </w:p>
    <w:p w:rsidR="00296032" w:rsidRPr="00620047" w:rsidRDefault="00296032">
      <w:pPr>
        <w:pStyle w:val="begrip"/>
      </w:pPr>
      <w:r w:rsidRPr="00620047">
        <w:rPr>
          <w:i/>
          <w:iCs/>
        </w:rPr>
        <w:t>NRB:</w:t>
      </w:r>
      <w:r w:rsidRPr="00620047">
        <w:t xml:space="preserve"> Nederlandse Richtlijn Bodembescherming;</w:t>
      </w:r>
    </w:p>
    <w:p w:rsidR="00296032" w:rsidRPr="00620047" w:rsidRDefault="00296032">
      <w:pPr>
        <w:pStyle w:val="begrip"/>
      </w:pPr>
      <w:r w:rsidRPr="00620047">
        <w:rPr>
          <w:i/>
        </w:rPr>
        <w:t>NTA</w:t>
      </w:r>
      <w:r w:rsidRPr="00620047">
        <w:t xml:space="preserve">: door de Stichting Nederlandse Normalisatie-instituut uitgegeven Nederlandse Technische Afspraak; </w:t>
      </w:r>
    </w:p>
    <w:p w:rsidR="00296032" w:rsidRPr="00620047" w:rsidRDefault="00296032">
      <w:pPr>
        <w:pStyle w:val="begrip"/>
      </w:pPr>
      <w:r w:rsidRPr="00620047">
        <w:rPr>
          <w:i/>
          <w:iCs/>
        </w:rPr>
        <w:t>odour unit:</w:t>
      </w:r>
      <w:r w:rsidRPr="00620047">
        <w:t xml:space="preserve"> Europese eenheid voor geurconcentratie volgens NEN-EN 13725;</w:t>
      </w:r>
    </w:p>
    <w:p w:rsidR="00296032" w:rsidRPr="00620047" w:rsidRDefault="00296032">
      <w:pPr>
        <w:pStyle w:val="begrip"/>
      </w:pPr>
      <w:r w:rsidRPr="00620047">
        <w:rPr>
          <w:i/>
          <w:iCs/>
        </w:rPr>
        <w:t>ondergrondse opslagtank:</w:t>
      </w:r>
      <w:r w:rsidRPr="00620047">
        <w:t xml:space="preserve"> opslagtank die geheel in de bodem ligt of ingeterpt is;</w:t>
      </w:r>
    </w:p>
    <w:p w:rsidR="00296032" w:rsidRPr="00620047" w:rsidRDefault="00296032">
      <w:pPr>
        <w:pStyle w:val="begrip"/>
      </w:pPr>
      <w:r w:rsidRPr="00620047">
        <w:rPr>
          <w:i/>
        </w:rPr>
        <w:t>onveilige zone</w:t>
      </w:r>
      <w:r w:rsidRPr="00620047">
        <w:t>: gebied waarin kogels dan wel hagel afkomstig uit vuurwapens kunnen neerkomen tijdens schieten op een buitenschietbaan;</w:t>
      </w:r>
    </w:p>
    <w:p w:rsidR="00296032" w:rsidRPr="00620047" w:rsidRDefault="00296032">
      <w:pPr>
        <w:pStyle w:val="begrip"/>
      </w:pPr>
      <w:r w:rsidRPr="00620047">
        <w:rPr>
          <w:i/>
          <w:iCs/>
        </w:rPr>
        <w:t>open bodemenergiesysteem:</w:t>
      </w:r>
      <w:r w:rsidRPr="00620047">
        <w:t xml:space="preserve"> installatie waarmee van de bodem gebruik wordt gemaakt voor de levering van warmte of koude ten behoeve van de verwarming of koeling van ruimten in bouwwerken, door grondwater te onttrekken en na gebruik in de bodem terug te brengen, met inbegrip van bijbehorende bronpompen en warmtewisselaar en, voor zover aanwezig, warmtepomp en regeneratievoorziening;</w:t>
      </w:r>
    </w:p>
    <w:p w:rsidR="00296032" w:rsidRPr="00620047" w:rsidRDefault="00296032">
      <w:pPr>
        <w:pStyle w:val="begrip"/>
      </w:pPr>
      <w:r w:rsidRPr="00620047">
        <w:rPr>
          <w:i/>
          <w:iCs/>
        </w:rPr>
        <w:t>oplosmiddelenhergebruik:</w:t>
      </w:r>
      <w:r w:rsidRPr="00620047">
        <w:t xml:space="preserve"> gebruik van uit een oplosmiddeleninstallatie teruggewonnen organische oplosmiddelen voor elk technisch of commercieel doel, met inbegrip van het gebruik als brandstof maar met uitzondering van het verwijderen van deze teruggewonnen organische oplosmiddelen als afval;</w:t>
      </w:r>
    </w:p>
    <w:p w:rsidR="00296032" w:rsidRPr="00620047" w:rsidRDefault="00296032">
      <w:pPr>
        <w:pStyle w:val="begrip"/>
      </w:pPr>
      <w:r w:rsidRPr="00620047">
        <w:rPr>
          <w:i/>
          <w:iCs/>
        </w:rPr>
        <w:t>oplosmiddeleninput:</w:t>
      </w:r>
      <w:r w:rsidRPr="00620047">
        <w:t xml:space="preserve"> de hoeveelheid organische oplosmiddelen en de hoeveelheid daarvan in mengsels die tijdens het uitoefenen van een activiteit worden gebruikt, met inbegrip van de hergebruikte oplosmiddelen, binnen en buiten de installatie, die telkens worden meegerekend wanneer zij worden gebruikt om de betrokken activiteit uit te oefenen;</w:t>
      </w:r>
    </w:p>
    <w:p w:rsidR="00296032" w:rsidRPr="00620047" w:rsidRDefault="00296032">
      <w:pPr>
        <w:pStyle w:val="begrip"/>
      </w:pPr>
      <w:r w:rsidRPr="00620047">
        <w:rPr>
          <w:i/>
          <w:iCs/>
        </w:rPr>
        <w:t>oplosmiddeleninstallatie:</w:t>
      </w:r>
      <w:r w:rsidRPr="00620047">
        <w:t xml:space="preserve"> installatie waarin activiteiten en processen als bedoeld in bijlage VII, deel 1, bij de EU-richtlijn industriële emissies plaatsvinden;</w:t>
      </w:r>
    </w:p>
    <w:p w:rsidR="00296032" w:rsidRPr="00620047" w:rsidRDefault="00296032">
      <w:pPr>
        <w:pStyle w:val="begrip"/>
      </w:pPr>
      <w:r w:rsidRPr="00620047">
        <w:rPr>
          <w:i/>
          <w:iCs/>
        </w:rPr>
        <w:t>oplosmiddelenverbruik:</w:t>
      </w:r>
      <w:r w:rsidRPr="00620047">
        <w:t xml:space="preserve"> de totale input van organische oplosmiddelen per twaalf maanden in een installatie, verminderd met eventuele vluchtige organische stoffen die voor hergebruik worden teruggewonnen;</w:t>
      </w:r>
    </w:p>
    <w:p w:rsidR="00296032" w:rsidRPr="00620047" w:rsidRDefault="00296032">
      <w:pPr>
        <w:pStyle w:val="begrip"/>
      </w:pPr>
      <w:r w:rsidRPr="00620047">
        <w:rPr>
          <w:i/>
          <w:iCs/>
        </w:rPr>
        <w:t>opslagtank:</w:t>
      </w:r>
      <w:r w:rsidRPr="00620047">
        <w:t xml:space="preserve"> een vormvaste opslagvoorziening voor gas met een inhoud van ten minste 150 liter of een vormvaste opslagvoorziening voor vloeistof met een inhoud van ten minste 300 liter, uitgezonderd een intermediate bulk container die voldoet aan hoofdstuk 6.5 van het ADR;</w:t>
      </w:r>
    </w:p>
    <w:p w:rsidR="00296032" w:rsidRPr="00620047" w:rsidRDefault="00296032">
      <w:pPr>
        <w:pStyle w:val="begrip"/>
      </w:pPr>
      <w:r w:rsidRPr="00620047">
        <w:rPr>
          <w:i/>
          <w:iCs/>
        </w:rPr>
        <w:t>organisch oplosmiddel:</w:t>
      </w:r>
      <w:r w:rsidRPr="00620047">
        <w:t xml:space="preserve"> vluchtige organische verbinding die wordt gebruikt:</w:t>
      </w:r>
    </w:p>
    <w:p w:rsidR="00296032" w:rsidRPr="00620047" w:rsidRDefault="00296032">
      <w:pPr>
        <w:pStyle w:val="art2enivo"/>
      </w:pPr>
      <w:r w:rsidRPr="00620047">
        <w:t>a.</w:t>
      </w:r>
      <w:r w:rsidRPr="00620047">
        <w:tab/>
        <w:t>om, alleen of in combinatie met andere stoffen en zonder een chemische verandering te ondergaan, grondstoffen, producten of afvalmaterialen op te lossen,</w:t>
      </w:r>
    </w:p>
    <w:p w:rsidR="00296032" w:rsidRPr="00620047" w:rsidRDefault="00296032">
      <w:pPr>
        <w:pStyle w:val="art2enivo"/>
      </w:pPr>
      <w:r w:rsidRPr="00620047">
        <w:t>b.</w:t>
      </w:r>
      <w:r w:rsidRPr="00620047">
        <w:tab/>
        <w:t>als schoonmaakmiddel om verontreinigingen op te lossen,</w:t>
      </w:r>
    </w:p>
    <w:p w:rsidR="00296032" w:rsidRPr="00620047" w:rsidRDefault="00296032">
      <w:pPr>
        <w:pStyle w:val="art2enivo"/>
      </w:pPr>
      <w:r w:rsidRPr="00620047">
        <w:t>c.</w:t>
      </w:r>
      <w:r w:rsidRPr="00620047">
        <w:tab/>
        <w:t>als verdunner,</w:t>
      </w:r>
    </w:p>
    <w:p w:rsidR="00296032" w:rsidRPr="00620047" w:rsidRDefault="00296032">
      <w:pPr>
        <w:pStyle w:val="art2enivo"/>
      </w:pPr>
      <w:r w:rsidRPr="00620047">
        <w:t>d.</w:t>
      </w:r>
      <w:r w:rsidRPr="00620047">
        <w:tab/>
        <w:t>als dispergeermiddel,</w:t>
      </w:r>
    </w:p>
    <w:p w:rsidR="00296032" w:rsidRPr="00620047" w:rsidRDefault="00296032">
      <w:pPr>
        <w:pStyle w:val="art2enivo"/>
      </w:pPr>
      <w:r w:rsidRPr="00620047">
        <w:t>e.</w:t>
      </w:r>
      <w:r w:rsidRPr="00620047">
        <w:tab/>
        <w:t>om de viscositeit aan te passen,</w:t>
      </w:r>
    </w:p>
    <w:p w:rsidR="00296032" w:rsidRPr="00620047" w:rsidRDefault="00296032">
      <w:pPr>
        <w:pStyle w:val="art2enivo"/>
      </w:pPr>
      <w:r w:rsidRPr="00620047">
        <w:t>f.</w:t>
      </w:r>
      <w:r w:rsidRPr="00620047">
        <w:tab/>
        <w:t>om de oppervlaktespanning aan te passen,</w:t>
      </w:r>
    </w:p>
    <w:p w:rsidR="00296032" w:rsidRPr="00620047" w:rsidRDefault="00296032">
      <w:pPr>
        <w:pStyle w:val="art2enivo"/>
      </w:pPr>
      <w:r w:rsidRPr="00620047">
        <w:t>g.</w:t>
      </w:r>
      <w:r w:rsidRPr="00620047">
        <w:tab/>
        <w:t>als weekmaker, of</w:t>
      </w:r>
    </w:p>
    <w:p w:rsidR="00296032" w:rsidRPr="00620047" w:rsidRDefault="00296032">
      <w:pPr>
        <w:pStyle w:val="art2enivo"/>
      </w:pPr>
      <w:r w:rsidRPr="00620047">
        <w:t>h.</w:t>
      </w:r>
      <w:r w:rsidRPr="00620047">
        <w:tab/>
        <w:t>als conserveermiddel;</w:t>
      </w:r>
    </w:p>
    <w:p w:rsidR="00296032" w:rsidRPr="00620047" w:rsidRDefault="00296032">
      <w:pPr>
        <w:pStyle w:val="begrip"/>
      </w:pPr>
      <w:r w:rsidRPr="00620047">
        <w:rPr>
          <w:i/>
          <w:iCs/>
        </w:rPr>
        <w:t>overkapte beddenspuit:</w:t>
      </w:r>
      <w:r w:rsidRPr="00620047">
        <w:t xml:space="preserve"> apparatuur voor het gebruik van gewasbeschermingsmiddelen waarbij de spuitdoppen gemonteerd zijn binnen een overkapping, die met uitzondering van de voor- en de achterzijde van de apparatuur, het gewasbed min of meer omsluit en waarbij per gewasbed een eenheid van spuitleiding en overkapping wordt gebruikt;</w:t>
      </w:r>
    </w:p>
    <w:p w:rsidR="00296032" w:rsidRPr="00620047" w:rsidRDefault="00296032">
      <w:pPr>
        <w:pStyle w:val="begrip"/>
      </w:pPr>
      <w:r w:rsidRPr="00620047">
        <w:rPr>
          <w:i/>
          <w:iCs/>
        </w:rPr>
        <w:t>PAK’s:</w:t>
      </w:r>
      <w:r w:rsidRPr="00620047">
        <w:t xml:space="preserve"> som van naftaleen, anthraceen, fluorantheen, benzo(g,h,i)peryleen, benzo(a)pyreen, benzo(b)fluorantheen, benzo(k)fluorantheen en indeno(1,2,3-cd)pyreen;</w:t>
      </w:r>
    </w:p>
    <w:p w:rsidR="00296032" w:rsidRPr="00620047" w:rsidRDefault="00296032">
      <w:pPr>
        <w:pStyle w:val="begrip"/>
      </w:pPr>
      <w:r w:rsidRPr="00620047">
        <w:rPr>
          <w:i/>
          <w:iCs/>
        </w:rPr>
        <w:t>PER:</w:t>
      </w:r>
      <w:r w:rsidRPr="00620047">
        <w:t xml:space="preserve"> tetrachlooretheen;</w:t>
      </w:r>
    </w:p>
    <w:p w:rsidR="00296032" w:rsidRPr="00620047" w:rsidRDefault="00296032">
      <w:pPr>
        <w:pStyle w:val="begrip"/>
      </w:pPr>
      <w:r w:rsidRPr="00620047">
        <w:rPr>
          <w:i/>
          <w:iCs/>
        </w:rPr>
        <w:t>PGS:</w:t>
      </w:r>
      <w:r w:rsidRPr="00620047">
        <w:t xml:space="preserve"> Publicatiereeks Gevaarlijke Stoffen;</w:t>
      </w:r>
    </w:p>
    <w:p w:rsidR="00296032" w:rsidRPr="00620047" w:rsidRDefault="00296032">
      <w:pPr>
        <w:pStyle w:val="begrip"/>
      </w:pPr>
      <w:r w:rsidRPr="00620047">
        <w:rPr>
          <w:i/>
          <w:iCs/>
        </w:rPr>
        <w:t>pleziervaartuig:</w:t>
      </w:r>
      <w:r w:rsidRPr="00620047">
        <w:t xml:space="preserve"> schip bestemd of gebruikt voor sport of vrijetijdsbesteding;</w:t>
      </w:r>
    </w:p>
    <w:p w:rsidR="00296032" w:rsidRPr="00620047" w:rsidRDefault="00296032">
      <w:pPr>
        <w:pStyle w:val="begrip"/>
      </w:pPr>
      <w:r w:rsidRPr="00620047">
        <w:rPr>
          <w:i/>
          <w:iCs/>
        </w:rPr>
        <w:t>pluimvee:</w:t>
      </w:r>
      <w:r w:rsidRPr="00620047">
        <w:t xml:space="preserve"> dieren behorend tot diercategorieën E1 tot en met E5, F1 tot en met F4, G1, G2 en J1, als bedoeld in de regeling op grond van artikel 1 van de Wet ammoniak en veehouderij;</w:t>
      </w:r>
    </w:p>
    <w:p w:rsidR="00296032" w:rsidRPr="00620047" w:rsidRDefault="00296032">
      <w:pPr>
        <w:pStyle w:val="begrip"/>
      </w:pPr>
      <w:r w:rsidRPr="00620047">
        <w:rPr>
          <w:i/>
          <w:iCs/>
        </w:rPr>
        <w:t>praktijkruimte:</w:t>
      </w:r>
      <w:r w:rsidRPr="00620047">
        <w:t xml:space="preserve"> ruimte voor chemisch, natuurkundig of medisch onderwijs waarop de Wet op het hoger onderwijs en het wetenschappelijk onderzoek van toepassing is;</w:t>
      </w:r>
    </w:p>
    <w:p w:rsidR="00296032" w:rsidRPr="00620047" w:rsidRDefault="00296032">
      <w:pPr>
        <w:pStyle w:val="begrip"/>
      </w:pPr>
      <w:r w:rsidRPr="00620047">
        <w:rPr>
          <w:i/>
          <w:iCs/>
        </w:rPr>
        <w:t>propaan:</w:t>
      </w:r>
      <w:r w:rsidRPr="00620047">
        <w:t xml:space="preserve"> product, hoofdzakelijk bestaande uit propaan en propeen, met geringe hoeveelheden ethaan, butanen en butenen, voor zover de dampspanning bij 343 Kelvin (70 graden Celsius) ten hoogste 3100 kilopascal (31 bar) bedraagt;</w:t>
      </w:r>
    </w:p>
    <w:p w:rsidR="00296032" w:rsidRPr="00620047" w:rsidRDefault="00296032">
      <w:pPr>
        <w:pStyle w:val="begrip"/>
      </w:pPr>
      <w:r w:rsidRPr="00620047">
        <w:rPr>
          <w:i/>
          <w:iCs/>
        </w:rPr>
        <w:t>propeen:</w:t>
      </w:r>
      <w:r w:rsidRPr="00620047">
        <w:t xml:space="preserve"> zeer licht ontvlambaar tot vloeistof verdicht gas met UN-nummer 1077;</w:t>
      </w:r>
    </w:p>
    <w:p w:rsidR="00296032" w:rsidRPr="00620047" w:rsidRDefault="00296032">
      <w:pPr>
        <w:pStyle w:val="begrip"/>
      </w:pPr>
      <w:r w:rsidRPr="00620047">
        <w:rPr>
          <w:i/>
          <w:iCs/>
        </w:rPr>
        <w:t>pyrotechnische artikelen voor theatergebruik:</w:t>
      </w:r>
      <w:r w:rsidRPr="00620047">
        <w:t xml:space="preserve"> pyrotechnische artikelen voor theatergebruik als bedoeld in artikel 1.1.1, eerste lid, van het Vuurwerkbesluit;</w:t>
      </w:r>
    </w:p>
    <w:p w:rsidR="00296032" w:rsidRPr="00620047" w:rsidRDefault="00296032">
      <w:pPr>
        <w:pStyle w:val="begrip"/>
      </w:pPr>
      <w:r w:rsidRPr="00620047">
        <w:rPr>
          <w:i/>
          <w:iCs/>
        </w:rPr>
        <w:t>recirculatie:</w:t>
      </w:r>
      <w:r w:rsidRPr="00620047">
        <w:t xml:space="preserve"> hergebruik van opgevangen drain- of drainagewater;</w:t>
      </w:r>
    </w:p>
    <w:p w:rsidR="00296032" w:rsidRPr="00620047" w:rsidRDefault="00296032">
      <w:pPr>
        <w:pStyle w:val="begrip"/>
      </w:pPr>
      <w:r w:rsidRPr="00620047">
        <w:rPr>
          <w:i/>
          <w:iCs/>
        </w:rPr>
        <w:t>recirculatiesysteem:</w:t>
      </w:r>
      <w:r w:rsidRPr="00620047">
        <w:t xml:space="preserve"> voorziening voor het opvangen en transporteren van drain- of drainagewater, ten behoeve van hergebruik;</w:t>
      </w:r>
    </w:p>
    <w:p w:rsidR="00296032" w:rsidRPr="00620047" w:rsidRDefault="00296032">
      <w:pPr>
        <w:pStyle w:val="begrip"/>
      </w:pPr>
      <w:r w:rsidRPr="00620047">
        <w:rPr>
          <w:i/>
          <w:iCs/>
        </w:rPr>
        <w:t>referentieniveau:</w:t>
      </w:r>
      <w:r w:rsidRPr="00620047">
        <w:t xml:space="preserve"> hoogste waarde van de in de onderdelen a en b genoemde niveaus:</w:t>
      </w:r>
    </w:p>
    <w:p w:rsidR="00296032" w:rsidRPr="00620047" w:rsidRDefault="00296032">
      <w:pPr>
        <w:pStyle w:val="art2enivo"/>
      </w:pPr>
      <w:r w:rsidRPr="00620047">
        <w:t>a.</w:t>
      </w:r>
      <w:r w:rsidRPr="00620047">
        <w:tab/>
        <w:t>het geluidsniveau, uitgedrukt in dB(A), dat gemeten over een bepaalde periode, gedurende 95% van de tijd wordt overschreden, exclusief de bijdrage van de inrichting zelf;</w:t>
      </w:r>
    </w:p>
    <w:p w:rsidR="00296032" w:rsidRPr="00620047" w:rsidRDefault="00296032">
      <w:pPr>
        <w:pStyle w:val="art2enivo"/>
      </w:pPr>
      <w:r w:rsidRPr="00620047">
        <w:t>b.</w:t>
      </w:r>
      <w:r w:rsidRPr="00620047">
        <w:tab/>
        <w:t>het optredende equivalente geluidsniveau (L</w:t>
      </w:r>
      <w:r w:rsidRPr="00620047">
        <w:rPr>
          <w:vertAlign w:val="subscript"/>
        </w:rPr>
        <w:t>Aeq</w:t>
      </w:r>
      <w:r w:rsidRPr="00620047">
        <w:t>), veroorzaakt door wegverkeerbronnen minus 10 dB(A), met dien verstande dat voor de nachtperiode van 23.00 tot 07.00 uur alleen wegverkeerbronnen in rekening mogen worden gebracht met een intensiteit van meer dan 500 motorvoertuigen gedurende die periode;</w:t>
      </w:r>
    </w:p>
    <w:p w:rsidR="00296032" w:rsidRPr="00620047" w:rsidRDefault="00296032">
      <w:pPr>
        <w:pStyle w:val="begrip"/>
      </w:pPr>
      <w:r w:rsidRPr="00620047">
        <w:rPr>
          <w:i/>
          <w:iCs/>
        </w:rPr>
        <w:t>reflectiescherm:</w:t>
      </w:r>
      <w:r w:rsidRPr="00620047">
        <w:t xml:space="preserve"> verticale constructie aan apparatuur voor het gebruik van gewasbeschermingsmiddelen, die een zodanige hoogte en breedte heeft, dat het verwaaien van spuitnevel wordt beperkt;</w:t>
      </w:r>
    </w:p>
    <w:p w:rsidR="00296032" w:rsidRPr="00620047" w:rsidRDefault="00296032">
      <w:pPr>
        <w:pStyle w:val="begrip"/>
      </w:pPr>
      <w:r w:rsidRPr="00620047">
        <w:rPr>
          <w:i/>
          <w:iCs/>
        </w:rPr>
        <w:t>retourbuis van een gesloten bodemenergiesysteem:</w:t>
      </w:r>
      <w:r w:rsidRPr="00620047">
        <w:t xml:space="preserve"> de leiding die de circulatievloeistof terug geleidt door de bodem, waardoor warmte of koude wordt afgegeven aan de bodem;</w:t>
      </w:r>
    </w:p>
    <w:p w:rsidR="00296032" w:rsidRPr="00620047" w:rsidRDefault="00296032">
      <w:pPr>
        <w:pStyle w:val="begrip"/>
      </w:pPr>
      <w:r w:rsidRPr="00620047">
        <w:rPr>
          <w:i/>
          <w:iCs/>
        </w:rPr>
        <w:t>richtlijn 2003/30/EG:</w:t>
      </w:r>
      <w:r w:rsidRPr="00620047">
        <w:t xml:space="preserve"> richtlijn nr. 2003/30/EG van het Europees Parlement en de Raad van de Europese Unie van 8 mei 2003 (PbEU L 123) ter bevordering van het gebruik van biobrandstoffen of andere hernieuwbare brandstoffen in het vervoer;</w:t>
      </w:r>
    </w:p>
    <w:p w:rsidR="00296032" w:rsidRPr="00620047" w:rsidRDefault="00296032">
      <w:pPr>
        <w:pStyle w:val="begrip"/>
      </w:pPr>
      <w:r w:rsidRPr="00620047">
        <w:rPr>
          <w:i/>
          <w:iCs/>
        </w:rPr>
        <w:t>rookzwak kruit:</w:t>
      </w:r>
      <w:r w:rsidRPr="00620047">
        <w:t xml:space="preserve"> kruit dat onder de klasse 1.3 van het ADR valt;</w:t>
      </w:r>
    </w:p>
    <w:p w:rsidR="00296032" w:rsidRPr="00620047" w:rsidRDefault="00296032">
      <w:pPr>
        <w:pStyle w:val="begrip"/>
      </w:pPr>
      <w:r w:rsidRPr="00620047">
        <w:rPr>
          <w:i/>
          <w:iCs/>
        </w:rPr>
        <w:t>schoorsteen:</w:t>
      </w:r>
      <w:r w:rsidRPr="00620047">
        <w:t xml:space="preserve"> structuur met een of meer afgaskanalen voor de afvoer van afgassen met het oog op de emissie ervan in de lucht;</w:t>
      </w:r>
    </w:p>
    <w:p w:rsidR="00296032" w:rsidRPr="00620047" w:rsidRDefault="00296032">
      <w:pPr>
        <w:pStyle w:val="begrip"/>
      </w:pPr>
      <w:r w:rsidRPr="00620047">
        <w:rPr>
          <w:i/>
          <w:iCs/>
        </w:rPr>
        <w:t>SPF:</w:t>
      </w:r>
      <w:r w:rsidRPr="00620047">
        <w:t xml:space="preserve"> Seasonal Performance Factor, waarmee het rendement van een bodemenergiesysteem wordt weergegeven, uitgedrukt als de door het systeem geleverde hoeveelheden warmte en koude per jaar in MWh, gedeeld door het gemeten of berekende energieverbruik van het systeem per jaar in MWh;</w:t>
      </w:r>
    </w:p>
    <w:p w:rsidR="00296032" w:rsidRPr="00620047" w:rsidRDefault="00296032">
      <w:pPr>
        <w:pStyle w:val="begrip"/>
      </w:pPr>
      <w:r w:rsidRPr="00620047">
        <w:rPr>
          <w:i/>
          <w:iCs/>
        </w:rPr>
        <w:t>spoorvoertuig:</w:t>
      </w:r>
      <w:r w:rsidRPr="00620047">
        <w:t xml:space="preserve"> voertuig, bestemd voor het verkeer over spoorstaven met inbegrip van de carrosserieonderdelen daarvan;</w:t>
      </w:r>
    </w:p>
    <w:p w:rsidR="00296032" w:rsidRPr="00620047" w:rsidRDefault="00296032">
      <w:pPr>
        <w:pStyle w:val="begrip"/>
      </w:pPr>
      <w:r w:rsidRPr="00620047">
        <w:rPr>
          <w:i/>
          <w:iCs/>
        </w:rPr>
        <w:t>spuitbus:</w:t>
      </w:r>
      <w:r w:rsidRPr="00620047">
        <w:t xml:space="preserve"> niet-hervulbare houder van metaal, glas of kunststof die een samengeperst, vloeibaar gemaakt of opgelost gas bevat, al dan niet met een vloeibare, pasteuze of poedervormige stof, en voorzien van een aftapinrichting die het mogelijk maakt, dat de inhoud wordt uitgestoten in de vorm van een suspensie van vaste of vloeibare deeltjes in een gas, in de vorm van schuim, pasta of poeder of in vloeibare of gasvormige toestand;</w:t>
      </w:r>
    </w:p>
    <w:p w:rsidR="00296032" w:rsidRPr="00620047" w:rsidRDefault="00296032">
      <w:pPr>
        <w:pStyle w:val="begrip"/>
      </w:pPr>
      <w:r w:rsidRPr="00620047">
        <w:rPr>
          <w:i/>
          <w:iCs/>
        </w:rPr>
        <w:t>spuitdop:</w:t>
      </w:r>
      <w:r w:rsidRPr="00620047">
        <w:t xml:space="preserve"> uitstroomopening van apparatuur voor het gebruik van gewasbeschermingsmiddelen die in staat is spuitvloeistof zo te verdelen in druppels dat er op de grond of op het gewas een regelmatige verdeling ontstaat;</w:t>
      </w:r>
    </w:p>
    <w:p w:rsidR="00296032" w:rsidRPr="00620047" w:rsidRDefault="00296032">
      <w:pPr>
        <w:pStyle w:val="begrip"/>
      </w:pPr>
      <w:r w:rsidRPr="00620047">
        <w:rPr>
          <w:i/>
          <w:iCs/>
        </w:rPr>
        <w:t>spuitgeweer:</w:t>
      </w:r>
      <w:r w:rsidRPr="00620047">
        <w:t xml:space="preserve"> apparatuur voor het gebruik van gewasbeschermingsmiddelen bestaande uit een spuitleiding die is voorzien van een spuitdop die met de hand wordt vastgehouden en bediend;</w:t>
      </w:r>
    </w:p>
    <w:p w:rsidR="00296032" w:rsidRPr="00620047" w:rsidRDefault="00296032">
      <w:pPr>
        <w:pStyle w:val="begrip"/>
      </w:pPr>
      <w:r w:rsidRPr="00620047">
        <w:rPr>
          <w:i/>
          <w:iCs/>
        </w:rPr>
        <w:t>stookinstallatie:</w:t>
      </w:r>
      <w:r w:rsidRPr="00620047">
        <w:t xml:space="preserve"> technische eenheid waarin brandstoffen worden geoxideerd ten einde de aldus opgewekte warmte te gebruiken;</w:t>
      </w:r>
    </w:p>
    <w:p w:rsidR="00296032" w:rsidRPr="00620047" w:rsidRDefault="00296032">
      <w:pPr>
        <w:pStyle w:val="begrip"/>
      </w:pPr>
      <w:r w:rsidRPr="00620047">
        <w:rPr>
          <w:i/>
          <w:iCs/>
        </w:rPr>
        <w:t>substraatmateriaal:</w:t>
      </w:r>
      <w:r w:rsidRPr="00620047">
        <w:t xml:space="preserve"> materiaal, bestemd om te worden gebruikt voor het telen van gewassen los van de ondergrond;</w:t>
      </w:r>
    </w:p>
    <w:p w:rsidR="00296032" w:rsidRPr="00620047" w:rsidRDefault="00296032">
      <w:pPr>
        <w:pStyle w:val="begrip"/>
      </w:pPr>
      <w:r w:rsidRPr="00620047">
        <w:rPr>
          <w:i/>
          <w:iCs/>
        </w:rPr>
        <w:t>substraatteelt:</w:t>
      </w:r>
      <w:r w:rsidRPr="00620047">
        <w:t xml:space="preserve"> wijze van telen waarbij gewassen groeien los van de ondergrond;</w:t>
      </w:r>
    </w:p>
    <w:p w:rsidR="00296032" w:rsidRPr="00620047" w:rsidRDefault="00296032">
      <w:pPr>
        <w:pStyle w:val="begrip"/>
      </w:pPr>
      <w:r w:rsidRPr="00620047">
        <w:rPr>
          <w:i/>
          <w:iCs/>
        </w:rPr>
        <w:t>teeltoppervlak:</w:t>
      </w:r>
      <w:r w:rsidRPr="00620047">
        <w:t xml:space="preserve"> oppervlak, uitgedrukt in vierkante meter, dat wordt gebruikt voor het telen van gewassen;</w:t>
      </w:r>
    </w:p>
    <w:p w:rsidR="00296032" w:rsidRPr="00620047" w:rsidRDefault="00296032">
      <w:pPr>
        <w:pStyle w:val="begrip"/>
      </w:pPr>
      <w:r w:rsidRPr="00620047">
        <w:rPr>
          <w:i/>
          <w:iCs/>
        </w:rPr>
        <w:t>teeltvrije zone:</w:t>
      </w:r>
      <w:r w:rsidRPr="00620047">
        <w:t xml:space="preserve"> strook tussen de insteek van het oppervlaktewaterlichaam en het te telen gewas waarop, behoudens grasland, geen gewas of niet hetzelfde gewas als op de rest van het perceel wordt geteeld;</w:t>
      </w:r>
    </w:p>
    <w:p w:rsidR="00296032" w:rsidRPr="00620047" w:rsidRDefault="00296032">
      <w:pPr>
        <w:pStyle w:val="begrip"/>
      </w:pPr>
      <w:r w:rsidRPr="00620047">
        <w:rPr>
          <w:i/>
          <w:iCs/>
        </w:rPr>
        <w:t>theatervuurwerk:</w:t>
      </w:r>
      <w:r w:rsidRPr="00620047">
        <w:t xml:space="preserve"> theatervuurwerk als bedoeld in artikel 1.1.1, eerste lid, van het Vuurwerkbesluit;</w:t>
      </w:r>
    </w:p>
    <w:p w:rsidR="00296032" w:rsidRPr="00620047" w:rsidRDefault="00296032">
      <w:pPr>
        <w:pStyle w:val="begrip"/>
      </w:pPr>
      <w:r w:rsidRPr="00620047">
        <w:rPr>
          <w:i/>
          <w:iCs/>
        </w:rPr>
        <w:t>totaal stikstof:</w:t>
      </w:r>
      <w:r w:rsidRPr="00620047">
        <w:t xml:space="preserve"> de som van nitraat-, nitriet-, organisch en ammonium stikstof waarvan de emissiemetingen worden uitgevoerd, bedoeld in artikel 2.3;</w:t>
      </w:r>
    </w:p>
    <w:p w:rsidR="00296032" w:rsidRPr="00620047" w:rsidRDefault="00296032">
      <w:pPr>
        <w:pStyle w:val="begrip"/>
      </w:pPr>
      <w:r w:rsidRPr="00620047">
        <w:rPr>
          <w:i/>
          <w:iCs/>
        </w:rPr>
        <w:t>tunnelspuit:</w:t>
      </w:r>
      <w:r w:rsidRPr="00620047">
        <w:t xml:space="preserve"> apparatuur voor het gebruik van gewasbeschermingsmiddelen in een gewasrij waarbij het verwaaien van spuitnevel wordt beperkt door een constructie die de gewasrij geheel of gedeeltelijk omsluit;</w:t>
      </w:r>
    </w:p>
    <w:p w:rsidR="00296032" w:rsidRPr="00620047" w:rsidRDefault="00296032">
      <w:pPr>
        <w:pStyle w:val="begrip"/>
      </w:pPr>
      <w:r w:rsidRPr="00620047">
        <w:rPr>
          <w:i/>
          <w:iCs/>
        </w:rPr>
        <w:t>tweewielig motorvoertuig:</w:t>
      </w:r>
      <w:r w:rsidRPr="00620047">
        <w:t xml:space="preserve"> bromfiets als bedoeld in de regeling op grond van artikel 21, eerste lid, van de Wegenverkeerswet 1994, zijnde een voertuig op twee wielen of motorfiets als bedoeld in die regeling;</w:t>
      </w:r>
    </w:p>
    <w:p w:rsidR="00296032" w:rsidRPr="00620047" w:rsidRDefault="00296032">
      <w:pPr>
        <w:pStyle w:val="begrip"/>
      </w:pPr>
      <w:r w:rsidRPr="00620047">
        <w:rPr>
          <w:i/>
          <w:iCs/>
        </w:rPr>
        <w:t>vanggewas:</w:t>
      </w:r>
      <w:r w:rsidRPr="00620047">
        <w:t xml:space="preserve"> barrière van bomen, struiken of andere gewassen, die het verwaaien van spuitvloeistof bij het gebruik van gewasbeschermingsmiddelen of bladmeststoffen naar een oppervlaktewaterlichaam beperkt;</w:t>
      </w:r>
    </w:p>
    <w:p w:rsidR="00296032" w:rsidRPr="00620047" w:rsidRDefault="00296032">
      <w:pPr>
        <w:pStyle w:val="begrip"/>
      </w:pPr>
      <w:r w:rsidRPr="00620047">
        <w:rPr>
          <w:i/>
          <w:iCs/>
        </w:rPr>
        <w:t>vast object:</w:t>
      </w:r>
      <w:r w:rsidRPr="00620047">
        <w:t xml:space="preserve"> locatiegebonden constructie of gedeelte daarvan;</w:t>
      </w:r>
    </w:p>
    <w:p w:rsidR="00296032" w:rsidRPr="00620047" w:rsidRDefault="00296032">
      <w:pPr>
        <w:pStyle w:val="begrip"/>
      </w:pPr>
      <w:r w:rsidRPr="00620047">
        <w:rPr>
          <w:i/>
          <w:iCs/>
        </w:rPr>
        <w:t>veehouderij:</w:t>
      </w:r>
      <w:r w:rsidRPr="00620047">
        <w:t xml:space="preserve"> inrichting voor het kweken, fokken, mesten, houden of verhandelen van landbouwhuisdieren;</w:t>
      </w:r>
    </w:p>
    <w:p w:rsidR="00296032" w:rsidRPr="00620047" w:rsidRDefault="00296032">
      <w:pPr>
        <w:pStyle w:val="begrip"/>
      </w:pPr>
      <w:r w:rsidRPr="00620047">
        <w:rPr>
          <w:i/>
          <w:iCs/>
        </w:rPr>
        <w:t>veldspuitapparatuur:</w:t>
      </w:r>
      <w:r w:rsidRPr="00620047">
        <w:t xml:space="preserve"> mechanisch voortbewogen apparatuur voor het gebruik van gewasbeschermingsmiddelen bij de bovengrondse volveldsbehandeling in buitenteelten, die een overwegend neerwaartse uitstroming van de spuitvloeistof bewerkstelligt;</w:t>
      </w:r>
    </w:p>
    <w:p w:rsidR="00296032" w:rsidRPr="00620047" w:rsidRDefault="00296032">
      <w:pPr>
        <w:pStyle w:val="begrip"/>
      </w:pPr>
      <w:r w:rsidRPr="00620047">
        <w:rPr>
          <w:i/>
          <w:iCs/>
        </w:rPr>
        <w:t>venturidop:</w:t>
      </w:r>
      <w:r w:rsidRPr="00620047">
        <w:t xml:space="preserve"> dop die bestaat uit een voorkamer en uitstroomopening waarbij als gevolg van de constructie van de dop door de stromende vloeistof een onderdruk in de voorkamer ontstaat waardoor door een kleine opening in de voorkamer op natuurlijke wijze lucht wordt aangezogen dat zich in de voorkamer vermengt met de vloeistof waardoor grovere druppels ontstaan die verdeeld worden door een uitstroomopening;</w:t>
      </w:r>
    </w:p>
    <w:p w:rsidR="00296032" w:rsidRPr="00620047" w:rsidRDefault="00296032">
      <w:pPr>
        <w:pStyle w:val="begrip"/>
      </w:pPr>
      <w:r w:rsidRPr="00620047">
        <w:rPr>
          <w:i/>
          <w:iCs/>
        </w:rPr>
        <w:t>verblijfsruimten:</w:t>
      </w:r>
      <w:r w:rsidRPr="00620047">
        <w:t xml:space="preserve"> verblijfsruimten als bedoeld in artikel 1.1, onderdeel d, van het Besluit geluidhinder;</w:t>
      </w:r>
    </w:p>
    <w:p w:rsidR="00296032" w:rsidRPr="00620047" w:rsidRDefault="00296032">
      <w:pPr>
        <w:pStyle w:val="begrip"/>
      </w:pPr>
      <w:r w:rsidRPr="00620047">
        <w:rPr>
          <w:i/>
          <w:iCs/>
        </w:rPr>
        <w:t>verdichten:</w:t>
      </w:r>
      <w:r w:rsidRPr="00620047">
        <w:t xml:space="preserve"> reduceren van het volume bij een gelijkblijvende massa of een gelijkblijvend gewicht;</w:t>
      </w:r>
    </w:p>
    <w:p w:rsidR="00296032" w:rsidRPr="00620047" w:rsidRDefault="00296032">
      <w:pPr>
        <w:pStyle w:val="begrip"/>
      </w:pPr>
      <w:r w:rsidRPr="00620047">
        <w:rPr>
          <w:i/>
          <w:iCs/>
        </w:rPr>
        <w:t>vergistinggas:</w:t>
      </w:r>
      <w:r w:rsidRPr="00620047">
        <w:t xml:space="preserve"> gasvormige brandstof, met als hoofdbestanddelen methaan en koolstofdioxide, dat is ontstaan door vergisting van organisch materiaal;</w:t>
      </w:r>
    </w:p>
    <w:p w:rsidR="00296032" w:rsidRPr="00620047" w:rsidRDefault="00296032">
      <w:pPr>
        <w:pStyle w:val="begrip"/>
      </w:pPr>
      <w:r w:rsidRPr="00620047">
        <w:rPr>
          <w:i/>
          <w:iCs/>
        </w:rPr>
        <w:t>verkleinen:</w:t>
      </w:r>
      <w:r w:rsidRPr="00620047">
        <w:t xml:space="preserve"> in kleinere delen opdelen;</w:t>
      </w:r>
    </w:p>
    <w:p w:rsidR="00296032" w:rsidRPr="00620047" w:rsidRDefault="00296032">
      <w:pPr>
        <w:pStyle w:val="begrip"/>
      </w:pPr>
      <w:r w:rsidRPr="00620047">
        <w:rPr>
          <w:i/>
          <w:iCs/>
        </w:rPr>
        <w:t>verpakkingsgroep:</w:t>
      </w:r>
      <w:r w:rsidRPr="00620047">
        <w:t xml:space="preserve"> een groep, waarin bepaalde stoffen op grond van hun gevaarlijkheid tijdens het vervoer conform het ADR zijn ingedeeld voor verpakkingsdoeleinden:</w:t>
      </w:r>
    </w:p>
    <w:p w:rsidR="00296032" w:rsidRPr="00620047" w:rsidRDefault="00296032">
      <w:pPr>
        <w:pStyle w:val="art2enivo"/>
      </w:pPr>
      <w:r w:rsidRPr="00620047">
        <w:t>1°.</w:t>
      </w:r>
      <w:r w:rsidRPr="00620047">
        <w:tab/>
        <w:t xml:space="preserve"> </w:t>
      </w:r>
      <w:r w:rsidRPr="00620047">
        <w:rPr>
          <w:i/>
          <w:iCs/>
        </w:rPr>
        <w:t>verpakkingsgroep I</w:t>
      </w:r>
      <w:r w:rsidRPr="00620047">
        <w:t>: zeer gevaarlijke stoffen;</w:t>
      </w:r>
    </w:p>
    <w:p w:rsidR="00296032" w:rsidRPr="00620047" w:rsidRDefault="00296032">
      <w:pPr>
        <w:pStyle w:val="art2enivo"/>
      </w:pPr>
      <w:r w:rsidRPr="00620047">
        <w:t>2°.</w:t>
      </w:r>
      <w:r w:rsidRPr="00620047">
        <w:tab/>
        <w:t xml:space="preserve"> </w:t>
      </w:r>
      <w:r w:rsidRPr="00620047">
        <w:rPr>
          <w:i/>
          <w:iCs/>
        </w:rPr>
        <w:t>verpakkingsgroep II</w:t>
      </w:r>
      <w:r w:rsidRPr="00620047">
        <w:t>: gevaarlijke stoffen;</w:t>
      </w:r>
    </w:p>
    <w:p w:rsidR="00296032" w:rsidRPr="00620047" w:rsidRDefault="00296032">
      <w:pPr>
        <w:pStyle w:val="art2enivo"/>
      </w:pPr>
      <w:r w:rsidRPr="00620047">
        <w:t>3°.</w:t>
      </w:r>
      <w:r w:rsidRPr="00620047">
        <w:tab/>
        <w:t xml:space="preserve"> </w:t>
      </w:r>
      <w:r w:rsidRPr="00620047">
        <w:rPr>
          <w:i/>
          <w:iCs/>
        </w:rPr>
        <w:t>verpakkingsgroep III</w:t>
      </w:r>
      <w:r w:rsidRPr="00620047">
        <w:t>: minder gevaarlijke stoffen;</w:t>
      </w:r>
    </w:p>
    <w:p w:rsidR="00296032" w:rsidRPr="00620047" w:rsidRDefault="00296032">
      <w:pPr>
        <w:pStyle w:val="begrip"/>
      </w:pPr>
      <w:r w:rsidRPr="00620047">
        <w:rPr>
          <w:i/>
          <w:iCs/>
        </w:rPr>
        <w:t>vervoerseenheid met gevaarlijke stoffen:</w:t>
      </w:r>
      <w:r w:rsidRPr="00620047">
        <w:t xml:space="preserve"> een voertuig, oplegger of aanhanger met een conform het ADR voor het vervoer van gevaarlijke stoffen toegelaten tank, tankcontainer, tankbatterij, laadketel, laadruimte of laadvloer waarin gevaarlijke stoffen aanwezig zijn;</w:t>
      </w:r>
    </w:p>
    <w:p w:rsidR="00296032" w:rsidRPr="00620047" w:rsidRDefault="00296032">
      <w:pPr>
        <w:pStyle w:val="begrip"/>
      </w:pPr>
      <w:r w:rsidRPr="00620047">
        <w:rPr>
          <w:i/>
          <w:iCs/>
        </w:rPr>
        <w:t>verwaarloosbaar bodemrisico:</w:t>
      </w:r>
      <w:r w:rsidRPr="00620047">
        <w:t xml:space="preserve"> een situatie als bedoeld in de NRB waarin door een goede afstemming van voorzieningen en maatregelen het ontstaan of de toename van verontreiniging van de bodem gemeten tussen het nul- en eindsituatieonderzoek, bedoeld in artikel 2.11, eerste en derde lid, zo veel mogelijk wordt voorkomen en waarbij herstel van de bodem redelijkerwijs mogelijk is;</w:t>
      </w:r>
    </w:p>
    <w:p w:rsidR="00296032" w:rsidRPr="00620047" w:rsidRDefault="00296032">
      <w:pPr>
        <w:pStyle w:val="begrip"/>
      </w:pPr>
      <w:r w:rsidRPr="00620047">
        <w:rPr>
          <w:i/>
          <w:iCs/>
        </w:rPr>
        <w:t>vloeibaar bijvoedermiddel:</w:t>
      </w:r>
      <w:r w:rsidRPr="00620047">
        <w:t xml:space="preserve"> bijvoedermiddel dat verpompbaar is en dat is aan te merken als «inerte goederen» als bedoeld in dit artikel;</w:t>
      </w:r>
    </w:p>
    <w:p w:rsidR="00296032" w:rsidRPr="00620047" w:rsidRDefault="00296032">
      <w:pPr>
        <w:pStyle w:val="begrip"/>
      </w:pPr>
      <w:r w:rsidRPr="00620047">
        <w:rPr>
          <w:i/>
          <w:iCs/>
        </w:rPr>
        <w:t>vloeibare brandstof:</w:t>
      </w:r>
      <w:r w:rsidRPr="00620047">
        <w:t xml:space="preserve"> lichte olie, halfzware olie of gasolie als bedoeld in artikel 26 van de Wet op de accijns;</w:t>
      </w:r>
    </w:p>
    <w:p w:rsidR="00296032" w:rsidRPr="00620047" w:rsidRDefault="00296032">
      <w:pPr>
        <w:pStyle w:val="begrip"/>
      </w:pPr>
      <w:r w:rsidRPr="00620047">
        <w:rPr>
          <w:i/>
          <w:iCs/>
        </w:rPr>
        <w:t>vloeistofdichte vloer of verharding:</w:t>
      </w:r>
      <w:r w:rsidRPr="00620047">
        <w:t xml:space="preserve"> vloer of verharding direct op de bodem die waarborgt dat geen vloeistof aan de niet met vloeistof belaste zijde van die vloer of verharding kan komen;</w:t>
      </w:r>
    </w:p>
    <w:p w:rsidR="00296032" w:rsidRPr="00620047" w:rsidRDefault="00296032">
      <w:pPr>
        <w:pStyle w:val="begrip"/>
      </w:pPr>
      <w:r w:rsidRPr="00620047">
        <w:rPr>
          <w:i/>
          <w:iCs/>
        </w:rPr>
        <w:t>vloeistofkerende voorziening:</w:t>
      </w:r>
      <w:r w:rsidRPr="00620047">
        <w:t xml:space="preserve"> fysieke barrière die in staat is stoffen tijdelijk te keren;</w:t>
      </w:r>
    </w:p>
    <w:p w:rsidR="00296032" w:rsidRPr="00620047" w:rsidRDefault="00296032">
      <w:pPr>
        <w:pStyle w:val="begrip"/>
      </w:pPr>
      <w:r w:rsidRPr="00620047">
        <w:rPr>
          <w:i/>
          <w:iCs/>
        </w:rPr>
        <w:t>vluchtige organische stof:</w:t>
      </w:r>
      <w:r w:rsidRPr="00620047">
        <w:t xml:space="preserve"> organische verbinding, alsook de fractie creosoot, die bij 293,15 K een dampspanning van 0,01 kPa of meer heeft of onder specifieke gebruiksomstandigheden een vergelijkbare vluchtigheid heeft;</w:t>
      </w:r>
    </w:p>
    <w:p w:rsidR="00296032" w:rsidRPr="00620047" w:rsidRDefault="00296032">
      <w:pPr>
        <w:pStyle w:val="begrip"/>
      </w:pPr>
      <w:r w:rsidRPr="00620047">
        <w:rPr>
          <w:i/>
          <w:iCs/>
        </w:rPr>
        <w:t>voedingswater:</w:t>
      </w:r>
      <w:r w:rsidRPr="00620047">
        <w:t xml:space="preserve"> water dat aan het gewas wordt toegediend en waar eventueel meststoffen aan zijn toegevoegd;</w:t>
      </w:r>
    </w:p>
    <w:p w:rsidR="00296032" w:rsidRPr="00620047" w:rsidRDefault="00296032">
      <w:pPr>
        <w:pStyle w:val="begrip"/>
      </w:pPr>
      <w:r w:rsidRPr="00620047">
        <w:rPr>
          <w:i/>
          <w:iCs/>
        </w:rPr>
        <w:t>voorziening voor het beheer van afvalwater:</w:t>
      </w:r>
      <w:r w:rsidRPr="00620047">
        <w:t xml:space="preserve"> een openbaar vuilwaterriool, openbaar hemelwaterstelsel, openbaar ontwateringstelsel, een andere voorziening voor de inzameling en het transport van afvalwater, een zuiveringtechnisch werk of een zuiveringsvoorziening;</w:t>
      </w:r>
    </w:p>
    <w:p w:rsidR="00296032" w:rsidRPr="00620047" w:rsidRDefault="00296032">
      <w:pPr>
        <w:pStyle w:val="begrip"/>
      </w:pPr>
      <w:r w:rsidRPr="00620047">
        <w:rPr>
          <w:i/>
          <w:iCs/>
        </w:rPr>
        <w:t>vuilwaterriool:</w:t>
      </w:r>
    </w:p>
    <w:p w:rsidR="00296032" w:rsidRPr="00620047" w:rsidRDefault="00296032">
      <w:pPr>
        <w:pStyle w:val="art2enivo"/>
      </w:pPr>
      <w:r w:rsidRPr="00620047">
        <w:t>1°.</w:t>
      </w:r>
      <w:r w:rsidRPr="00620047">
        <w:tab/>
        <w:t>een openbaar vuilwaterriool;</w:t>
      </w:r>
    </w:p>
    <w:p w:rsidR="00296032" w:rsidRPr="00620047" w:rsidRDefault="00296032">
      <w:pPr>
        <w:pStyle w:val="art2enivo"/>
      </w:pPr>
      <w:r w:rsidRPr="00620047">
        <w:t>2°.</w:t>
      </w:r>
      <w:r w:rsidRPr="00620047">
        <w:tab/>
        <w:t>een andere voorziening voor de inzameling en het transport van stedelijk afvalwater, aangesloten op een zuiveringsvoorziening, die blijkens een vergunning als bedoeld in artikel 6.2 van de Waterwet mede voor het zuiveren van stedelijk afvalwater is bedoeld, of aangesloten op een zuiveringtechnisch werk; of</w:t>
      </w:r>
    </w:p>
    <w:p w:rsidR="00296032" w:rsidRPr="00620047" w:rsidRDefault="00296032">
      <w:pPr>
        <w:pStyle w:val="art2enivo"/>
      </w:pPr>
      <w:r w:rsidRPr="00620047">
        <w:t>3°.</w:t>
      </w:r>
      <w:r w:rsidRPr="00620047">
        <w:tab/>
        <w:t>een werk, niet zijnde een voorziening voor de inzameling en het transport van afvalwater, aangesloten op een zuiveringtechnisch werk;</w:t>
      </w:r>
    </w:p>
    <w:p w:rsidR="00296032" w:rsidRPr="00620047" w:rsidRDefault="00296032">
      <w:pPr>
        <w:pStyle w:val="begrip"/>
      </w:pPr>
      <w:r w:rsidRPr="00620047">
        <w:rPr>
          <w:i/>
          <w:iCs/>
        </w:rPr>
        <w:t>vuurwerk:</w:t>
      </w:r>
      <w:r w:rsidRPr="00620047">
        <w:t xml:space="preserve"> vuurwerk als bedoeld in artikel 1.1.1, eerste lid, van het Vuurwerkbesluit;</w:t>
      </w:r>
    </w:p>
    <w:p w:rsidR="00296032" w:rsidRPr="00620047" w:rsidRDefault="00296032">
      <w:pPr>
        <w:pStyle w:val="begrip"/>
      </w:pPr>
      <w:r w:rsidRPr="00620047">
        <w:rPr>
          <w:i/>
          <w:iCs/>
        </w:rPr>
        <w:t>warmtekrachtinstallatie:</w:t>
      </w:r>
      <w:r w:rsidRPr="00620047">
        <w:t xml:space="preserve"> stookinstallatie, bestemd voor het gelijktijdig opwekken van warmte en kracht waarbij de warmte nuttig wordt aangewend;</w:t>
      </w:r>
    </w:p>
    <w:p w:rsidR="00296032" w:rsidRPr="00620047" w:rsidRDefault="00296032">
      <w:pPr>
        <w:pStyle w:val="begrip"/>
      </w:pPr>
      <w:r w:rsidRPr="00620047">
        <w:rPr>
          <w:i/>
          <w:iCs/>
        </w:rPr>
        <w:t>windturbine:</w:t>
      </w:r>
      <w:r w:rsidRPr="00620047">
        <w:t xml:space="preserve"> een apparaat voor het opwekken van elektrisch of thermisch vermogen uit wind;</w:t>
      </w:r>
    </w:p>
    <w:p w:rsidR="00296032" w:rsidRPr="00620047" w:rsidRDefault="00296032">
      <w:pPr>
        <w:pStyle w:val="begrip"/>
      </w:pPr>
      <w:r w:rsidRPr="00620047">
        <w:rPr>
          <w:i/>
          <w:iCs/>
        </w:rPr>
        <w:t>woning:</w:t>
      </w:r>
      <w:r w:rsidRPr="00620047">
        <w:t xml:space="preserve"> gebouw of gedeelte van een gebouw waar bewoning is toegestaan op grond van het bestemmingsplan, de beheersverordening, bedoeld in artikel 3.38 van de Wet ruimtelijke ordening, of, indien met toepassing van artikel 2.12, eerste lid, van de Wet algemene bepalingen omgevingsrecht van het bestemmingsplan of de beheersverordening is afgeweken, de omgevingsvergunning bedoeld in artikel 1.1, eerste lid, van laatstgenoemde wet;</w:t>
      </w:r>
    </w:p>
    <w:p w:rsidR="00296032" w:rsidRPr="00620047" w:rsidRDefault="00296032">
      <w:pPr>
        <w:pStyle w:val="begrip"/>
      </w:pPr>
      <w:r w:rsidRPr="00620047">
        <w:rPr>
          <w:i/>
          <w:iCs/>
        </w:rPr>
        <w:t>wrak van een tweewielig motorvoertuig:</w:t>
      </w:r>
      <w:r w:rsidRPr="00620047">
        <w:t xml:space="preserve"> tweewielig motorvoertuig dat een afvalstof is in de zin van artikel 1.1, eerste lid, van de wet;</w:t>
      </w:r>
    </w:p>
    <w:p w:rsidR="00296032" w:rsidRPr="00620047" w:rsidRDefault="00296032">
      <w:pPr>
        <w:pStyle w:val="begrip"/>
      </w:pPr>
      <w:r w:rsidRPr="00620047">
        <w:rPr>
          <w:i/>
          <w:iCs/>
        </w:rPr>
        <w:t>zeer kwetsbaar gebied:</w:t>
      </w:r>
      <w:r w:rsidRPr="00620047">
        <w:t xml:space="preserve"> zeer kwetsbaar gebied in de zin van de Wet ammoniak en veehouderij.</w:t>
      </w:r>
    </w:p>
    <w:p w:rsidR="00296032" w:rsidRPr="00620047" w:rsidRDefault="00296032">
      <w:pPr>
        <w:pStyle w:val="begrip"/>
      </w:pPr>
      <w:r w:rsidRPr="00620047">
        <w:rPr>
          <w:i/>
        </w:rPr>
        <w:t>ziekenhuis:</w:t>
      </w:r>
      <w:r w:rsidRPr="00620047">
        <w:t xml:space="preserve"> algemeen, academisch of categoriaal ziekenhuis als bedoeld in categorie 23.1, onderdeel a, onderdeel C van bijlage I bij het Besluit omgevingsrecht;</w:t>
      </w:r>
    </w:p>
    <w:p w:rsidR="00296032" w:rsidRPr="00620047" w:rsidRDefault="00296032">
      <w:pPr>
        <w:pStyle w:val="begrip"/>
      </w:pPr>
      <w:r w:rsidRPr="00620047">
        <w:rPr>
          <w:i/>
          <w:iCs/>
        </w:rPr>
        <w:t>zuiveringsvoorziening:</w:t>
      </w:r>
      <w:r w:rsidRPr="00620047">
        <w:t xml:space="preserve"> werk voor het zuiveren van afvalwater, dat geen zuiveringtechnisch werk is;</w:t>
      </w:r>
    </w:p>
    <w:p w:rsidR="00296032" w:rsidRPr="00620047" w:rsidRDefault="00296032">
      <w:pPr>
        <w:pStyle w:val="begrip"/>
      </w:pPr>
      <w:r w:rsidRPr="00620047">
        <w:rPr>
          <w:i/>
          <w:iCs/>
        </w:rPr>
        <w:t>zwart kruit:</w:t>
      </w:r>
      <w:r w:rsidRPr="00620047">
        <w:t xml:space="preserve"> kruit dat onder de klasse 1.1 van het ADR valt.</w:t>
      </w:r>
    </w:p>
    <w:p w:rsidR="00296032" w:rsidRPr="00620047" w:rsidRDefault="00296032"/>
    <w:p w:rsidR="00296032" w:rsidRPr="00620047" w:rsidRDefault="00296032">
      <w:pPr>
        <w:pStyle w:val="art1enivo"/>
      </w:pPr>
      <w:r w:rsidRPr="00620047">
        <w:t>2.</w:t>
      </w:r>
      <w:r w:rsidRPr="00620047">
        <w:tab/>
        <w:t>In dit besluit en de daarop berustende bepalingen wordt ten aanzien van emissies naar de lucht, verstaan onder:</w:t>
      </w:r>
    </w:p>
    <w:p w:rsidR="00296032" w:rsidRPr="00620047" w:rsidRDefault="00296032">
      <w:pPr>
        <w:pStyle w:val="begrip"/>
      </w:pPr>
      <w:r w:rsidRPr="00620047">
        <w:rPr>
          <w:i/>
          <w:iCs/>
        </w:rPr>
        <w:t>bron:</w:t>
      </w:r>
      <w:r w:rsidRPr="00620047">
        <w:t xml:space="preserve"> emissie naar de lucht van een bewerkingseenheid al dan niet voorzien van emissiebeperkende voorzieningen en ongeacht de vraag of die emissie gecombineerd met andere emissies wordt geloosd op één of meer puntbronnen;</w:t>
      </w:r>
    </w:p>
    <w:p w:rsidR="00296032" w:rsidRPr="00620047" w:rsidRDefault="00296032">
      <w:pPr>
        <w:pStyle w:val="begrip"/>
      </w:pPr>
      <w:r w:rsidRPr="00620047">
        <w:rPr>
          <w:i/>
        </w:rPr>
        <w:t>ERP: emissierelevante parameter</w:t>
      </w:r>
      <w:r w:rsidRPr="00620047">
        <w:t>: meetbare of berekenbare grootheid die in directe of indirecte relatie staat met de te beoordelen emissies, onderverdeeld in de categorieën A en B, waarbij categorie A, zo nodig na kalibratie, een kwantitatief beeld geeft van de emissie en categorie B een kwalitatief beeld;</w:t>
      </w:r>
    </w:p>
    <w:p w:rsidR="00296032" w:rsidRPr="00620047" w:rsidRDefault="00296032">
      <w:pPr>
        <w:pStyle w:val="begrip"/>
      </w:pPr>
      <w:r w:rsidRPr="00620047">
        <w:rPr>
          <w:i/>
          <w:iCs/>
        </w:rPr>
        <w:t>grensmassastroom:</w:t>
      </w:r>
      <w:r w:rsidRPr="00620047">
        <w:t xml:space="preserve"> een drempelwaarde per stofklasse, uitgedrukt in gram emissie per uur, waarboven een emissie naar de lucht als relevant beschouwd wordt;</w:t>
      </w:r>
    </w:p>
    <w:p w:rsidR="00296032" w:rsidRPr="00620047" w:rsidRDefault="00296032">
      <w:pPr>
        <w:pStyle w:val="begrip"/>
      </w:pPr>
      <w:r w:rsidRPr="00620047">
        <w:rPr>
          <w:i/>
          <w:iCs/>
        </w:rPr>
        <w:t>ISO-luchtcondities:</w:t>
      </w:r>
      <w:r w:rsidRPr="00620047">
        <w:t xml:space="preserve"> temperatuur van 288 Kelvin, een druk van 101,3 kiloPascal en een relatieve vochtigheid van 60 procent;</w:t>
      </w:r>
    </w:p>
    <w:p w:rsidR="00296032" w:rsidRPr="00620047" w:rsidRDefault="00296032">
      <w:pPr>
        <w:pStyle w:val="begrip"/>
      </w:pPr>
      <w:r w:rsidRPr="00620047">
        <w:rPr>
          <w:i/>
        </w:rPr>
        <w:t>kosteneffectiviteit</w:t>
      </w:r>
      <w:r w:rsidRPr="00620047">
        <w:t>: jaarkosten van emissiebeperkende maatregelen gedeeld door de emissiereductie, uitgedrukt in euro per kilogram emissiereductie;</w:t>
      </w:r>
    </w:p>
    <w:p w:rsidR="00296032" w:rsidRPr="00620047" w:rsidRDefault="00296032">
      <w:pPr>
        <w:pStyle w:val="begrip"/>
      </w:pPr>
      <w:r w:rsidRPr="00620047">
        <w:rPr>
          <w:i/>
        </w:rPr>
        <w:t>maximaal toelaatbaar risiconiveau</w:t>
      </w:r>
      <w:r w:rsidRPr="00620047">
        <w:t>: een op basis van wetenschappelijke gegevens afgeleide norm voor een stof die aangeeft bij welke concentratie in lucht:</w:t>
      </w:r>
    </w:p>
    <w:p w:rsidR="00296032" w:rsidRPr="00620047" w:rsidRDefault="00296032">
      <w:pPr>
        <w:pStyle w:val="art2enivo"/>
      </w:pPr>
      <w:r w:rsidRPr="00620047">
        <w:t xml:space="preserve">1° </w:t>
      </w:r>
      <w:r w:rsidRPr="00620047">
        <w:tab/>
        <w:t>voor ecosystemen geen onomkeerbaar nadelig effect te verwachten is;</w:t>
      </w:r>
    </w:p>
    <w:p w:rsidR="00296032" w:rsidRPr="00620047" w:rsidRDefault="00296032">
      <w:pPr>
        <w:pStyle w:val="art2enivo"/>
      </w:pPr>
      <w:r w:rsidRPr="00620047">
        <w:t xml:space="preserve">2° </w:t>
      </w:r>
      <w:r w:rsidRPr="00620047">
        <w:tab/>
        <w:t>voor de mens geen onomkeerbaar nadelig effect te verwachten is, of, met betrekking tot genotoxisch carcinogene stoffen, de kans op overlijden kleiner is dan 10</w:t>
      </w:r>
      <w:r w:rsidRPr="00620047">
        <w:rPr>
          <w:vertAlign w:val="superscript"/>
        </w:rPr>
        <w:t>-6</w:t>
      </w:r>
      <w:r w:rsidRPr="00620047">
        <w:t xml:space="preserve"> per jaar;</w:t>
      </w:r>
    </w:p>
    <w:p w:rsidR="00296032" w:rsidRPr="00620047" w:rsidRDefault="00296032">
      <w:pPr>
        <w:pStyle w:val="begrip"/>
      </w:pPr>
      <w:r w:rsidRPr="00620047">
        <w:rPr>
          <w:i/>
          <w:iCs/>
        </w:rPr>
        <w:t>meetmethode:</w:t>
      </w:r>
      <w:r w:rsidRPr="00620047">
        <w:t xml:space="preserve"> het geheel van monsterneming, monsterbehandeling en analyse ten behoeve van de kwantificering van emissies;</w:t>
      </w:r>
    </w:p>
    <w:p w:rsidR="00296032" w:rsidRPr="00620047" w:rsidRDefault="00296032">
      <w:pPr>
        <w:pStyle w:val="begrip"/>
      </w:pPr>
      <w:r w:rsidRPr="00620047">
        <w:rPr>
          <w:i/>
        </w:rPr>
        <w:t>standaardluchtcondities</w:t>
      </w:r>
      <w:r w:rsidRPr="00620047">
        <w:t>: condities van de lucht bij een temperatuur van 273 K, 101,3 kPa en betrokken op droge lucht;</w:t>
      </w:r>
    </w:p>
    <w:p w:rsidR="00296032" w:rsidRPr="00620047" w:rsidRDefault="00296032">
      <w:pPr>
        <w:pStyle w:val="begrip"/>
      </w:pPr>
      <w:r w:rsidRPr="00620047">
        <w:rPr>
          <w:i/>
        </w:rPr>
        <w:t>storingsemissie</w:t>
      </w:r>
      <w:r w:rsidRPr="00620047">
        <w:t>: de toename van de vracht van de emissie, uitgedrukt in g/uur, bij het falen van een reinigingstechniek of procesgeïntegreerde maatregel. Deze wordt berekend als het verschil tussen de ongereinigde massastroom en de massastroom berekend uit het debiet vermenigvuldigd met de geldende emissieconcentratie;</w:t>
      </w:r>
    </w:p>
    <w:p w:rsidR="00296032" w:rsidRPr="00620047" w:rsidRDefault="00296032">
      <w:pPr>
        <w:pStyle w:val="begrip"/>
      </w:pPr>
      <w:r w:rsidRPr="00620047">
        <w:rPr>
          <w:i/>
        </w:rPr>
        <w:t>storingsfactor F</w:t>
      </w:r>
      <w:r w:rsidRPr="00620047">
        <w:t>: de storingsemissie gedeeld door de grensmassastroom;</w:t>
      </w:r>
    </w:p>
    <w:p w:rsidR="00296032" w:rsidRPr="00620047" w:rsidRDefault="00296032">
      <w:pPr>
        <w:pStyle w:val="begrip"/>
      </w:pPr>
      <w:r w:rsidRPr="00620047">
        <w:rPr>
          <w:i/>
        </w:rPr>
        <w:t>TEQ:</w:t>
      </w:r>
      <w:r w:rsidRPr="00620047">
        <w:t xml:space="preserve"> toxische equivalentiefactor, te hanteren voor het bepalen van de totale concentratie van dioxinen en furanen;</w:t>
      </w:r>
    </w:p>
    <w:p w:rsidR="00296032" w:rsidRPr="00620047" w:rsidRDefault="00296032">
      <w:pPr>
        <w:pStyle w:val="begrip"/>
      </w:pPr>
      <w:r w:rsidRPr="00620047">
        <w:rPr>
          <w:i/>
          <w:iCs/>
        </w:rPr>
        <w:t>stofcategorie:</w:t>
      </w:r>
      <w:r w:rsidRPr="00620047">
        <w:t xml:space="preserve"> clustering van stoffen op basis van vergelijkbare fysische of chemische eigenschappen;</w:t>
      </w:r>
    </w:p>
    <w:p w:rsidR="00296032" w:rsidRPr="00620047" w:rsidRDefault="00296032">
      <w:pPr>
        <w:pStyle w:val="begrip"/>
      </w:pPr>
      <w:r w:rsidRPr="00620047">
        <w:rPr>
          <w:i/>
          <w:iCs/>
        </w:rPr>
        <w:t>stofklasse:</w:t>
      </w:r>
      <w:r w:rsidRPr="00620047">
        <w:t xml:space="preserve"> onderverdeling binnen een stofcategorie op basis van vergelijkbare (toxicologische) eigenschappen;</w:t>
      </w:r>
    </w:p>
    <w:p w:rsidR="00296032" w:rsidRPr="00620047" w:rsidRDefault="00296032">
      <w:pPr>
        <w:pStyle w:val="begrip"/>
      </w:pPr>
      <w:r w:rsidRPr="00620047">
        <w:rPr>
          <w:i/>
        </w:rPr>
        <w:t>ERS:</w:t>
      </w:r>
      <w:r w:rsidRPr="00620047">
        <w:t xml:space="preserve"> stofklasse van extreem risicovolle stoffen: persistente, gemakkelijk accumuleerbare en zeer toxische stof;</w:t>
      </w:r>
    </w:p>
    <w:p w:rsidR="00296032" w:rsidRPr="00620047" w:rsidRDefault="00296032">
      <w:pPr>
        <w:pStyle w:val="begrip"/>
      </w:pPr>
      <w:r w:rsidRPr="00620047">
        <w:rPr>
          <w:i/>
          <w:iCs/>
        </w:rPr>
        <w:t>gA:</w:t>
      </w:r>
      <w:r w:rsidRPr="00620047">
        <w:t xml:space="preserve"> stofcategorie van gasvormige anorganische stoffen;</w:t>
      </w:r>
    </w:p>
    <w:p w:rsidR="00296032" w:rsidRPr="00620047" w:rsidRDefault="00296032">
      <w:pPr>
        <w:pStyle w:val="begrip"/>
      </w:pPr>
      <w:r w:rsidRPr="00620047">
        <w:rPr>
          <w:i/>
          <w:iCs/>
        </w:rPr>
        <w:t>gO:</w:t>
      </w:r>
      <w:r w:rsidRPr="00620047">
        <w:t xml:space="preserve"> stofcategorie van gasvormige organische stoffen met uitzondering van methaan;</w:t>
      </w:r>
    </w:p>
    <w:p w:rsidR="00296032" w:rsidRPr="00620047" w:rsidRDefault="00296032">
      <w:pPr>
        <w:pStyle w:val="begrip"/>
      </w:pPr>
      <w:r w:rsidRPr="00620047">
        <w:rPr>
          <w:i/>
          <w:iCs/>
        </w:rPr>
        <w:t>MVP:</w:t>
      </w:r>
      <w:r w:rsidRPr="00620047">
        <w:t xml:space="preserve"> stofklasse van minimalisatieverplichte stoffen;</w:t>
      </w:r>
    </w:p>
    <w:p w:rsidR="00296032" w:rsidRPr="00620047" w:rsidRDefault="00296032">
      <w:pPr>
        <w:pStyle w:val="begrip"/>
      </w:pPr>
      <w:r w:rsidRPr="00620047">
        <w:rPr>
          <w:i/>
          <w:iCs/>
        </w:rPr>
        <w:t>puntbron:</w:t>
      </w:r>
      <w:r w:rsidRPr="00620047">
        <w:t xml:space="preserve"> een gefixeerd punt van gekanaliseerde en daarmee in principe kwantificeerbare emissies naar de lucht;</w:t>
      </w:r>
    </w:p>
    <w:p w:rsidR="00296032" w:rsidRPr="00620047" w:rsidRDefault="00296032">
      <w:pPr>
        <w:pStyle w:val="begrip"/>
      </w:pPr>
      <w:r w:rsidRPr="00620047">
        <w:rPr>
          <w:i/>
          <w:iCs/>
        </w:rPr>
        <w:t>S:</w:t>
      </w:r>
      <w:r w:rsidRPr="00620047">
        <w:t xml:space="preserve"> stofcategorie van zwevende deeltjes, uitgedrukt als totaal stof;</w:t>
      </w:r>
    </w:p>
    <w:p w:rsidR="00296032" w:rsidRPr="00620047" w:rsidRDefault="00296032">
      <w:pPr>
        <w:pStyle w:val="begrip"/>
      </w:pPr>
      <w:r w:rsidRPr="00620047">
        <w:rPr>
          <w:i/>
          <w:iCs/>
        </w:rPr>
        <w:t>sO:</w:t>
      </w:r>
      <w:r w:rsidRPr="00620047">
        <w:t xml:space="preserve"> stofcategorie van stofvormige organische stoffen;</w:t>
      </w:r>
    </w:p>
    <w:p w:rsidR="00296032" w:rsidRPr="00620047" w:rsidRDefault="00296032">
      <w:pPr>
        <w:pStyle w:val="begrip"/>
      </w:pPr>
      <w:r w:rsidRPr="00620047">
        <w:rPr>
          <w:i/>
          <w:iCs/>
        </w:rPr>
        <w:t>sA:</w:t>
      </w:r>
      <w:r w:rsidRPr="00620047">
        <w:t xml:space="preserve"> stofcategorie van stofvormige anorganische stoffen.</w:t>
      </w:r>
    </w:p>
    <w:p w:rsidR="00296032" w:rsidRPr="00620047" w:rsidRDefault="00296032">
      <w:pPr>
        <w:pStyle w:val="begrip"/>
        <w:rPr>
          <w:bCs/>
        </w:rPr>
      </w:pPr>
      <w:r w:rsidRPr="00620047">
        <w:rPr>
          <w:bCs/>
          <w:i/>
        </w:rPr>
        <w:t>ZZS</w:t>
      </w:r>
      <w:r w:rsidRPr="00620047">
        <w:rPr>
          <w:bCs/>
        </w:rPr>
        <w:t>: stofcategorie van zeer zorgwekkende stoffen, onderverdeeld in de stofklassen ERS, MVP1 en MVP2.</w:t>
      </w:r>
    </w:p>
    <w:p w:rsidR="00296032" w:rsidRPr="00620047" w:rsidRDefault="00296032">
      <w:pPr>
        <w:pStyle w:val="art1enivo"/>
      </w:pPr>
      <w:r w:rsidRPr="00620047">
        <w:rPr>
          <w:b/>
        </w:rPr>
        <w:t xml:space="preserve">3. </w:t>
      </w:r>
      <w:r w:rsidRPr="00620047">
        <w:rPr>
          <w:b/>
        </w:rPr>
        <w:tab/>
      </w:r>
      <w:r w:rsidRPr="00620047">
        <w:t>Bij ministeriële regeling kunnen, in het belang van de bescherming van het milieu, regels worden gesteld over de aanwijzing van stoffen en de onderverdeling van stofklassen en stofcategorieën als bedoeld in het tweede lid.</w:t>
      </w:r>
    </w:p>
    <w:p w:rsidR="00296032" w:rsidRPr="00620047" w:rsidRDefault="00296032">
      <w:pPr>
        <w:pStyle w:val="art1enivo"/>
      </w:pPr>
      <w:r w:rsidRPr="00620047">
        <w:rPr>
          <w:b/>
        </w:rPr>
        <w:t>4.</w:t>
      </w:r>
      <w:r w:rsidRPr="00620047">
        <w:rPr>
          <w:b/>
        </w:rPr>
        <w:tab/>
      </w:r>
      <w:r w:rsidRPr="00620047">
        <w:t>Een wijziging van artikel 3, onder f en i, van richtlijn nr. 2002/49/EG van het Europees Parlement en de Raad van de Europese Unie van 25 juni 2002, inzake de evaluatie en de beheersing van omgevingslawaai, gaat voor de toepassing van de in het eerste lid gegeven omschrijving van L</w:t>
      </w:r>
      <w:r w:rsidRPr="00620047">
        <w:rPr>
          <w:vertAlign w:val="subscript"/>
        </w:rPr>
        <w:t>den</w:t>
      </w:r>
      <w:r w:rsidRPr="00620047">
        <w:t xml:space="preserve"> en L</w:t>
      </w:r>
      <w:r w:rsidRPr="00620047">
        <w:rPr>
          <w:vertAlign w:val="subscript"/>
        </w:rPr>
        <w:t>night</w:t>
      </w:r>
      <w:r w:rsidRPr="00620047">
        <w:t xml:space="preserve"> gelden met ingang van de dag waarop aan de betrokken wijzigingsrichtlijn uitvoering moet zijn gegeven, tenzij bij ministerieel besluit, dat in de Staatscourant wordt bekendgemaakt, een ander tijdstip wordt vastgesteld.</w:t>
      </w:r>
    </w:p>
    <w:p w:rsidR="00296032" w:rsidRPr="00296032" w:rsidRDefault="00296032">
      <w:pPr>
        <w:pStyle w:val="artikelkop"/>
      </w:pPr>
      <w:r w:rsidRPr="00296032">
        <w:t>Artikel 1.2</w:t>
      </w:r>
    </w:p>
    <w:p w:rsidR="00296032" w:rsidRPr="00620047" w:rsidRDefault="00296032">
      <w:pPr>
        <w:pStyle w:val="artplat"/>
      </w:pPr>
      <w:r w:rsidRPr="00620047">
        <w:t>In dit besluit en de daarop berustende bepalingen wordt verstaan onder:</w:t>
      </w:r>
    </w:p>
    <w:p w:rsidR="00296032" w:rsidRPr="00620047" w:rsidRDefault="00296032">
      <w:pPr>
        <w:pStyle w:val="begrip"/>
      </w:pPr>
      <w:r w:rsidRPr="00620047">
        <w:rPr>
          <w:i/>
          <w:iCs/>
        </w:rPr>
        <w:t>bevoegd gezag:</w:t>
      </w:r>
      <w:r w:rsidRPr="00620047">
        <w:t xml:space="preserve"> bevoegd gezag als bedoeld in artikel 1.1 van de wet, alsmede:</w:t>
      </w:r>
    </w:p>
    <w:p w:rsidR="00296032" w:rsidRPr="00620047" w:rsidRDefault="00296032">
      <w:pPr>
        <w:pStyle w:val="art2enivo"/>
      </w:pPr>
      <w:r w:rsidRPr="00620047">
        <w:t>a.</w:t>
      </w:r>
      <w:r w:rsidRPr="00620047">
        <w:tab/>
        <w:t>het bestuursorgaan dat bevoegd zou zijn een omgevingsvergunning voor de betrokken inrichting te verlenen;</w:t>
      </w:r>
    </w:p>
    <w:p w:rsidR="00296032" w:rsidRPr="00620047" w:rsidRDefault="00296032">
      <w:pPr>
        <w:pStyle w:val="art2enivo"/>
      </w:pPr>
      <w:r w:rsidRPr="00620047">
        <w:t>b.</w:t>
      </w:r>
      <w:r w:rsidRPr="00620047">
        <w:tab/>
        <w:t>de beheerder, indien het lozen betreft als bedoeld in artikel 6.2 van de Waterwet;</w:t>
      </w:r>
    </w:p>
    <w:p w:rsidR="00296032" w:rsidRPr="00620047" w:rsidRDefault="00296032">
      <w:pPr>
        <w:pStyle w:val="art2enivo"/>
      </w:pPr>
      <w:r w:rsidRPr="00620047">
        <w:t>c.</w:t>
      </w:r>
      <w:r w:rsidRPr="00620047">
        <w:tab/>
        <w:t>burgemeester en wethouders, indien het lozen betreft als bedoeld in artikel 10.32 van de wet;</w:t>
      </w:r>
    </w:p>
    <w:p w:rsidR="00296032" w:rsidRPr="00620047" w:rsidRDefault="00296032">
      <w:pPr>
        <w:pStyle w:val="art2enivo"/>
      </w:pPr>
      <w:r w:rsidRPr="00620047">
        <w:t>d.</w:t>
      </w:r>
      <w:r w:rsidRPr="00620047">
        <w:tab/>
        <w:t>gedeputeerde staten van de provincie waar het lozen in de bodem plaatsvindt, indien dat lozen plaatsvindt anders dan vanuit een inrichting en geheel of gedeeltelijk plaatsvindt op een diepte van meer dan 10 meter beneden het maaiveld;</w:t>
      </w:r>
    </w:p>
    <w:p w:rsidR="00296032" w:rsidRPr="00620047" w:rsidRDefault="00296032">
      <w:pPr>
        <w:pStyle w:val="art2enivo"/>
      </w:pPr>
      <w:r w:rsidRPr="00620047">
        <w:t>e.</w:t>
      </w:r>
      <w:r w:rsidRPr="00620047">
        <w:tab/>
        <w:t>burgemeester en wethouders van de gemeente waar het lozen op of in de bodem plaatsvindt, indien dat lozen plaatsvindt anders dan vanuit een inrichting, niet zijnde lozen in de bodem als bedoeld in onderdeel d;</w:t>
      </w:r>
    </w:p>
    <w:p w:rsidR="00296032" w:rsidRPr="00620047" w:rsidRDefault="00296032">
      <w:pPr>
        <w:widowControl w:val="0"/>
        <w:autoSpaceDE w:val="0"/>
        <w:autoSpaceDN w:val="0"/>
        <w:adjustRightInd w:val="0"/>
        <w:rPr>
          <w:rFonts w:cs="Arial"/>
          <w:szCs w:val="20"/>
        </w:rPr>
      </w:pPr>
    </w:p>
    <w:p w:rsidR="00296032" w:rsidRPr="00620047" w:rsidRDefault="00296032">
      <w:pPr>
        <w:pStyle w:val="begrip"/>
      </w:pPr>
      <w:r w:rsidRPr="00620047">
        <w:t>inrichting type A: een inrichting:</w:t>
      </w:r>
    </w:p>
    <w:p w:rsidR="00296032" w:rsidRPr="00620047" w:rsidRDefault="00296032">
      <w:pPr>
        <w:pStyle w:val="art2enivo"/>
      </w:pPr>
      <w:r w:rsidRPr="00620047">
        <w:t>a.</w:t>
      </w:r>
      <w:r w:rsidRPr="00620047">
        <w:tab/>
        <w:t>waarvoor geen omgevingsvergunning is vereist voor een activiteit als bedoeld in artikel 2.1, eerste lid, onder e, van de Wet algemene bepalingen omgevingsrecht;</w:t>
      </w:r>
    </w:p>
    <w:p w:rsidR="00296032" w:rsidRPr="00620047" w:rsidRDefault="00296032">
      <w:pPr>
        <w:pStyle w:val="art2enivo"/>
      </w:pPr>
      <w:r w:rsidRPr="00620047">
        <w:t>b.</w:t>
      </w:r>
      <w:r w:rsidRPr="00620047">
        <w:tab/>
        <w:t>waar, indien binnen een afstand van 50 meter van de grens van de inrichting gevoelige objecten aanwezig zijn, in de periode tussen 19.00 en 7.00 uur gemiddeld vier of minder transportbewegingen, als bedoeld in artikel 1.11, eerste lid, plaatsvinden met motorvoertuigen waarvan de massa van het ledig voertuig vermeerderd met het laadvermogen meer dan 3500 kilogram is;</w:t>
      </w:r>
    </w:p>
    <w:p w:rsidR="00296032" w:rsidRPr="00620047" w:rsidRDefault="00296032">
      <w:pPr>
        <w:pStyle w:val="art2enivo"/>
      </w:pPr>
      <w:r w:rsidRPr="00620047">
        <w:t>c.</w:t>
      </w:r>
      <w:r w:rsidRPr="00620047">
        <w:tab/>
        <w:t>waarbij mede op basis van de aard van de inrichting, niet aannemelijk is dat in enig vertrek van de inrichting het equivalente geluidsniveau (Leq) veroorzaakt door de ten gehore gebrachte muziek in de representatieve bedrijfssituatie, meer bedraagt dan:</w:t>
      </w:r>
    </w:p>
    <w:p w:rsidR="00296032" w:rsidRPr="00620047" w:rsidRDefault="00296032">
      <w:pPr>
        <w:pStyle w:val="art2enivo"/>
      </w:pPr>
      <w:r w:rsidRPr="00620047">
        <w:t>1°.</w:t>
      </w:r>
      <w:r w:rsidRPr="00620047">
        <w:tab/>
        <w:t>70 dB(A), indien dit vertrek in- of aanpandig is gelegen met gevoelige gebouwen;</w:t>
      </w:r>
    </w:p>
    <w:p w:rsidR="00296032" w:rsidRPr="00620047" w:rsidRDefault="00296032">
      <w:pPr>
        <w:pStyle w:val="art2enivo"/>
      </w:pPr>
      <w:r w:rsidRPr="00620047">
        <w:t>2°.</w:t>
      </w:r>
      <w:r w:rsidRPr="00620047">
        <w:tab/>
        <w:t>80 dB(A), indien onderdeel 1° niet van toepassing is;</w:t>
      </w:r>
    </w:p>
    <w:p w:rsidR="00296032" w:rsidRPr="00620047" w:rsidRDefault="00296032">
      <w:pPr>
        <w:pStyle w:val="art2enivo"/>
      </w:pPr>
      <w:r w:rsidRPr="00620047">
        <w:t>d.</w:t>
      </w:r>
      <w:r w:rsidRPr="00620047">
        <w:tab/>
        <w:t>waar in de buitenlucht of op een open terrein van de inrichting geen muziek ten gehore wordt gebracht;</w:t>
      </w:r>
    </w:p>
    <w:p w:rsidR="00296032" w:rsidRPr="00620047" w:rsidRDefault="00296032">
      <w:pPr>
        <w:pStyle w:val="art2enivo"/>
      </w:pPr>
      <w:r w:rsidRPr="00620047">
        <w:t>e.</w:t>
      </w:r>
      <w:r w:rsidRPr="00620047">
        <w:tab/>
        <w:t>waar in de buitenlucht geen oefenterrein voor motorvoertuigen aanwezig is;</w:t>
      </w:r>
    </w:p>
    <w:p w:rsidR="00296032" w:rsidRPr="00620047" w:rsidRDefault="00296032">
      <w:pPr>
        <w:pStyle w:val="art2enivo"/>
      </w:pPr>
      <w:r w:rsidRPr="00620047">
        <w:t>f.</w:t>
      </w:r>
      <w:r w:rsidRPr="00620047">
        <w:tab/>
        <w:t>waar geen koelinstallatie aanwezig is die volgens de gebruiksaanwijzing behoort te zijn gevuld met meer dan 30 kilogram synthetisch koudemiddel; en</w:t>
      </w:r>
    </w:p>
    <w:p w:rsidR="00296032" w:rsidRPr="00620047" w:rsidRDefault="00296032">
      <w:pPr>
        <w:pStyle w:val="art2enivo"/>
      </w:pPr>
      <w:r w:rsidRPr="00620047">
        <w:t>g.</w:t>
      </w:r>
      <w:r w:rsidRPr="00620047">
        <w:tab/>
        <w:t>waar geen activiteiten worden verricht met afvalstoffen die van buiten de inrichting afkomstig zijn;</w:t>
      </w:r>
    </w:p>
    <w:p w:rsidR="00296032" w:rsidRPr="00620047" w:rsidRDefault="00296032">
      <w:pPr>
        <w:pStyle w:val="art2enivo"/>
      </w:pPr>
      <w:r w:rsidRPr="00620047">
        <w:t xml:space="preserve">h. </w:t>
      </w:r>
      <w:r w:rsidRPr="00620047">
        <w:tab/>
        <w:t>waar geen gemotoriseerde modelvliegtuigen, modelvaartuigen of modelvoertuigen in de open lucht worden gebruikt;</w:t>
      </w:r>
    </w:p>
    <w:p w:rsidR="00296032" w:rsidRPr="00620047" w:rsidRDefault="00296032">
      <w:pPr>
        <w:pStyle w:val="art2enivo"/>
      </w:pPr>
      <w:r w:rsidRPr="00620047">
        <w:t>i.</w:t>
      </w:r>
      <w:r w:rsidRPr="00620047">
        <w:tab/>
        <w:t>waarbinnen geen van de bij of krachtens de hoofdstukken 3 en 4 genoemde activiteiten of slechts één of meer van de volgende activiteiten dan wel deelactiviteiten worden verricht:</w:t>
      </w:r>
    </w:p>
    <w:p w:rsidR="00296032" w:rsidRPr="00620047" w:rsidRDefault="00296032">
      <w:pPr>
        <w:pStyle w:val="art3enivo"/>
      </w:pPr>
      <w:r w:rsidRPr="00620047">
        <w:t>1°.</w:t>
      </w:r>
      <w:r w:rsidRPr="00620047">
        <w:tab/>
        <w:t>het vervaardigen van voedingsmiddelen voor personen die wonen of werken in de inrichting;</w:t>
      </w:r>
    </w:p>
    <w:p w:rsidR="00296032" w:rsidRPr="00620047" w:rsidRDefault="00296032">
      <w:pPr>
        <w:pStyle w:val="art3enivo"/>
      </w:pPr>
      <w:r w:rsidRPr="00620047">
        <w:t>2°.</w:t>
      </w:r>
      <w:r w:rsidRPr="00620047">
        <w:tab/>
        <w:t>het in werking hebben van stookinstallaties voor de verwarming van gebouwen of de verwarming van tapwater;</w:t>
      </w:r>
    </w:p>
    <w:p w:rsidR="00296032" w:rsidRPr="00620047" w:rsidRDefault="00296032">
      <w:pPr>
        <w:pStyle w:val="art3enivo"/>
      </w:pPr>
      <w:r w:rsidRPr="00620047">
        <w:t>3°.</w:t>
      </w:r>
      <w:r w:rsidRPr="00620047">
        <w:tab/>
        <w:t>het bieden van parkeergelegenheid in een parkeergarage voor maximaal 30 personenauto’s;</w:t>
      </w:r>
    </w:p>
    <w:p w:rsidR="00296032" w:rsidRPr="00620047" w:rsidRDefault="00296032">
      <w:pPr>
        <w:pStyle w:val="art3enivo"/>
      </w:pPr>
      <w:r w:rsidRPr="00620047">
        <w:t>4°.</w:t>
      </w:r>
      <w:r w:rsidRPr="00620047">
        <w:tab/>
        <w:t>het aanwezig hebben van een noodstroomaggregaat dat niet meer dan 50 uren per jaar in werking is;</w:t>
      </w:r>
    </w:p>
    <w:p w:rsidR="00296032" w:rsidRPr="00620047" w:rsidRDefault="00296032">
      <w:pPr>
        <w:pStyle w:val="art3enivo"/>
      </w:pPr>
      <w:r w:rsidRPr="00620047">
        <w:t>5°.</w:t>
      </w:r>
      <w:r w:rsidRPr="00620047">
        <w:tab/>
        <w:t>het lozen van huishoudelijk afvalwater in een vuilwaterriool;</w:t>
      </w:r>
    </w:p>
    <w:p w:rsidR="00296032" w:rsidRPr="00620047" w:rsidRDefault="00296032">
      <w:pPr>
        <w:pStyle w:val="art3enivo"/>
      </w:pPr>
      <w:r w:rsidRPr="00620047">
        <w:t>6°.</w:t>
      </w:r>
      <w:r w:rsidRPr="00620047">
        <w:tab/>
        <w:t>het lozen van afvloeiend hemelwater dat niet afkomstig is van een bodembeschermende voorziening;</w:t>
      </w:r>
    </w:p>
    <w:p w:rsidR="00296032" w:rsidRPr="00620047" w:rsidRDefault="00296032">
      <w:pPr>
        <w:pStyle w:val="art3enivo"/>
      </w:pPr>
      <w:r w:rsidRPr="00620047">
        <w:t>7°.</w:t>
      </w:r>
      <w:r w:rsidRPr="00620047">
        <w:tab/>
        <w:t>het lozen van koelwater anders dan in een vuilwaterriool;</w:t>
      </w:r>
    </w:p>
    <w:p w:rsidR="00296032" w:rsidRPr="00620047" w:rsidRDefault="00296032">
      <w:pPr>
        <w:pStyle w:val="art3enivo"/>
      </w:pPr>
      <w:r w:rsidRPr="00620047">
        <w:t>8°.</w:t>
      </w:r>
      <w:r w:rsidRPr="00620047">
        <w:tab/>
        <w:t>het lozen van grondwater bij ontwatering, niet zijnde grondwater als bedoeld in artikel 3.1, eerste lid, op of in de bodem of met een duur van ten hoogste 48 uur;</w:t>
      </w:r>
    </w:p>
    <w:p w:rsidR="00296032" w:rsidRPr="00620047" w:rsidRDefault="00296032">
      <w:pPr>
        <w:pStyle w:val="art3enivo"/>
      </w:pPr>
      <w:r w:rsidRPr="00620047">
        <w:t>9°</w:t>
      </w:r>
      <w:r w:rsidRPr="00620047">
        <w:tab/>
        <w:t>het opslaan in opslagtanks van maximaal 1.000 liter gasolie of biodiesel die voldoet aan NEN-EN 14214;</w:t>
      </w:r>
    </w:p>
    <w:p w:rsidR="00296032" w:rsidRPr="00620047" w:rsidRDefault="00296032">
      <w:pPr>
        <w:pStyle w:val="art3enivo"/>
      </w:pPr>
      <w:r w:rsidRPr="00620047">
        <w:t>10°</w:t>
      </w:r>
      <w:r w:rsidRPr="00620047">
        <w:tab/>
        <w:t>het opslaan in opslagtanks van stoffen niet zijnde gevaarlijke stoffen, minerale olie of biodiesel die voldoet aan NEN-EN 14214;</w:t>
      </w:r>
    </w:p>
    <w:p w:rsidR="00296032" w:rsidRPr="00620047" w:rsidRDefault="00296032">
      <w:pPr>
        <w:pStyle w:val="art3enivo"/>
      </w:pPr>
      <w:r w:rsidRPr="00620047">
        <w:t>11°.</w:t>
      </w:r>
      <w:r w:rsidRPr="00620047">
        <w:tab/>
        <w:t>het opslaan van gevaarlijke stoffen als bedoeld in artikel 7.6, tweede lid en derde lid, onder a tot en met d, van het Bouwbesluit 2012;</w:t>
      </w:r>
    </w:p>
    <w:p w:rsidR="00296032" w:rsidRPr="00620047" w:rsidRDefault="00296032">
      <w:pPr>
        <w:pStyle w:val="art3enivo"/>
      </w:pPr>
      <w:r w:rsidRPr="00620047">
        <w:t>12°.</w:t>
      </w:r>
      <w:r w:rsidRPr="00620047">
        <w:tab/>
        <w:t>het opslaan in verpakking van maximaal 50 liter gasolie of biodiesel die voldoet aan NEN-EN 14214;</w:t>
      </w:r>
    </w:p>
    <w:p w:rsidR="00296032" w:rsidRPr="00620047" w:rsidRDefault="00296032">
      <w:pPr>
        <w:pStyle w:val="art3enivo"/>
      </w:pPr>
      <w:r w:rsidRPr="00620047">
        <w:t>13°.</w:t>
      </w:r>
      <w:r w:rsidRPr="00620047">
        <w:tab/>
        <w:t>het opslaan in verpakking van stoffen, niet zijnde gevaarlijke stoffen;</w:t>
      </w:r>
    </w:p>
    <w:p w:rsidR="00296032" w:rsidRPr="00620047" w:rsidRDefault="00296032">
      <w:pPr>
        <w:pStyle w:val="art3enivo"/>
      </w:pPr>
      <w:r w:rsidRPr="00620047">
        <w:t>14°.</w:t>
      </w:r>
      <w:r w:rsidRPr="00620047">
        <w:tab/>
        <w:t>het lozen ten gevolge van reinigingswerkzaamheden aan vaste objecten, die periodiek worden uitgevoerd en waarbij uitsluitend vuilafzetting wordt verwijderd;</w:t>
      </w:r>
    </w:p>
    <w:p w:rsidR="00296032" w:rsidRPr="00620047" w:rsidRDefault="00296032">
      <w:pPr>
        <w:pStyle w:val="art3enivo"/>
      </w:pPr>
      <w:r w:rsidRPr="00620047">
        <w:t xml:space="preserve">15°. </w:t>
      </w:r>
      <w:r w:rsidRPr="00620047">
        <w:tab/>
        <w:t>het in werking hebben van een acculader;</w:t>
      </w:r>
    </w:p>
    <w:p w:rsidR="00296032" w:rsidRPr="00620047" w:rsidRDefault="00296032">
      <w:pPr>
        <w:pStyle w:val="art3enivo"/>
      </w:pPr>
      <w:r w:rsidRPr="00620047">
        <w:t xml:space="preserve">16°. </w:t>
      </w:r>
      <w:r w:rsidRPr="00620047">
        <w:tab/>
        <w:t>Het op- en overslaan van inerte goederen die niet stuifgevoelig zijn;</w:t>
      </w:r>
    </w:p>
    <w:p w:rsidR="00296032" w:rsidRPr="00620047" w:rsidRDefault="00296032">
      <w:pPr>
        <w:widowControl w:val="0"/>
        <w:autoSpaceDE w:val="0"/>
        <w:autoSpaceDN w:val="0"/>
        <w:adjustRightInd w:val="0"/>
        <w:rPr>
          <w:rFonts w:cs="Arial"/>
          <w:szCs w:val="20"/>
        </w:rPr>
      </w:pPr>
    </w:p>
    <w:p w:rsidR="00296032" w:rsidRPr="00620047" w:rsidRDefault="00296032">
      <w:pPr>
        <w:pStyle w:val="begrip"/>
      </w:pPr>
      <w:r w:rsidRPr="00620047">
        <w:rPr>
          <w:i/>
          <w:iCs/>
        </w:rPr>
        <w:t>inrichting type B:</w:t>
      </w:r>
      <w:r w:rsidRPr="00620047">
        <w:t xml:space="preserve"> een inrichting waarvoor geen omgevingsvergunning is vereist voor een activiteit als bedoeld in artikel 2.1, eerste lid, onder e, van de Wet algemene bepalingen omgevingsrecht en die geen inrichting type A is;</w:t>
      </w:r>
    </w:p>
    <w:p w:rsidR="00296032" w:rsidRPr="00620047" w:rsidRDefault="00296032">
      <w:pPr>
        <w:pStyle w:val="begrip"/>
      </w:pPr>
      <w:r w:rsidRPr="00620047">
        <w:rPr>
          <w:i/>
          <w:iCs/>
        </w:rPr>
        <w:t>inrichting type C:</w:t>
      </w:r>
      <w:r w:rsidRPr="00620047">
        <w:t xml:space="preserve"> een inrichting die behoort tot een categorie van inrichtingen die op grond van artikel 1.1, derde lid, van de Wet algemene bepalingen omgevingsrecht is aangewezen;</w:t>
      </w:r>
    </w:p>
    <w:p w:rsidR="00296032" w:rsidRPr="00620047" w:rsidRDefault="00296032">
      <w:pPr>
        <w:pStyle w:val="begrip"/>
      </w:pPr>
      <w:r w:rsidRPr="00620047">
        <w:rPr>
          <w:i/>
          <w:iCs/>
        </w:rPr>
        <w:t xml:space="preserve">maatwerkvoorschrift: </w:t>
      </w:r>
      <w:r w:rsidRPr="00620047">
        <w:t>voorschrift als bedoeld in de artikelen 8.42, eerste lid, en 10.32 van de wet, artikel 17, derde lid, en artikel 65, eerste lid, van de Wet bodembescherming en artikel 6.6, tweede lid, van de Waterwet, inhoudende:</w:t>
      </w:r>
    </w:p>
    <w:p w:rsidR="00296032" w:rsidRPr="00620047" w:rsidRDefault="00296032">
      <w:pPr>
        <w:pStyle w:val="art2enivo"/>
      </w:pPr>
      <w:r w:rsidRPr="00620047">
        <w:t>a.</w:t>
      </w:r>
      <w:r w:rsidRPr="00620047">
        <w:tab/>
        <w:t>een beschikking waarbij het bevoegd gezag aanvullende eisen stelt, dan wel</w:t>
      </w:r>
    </w:p>
    <w:p w:rsidR="00296032" w:rsidRPr="00620047" w:rsidRDefault="00296032">
      <w:pPr>
        <w:pStyle w:val="art2enivo"/>
      </w:pPr>
      <w:r w:rsidRPr="00620047">
        <w:t>b.</w:t>
      </w:r>
      <w:r w:rsidRPr="00620047">
        <w:tab/>
        <w:t>een ontheffing waarbij het bevoegd gezag de daarbij aangewezen bepalingen niet van toepassing verklaart al dan niet onder het stellen van beperkingen of voorwaarden;</w:t>
      </w:r>
    </w:p>
    <w:p w:rsidR="00296032" w:rsidRPr="00620047" w:rsidRDefault="00296032">
      <w:pPr>
        <w:widowControl w:val="0"/>
        <w:autoSpaceDE w:val="0"/>
        <w:autoSpaceDN w:val="0"/>
        <w:adjustRightInd w:val="0"/>
        <w:rPr>
          <w:rFonts w:cs="Arial"/>
          <w:szCs w:val="20"/>
        </w:rPr>
      </w:pPr>
    </w:p>
    <w:p w:rsidR="00BA4D38" w:rsidRDefault="00296032">
      <w:pPr>
        <w:pStyle w:val="begrip"/>
      </w:pPr>
      <w:r w:rsidRPr="00620047">
        <w:rPr>
          <w:i/>
          <w:iCs/>
        </w:rPr>
        <w:t>wet:</w:t>
      </w:r>
      <w:r w:rsidRPr="00620047">
        <w:t xml:space="preserve"> de Wet milieubeheer.</w:t>
      </w:r>
    </w:p>
    <w:p w:rsidR="00BA4D38" w:rsidRDefault="00BA4D38">
      <w:pPr>
        <w:pStyle w:val="begrip"/>
      </w:pPr>
    </w:p>
    <w:p w:rsidR="00296032" w:rsidRPr="00620047" w:rsidRDefault="00296032" w:rsidP="00BA4D38">
      <w:pPr>
        <w:pStyle w:val="begrip"/>
        <w:ind w:left="0"/>
      </w:pPr>
      <w:r w:rsidRPr="00620047">
        <w:t>1.2a</w:t>
      </w:r>
      <w:r w:rsidR="00244F18">
        <w:t xml:space="preserve"> </w:t>
      </w:r>
      <w:r w:rsidRPr="00620047">
        <w:t>[Vervallen per 01-01-2014]</w:t>
      </w:r>
    </w:p>
    <w:p w:rsidR="00296032" w:rsidRPr="00296032" w:rsidRDefault="00296032">
      <w:pPr>
        <w:pStyle w:val="artikelkop"/>
      </w:pPr>
      <w:r w:rsidRPr="00296032">
        <w:t>Artikel 1.3</w:t>
      </w:r>
    </w:p>
    <w:p w:rsidR="00296032" w:rsidRPr="00620047" w:rsidRDefault="00296032">
      <w:pPr>
        <w:pStyle w:val="art1enivo"/>
      </w:pPr>
      <w:r w:rsidRPr="00620047">
        <w:t>1.</w:t>
      </w:r>
      <w:r w:rsidRPr="00620047">
        <w:tab/>
        <w:t>Met goederen als bedoeld bij of krachtens dit besluit worden gelijkgesteld desbetreffende goederen die rechtmatig zijn vervaardigd of in de handel zijn gebracht in een andere lidstaat van de Europese Unie of in een staat, niet zijnde een lidstaat van de Europese Unie, die partij is bij een tot een douane-unie strekkend Verdrag, dan wel rechtmatig zijn vervaardigd in een staat die partij is bij een tot een vrijhandelszone strekkend Verdrag dat Nederland bindt, en die voldoen aan eisen die een beschermingsniveau bieden dat ten minste gelijkwaardig is aan het niveau dat met de nationale eisen wordt nagestreefd.</w:t>
      </w:r>
    </w:p>
    <w:p w:rsidR="00296032" w:rsidRPr="00620047" w:rsidRDefault="00296032">
      <w:pPr>
        <w:pStyle w:val="art1enivo"/>
      </w:pPr>
      <w:r w:rsidRPr="00620047">
        <w:t>2.</w:t>
      </w:r>
      <w:r w:rsidRPr="00620047">
        <w:tab/>
        <w:t>Met keuringsverklaringen als bedoeld bij of krachtens dit besluit worden gelijkgesteld keuringsverklaringen, afgegeven door een onafhankelijke keuringsinstelling in een andere lidstaat van de Europese Unie dan wel in een staat, niet zijnde een lidstaat van de Europese Unie, die partij is bij een daartoe strekkend of mede daartoe strekkend Verdrag dat Nederland bindt, welke verklaring is afgegeven op basis van onderzoekingen die een beschermingsniveau bieden dat ten minste gelijkwaardig is aan het niveau dat met de nationale onderzoekingen wordt nagestreefd.</w:t>
      </w:r>
    </w:p>
    <w:p w:rsidR="00296032" w:rsidRPr="00620047" w:rsidRDefault="00296032">
      <w:pPr>
        <w:pStyle w:val="art1enivo"/>
      </w:pPr>
      <w:r w:rsidRPr="00620047">
        <w:t>3.</w:t>
      </w:r>
      <w:r w:rsidRPr="00620047">
        <w:tab/>
        <w:t>Met beroepseisen als bedoeld bij of krachtens dit besluit worden gelijkgesteld beroepseisen die worden gesteld in een andere lidstaat van de Europese Unie dan wel in een staat, niet zijnde een lidstaat van de Europese Unie, die partij is bij een daartoe strekkend of mede daartoe strekkend Verdrag dat Nederland bindt, en die een beroepsniveau waarborgen dat ten minste gelijkwaardig is aan het niveau dat met de nationale eisen wordt nagestreefd.</w:t>
      </w:r>
    </w:p>
    <w:p w:rsidR="00296032" w:rsidRPr="00620047" w:rsidRDefault="00296032">
      <w:pPr>
        <w:pStyle w:val="art1enivo"/>
      </w:pPr>
      <w:r w:rsidRPr="00620047">
        <w:t>4.</w:t>
      </w:r>
      <w:r w:rsidRPr="00620047">
        <w:tab/>
        <w:t>Met een certificaat of accreditatie als bedoeld bij of krachtens dit besluit of in een bij of krachtens dit besluit genoemde niet-publiekrechtelijke regeling, de NRB, voor zover de tekst daarvan ingevolge het bepaalde krachtens artikel 1.7, derde lid, bij de toepassing van dit besluit in acht moet worden genomen, wordt gelijkgesteld een certificaat of accreditatie afgegeven door een daartoe bevoegde instelling in een andere lidstaat van de Europese Unie dan wel in een staat, niet zijnde een lidstaat van de Europese Unie, die partij is bij een daartoe strekkend of mede daartoe strekkend verdrag dat Nederland bindt, op basis van onderzoekingen of documenten die een beschermingsniveau bieden dat ten minste gelijkwaardig is aan het niveau dat met de nationale onderzoekingen of documenten wordt nagestreefd.</w:t>
      </w:r>
    </w:p>
    <w:p w:rsidR="00296032" w:rsidRDefault="00296032">
      <w:pPr>
        <w:pStyle w:val="art1enivo"/>
      </w:pPr>
      <w:r w:rsidRPr="00620047">
        <w:t>5.</w:t>
      </w:r>
      <w:r w:rsidRPr="00620047">
        <w:tab/>
        <w:t>Met de bij of krachtens dit besluit genoemde niet-publiekrechtelijke regelingen, de NRB, voor zover de tekst daarvan ingevolge het bepaalde krachtens artikel 1.7, derde lid, bij de toepassing van dit besluit in acht moet worden genomen, worden gelijkgesteld regels die zijn vastgesteld en bekendgemaakt in een andere lidstaat van de Europese Unie dan wel in een staat, niet zijnde een lidstaat van de Europese Unie, die partij is bij een daartoe strekkend of mede daartoe strekkend verdrag dat Nederland bindt, en een beschermingsniveau bieden dat ten minste gelijkwaardig is aan het niveau dat met de nationale regels wordt nagestreefd.</w:t>
      </w:r>
    </w:p>
    <w:p w:rsidR="00884E13" w:rsidRDefault="00884E13" w:rsidP="00884E13"/>
    <w:p w:rsidR="00884E13" w:rsidRPr="00802CA9" w:rsidRDefault="00884E13" w:rsidP="00802CA9">
      <w:pPr>
        <w:widowControl w:val="0"/>
        <w:shd w:val="clear" w:color="auto" w:fill="D9D9D9" w:themeFill="background1" w:themeFillShade="D9"/>
        <w:autoSpaceDE w:val="0"/>
        <w:autoSpaceDN w:val="0"/>
        <w:adjustRightInd w:val="0"/>
        <w:spacing w:after="240" w:line="240" w:lineRule="auto"/>
        <w:rPr>
          <w:rFonts w:cs="Arial"/>
          <w:b/>
          <w:bCs/>
          <w:szCs w:val="20"/>
        </w:rPr>
      </w:pPr>
      <w:r w:rsidRPr="00802CA9">
        <w:rPr>
          <w:rFonts w:cs="Arial"/>
          <w:b/>
          <w:bCs/>
          <w:szCs w:val="20"/>
        </w:rPr>
        <w:t>Artikel 1.1</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In deze regeling wordt verstaan onder:</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aardgas-afleverinstallatie: een inrichting voor het afleveren van aardgas aan voertuigen die aardgas als motorbrandstof gebruiken, bestaande uit een compressorinstallatie, een (eventuele) bufferopslag en één of meerdere aflevertoestellen. Dit met inbegrip van alle leidingen en toebehoren;</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accreditatie-instantie: nationale accreditatie-instantie als bedoeld in artikel 4, eerste lid, van verordening (EG) nr. 765/2008 van het Europees Parlement en de Raad van de Europese Unie van 9 juli 2008 tot vaststelling van de eisen inzake accreditatie en markttoezicht betreffende het verhandelen van producten en tot intrekking van Verordening (EEG) nr. 339/93 (PbEU L 218);</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afgewerkte olie: afgewerkte olie als bedoeld in artikel 1, eerste lid, onderdeel b van het Besluit inzamelen afvalstoffen;</w:t>
      </w:r>
    </w:p>
    <w:p w:rsidR="00884E13"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afleverzuil: bovengronds gelegen gedeelte van de afleverinstallatie bestaande uit pompen, leidingen, meet- en regelwerken, schakelaars en afleverpistolen omgeven door een omkasting of daarmee direct in verbinding staand;</w:t>
      </w:r>
    </w:p>
    <w:p w:rsidR="00EB4EE3" w:rsidRPr="00802CA9" w:rsidRDefault="00EB4EE3" w:rsidP="00EB4EE3">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A-hout: ongeverfd en onbehandeld hout;</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lang w:val="en-US"/>
        </w:rPr>
      </w:pPr>
      <w:r w:rsidRPr="00802CA9">
        <w:rPr>
          <w:rFonts w:cs="Arial"/>
          <w:i/>
          <w:szCs w:val="20"/>
          <w:lang w:val="en-US"/>
        </w:rPr>
        <w:t>API 1004</w:t>
      </w:r>
      <w:r w:rsidRPr="00802CA9">
        <w:rPr>
          <w:rFonts w:cs="Arial"/>
          <w:szCs w:val="20"/>
          <w:lang w:val="en-US"/>
        </w:rPr>
        <w:t>: API Recommended Practice 1004, Seventh Edition, November 1988; Bottom loading and Vapour Recovery for MC-306 Tank Motor Vehicles (Section 4.1.1.2, Vapour-Recovery Adapter);</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baanzool: bodem of vloer tussen de standplaats of standplaatsen van de schutter en de kogelvanger;</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besluit: Activiteitenbesluit milieubeheer;</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B-hout: hout dat geen A-hout of C-hout is;</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bovengronds: geheel boven de bodem gelegen;</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C-hout: geïmpregneerd hout;</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emissieterm L</w:t>
      </w:r>
      <w:r w:rsidRPr="00802CA9">
        <w:rPr>
          <w:rFonts w:cs="Arial"/>
          <w:szCs w:val="20"/>
          <w:vertAlign w:val="subscript"/>
        </w:rPr>
        <w:t>E</w:t>
      </w:r>
      <w:r w:rsidRPr="00802CA9">
        <w:rPr>
          <w:rFonts w:cs="Arial"/>
          <w:szCs w:val="20"/>
        </w:rPr>
        <w:t>: het jaargemiddelde geluidsvermogen dat door een windturbine wordt uitgestraald per octaafband i per beoordelingsperiode;</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ETBE: ethyl-tertiair-butylether;</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foliebassin: opslagvoorziening uitgevoerd als een met afdichtingsfolie beklede grondput;</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geomembraanbaksysteem: een ondergronds aangelegd kunststof foliesysteem dat waarborgt dat geen vloeistof aan de niet met vloeistof belaste zijde van dat systeem kan komen;</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gesloten proces: een proces of bewerking, als bedoeld in de NRB, waarbij de gebruikte stoffen bij normale bedrijfsvoering binnen de procesomhulling blijven en de desbetreffende installaties niet geopend hoeven te worden;</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grondwaterbeschermingsgebied: een gebied dat krachtens artikel 1.2, tweede lid, onderdeel a, van de Wet milieubeheer bij de provinciale milieuverordening is aangewezen en waarvoor regels zijn gesteld ter bescherming van het grondwater met het oog op de waterwinning;</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i/>
          <w:szCs w:val="20"/>
        </w:rPr>
        <w:t>Handreiking bezinkbassins bloembollensector</w:t>
      </w:r>
      <w:r w:rsidRPr="00802CA9">
        <w:rPr>
          <w:rFonts w:cs="Arial"/>
          <w:szCs w:val="20"/>
        </w:rPr>
        <w:t>: Handreiking aanleg, beheer en monitoring bezinkbassins voor de bloembollensector (SIKB, versie van 20.02.2014);</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immissiepunt: plaats waarop de geluidsbelasting wordt bepaald;</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kaliber: binnendiameter van een loop van een vuurwapen;</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kogelvanger: vanginrichting voor projectielen, opgesteld achter het doel waarop geschoten wordt;</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kwaliteitsverklaring mestbassin: attest, afgegeven door een door een accreditatie-instantie geaccrediteerde instelling op basis van BRL 2342 voor mestbassins en afdekking voor mestbassins;</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i/>
          <w:szCs w:val="20"/>
        </w:rPr>
        <w:t>LPG-afleverautomaat:</w:t>
      </w:r>
      <w:r w:rsidRPr="00802CA9">
        <w:rPr>
          <w:rFonts w:cs="Arial"/>
          <w:szCs w:val="20"/>
        </w:rPr>
        <w:t xml:space="preserve"> afleverzuil waarbij geregistreerde gebruikers LPG kunnen verkrijgen zonder dat er direct toezicht door een toezichthoudende persoon als bedoeld in artikel 5.67, eerste lid, aanwezig is;</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mestzak: mestbassin, geheel of grotendeels bovengronds gelegen, voornamelijk opgebouwd uit kunststoffolie waarvan de bodemafdichting en afdekking een geheel vormen;</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MTBE: methyl-tertiair-butylether;</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noodstopvoorziening: een voorziening die bij activering de spanning op alle afleverzuilen wegneemt;</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ondergronds: geheel of gedeeltelijk in de bodem gelegen of ingeterpt;</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referentieperiode mestbassins: periode dat een mestbassin dan wel de afdekking voldoet aan de eisen van BRL 2342;</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schoudervuurwapen: vuurwapen in de vorm van een karabijn of geweer;</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i/>
          <w:szCs w:val="20"/>
        </w:rPr>
        <w:t>Standaardrekenmethode 3 Nieuw Nationaal Model</w:t>
      </w:r>
      <w:r w:rsidRPr="00802CA9">
        <w:rPr>
          <w:rFonts w:cs="Arial"/>
          <w:szCs w:val="20"/>
        </w:rPr>
        <w:t>: de rekenmethode van het Nieuw Nationaal Model (Uitgave 1998, ISBN 90-76323-003);</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tijdelijke opslag van gevaarlijke stoffen: opslag van gevaarlijke stoffen in verpakking of CMR-stoffen in verpakking die, voorafgaand aan of aansluitend op transport, buiten een opslagvoorziening voor gevaarlijke stoffen in verpakking of CMR-stoffen in verpakking verblijven;</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UN-nummer: het stofidentificatienummer: getal van vier cijfers dat een gevaarlijke stof identificeert tijdens het transport, volgens de ‘Recommendations on the Transport of Dangerous Goods’ van de Verenigde Naties;</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 xml:space="preserve"> vuistvuurwapen: vuurwapen in de vorm van een pistool of revolver;</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vulplaats: de plaats waar of de ruimte waarin de flessen worden gevuld en gecontroleerd;</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r w:rsidRPr="00802CA9">
        <w:rPr>
          <w:rFonts w:cs="Arial"/>
          <w:szCs w:val="20"/>
        </w:rPr>
        <w:t>vulstation: een combinatie van vulplaats en gasopslag;</w:t>
      </w:r>
    </w:p>
    <w:p w:rsidR="00884E13" w:rsidRPr="00802CA9" w:rsidRDefault="00884E13" w:rsidP="00802CA9">
      <w:pPr>
        <w:widowControl w:val="0"/>
        <w:shd w:val="clear" w:color="auto" w:fill="D9D9D9" w:themeFill="background1" w:themeFillShade="D9"/>
        <w:autoSpaceDE w:val="0"/>
        <w:autoSpaceDN w:val="0"/>
        <w:adjustRightInd w:val="0"/>
        <w:spacing w:after="240" w:line="240" w:lineRule="auto"/>
        <w:rPr>
          <w:rFonts w:cs="Arial"/>
          <w:szCs w:val="20"/>
        </w:rPr>
      </w:pPr>
      <w:r w:rsidRPr="00802CA9">
        <w:rPr>
          <w:rFonts w:cs="Arial"/>
          <w:szCs w:val="20"/>
        </w:rPr>
        <w:t>WBDBO: Weerstand tegen branddoorslag en brandoverslag in minuten volgens NEN 6068.</w:t>
      </w:r>
    </w:p>
    <w:p w:rsidR="00884E13" w:rsidRPr="00802CA9" w:rsidRDefault="00884E13" w:rsidP="00802CA9">
      <w:pPr>
        <w:widowControl w:val="0"/>
        <w:shd w:val="clear" w:color="auto" w:fill="D9D9D9" w:themeFill="background1" w:themeFillShade="D9"/>
        <w:autoSpaceDE w:val="0"/>
        <w:autoSpaceDN w:val="0"/>
        <w:adjustRightInd w:val="0"/>
        <w:spacing w:after="240" w:line="240" w:lineRule="auto"/>
        <w:rPr>
          <w:rFonts w:cs="Arial"/>
          <w:b/>
          <w:bCs/>
          <w:szCs w:val="20"/>
        </w:rPr>
      </w:pPr>
      <w:r w:rsidRPr="00802CA9">
        <w:rPr>
          <w:rFonts w:cs="Arial"/>
          <w:b/>
          <w:bCs/>
          <w:szCs w:val="20"/>
        </w:rPr>
        <w:t>Artikel 1.2</w:t>
      </w:r>
    </w:p>
    <w:p w:rsidR="00884E13" w:rsidRPr="00802CA9" w:rsidRDefault="00884E13" w:rsidP="00802CA9">
      <w:pPr>
        <w:widowControl w:val="0"/>
        <w:shd w:val="clear" w:color="auto" w:fill="D9D9D9" w:themeFill="background1" w:themeFillShade="D9"/>
        <w:autoSpaceDE w:val="0"/>
        <w:autoSpaceDN w:val="0"/>
        <w:adjustRightInd w:val="0"/>
        <w:spacing w:after="240" w:line="240" w:lineRule="auto"/>
        <w:ind w:left="320" w:hanging="320"/>
        <w:rPr>
          <w:rFonts w:cs="Arial"/>
          <w:szCs w:val="20"/>
        </w:rPr>
      </w:pPr>
      <w:r w:rsidRPr="00802CA9">
        <w:rPr>
          <w:rFonts w:cs="Arial"/>
          <w:b/>
          <w:bCs/>
          <w:szCs w:val="20"/>
        </w:rPr>
        <w:t>1.</w:t>
      </w:r>
      <w:r w:rsidRPr="00802CA9">
        <w:rPr>
          <w:rFonts w:cs="Arial"/>
          <w:b/>
          <w:bCs/>
          <w:szCs w:val="20"/>
        </w:rPr>
        <w:tab/>
      </w:r>
      <w:r w:rsidRPr="00802CA9">
        <w:rPr>
          <w:rFonts w:cs="Arial"/>
          <w:szCs w:val="20"/>
        </w:rPr>
        <w:t>In deze regeling wordt verstaan onder:</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AS 6700:</w:t>
      </w:r>
      <w:r w:rsidRPr="00802CA9">
        <w:rPr>
          <w:rFonts w:cs="Arial"/>
          <w:szCs w:val="20"/>
        </w:rPr>
        <w:t xml:space="preserve"> AS 6700 Inspectie bodembeschermende voorzieningen met bijbehorende protocollen, SIKB, versie zoals opgenomen in bijlage C van de Regeling Bodemkwaliteit;</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BRL 2307:</w:t>
      </w:r>
      <w:r w:rsidRPr="00802CA9">
        <w:rPr>
          <w:rFonts w:cs="Arial"/>
          <w:szCs w:val="20"/>
        </w:rPr>
        <w:t xml:space="preserve"> BRL 2307: Nationale beoordelingsrichtlijn voor het KOMO attest met productiecertificaat voor AVI-bodemas voor ongebonden toepassing op of in de bodem in grond- en wegenbouwkunde, 2003;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BRL 2342:</w:t>
      </w:r>
      <w:r w:rsidRPr="00802CA9">
        <w:rPr>
          <w:rFonts w:cs="Arial"/>
          <w:szCs w:val="20"/>
        </w:rPr>
        <w:t xml:space="preserve"> Beoordelingsrichtlijn voor het KOMO attest voor Mestbassins en Afdekkingen voor mestbassins, Kiwa N.V. Certificatie en Keuringen, versie van 30 maart 2013;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BRL K537:</w:t>
      </w:r>
      <w:r w:rsidRPr="00802CA9">
        <w:rPr>
          <w:rFonts w:cs="Arial"/>
          <w:szCs w:val="20"/>
        </w:rPr>
        <w:t xml:space="preserve"> BRL K537/04, Beoordelingsrichtlijn voor het verwerken van kunststoffolie, Kiwa N.V. Certificatie en Keuringen, versie van 14 juni 2002;</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BRL K779:</w:t>
      </w:r>
      <w:r w:rsidRPr="00802CA9">
        <w:rPr>
          <w:rFonts w:cs="Arial"/>
          <w:szCs w:val="20"/>
        </w:rPr>
        <w:t xml:space="preserve"> BRL K779/04, Beoordelingsrichtlijn voor inwendige bekleding op stalen tanks voor brandbare vloeistoffen, Kiwa N.V. Certificatie en Keuringen, versie van 15 juli 2010;</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BRL K790:</w:t>
      </w:r>
      <w:r w:rsidRPr="00802CA9">
        <w:rPr>
          <w:rFonts w:cs="Arial"/>
          <w:szCs w:val="20"/>
        </w:rPr>
        <w:t xml:space="preserve"> BRL K790/02, Beoordelingsrichtlijn voor het appliceren van verfsystemen op stalen opslagtanks voor vloeistoffen, Kiwa N.V. Certificatie en Keuringen, versie van 15 mei 1996;</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960" w:hanging="320"/>
        <w:rPr>
          <w:rFonts w:cs="Arial"/>
          <w:szCs w:val="20"/>
        </w:rPr>
      </w:pPr>
      <w:r w:rsidRPr="00802CA9">
        <w:rPr>
          <w:rFonts w:cs="Arial"/>
          <w:i/>
          <w:szCs w:val="20"/>
        </w:rPr>
        <w:t>BRL K903</w:t>
      </w:r>
      <w:r w:rsidRPr="00802CA9">
        <w:rPr>
          <w:rFonts w:cs="Arial"/>
          <w:szCs w:val="20"/>
        </w:rPr>
        <w:t>: BRL K903 zoals opgenomen in bijlage C bij de Regeling bodemkwaliteit;</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BRL K910:</w:t>
      </w:r>
      <w:r w:rsidRPr="00802CA9">
        <w:rPr>
          <w:rFonts w:cs="Arial"/>
          <w:szCs w:val="20"/>
        </w:rPr>
        <w:t xml:space="preserve"> BRL K910/01, Lekdetectiesystemen voor opslag- en transportinstallaties voor vloeibare en gasvormige producten, Kiwa N.V. Certificatie en Keuringen, versie van 26 september 2002;</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r w:rsidRPr="00802CA9">
        <w:rPr>
          <w:rFonts w:cs="Arial"/>
          <w:i/>
          <w:iCs/>
          <w:szCs w:val="20"/>
        </w:rPr>
        <w:t>CUR/PBV-Aanbeveling 51:</w:t>
      </w:r>
      <w:r w:rsidRPr="00802CA9">
        <w:rPr>
          <w:rFonts w:cs="Arial"/>
          <w:szCs w:val="20"/>
        </w:rPr>
        <w:t xml:space="preserve"> CUR/PBV-Aanbeveling 51: Milieutechnische criteria voor bedrijfsriolering, Stichting CUR, Gouda, augustus 1997;</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r w:rsidRPr="00802CA9">
        <w:rPr>
          <w:rFonts w:cs="Arial"/>
          <w:i/>
          <w:iCs/>
          <w:szCs w:val="20"/>
        </w:rPr>
        <w:t>CUR/PBV-Aanbeveling 65:</w:t>
      </w:r>
      <w:r w:rsidRPr="00802CA9">
        <w:rPr>
          <w:rFonts w:cs="Arial"/>
          <w:szCs w:val="20"/>
        </w:rPr>
        <w:t xml:space="preserve"> CUR/PBV-Aanbeveling 65: Ontwerp, aanleg en herstel van vloeistofdichte voorzieningen van beton, Stichting CUR, Gouda, tweede herziene uitgave,september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ISO 5815-1:</w:t>
      </w:r>
      <w:r w:rsidRPr="00802CA9">
        <w:rPr>
          <w:rFonts w:cs="Arial"/>
          <w:szCs w:val="20"/>
        </w:rPr>
        <w:t xml:space="preserve"> ISO 5815-1:2003: Internationale standaardnorm voor Water – Bepaling van het biochemisch zuurstofverbruik na </w:t>
      </w:r>
      <w:r w:rsidRPr="00802CA9">
        <w:rPr>
          <w:rFonts w:cs="Arial"/>
          <w:i/>
          <w:iCs/>
          <w:szCs w:val="20"/>
        </w:rPr>
        <w:t>n</w:t>
      </w:r>
      <w:r w:rsidRPr="00802CA9">
        <w:rPr>
          <w:rFonts w:cs="Arial"/>
          <w:szCs w:val="20"/>
        </w:rPr>
        <w:t xml:space="preserve"> dagen (BZV</w:t>
      </w:r>
      <w:r w:rsidRPr="00802CA9">
        <w:rPr>
          <w:rFonts w:cs="Arial"/>
          <w:szCs w:val="20"/>
          <w:vertAlign w:val="subscript"/>
        </w:rPr>
        <w:t>n</w:t>
      </w:r>
      <w:r w:rsidRPr="00802CA9">
        <w:rPr>
          <w:rFonts w:cs="Arial"/>
          <w:szCs w:val="20"/>
        </w:rPr>
        <w:t>) – Deel 1: Verdunning en enting onder toevoeging van allylthioureum, augustus 2003;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ISO 5815-2:</w:t>
      </w:r>
      <w:r w:rsidRPr="00802CA9">
        <w:rPr>
          <w:rFonts w:cs="Arial"/>
          <w:szCs w:val="20"/>
        </w:rPr>
        <w:t xml:space="preserve"> ISO 5815-2:2003: Internationale standaardnorm voor Water – Bepaling van het biochemisch zuurstofverbruik na </w:t>
      </w:r>
      <w:r w:rsidRPr="00802CA9">
        <w:rPr>
          <w:rFonts w:cs="Arial"/>
          <w:i/>
          <w:iCs/>
          <w:szCs w:val="20"/>
        </w:rPr>
        <w:t>n</w:t>
      </w:r>
      <w:r w:rsidRPr="00802CA9">
        <w:rPr>
          <w:rFonts w:cs="Arial"/>
          <w:szCs w:val="20"/>
        </w:rPr>
        <w:t xml:space="preserve"> dagen (BZV</w:t>
      </w:r>
      <w:r w:rsidRPr="00802CA9">
        <w:rPr>
          <w:rFonts w:cs="Arial"/>
          <w:szCs w:val="20"/>
          <w:vertAlign w:val="subscript"/>
        </w:rPr>
        <w:t>n</w:t>
      </w:r>
      <w:r w:rsidRPr="00802CA9">
        <w:rPr>
          <w:rFonts w:cs="Arial"/>
          <w:szCs w:val="20"/>
        </w:rPr>
        <w:t>) – Deel 2: Methode voor onverdunde monsters, april 2003;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KC 111:</w:t>
      </w:r>
      <w:r w:rsidRPr="00802CA9">
        <w:rPr>
          <w:rFonts w:cs="Arial"/>
          <w:szCs w:val="20"/>
        </w:rPr>
        <w:t xml:space="preserve"> KC 111/01: Keuringscriteria voor de (her)classificatie van bovengrondse tankinstallaties (kunststof en staal), Kiwa N.V. Certificatie en Keuringen (december 2007);</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iCs/>
          <w:szCs w:val="20"/>
        </w:rPr>
      </w:pPr>
      <w:r w:rsidRPr="00802CA9">
        <w:rPr>
          <w:rFonts w:cs="Arial"/>
          <w:i/>
          <w:iCs/>
          <w:szCs w:val="20"/>
        </w:rPr>
        <w:tab/>
        <w:t>LA</w:t>
      </w:r>
      <w:r w:rsidRPr="00802CA9">
        <w:rPr>
          <w:rFonts w:cs="Arial"/>
          <w:i/>
          <w:iCs/>
          <w:szCs w:val="20"/>
          <w:vertAlign w:val="subscript"/>
        </w:rPr>
        <w:t>E</w:t>
      </w:r>
      <w:r w:rsidRPr="00802CA9">
        <w:rPr>
          <w:rFonts w:cs="Arial"/>
          <w:i/>
          <w:iCs/>
          <w:szCs w:val="20"/>
        </w:rPr>
        <w:t xml:space="preserve">: </w:t>
      </w:r>
      <w:r w:rsidRPr="00802CA9">
        <w:rPr>
          <w:rFonts w:cs="Arial"/>
          <w:iCs/>
          <w:szCs w:val="20"/>
        </w:rPr>
        <w:t>A-gewogen Sound Exposure Level zoals gedefinieerd in ISO 1996, deel 1, 2003;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iCs/>
          <w:szCs w:val="20"/>
        </w:rPr>
      </w:pPr>
      <w:r w:rsidRPr="00802CA9">
        <w:rPr>
          <w:rFonts w:cs="Arial"/>
          <w:i/>
          <w:iCs/>
          <w:szCs w:val="20"/>
        </w:rPr>
        <w:tab/>
        <w:t xml:space="preserve">MP40-21: </w:t>
      </w:r>
      <w:r w:rsidRPr="00802CA9">
        <w:rPr>
          <w:rFonts w:cs="Arial"/>
          <w:iCs/>
          <w:szCs w:val="20"/>
        </w:rPr>
        <w:t>Ministeriële Publicatie 40-21, Voorschrift opslag en behandeling ontplofbare stoffen en voorwerpen Defensie, Staatscourant 2011, nr. 18609, 18 oktober 2011;</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rPr>
          <w:rFonts w:cs="Arial"/>
          <w:szCs w:val="20"/>
        </w:rPr>
      </w:pPr>
      <w:r w:rsidRPr="00802CA9">
        <w:rPr>
          <w:rFonts w:cs="Arial"/>
          <w:i/>
          <w:iCs/>
          <w:szCs w:val="20"/>
        </w:rPr>
        <w:t xml:space="preserve">MP40-30: </w:t>
      </w:r>
      <w:r w:rsidRPr="00802CA9">
        <w:rPr>
          <w:rFonts w:cs="Arial"/>
          <w:iCs/>
          <w:szCs w:val="20"/>
        </w:rPr>
        <w:t>Ministeriële Publicatie 40-30, Voorschrift voor de inrichting en het gebruik van schietinrichtingen, Staatscourant 2010, nr. 1619, 5 februari 2010;</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1059:</w:t>
      </w:r>
      <w:r w:rsidRPr="00802CA9">
        <w:rPr>
          <w:rFonts w:cs="Arial"/>
          <w:szCs w:val="20"/>
        </w:rPr>
        <w:t xml:space="preserve"> NEN 1059:2010: Nederlandse norm op basis van NEN-EN 12186 en NEN-EN 12279 – voor Gasvoorzieningsystemen – Gasdrukregelstations voor transport en distributie, februari 2010;</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2826:</w:t>
      </w:r>
      <w:r w:rsidRPr="00802CA9">
        <w:rPr>
          <w:rFonts w:cs="Arial"/>
          <w:szCs w:val="20"/>
        </w:rPr>
        <w:t xml:space="preserve"> NEN 2826:1999: Nederlandse norm voor Luchtkwaliteit – Uitworp door stationaire puntbronnen – Monsterneming en bepaling van het gehalte aan gasvormig ammoniak, april 1999;</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5740:</w:t>
      </w:r>
      <w:r w:rsidRPr="00802CA9">
        <w:rPr>
          <w:rFonts w:cs="Arial"/>
          <w:szCs w:val="20"/>
        </w:rPr>
        <w:t xml:space="preserve"> NEN 5740:2009: Nederlandse norm voor Bodem – Landbodem – Strategie voor het uitvoeren van verkennend bodemonderzoek – Onderzoek naar de milieuhygiënische kwaliteit van bodem en grond, januari 2009;</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5744:</w:t>
      </w:r>
      <w:r w:rsidRPr="00802CA9">
        <w:rPr>
          <w:rFonts w:cs="Arial"/>
          <w:szCs w:val="20"/>
        </w:rPr>
        <w:t xml:space="preserve"> </w:t>
      </w:r>
      <w:r w:rsidR="00EB4EE3" w:rsidRPr="00EB4EE3">
        <w:rPr>
          <w:rFonts w:cs="Arial"/>
          <w:szCs w:val="20"/>
        </w:rPr>
        <w:t>NEN 5744:2011 + A1: 2013</w:t>
      </w:r>
      <w:r w:rsidRPr="00802CA9">
        <w:rPr>
          <w:rFonts w:cs="Arial"/>
          <w:szCs w:val="20"/>
        </w:rPr>
        <w:t xml:space="preserve"> Bodem- Monsterneming van grondwater, maart 2011;</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r w:rsidRPr="00802CA9">
        <w:rPr>
          <w:rFonts w:cs="Arial"/>
          <w:i/>
          <w:iCs/>
          <w:szCs w:val="20"/>
        </w:rPr>
        <w:t>NEN 5766:</w:t>
      </w:r>
      <w:r w:rsidRPr="00802CA9">
        <w:rPr>
          <w:rFonts w:cs="Arial"/>
          <w:szCs w:val="20"/>
        </w:rPr>
        <w:t xml:space="preserve"> NEN 5766: 2003: Nederlandse norm voor Bodem – Plaatsing van peilbuizen ten behoeve van milieukundig bodemonderzoek, augustus 2003;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6068:</w:t>
      </w:r>
      <w:r w:rsidRPr="00802CA9">
        <w:rPr>
          <w:rFonts w:cs="Arial"/>
          <w:szCs w:val="20"/>
        </w:rPr>
        <w:t xml:space="preserve"> NEN 6068: 2008+C1: 2011: Nederlandse norm voor Milieu en veiligheid – Bepaling van de weerstand tegen branddoorslag en brandoverslag tussen ruimten;</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6401:</w:t>
      </w:r>
      <w:r w:rsidRPr="00802CA9">
        <w:rPr>
          <w:rFonts w:cs="Arial"/>
          <w:szCs w:val="20"/>
        </w:rPr>
        <w:t xml:space="preserve"> NEN 6401:1991: Nederlandse norm voor Water – Bepaling van het halogeengehalte van vluchtige organohalogeenverbindingen (VOX), maart 1991;</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6414:</w:t>
      </w:r>
      <w:r w:rsidRPr="00802CA9">
        <w:rPr>
          <w:rFonts w:cs="Arial"/>
          <w:szCs w:val="20"/>
        </w:rPr>
        <w:t xml:space="preserve"> NEN 6414: 2008: Nederlandse norm voor Water en slib – bepaling van de temperatuur, december 2008;</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6600-1:</w:t>
      </w:r>
      <w:r w:rsidRPr="00802CA9">
        <w:rPr>
          <w:rFonts w:cs="Arial"/>
          <w:szCs w:val="20"/>
        </w:rPr>
        <w:t xml:space="preserve"> NEN 6600-1:2009: Nederlandse norm voor Water – monsterneming -Deel 1: afvalwater , maart 2009;</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6633:</w:t>
      </w:r>
      <w:r w:rsidRPr="00802CA9">
        <w:rPr>
          <w:rFonts w:cs="Arial"/>
          <w:szCs w:val="20"/>
        </w:rPr>
        <w:t xml:space="preserve"> NEN 6633:2006: Nederlandse norm voor Water en (zuiverings)slib – Bepaling van het chemisch zuurstofverbruik (CZV), december 2006 – met aanvullingsblad NEN 6633:2006/A1:2007: Nederlandse norm voor Water en (zuiverings)slib – Bepaling van het chemisch zuurstofverbruik (CZV), december 2007;</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6646:</w:t>
      </w:r>
      <w:r w:rsidRPr="00802CA9">
        <w:rPr>
          <w:rFonts w:cs="Arial"/>
          <w:szCs w:val="20"/>
        </w:rPr>
        <w:t xml:space="preserve"> NEN 6646:2015, Water – Fotometrische bepaling van het gehalte aan ammoniumstikstof en van de som van de gehalten aan ammoniumstikstof en organisch gebonden stikstof volgens Kjeldahl</w:t>
      </w:r>
      <w:r w:rsidR="00EB4EE3" w:rsidRPr="00EB4EE3">
        <w:rPr>
          <w:rFonts w:cs="Arial"/>
          <w:szCs w:val="20"/>
        </w:rPr>
        <w:t>, door mineralisatie met seleen,</w:t>
      </w:r>
      <w:r w:rsidRPr="00802CA9">
        <w:rPr>
          <w:rFonts w:cs="Arial"/>
          <w:szCs w:val="20"/>
        </w:rPr>
        <w:t xml:space="preserve"> met behulp van een doorstroomanalysesysteem – Ontsluiting met zwavelzuur, seleen en kaliumsulfaat;</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6676:</w:t>
      </w:r>
      <w:r w:rsidRPr="00802CA9">
        <w:rPr>
          <w:rFonts w:cs="Arial"/>
          <w:szCs w:val="20"/>
        </w:rPr>
        <w:t xml:space="preserve"> NEN 6676:1994: Nederlandse norm voor Afvalwater – Bepaling van met petroleumether extraheerbare organische gebonden halogenen (EOX-AW), oktober 1994;</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6961:</w:t>
      </w:r>
      <w:r w:rsidRPr="00802CA9">
        <w:rPr>
          <w:rFonts w:cs="Arial"/>
          <w:szCs w:val="20"/>
        </w:rPr>
        <w:t xml:space="preserve"> NEN 6961:2005: Nederlandse norm voor Milieu – Ontsluiting met salpeterzuur en zoutzuur (koningswater) voor de bepaling van geselecteerde elementen in water, waterbodem, slib, slibhoudend water, luchtstof, grond en bouwstoffen, december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 6966:</w:t>
      </w:r>
      <w:r w:rsidRPr="00802CA9">
        <w:rPr>
          <w:rFonts w:cs="Arial"/>
          <w:szCs w:val="20"/>
        </w:rPr>
        <w:t xml:space="preserve"> NEN 6966:2005: Nederlandse norm voor Milieu – Analyse van geselecteerde elementen in water, eluaten en destruaten – Atomaire emissiespectrometrie met inductief gekoppeld plasma, december 2005 en C1:2006, juni 2006;</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r w:rsidRPr="00802CA9">
        <w:rPr>
          <w:rFonts w:cs="Arial"/>
          <w:i/>
          <w:iCs/>
          <w:szCs w:val="20"/>
        </w:rPr>
        <w:t>NEN 7557:</w:t>
      </w:r>
      <w:r w:rsidRPr="00802CA9">
        <w:rPr>
          <w:rFonts w:cs="Arial"/>
          <w:szCs w:val="20"/>
        </w:rPr>
        <w:t xml:space="preserve"> NEN 7557: 2009: Nederlandse norm voor Autodemontagetechnieken – Neutralisatie airbags en gordelspanners uit autowrakken, april 2009;</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858-1:</w:t>
      </w:r>
      <w:r w:rsidRPr="00802CA9">
        <w:rPr>
          <w:rFonts w:cs="Arial"/>
          <w:szCs w:val="20"/>
        </w:rPr>
        <w:t xml:space="preserve"> NEN-EN 858-1:2002+A1:2004, Afscheiders en slibvangputten voor lichte vloeistoffen (bijv. olie en benzine) – Deel 1: Ontwerp, eisen en beproeving, merken en kwaliteitscontrole;</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858-2:</w:t>
      </w:r>
      <w:r w:rsidRPr="00802CA9">
        <w:rPr>
          <w:rFonts w:cs="Arial"/>
          <w:szCs w:val="20"/>
        </w:rPr>
        <w:t xml:space="preserve"> NEN-EN 858-2:2003: Europese norm voor Afscheiders en slibvangputten voor lichte vloeistoffen (bijv. olie en benzine) – Deel 2: Bepaling van nominale afmeting, installatie, functionering en onderhoud, februari 2003;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872:</w:t>
      </w:r>
      <w:r w:rsidRPr="00802CA9">
        <w:rPr>
          <w:rFonts w:cs="Arial"/>
          <w:szCs w:val="20"/>
        </w:rPr>
        <w:t xml:space="preserve"> NEN-EN 872:2005: Europese norm voor Water – Bepaling van het gehalte aan onopgeloste stoffen – Methode door filtratie over glasvezelfilters, maart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1825-1:</w:t>
      </w:r>
      <w:r w:rsidRPr="00802CA9">
        <w:rPr>
          <w:rFonts w:cs="Arial"/>
          <w:szCs w:val="20"/>
        </w:rPr>
        <w:t xml:space="preserve"> NEN-EN 1825-1</w:t>
      </w:r>
      <w:r w:rsidR="004657C2">
        <w:rPr>
          <w:rFonts w:cs="Arial"/>
          <w:szCs w:val="20"/>
        </w:rPr>
        <w:t>:</w:t>
      </w:r>
      <w:r w:rsidR="004657C2" w:rsidRPr="004657C2">
        <w:t xml:space="preserve"> </w:t>
      </w:r>
      <w:r w:rsidR="004657C2" w:rsidRPr="004657C2">
        <w:rPr>
          <w:rFonts w:cs="Arial"/>
          <w:szCs w:val="20"/>
        </w:rPr>
        <w:t>NEN-EN 1825-1</w:t>
      </w:r>
      <w:r w:rsidRPr="00802CA9">
        <w:rPr>
          <w:rFonts w:cs="Arial"/>
          <w:szCs w:val="20"/>
        </w:rPr>
        <w:t>:2004</w:t>
      </w:r>
      <w:r w:rsidR="00FC68FE" w:rsidRPr="00FC68FE">
        <w:rPr>
          <w:rFonts w:cs="Arial"/>
          <w:szCs w:val="20"/>
        </w:rPr>
        <w:t>+C1:2006</w:t>
      </w:r>
      <w:r w:rsidRPr="00802CA9">
        <w:rPr>
          <w:rFonts w:cs="Arial"/>
          <w:szCs w:val="20"/>
        </w:rPr>
        <w:t>: Vetafscheiders en slibvangputten – Deel 1: Ontwerp, eisen en beproeving, merken en kwaliteitscontrole, september 2004;</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1825-2:</w:t>
      </w:r>
      <w:r w:rsidRPr="00802CA9">
        <w:rPr>
          <w:rFonts w:cs="Arial"/>
          <w:szCs w:val="20"/>
        </w:rPr>
        <w:t xml:space="preserve"> NEN-EN 1825-2:2002: Europese norm voor Vetafscheiders en slibvangputten – Deel 2: Bepaling van nominale afmeting, installatie, functionering en onderhoud, maart 2002;</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1899-1:</w:t>
      </w:r>
      <w:r w:rsidRPr="00802CA9">
        <w:rPr>
          <w:rFonts w:cs="Arial"/>
          <w:szCs w:val="20"/>
        </w:rPr>
        <w:t xml:space="preserve"> NEN-EN 1899-1:1998: Europese norm voor Water – Bepaling van het biochemisch zuurstofverbruik na </w:t>
      </w:r>
      <w:r w:rsidRPr="00802CA9">
        <w:rPr>
          <w:rFonts w:cs="Arial"/>
          <w:i/>
          <w:iCs/>
          <w:szCs w:val="20"/>
        </w:rPr>
        <w:t>n</w:t>
      </w:r>
      <w:r w:rsidRPr="00802CA9">
        <w:rPr>
          <w:rFonts w:cs="Arial"/>
          <w:szCs w:val="20"/>
        </w:rPr>
        <w:t xml:space="preserve"> dagen (BOD</w:t>
      </w:r>
      <w:r w:rsidRPr="00802CA9">
        <w:rPr>
          <w:rFonts w:cs="Arial"/>
          <w:i/>
          <w:iCs/>
          <w:szCs w:val="20"/>
        </w:rPr>
        <w:t>n</w:t>
      </w:r>
      <w:r w:rsidRPr="00802CA9">
        <w:rPr>
          <w:rFonts w:cs="Arial"/>
          <w:szCs w:val="20"/>
        </w:rPr>
        <w:t>) – Deel 1: Verdunnings- en entmethode met toevoeging van allylthioreum, september 1998;</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1899-2:</w:t>
      </w:r>
      <w:r w:rsidRPr="00802CA9">
        <w:rPr>
          <w:rFonts w:cs="Arial"/>
          <w:szCs w:val="20"/>
        </w:rPr>
        <w:t xml:space="preserve"> NEN-EN 1899-2:1998: Europese norm voor Waterkwaliteit – Bepaling van het biochemisch zuurstofverbruik na </w:t>
      </w:r>
      <w:r w:rsidRPr="00802CA9">
        <w:rPr>
          <w:rFonts w:cs="Arial"/>
          <w:i/>
          <w:iCs/>
          <w:szCs w:val="20"/>
        </w:rPr>
        <w:t>n</w:t>
      </w:r>
      <w:r w:rsidRPr="00802CA9">
        <w:rPr>
          <w:rFonts w:cs="Arial"/>
          <w:szCs w:val="20"/>
        </w:rPr>
        <w:t xml:space="preserve"> dagen (BOD</w:t>
      </w:r>
      <w:r w:rsidRPr="00802CA9">
        <w:rPr>
          <w:rFonts w:cs="Arial"/>
          <w:i/>
          <w:iCs/>
          <w:szCs w:val="20"/>
        </w:rPr>
        <w:t>n</w:t>
      </w:r>
      <w:r w:rsidRPr="00802CA9">
        <w:rPr>
          <w:rFonts w:cs="Arial"/>
          <w:szCs w:val="20"/>
        </w:rPr>
        <w:t>) – Deel 2: Methode voor onverdunde monsters, september 1998;</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1911:</w:t>
      </w:r>
      <w:r w:rsidRPr="00802CA9">
        <w:rPr>
          <w:rFonts w:cs="Arial"/>
          <w:szCs w:val="20"/>
        </w:rPr>
        <w:t xml:space="preserve"> NEN 1911, 2010: Europese norm voor Emissies van stationaire bronnen – Bepaling van de massaconcentratie van gasvormige chloride van HCl – Standaard referentiemethode, augustus 2010;</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1948-1:</w:t>
      </w:r>
      <w:r w:rsidRPr="00802CA9">
        <w:rPr>
          <w:rFonts w:cs="Arial"/>
          <w:szCs w:val="20"/>
        </w:rPr>
        <w:t xml:space="preserve"> NEN-EN 1948, 2006: Europese norm voor Emissies van stationaire bronnen – Bepaling van de concentratie aan PCDD’s/PCDF’s en dioxine-achtige PCB’s – Deel 1: Monsterneming van PCDD’s / PCDF’s;</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1948-2:</w:t>
      </w:r>
      <w:r w:rsidRPr="00802CA9">
        <w:rPr>
          <w:rFonts w:cs="Arial"/>
          <w:szCs w:val="20"/>
        </w:rPr>
        <w:t xml:space="preserve"> NEN-EN 1948, 2006: Europese norm voor Emissies van stationaire bronnen – Bepaling van de concentratie aan PCDD’s/PCDF’s en dioxine-achtige PCB’s – Deel 2: Extractie en opwerking van PCDD’s/PCDF’s;</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1948-3:</w:t>
      </w:r>
      <w:r w:rsidRPr="00802CA9">
        <w:rPr>
          <w:rFonts w:cs="Arial"/>
          <w:szCs w:val="20"/>
        </w:rPr>
        <w:t xml:space="preserve"> 2006: NEN-EN 1948: Europese norm voor Emissies van stationaire bronnen – Bepaling van de concentratie aan PCDD’s/PCDF’s en dioxine-achtige PCB’s – Deel 3: Identificatie en kwantificering van PCDD’s en PCDF’s, april 2006;</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12566-1:</w:t>
      </w:r>
      <w:r w:rsidRPr="00802CA9">
        <w:rPr>
          <w:rFonts w:cs="Arial"/>
          <w:szCs w:val="20"/>
        </w:rPr>
        <w:t xml:space="preserve"> NEN-EN 12566-1/A1 2004: Europese norm voor Kleine afvalwaterzuiveringsinstallaties tot en met 50 IE – Deel 1: Geprefabriceerde septictanks, maart 2004;</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12619:</w:t>
      </w:r>
      <w:r w:rsidRPr="00802CA9">
        <w:rPr>
          <w:rFonts w:cs="Arial"/>
          <w:szCs w:val="20"/>
        </w:rPr>
        <w:t xml:space="preserve"> NEN-EN 12619, 2013: Europese norm voor Emissies van stationaire bronnen – Bepaling van de massaconcentratie van totaal gasvormig organisch koolstof in lage concentraties in verbrandingsgassen – Continue methode met vlamionisatiedetector, januari 2013;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12817:</w:t>
      </w:r>
      <w:r w:rsidRPr="00802CA9">
        <w:rPr>
          <w:rFonts w:cs="Arial"/>
          <w:szCs w:val="20"/>
        </w:rPr>
        <w:t xml:space="preserve"> NEN-EN 12817:2010: LPG-uitrusting en toebehoren – Keuring en herkeuring van opslagtanks met een capaciteit tot en met 13 m</w:t>
      </w:r>
      <w:r w:rsidRPr="00802CA9">
        <w:rPr>
          <w:rFonts w:cs="Arial"/>
          <w:szCs w:val="20"/>
          <w:vertAlign w:val="superscript"/>
        </w:rPr>
        <w:t>3</w:t>
      </w:r>
      <w:r w:rsidRPr="00802CA9">
        <w:rPr>
          <w:rFonts w:cs="Arial"/>
          <w:szCs w:val="20"/>
        </w:rPr>
        <w:t>;</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13211:</w:t>
      </w:r>
      <w:r w:rsidRPr="00802CA9">
        <w:rPr>
          <w:rFonts w:cs="Arial"/>
          <w:szCs w:val="20"/>
        </w:rPr>
        <w:t xml:space="preserve"> NEN-EN 13211</w:t>
      </w:r>
      <w:r w:rsidR="00EB4EE3">
        <w:rPr>
          <w:rFonts w:cs="Arial"/>
          <w:szCs w:val="20"/>
        </w:rPr>
        <w:t>: NEN-EN 13211:2001+</w:t>
      </w:r>
      <w:r w:rsidRPr="00802CA9">
        <w:rPr>
          <w:rFonts w:cs="Arial"/>
          <w:szCs w:val="20"/>
        </w:rPr>
        <w:t>C1:2007, Europese norm voor Luchtkwaliteit – Emissies van stationaire bronnen – Bepaling van de concentratie van totaal kwik;</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13284-1:</w:t>
      </w:r>
      <w:r w:rsidRPr="00802CA9">
        <w:rPr>
          <w:rFonts w:cs="Arial"/>
          <w:szCs w:val="20"/>
        </w:rPr>
        <w:t xml:space="preserve"> NEN-EN 13284-1:2001: Europese norm voor Emissies van stationaire bronnen – Bepaling van massaconcentratie van stof in lage concentraties – Deel 1: Manuele gravimetrische methode, december 2001;</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13284-2:</w:t>
      </w:r>
      <w:r w:rsidRPr="00802CA9">
        <w:rPr>
          <w:rFonts w:cs="Arial"/>
          <w:szCs w:val="20"/>
        </w:rPr>
        <w:t xml:space="preserve"> NEN-EN 13284-2:2004: Europese norm voor Emissies van stationaire bronnen – Bepaling van massaconcentratie van stof in lage concentraties – Deel 2: Geautomatiseerde meetsystemen, september 2004;</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i/>
          <w:iCs/>
          <w:szCs w:val="20"/>
        </w:rPr>
        <w:tab/>
        <w:t xml:space="preserve">NEN-EN 13649: </w:t>
      </w:r>
      <w:r w:rsidRPr="00802CA9">
        <w:rPr>
          <w:rFonts w:cs="Arial"/>
          <w:iCs/>
          <w:szCs w:val="20"/>
        </w:rPr>
        <w:t>NEN-EN 13649:2001 Emissies van stationaire bronnen - Bepaling van de massaconcentratie van individuele gasvormige organische componenten - Geactiveerde koolstof en vloeistofmethode;</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r w:rsidRPr="00802CA9">
        <w:rPr>
          <w:rFonts w:cs="Arial"/>
          <w:i/>
          <w:iCs/>
          <w:szCs w:val="20"/>
        </w:rPr>
        <w:t>NEN-EN 13725</w:t>
      </w:r>
      <w:r w:rsidRPr="00802CA9">
        <w:rPr>
          <w:rFonts w:cs="Arial"/>
          <w:szCs w:val="20"/>
        </w:rPr>
        <w:t>: NEN-EN 13725:2003/C1:2006: Bepaling van de geurconcentratie door dynamische olfactometrie, september 2003 met correctieblad van oktober 2006;</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14181:</w:t>
      </w:r>
      <w:r w:rsidRPr="00802CA9">
        <w:rPr>
          <w:rFonts w:cs="Arial"/>
          <w:szCs w:val="20"/>
        </w:rPr>
        <w:t xml:space="preserve"> NEN-EN 14181:2014: Emissies van stationaire bronnen – Kwaliteitsborging van geautomatiseerde meetsystemen;</w:t>
      </w:r>
    </w:p>
    <w:p w:rsidR="00EB4EE3" w:rsidRDefault="00EB4EE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EB4EE3">
        <w:rPr>
          <w:rFonts w:cs="Arial"/>
          <w:szCs w:val="20"/>
        </w:rPr>
        <w:t xml:space="preserve">  </w:t>
      </w:r>
      <w:r>
        <w:rPr>
          <w:rFonts w:cs="Arial"/>
          <w:szCs w:val="20"/>
        </w:rPr>
        <w:tab/>
      </w:r>
      <w:r w:rsidRPr="00EB4EE3">
        <w:rPr>
          <w:rFonts w:cs="Arial"/>
          <w:szCs w:val="20"/>
        </w:rPr>
        <w:t>NEN-EN 14181: NEN-EN 14181: 2014: Emissies van stationaire bronnen – Kwaliteitsborging van geautomatiseerde meetsystemen;</w:t>
      </w:r>
      <w:r w:rsidR="00884E13" w:rsidRPr="00802CA9">
        <w:rPr>
          <w:rFonts w:cs="Arial"/>
          <w:szCs w:val="20"/>
        </w:rPr>
        <w:t xml:space="preserve"> </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ab/>
        <w:t xml:space="preserve"> </w:t>
      </w:r>
      <w:r w:rsidRPr="00802CA9">
        <w:rPr>
          <w:rFonts w:cs="Arial"/>
          <w:i/>
          <w:iCs/>
          <w:szCs w:val="20"/>
        </w:rPr>
        <w:t>NEN-EN 14214:</w:t>
      </w:r>
      <w:r w:rsidRPr="00802CA9">
        <w:rPr>
          <w:rFonts w:cs="Arial"/>
          <w:szCs w:val="20"/>
        </w:rPr>
        <w:t xml:space="preserve"> NEN-EN 14214:2003: Europese norm voor Brandstoffen voor wegvoertuigen – Methylesters van vetzuren (FAME) voor dieselmotoren – Eisen en beproevingsmethoden, oktober 2003;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14385:</w:t>
      </w:r>
      <w:r w:rsidRPr="00802CA9">
        <w:rPr>
          <w:rFonts w:cs="Arial"/>
          <w:szCs w:val="20"/>
        </w:rPr>
        <w:t xml:space="preserve"> NEN-EN 14385:2004: Europese norm voor Emissies van stationaire bronnen – Bepaling van de totale emissie van As,Cd,Cr,Co,Cu,Mn,Ni,Pb,Sb,Tl en V, maart 2004;</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14789:</w:t>
      </w:r>
      <w:r w:rsidRPr="00802CA9">
        <w:rPr>
          <w:rFonts w:cs="Arial"/>
          <w:szCs w:val="20"/>
        </w:rPr>
        <w:t xml:space="preserve"> NEN-EN 14789, 2005: Europese norm voor Emissies van stationaire bronnen – Bepaling van de volumeconcentratie van zuurstof (O2) – Referentiemethode – Paramagnetisme, november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14790:</w:t>
      </w:r>
      <w:r w:rsidRPr="00802CA9">
        <w:rPr>
          <w:rFonts w:cs="Arial"/>
          <w:szCs w:val="20"/>
        </w:rPr>
        <w:t xml:space="preserve"> NEN-EN 14790, 2005: Europese norm voor Emissies van stationaire bronnen – Bepaling van de waterdamp in leidingen, november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14791:</w:t>
      </w:r>
      <w:r w:rsidRPr="00802CA9">
        <w:rPr>
          <w:rFonts w:cs="Arial"/>
          <w:szCs w:val="20"/>
        </w:rPr>
        <w:t xml:space="preserve"> NEN-EN 14791, 2005: Europese norm voor Emissies van stationaire bronnen – Bepaling van de massaconcentratie aan zwaveldioxide – Referentiemethode, november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14792:</w:t>
      </w:r>
      <w:r w:rsidRPr="00802CA9">
        <w:rPr>
          <w:rFonts w:cs="Arial"/>
          <w:szCs w:val="20"/>
        </w:rPr>
        <w:t xml:space="preserve"> NEN-EN 14792:2005: Europese norm voor Emissies van stationaire bronnen – Bepaling van massaconcentratie aan stikstofoxiden (NO</w:t>
      </w:r>
      <w:r w:rsidRPr="00802CA9">
        <w:rPr>
          <w:rFonts w:cs="Arial"/>
          <w:szCs w:val="20"/>
          <w:vertAlign w:val="subscript"/>
        </w:rPr>
        <w:t>x</w:t>
      </w:r>
      <w:r w:rsidRPr="00802CA9">
        <w:rPr>
          <w:rFonts w:cs="Arial"/>
          <w:szCs w:val="20"/>
        </w:rPr>
        <w:t>) – Referentiemethode – Chemiluminescentie, december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15058:</w:t>
      </w:r>
      <w:r w:rsidRPr="00802CA9">
        <w:rPr>
          <w:rFonts w:cs="Arial"/>
          <w:szCs w:val="20"/>
        </w:rPr>
        <w:t xml:space="preserve"> NEN-EN 15058, 2006: Europese norm voor Emissies van stationaire bronnen – Bepaling van de massaconcentratie van koolstofmonoxide (CO) – Referentiemethode: Niet-dispersieve infrarood spectrometrie, juni 2006;</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 15259:</w:t>
      </w:r>
      <w:r w:rsidRPr="00802CA9">
        <w:rPr>
          <w:rFonts w:cs="Arial"/>
          <w:szCs w:val="20"/>
        </w:rPr>
        <w:t xml:space="preserve"> NEN-EN 15259, 2007: Europese norm voor Luchtkwaliteit – Meetmethode emissies van stationaire bronnen – Eisen voor meetvlakken en meetlokaties en voor doelstelling, meetplan en rapportage van de meting oktober 2007;</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iCs/>
          <w:szCs w:val="20"/>
        </w:rPr>
      </w:pPr>
      <w:r w:rsidRPr="00802CA9">
        <w:rPr>
          <w:rFonts w:cs="Arial"/>
          <w:i/>
          <w:iCs/>
          <w:szCs w:val="20"/>
        </w:rPr>
        <w:tab/>
        <w:t>NEN-EN 16321-1:</w:t>
      </w:r>
      <w:r w:rsidRPr="00802CA9">
        <w:rPr>
          <w:rFonts w:cs="Arial"/>
          <w:iCs/>
          <w:szCs w:val="20"/>
        </w:rPr>
        <w:t xml:space="preserve"> NEN-EN 16321-1:2103</w:t>
      </w:r>
      <w:r w:rsidR="00EB4EE3">
        <w:rPr>
          <w:rFonts w:cs="Arial"/>
          <w:iCs/>
          <w:szCs w:val="20"/>
        </w:rPr>
        <w:t>:</w:t>
      </w:r>
      <w:r w:rsidRPr="00802CA9">
        <w:rPr>
          <w:rFonts w:cs="Arial"/>
          <w:iCs/>
          <w:szCs w:val="20"/>
        </w:rPr>
        <w:t xml:space="preserve"> Terugwinning van bezinedamp tijdens het vullen van motorvoertuigen bij tankstations – deel 1: Beproevingsmethoden voor efficiënte goedkeuring van terugwinningssystemen van bezinedampen;</w:t>
      </w:r>
    </w:p>
    <w:p w:rsidR="00884E13" w:rsidRPr="00802CA9" w:rsidRDefault="00884E13" w:rsidP="009D57DA">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i/>
          <w:iCs/>
          <w:szCs w:val="20"/>
        </w:rPr>
        <w:tab/>
        <w:t xml:space="preserve">NEN-EN 16321-2: </w:t>
      </w:r>
      <w:r w:rsidRPr="00802CA9">
        <w:rPr>
          <w:rFonts w:cs="Arial"/>
          <w:iCs/>
          <w:szCs w:val="20"/>
        </w:rPr>
        <w:t>NEN-EN 16321-2:2103</w:t>
      </w:r>
      <w:r w:rsidR="00EB4EE3">
        <w:rPr>
          <w:rFonts w:cs="Arial"/>
          <w:iCs/>
          <w:szCs w:val="20"/>
        </w:rPr>
        <w:t>:</w:t>
      </w:r>
      <w:r w:rsidRPr="00802CA9">
        <w:rPr>
          <w:rFonts w:cs="Arial"/>
          <w:iCs/>
          <w:szCs w:val="20"/>
        </w:rPr>
        <w:t xml:space="preserve"> Terugwinning van bezinedamp tijdens het vullen van motorvoertuigen bij tankstations – deel 2: Beproevingsmethoden voor de controle van dampwinningssytemen bij tankstations;</w:t>
      </w:r>
      <w:r w:rsidRPr="00802CA9">
        <w:rPr>
          <w:rFonts w:cs="Arial"/>
          <w:szCs w:val="20"/>
        </w:rPr>
        <w:t xml:space="preserve"> </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rPr>
          <w:rFonts w:cs="Arial"/>
          <w:szCs w:val="20"/>
        </w:rPr>
      </w:pPr>
      <w:r w:rsidRPr="00802CA9">
        <w:rPr>
          <w:rFonts w:cs="Arial"/>
          <w:i/>
          <w:iCs/>
          <w:szCs w:val="20"/>
        </w:rPr>
        <w:t>NEN-EN-IEC 61400-2:</w:t>
      </w:r>
      <w:r w:rsidRPr="00802CA9">
        <w:rPr>
          <w:rFonts w:cs="Arial"/>
          <w:szCs w:val="20"/>
        </w:rPr>
        <w:t xml:space="preserve"> NEN-EN-IEC 61400-2:2006: Europese norm voor Windturbines – Deel 2: Ontwerp eisen van kleine windturbines, september 2006;</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NEN-EN-IEC 61400-11:</w:t>
      </w:r>
      <w:r w:rsidRPr="00802CA9">
        <w:rPr>
          <w:rFonts w:cs="Arial"/>
          <w:szCs w:val="20"/>
        </w:rPr>
        <w:t xml:space="preserve"> NEN-EN-IEC 61400-11:2003: Europese norm voor Generatorsystemen voor windturbines – Deel 11: Meettechnieken voor akoestische geluidshinder, juli 2003;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2813:</w:t>
      </w:r>
      <w:r w:rsidRPr="00802CA9">
        <w:rPr>
          <w:rFonts w:cs="Arial"/>
          <w:szCs w:val="20"/>
        </w:rPr>
        <w:t xml:space="preserve"> NEN-EN-ISO 2813:1999: Europese norm voor Verven en vernissen – Metingen van de glans (spiegelende reflectie) van niet-metallieke verflagen onder 20°, 60° en 85°, mei 1999;</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5667-3:</w:t>
      </w:r>
      <w:r w:rsidRPr="00802CA9">
        <w:rPr>
          <w:rFonts w:cs="Arial"/>
          <w:szCs w:val="20"/>
        </w:rPr>
        <w:t xml:space="preserve"> NEN-EN-ISO 5667-3:</w:t>
      </w:r>
      <w:r w:rsidR="00ED53AF">
        <w:rPr>
          <w:rFonts w:cs="Arial"/>
          <w:szCs w:val="20"/>
        </w:rPr>
        <w:t>2012</w:t>
      </w:r>
      <w:r w:rsidRPr="00802CA9">
        <w:rPr>
          <w:rFonts w:cs="Arial"/>
          <w:szCs w:val="20"/>
        </w:rPr>
        <w:t xml:space="preserve">: Water – Monsterneming – Deel 3: </w:t>
      </w:r>
      <w:r w:rsidR="00ED53AF">
        <w:rPr>
          <w:rFonts w:cs="Arial"/>
          <w:szCs w:val="20"/>
        </w:rPr>
        <w:t>C</w:t>
      </w:r>
      <w:r w:rsidRPr="00802CA9">
        <w:rPr>
          <w:rFonts w:cs="Arial"/>
          <w:szCs w:val="20"/>
        </w:rPr>
        <w:t>onservering en behandeling van watermonsters;</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rPr>
          <w:rFonts w:cs="Arial"/>
          <w:szCs w:val="20"/>
        </w:rPr>
      </w:pPr>
      <w:r w:rsidRPr="00943F47">
        <w:rPr>
          <w:rFonts w:cs="Arial"/>
          <w:i/>
          <w:szCs w:val="20"/>
        </w:rPr>
        <w:t>NEN-EN-ISO 5814:</w:t>
      </w:r>
      <w:r w:rsidRPr="00802CA9">
        <w:rPr>
          <w:rFonts w:cs="Arial"/>
          <w:szCs w:val="20"/>
        </w:rPr>
        <w:t xml:space="preserve"> NEN-EN-ISO 5814:2012, Water – Bepaling van het gehalte aan opgeloste zuurstof – Elektrochemische methode, oktober 2012;</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6468:</w:t>
      </w:r>
      <w:r w:rsidRPr="00802CA9">
        <w:rPr>
          <w:rFonts w:cs="Arial"/>
          <w:szCs w:val="20"/>
        </w:rPr>
        <w:t xml:space="preserve"> NEN-EN-ISO 6468:1997: Europese norm voor Water – Bepaling van het gehalte aan organochloor-bestrijdingsmiddelen, polychloorbifenylen en chloorbenzenen – Gaschromatografische methode na vloeistof/vloeistofextractie, februari 1997;</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9377-2:</w:t>
      </w:r>
      <w:r w:rsidRPr="00802CA9">
        <w:rPr>
          <w:rFonts w:cs="Arial"/>
          <w:szCs w:val="20"/>
        </w:rPr>
        <w:t xml:space="preserve"> NEN-EN-ISO 9377-2:2000: Europese norm voor Water – Bepaling van de minerale-olie-index – Deel 2: Methode met vloeistofextractie en gas-chromatografie, december 2000;</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10301:</w:t>
      </w:r>
      <w:r w:rsidRPr="00802CA9">
        <w:rPr>
          <w:rFonts w:cs="Arial"/>
          <w:szCs w:val="20"/>
        </w:rPr>
        <w:t xml:space="preserve"> NEN-EN-ISO 10301:1997: Europese norm voor Water – Bepaling van zeer vluchtige gehalogeneerde koolwaterstoffen – Gaschromatografische methoden, mei 1997;</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11143:</w:t>
      </w:r>
      <w:r w:rsidRPr="00802CA9">
        <w:rPr>
          <w:rFonts w:cs="Arial"/>
          <w:szCs w:val="20"/>
        </w:rPr>
        <w:t xml:space="preserve"> NEN-EN-ISO 11143:2008: Europese norm voor Tandheelkunde-Amalgaanscheiders, november 2008;</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11732:</w:t>
      </w:r>
      <w:r w:rsidRPr="00802CA9">
        <w:rPr>
          <w:rFonts w:cs="Arial"/>
          <w:szCs w:val="20"/>
        </w:rPr>
        <w:t xml:space="preserve"> NEN-EN-ISO 11732:2005: Europese norm voor Water – Bepaling van ammonium stikstof – Methode voor doorstroomanalyse (CFA en FIA) en spectrometrische detectie, februari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11969:</w:t>
      </w:r>
      <w:r w:rsidRPr="00802CA9">
        <w:rPr>
          <w:rFonts w:cs="Arial"/>
          <w:szCs w:val="20"/>
        </w:rPr>
        <w:t xml:space="preserve"> NEN-EN-ISO 11969, 1997: Europese norm voor Water – Bepaling van het arseengehalte – Methode met atomaire absorptiespectrometrie (hydridetechniek), februari 1997;</w:t>
      </w:r>
    </w:p>
    <w:p w:rsidR="00F23864" w:rsidRDefault="00F23864" w:rsidP="00F23864">
      <w:pPr>
        <w:widowControl w:val="0"/>
        <w:shd w:val="clear" w:color="auto" w:fill="D9D9D9" w:themeFill="background1" w:themeFillShade="D9"/>
        <w:autoSpaceDE w:val="0"/>
        <w:autoSpaceDN w:val="0"/>
        <w:adjustRightInd w:val="0"/>
        <w:spacing w:line="240" w:lineRule="auto"/>
        <w:ind w:left="640"/>
        <w:rPr>
          <w:rFonts w:cs="Arial"/>
          <w:szCs w:val="20"/>
        </w:rPr>
      </w:pPr>
      <w:r w:rsidRPr="00943F47">
        <w:rPr>
          <w:rFonts w:cs="Arial"/>
          <w:i/>
          <w:szCs w:val="20"/>
        </w:rPr>
        <w:t>NEN-EN-ISO 12846:</w:t>
      </w:r>
      <w:r w:rsidRPr="00F23864">
        <w:rPr>
          <w:rFonts w:cs="Arial"/>
          <w:szCs w:val="20"/>
        </w:rPr>
        <w:t xml:space="preserve"> NEN-EN-ISO 12846: 2012: Water – Bepaling van kwik – Methode met atomaire absorptiespectometrie met en zonder concentratie;</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13395:</w:t>
      </w:r>
      <w:r w:rsidRPr="00802CA9">
        <w:rPr>
          <w:rFonts w:cs="Arial"/>
          <w:szCs w:val="20"/>
        </w:rPr>
        <w:t xml:space="preserve"> NEN-EN-ISO 13395:1997: Europese norm voor Water – Bepaling van het stikstofgehalte in de vorm van nitriet en in de vorm van nitraat en de som van beide met doorstroomanalyse (CFA en FIA) en spectrometrische detectie, mei 1997;</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14403</w:t>
      </w:r>
      <w:r w:rsidR="00943F47" w:rsidRPr="00943F47">
        <w:rPr>
          <w:rFonts w:cs="Arial"/>
          <w:i/>
          <w:iCs/>
          <w:szCs w:val="20"/>
        </w:rPr>
        <w:t xml:space="preserve">-1:2012: </w:t>
      </w:r>
      <w:r w:rsidR="00943F47" w:rsidRPr="00943F47">
        <w:rPr>
          <w:rFonts w:cs="Arial"/>
          <w:iCs/>
          <w:szCs w:val="20"/>
        </w:rPr>
        <w:t>Water – Bepaling van het totale gehalte aan cyanide en het gehalte aan vrij cyanide met doorstroomanalyse (FIA en CFA) – Deel 1: Methode met doorstroominjectie analyse (FIA)</w:t>
      </w:r>
      <w:r w:rsidRPr="00943F47">
        <w:rPr>
          <w:rFonts w:cs="Arial"/>
          <w:szCs w:val="20"/>
        </w:rPr>
        <w:t>;</w:t>
      </w:r>
    </w:p>
    <w:p w:rsidR="008C1B0D" w:rsidRDefault="008C1B0D" w:rsidP="008C1B0D">
      <w:pPr>
        <w:widowControl w:val="0"/>
        <w:shd w:val="clear" w:color="auto" w:fill="D9D9D9" w:themeFill="background1" w:themeFillShade="D9"/>
        <w:autoSpaceDE w:val="0"/>
        <w:autoSpaceDN w:val="0"/>
        <w:adjustRightInd w:val="0"/>
        <w:spacing w:line="240" w:lineRule="auto"/>
        <w:ind w:left="640"/>
        <w:rPr>
          <w:rFonts w:cs="Arial"/>
          <w:szCs w:val="20"/>
        </w:rPr>
      </w:pPr>
      <w:r w:rsidRPr="008C1B0D">
        <w:rPr>
          <w:rFonts w:cs="Arial"/>
          <w:i/>
          <w:szCs w:val="20"/>
        </w:rPr>
        <w:t>NEN-EN-ISO 14403-2:2012:</w:t>
      </w:r>
      <w:r w:rsidRPr="008C1B0D">
        <w:rPr>
          <w:rFonts w:cs="Arial"/>
          <w:szCs w:val="20"/>
        </w:rPr>
        <w:t xml:space="preserve"> Water – Bepaling van het totale gehalte aan cyanide en het gehalte aan vrij cyanide met doorstroomanalyse (FIA en CFA) – Deel 2: Methode met continu doorstroomanalyse (CFA);</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15587-1:</w:t>
      </w:r>
      <w:r w:rsidRPr="00802CA9">
        <w:rPr>
          <w:rFonts w:cs="Arial"/>
          <w:szCs w:val="20"/>
        </w:rPr>
        <w:t xml:space="preserve"> NEN-EN-ISO 15587-1:2002: Europese norm voor Water – Ontsluiting voor de bepaling van geselecteerde elementen in water – Deel 1: Koningswater ontsluiting, maart 2002;</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15680:</w:t>
      </w:r>
      <w:r w:rsidRPr="00802CA9">
        <w:rPr>
          <w:rFonts w:cs="Arial"/>
          <w:szCs w:val="20"/>
        </w:rPr>
        <w:t xml:space="preserve"> NEN-EN-ISO 15680:2003: Europese norm voor Water – Gaschromatografische bepaling van een aantal monocyclische aromatische koolwaterstoffen, naftaleen en verscheidene gechloreerde verbindingen met ‘purge-and-trap’ en thermische desorptie, december 2003;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15681-1:</w:t>
      </w:r>
      <w:r w:rsidRPr="00802CA9">
        <w:rPr>
          <w:rFonts w:cs="Arial"/>
          <w:szCs w:val="20"/>
        </w:rPr>
        <w:t xml:space="preserve"> NEN-EN-ISO 15681-1:2005: Europese norm Water – Bepaling van het gehalte aan orthofosfaat en het totale gehalte aan fosfor met behulp van doorstroomanalyse (FIA and CFA) – Deel 1: Methode met een doorstroominjectiesysteem (FIA), januari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15681-2:</w:t>
      </w:r>
      <w:r w:rsidRPr="00802CA9">
        <w:rPr>
          <w:rFonts w:cs="Arial"/>
          <w:szCs w:val="20"/>
        </w:rPr>
        <w:t xml:space="preserve"> NEN-EN-ISO 15681-2:2005: Europese norm Water – Bepaling van het gehalte aan orthofosfaat en het totale gehalte aan fosfor met behulp van doorstroomanalyse (FIA and CFA) – Deel 2: Methode met een continu doorstroomanalysesysteem (CFA), januari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15682:</w:t>
      </w:r>
      <w:r w:rsidRPr="00802CA9">
        <w:rPr>
          <w:rFonts w:cs="Arial"/>
          <w:szCs w:val="20"/>
        </w:rPr>
        <w:t xml:space="preserve"> NEN-EN-ISO 15682:2001: Europese norm voor Water – Bepaling van het gehalte aan chloride met doorstroomanalyse (CFA en FIA) en fotometrische of potentiometrische detectie, september 2001;</w:t>
      </w:r>
    </w:p>
    <w:p w:rsidR="00884E13"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16852:</w:t>
      </w:r>
      <w:r w:rsidRPr="00802CA9">
        <w:rPr>
          <w:rFonts w:cs="Arial"/>
          <w:szCs w:val="20"/>
        </w:rPr>
        <w:t xml:space="preserve"> Europese norm voor Vlamdovers – Prestatie-eisen, beproevingsmethoden en begrenzingen bij gebruik, mei 2010;</w:t>
      </w:r>
    </w:p>
    <w:p w:rsidR="009D57DA" w:rsidRDefault="009D57DA" w:rsidP="009D57DA">
      <w:pPr>
        <w:widowControl w:val="0"/>
        <w:shd w:val="clear" w:color="auto" w:fill="D9D9D9" w:themeFill="background1" w:themeFillShade="D9"/>
        <w:autoSpaceDE w:val="0"/>
        <w:autoSpaceDN w:val="0"/>
        <w:adjustRightInd w:val="0"/>
        <w:spacing w:line="240" w:lineRule="auto"/>
        <w:ind w:left="640"/>
      </w:pPr>
      <w:r w:rsidRPr="009D57DA">
        <w:rPr>
          <w:rFonts w:cs="Arial"/>
          <w:i/>
          <w:szCs w:val="20"/>
        </w:rPr>
        <w:t>NEN-EN-ISO 16911-1</w:t>
      </w:r>
      <w:r w:rsidRPr="009D57DA">
        <w:rPr>
          <w:rFonts w:cs="Arial"/>
          <w:szCs w:val="20"/>
        </w:rPr>
        <w:t>: NEN-EN-ISO 16911-1:2013: Emissies van stationaire bronnen – Bepaling van de stroomsnelheid en het debiet in afgaskanalen – Deel 1: Handmatige referentiemethode;</w:t>
      </w:r>
      <w:r w:rsidRPr="009D57DA">
        <w:t xml:space="preserve"> </w:t>
      </w:r>
    </w:p>
    <w:p w:rsidR="009D57DA" w:rsidRPr="00802CA9" w:rsidRDefault="009D57DA" w:rsidP="009D57DA">
      <w:pPr>
        <w:widowControl w:val="0"/>
        <w:shd w:val="clear" w:color="auto" w:fill="D9D9D9" w:themeFill="background1" w:themeFillShade="D9"/>
        <w:autoSpaceDE w:val="0"/>
        <w:autoSpaceDN w:val="0"/>
        <w:adjustRightInd w:val="0"/>
        <w:spacing w:line="240" w:lineRule="auto"/>
        <w:ind w:left="640"/>
        <w:rPr>
          <w:rFonts w:cs="Arial"/>
          <w:szCs w:val="20"/>
        </w:rPr>
      </w:pPr>
      <w:r w:rsidRPr="009D57DA">
        <w:rPr>
          <w:rFonts w:cs="Arial"/>
          <w:i/>
          <w:szCs w:val="20"/>
        </w:rPr>
        <w:t>NEN-EN-ISO 16911-2:</w:t>
      </w:r>
      <w:r w:rsidRPr="009D57DA">
        <w:rPr>
          <w:rFonts w:cs="Arial"/>
          <w:szCs w:val="20"/>
        </w:rPr>
        <w:t xml:space="preserve"> NEN-EN-ISO 16911-2:2013 en: Emissies van stationaire bronnen – Bepaling van de stroomsnelheid en het debiet in afgaskanalen – Deel 2: Geautomatiseerde meetsystemen;</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17294-2:</w:t>
      </w:r>
      <w:r w:rsidRPr="00802CA9">
        <w:rPr>
          <w:rFonts w:cs="Arial"/>
          <w:szCs w:val="20"/>
        </w:rPr>
        <w:t xml:space="preserve"> NEN-EN-ISO 17294-2:2004: Europese norm voor Water – Toepassing van massaspectrometrie met inductief gekoppelde plasma (ICP-MS) – Deel 2: Bepaling van 62 elementen, november 2004;</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 17993:</w:t>
      </w:r>
      <w:r w:rsidRPr="00802CA9">
        <w:rPr>
          <w:rFonts w:cs="Arial"/>
          <w:szCs w:val="20"/>
        </w:rPr>
        <w:t xml:space="preserve"> NEN-EN-ISO 17993:2004: Europese norm voor Water – Bepaling van 15 polycyclische aromatische koolwaterstoffen (PAK) in water met HPLC met fluorescentiedetectie na vloeistof-vloeistof extractie, juni 2004;</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NEN-EN-ISO/IEC 17020:</w:t>
      </w:r>
      <w:r w:rsidRPr="00802CA9">
        <w:rPr>
          <w:rFonts w:cs="Arial"/>
          <w:szCs w:val="20"/>
        </w:rPr>
        <w:t xml:space="preserve"> NEN-EN-ISO/IEC 17020:</w:t>
      </w:r>
      <w:r w:rsidRPr="00802CA9">
        <w:t xml:space="preserve"> </w:t>
      </w:r>
      <w:r w:rsidR="00AA464F">
        <w:rPr>
          <w:rFonts w:cs="Arial"/>
          <w:szCs w:val="20"/>
        </w:rPr>
        <w:t>2012:</w:t>
      </w:r>
      <w:r w:rsidRPr="00802CA9">
        <w:rPr>
          <w:rFonts w:cs="Arial"/>
          <w:szCs w:val="20"/>
        </w:rPr>
        <w:t xml:space="preserve"> Conformiteitsbeoordeling – Algemene criteria voor het functioneren van verschillende soorten instellingen die keuringen uitvoeren;</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NEN-EN-ISO/IEC 17025:</w:t>
      </w:r>
      <w:r w:rsidRPr="00802CA9">
        <w:rPr>
          <w:rFonts w:cs="Arial"/>
          <w:szCs w:val="20"/>
        </w:rPr>
        <w:t xml:space="preserve"> NEN-EN-ISO/IEC 17025, 2005: Europese norm voor Algemene eisen voor de bekwaamheid van beproevings- en kalibratielaboratoria, juni 2005 en C1:2007, januari 2007;</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NEN-ISO 5663:</w:t>
      </w:r>
      <w:r w:rsidRPr="00802CA9">
        <w:rPr>
          <w:rFonts w:cs="Arial"/>
          <w:szCs w:val="20"/>
        </w:rPr>
        <w:t xml:space="preserve"> NEN-ISO 5663:1993: Nederlandse norm voor Water – Bepaling van het gehalte aan Kjeldahl-stikstof – Methode na mineralisatie met seleen, december 1993;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NEN-ISO 5813:</w:t>
      </w:r>
      <w:r w:rsidRPr="00802CA9">
        <w:rPr>
          <w:rFonts w:cs="Arial"/>
          <w:szCs w:val="20"/>
        </w:rPr>
        <w:t xml:space="preserve"> NEN-ISO 5813:1993: Internationale standaardnorm voor Water – Bepaling van het gehalte aan opgeloste zuurstof – Iodometrische methode, februari 1993;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r>
      <w:r w:rsidRPr="00802CA9">
        <w:rPr>
          <w:rFonts w:cs="Arial"/>
          <w:i/>
          <w:szCs w:val="20"/>
        </w:rPr>
        <w:t>NEN-ISO 9096:</w:t>
      </w:r>
      <w:r w:rsidR="00AA464F">
        <w:rPr>
          <w:rFonts w:cs="Arial"/>
          <w:szCs w:val="20"/>
        </w:rPr>
        <w:t xml:space="preserve"> NEN-ISO 9096:2003+</w:t>
      </w:r>
      <w:r w:rsidRPr="00802CA9">
        <w:rPr>
          <w:rFonts w:cs="Arial"/>
          <w:szCs w:val="20"/>
        </w:rPr>
        <w:t xml:space="preserve">C1:2007, Emissie van stationaire bronnen – Bepaling van de concentratie aan vaste deeltjes; </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rPr>
          <w:rFonts w:cs="Arial"/>
          <w:szCs w:val="20"/>
        </w:rPr>
      </w:pPr>
      <w:r w:rsidRPr="00802CA9">
        <w:rPr>
          <w:rFonts w:cs="Arial"/>
          <w:i/>
          <w:iCs/>
          <w:szCs w:val="20"/>
        </w:rPr>
        <w:t>NEN-ISO 10523:</w:t>
      </w:r>
      <w:r w:rsidRPr="00802CA9">
        <w:rPr>
          <w:rFonts w:cs="Arial"/>
          <w:szCs w:val="20"/>
        </w:rPr>
        <w:t xml:space="preserve"> NEN-</w:t>
      </w:r>
      <w:r w:rsidR="00246EF1">
        <w:rPr>
          <w:rFonts w:cs="Arial"/>
          <w:szCs w:val="20"/>
        </w:rPr>
        <w:t>EN-</w:t>
      </w:r>
      <w:r w:rsidRPr="00802CA9">
        <w:rPr>
          <w:rFonts w:cs="Arial"/>
          <w:szCs w:val="20"/>
        </w:rPr>
        <w:t>ISO 10523:2012, Water – Bepaling van de pH;</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NEN-ISO 10849:</w:t>
      </w:r>
      <w:r w:rsidRPr="00802CA9">
        <w:rPr>
          <w:rFonts w:cs="Arial"/>
          <w:szCs w:val="20"/>
        </w:rPr>
        <w:t xml:space="preserve"> NEN-ISO 10849:1998: Internationale standaardnorm voor Emissies van stationaire bronnen – Bepaling van de concentratie aan stikstofoxiden – Prestatiekenmerken van geautomatiseerde meetsystemen, september 1998;</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NEN-ISO 11083:</w:t>
      </w:r>
      <w:r w:rsidRPr="00802CA9">
        <w:rPr>
          <w:rFonts w:cs="Arial"/>
          <w:szCs w:val="20"/>
        </w:rPr>
        <w:t xml:space="preserve"> NEN-ISO 11083:2006: Internationale standaardnorm voor Water – Bepaling van chroom (VI) – Spectrometrische methode met 1,5-difenylcarbazide, december 2006;</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rPr>
          <w:rFonts w:cs="Arial"/>
          <w:szCs w:val="20"/>
        </w:rPr>
      </w:pPr>
      <w:r w:rsidRPr="00802CA9">
        <w:rPr>
          <w:rFonts w:cs="Arial"/>
          <w:szCs w:val="20"/>
        </w:rPr>
        <w:t xml:space="preserve"> </w:t>
      </w:r>
      <w:r w:rsidRPr="00802CA9">
        <w:rPr>
          <w:rFonts w:cs="Arial"/>
          <w:i/>
          <w:iCs/>
          <w:szCs w:val="20"/>
        </w:rPr>
        <w:t>NEN-ISO 15713:</w:t>
      </w:r>
      <w:r w:rsidRPr="00802CA9">
        <w:rPr>
          <w:rFonts w:cs="Arial"/>
          <w:szCs w:val="20"/>
        </w:rPr>
        <w:t xml:space="preserve"> NEN-ISO 15713:2011</w:t>
      </w:r>
      <w:r w:rsidR="009B6B82">
        <w:rPr>
          <w:rFonts w:cs="Arial"/>
          <w:szCs w:val="20"/>
        </w:rPr>
        <w:t>:</w:t>
      </w:r>
      <w:r w:rsidRPr="00802CA9">
        <w:rPr>
          <w:rFonts w:cs="Arial"/>
          <w:szCs w:val="20"/>
        </w:rPr>
        <w:t xml:space="preserve"> Emissie van stationaire bronnen – </w:t>
      </w:r>
      <w:r w:rsidR="009B6B82">
        <w:rPr>
          <w:rFonts w:cs="Arial"/>
          <w:szCs w:val="20"/>
        </w:rPr>
        <w:t>M</w:t>
      </w:r>
      <w:r w:rsidRPr="00802CA9">
        <w:rPr>
          <w:rFonts w:cs="Arial"/>
          <w:szCs w:val="20"/>
        </w:rPr>
        <w:t>onsterneming en bepaling van het gasvormige fluoridegehalte;</w:t>
      </w:r>
    </w:p>
    <w:p w:rsidR="009B6B82" w:rsidRDefault="009B6B82" w:rsidP="009B6B82">
      <w:pPr>
        <w:widowControl w:val="0"/>
        <w:shd w:val="clear" w:color="auto" w:fill="D9D9D9" w:themeFill="background1" w:themeFillShade="D9"/>
        <w:autoSpaceDE w:val="0"/>
        <w:autoSpaceDN w:val="0"/>
        <w:adjustRightInd w:val="0"/>
        <w:spacing w:line="240" w:lineRule="auto"/>
        <w:ind w:left="640"/>
        <w:rPr>
          <w:rFonts w:cs="Arial"/>
          <w:szCs w:val="20"/>
        </w:rPr>
      </w:pPr>
      <w:r w:rsidRPr="009B6B82">
        <w:rPr>
          <w:rFonts w:cs="Arial"/>
          <w:i/>
          <w:szCs w:val="20"/>
        </w:rPr>
        <w:t>NEN-ISO 15923:</w:t>
      </w:r>
      <w:r w:rsidRPr="009B6B82">
        <w:rPr>
          <w:rFonts w:cs="Arial"/>
          <w:szCs w:val="20"/>
        </w:rPr>
        <w:t xml:space="preserve"> NEN-ISO 15923-1:2013: Waterkwaliteit – Bepaling van de ionen met een discreet analysesysteem en spectrofotometrische detectie – Deel 1: Ammonium, chloride, nitraat, nitriet, ortho-fosfaat, silicaat en sulfaat;</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NEN-ISO 16740:</w:t>
      </w:r>
      <w:r w:rsidRPr="00802CA9">
        <w:rPr>
          <w:rFonts w:cs="Arial"/>
          <w:szCs w:val="20"/>
        </w:rPr>
        <w:t xml:space="preserve"> NEN-ISO 16740:2005: Internationale norm voor Werkplekatmosfeer – Bepaling van het gehalte aan zeswaardig chroom in deeltjes in lucht – Methode door ion chromatografie en spectrofotometrische metingen met gebruik van difenyl carbazide, maart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NEN-ISO 22743</w:t>
      </w:r>
      <w:r w:rsidRPr="00802CA9">
        <w:rPr>
          <w:rFonts w:cs="Arial"/>
          <w:szCs w:val="20"/>
        </w:rPr>
        <w:t>: NEN-ISO 22743, 2006: Water – Internationale standaardnorm voor Bepaling van sulfaat met een doorstroomanalysesysteem (CFA), mei 2006 en C1:2007, september 2007;</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NPR 2578:</w:t>
      </w:r>
      <w:r w:rsidRPr="00802CA9">
        <w:rPr>
          <w:rFonts w:cs="Arial"/>
          <w:szCs w:val="20"/>
        </w:rPr>
        <w:t xml:space="preserve"> NPR 2578:2013</w:t>
      </w:r>
      <w:r w:rsidR="00323F81">
        <w:rPr>
          <w:rFonts w:cs="Arial"/>
          <w:szCs w:val="20"/>
        </w:rPr>
        <w:t>:</w:t>
      </w:r>
      <w:r w:rsidRPr="00802CA9">
        <w:rPr>
          <w:rFonts w:cs="Arial"/>
          <w:szCs w:val="20"/>
        </w:rPr>
        <w:t xml:space="preserve"> Beheer en onderhoud van LPG-, propaan- en butaaninstallaties;</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ab/>
      </w:r>
      <w:r w:rsidRPr="00802CA9">
        <w:rPr>
          <w:rFonts w:cs="Arial"/>
          <w:i/>
          <w:szCs w:val="20"/>
        </w:rPr>
        <w:t>NPR 7600</w:t>
      </w:r>
      <w:r w:rsidR="00323F81">
        <w:rPr>
          <w:rFonts w:cs="Arial"/>
          <w:szCs w:val="20"/>
        </w:rPr>
        <w:t>: NPR 7600:2013:</w:t>
      </w:r>
      <w:r w:rsidRPr="00802CA9">
        <w:rPr>
          <w:rFonts w:cs="Arial"/>
          <w:szCs w:val="20"/>
        </w:rPr>
        <w:t xml:space="preserve"> Toepassing van koolwaterstoffen als koudemiddel in koelsystemen en warmtepompen;</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i/>
          <w:szCs w:val="20"/>
        </w:rPr>
        <w:tab/>
        <w:t>NPR 7601:</w:t>
      </w:r>
      <w:r w:rsidRPr="00802CA9">
        <w:rPr>
          <w:rFonts w:cs="Arial"/>
          <w:szCs w:val="20"/>
        </w:rPr>
        <w:t xml:space="preserve"> NPR 76</w:t>
      </w:r>
      <w:r w:rsidR="00323F81">
        <w:rPr>
          <w:rFonts w:cs="Arial"/>
          <w:szCs w:val="20"/>
        </w:rPr>
        <w:t>01:2013:</w:t>
      </w:r>
      <w:r w:rsidRPr="00802CA9">
        <w:rPr>
          <w:rFonts w:cs="Arial"/>
          <w:szCs w:val="20"/>
        </w:rPr>
        <w:t xml:space="preserve"> Toepassing van koolstofdioxide als koudemiddel in koelinstallaties en warmtepompen;</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NPR 7910-1:</w:t>
      </w:r>
      <w:r w:rsidRPr="00802CA9">
        <w:rPr>
          <w:rFonts w:cs="Arial"/>
          <w:szCs w:val="20"/>
        </w:rPr>
        <w:t xml:space="preserve"> Europese norm voor Gevarenzone-indeling met betrekking tot explosiegevaar – Deel 1: Gasexplosiegevaar, gebaseerd op NEN-EN-IEC 60079-10-1:2009, versie 2010+C1:2012, maart 2012;</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NTA 7379:</w:t>
      </w:r>
      <w:r w:rsidRPr="00802CA9">
        <w:rPr>
          <w:rFonts w:cs="Arial"/>
          <w:szCs w:val="20"/>
        </w:rPr>
        <w:t xml:space="preserve"> NTA 7379, 2012: Richtlijnen ‘Predictive emission monitoring systems’ (PEMS) – Realisatie en kwaliteitsborging, januari 2012;</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iCs/>
          <w:szCs w:val="20"/>
        </w:rPr>
      </w:pPr>
      <w:r w:rsidRPr="00802CA9">
        <w:rPr>
          <w:rFonts w:cs="Arial"/>
          <w:i/>
          <w:iCs/>
          <w:szCs w:val="20"/>
        </w:rPr>
        <w:tab/>
        <w:t xml:space="preserve">NTA 9065: </w:t>
      </w:r>
      <w:r w:rsidR="00176892">
        <w:rPr>
          <w:rFonts w:cs="Arial"/>
          <w:iCs/>
          <w:szCs w:val="20"/>
        </w:rPr>
        <w:t>NTA 9065:2012</w:t>
      </w:r>
      <w:r w:rsidRPr="00802CA9">
        <w:rPr>
          <w:rFonts w:cs="Arial"/>
          <w:iCs/>
          <w:szCs w:val="20"/>
        </w:rPr>
        <w:t>: Luchtkwaliteit - Geurmetingen - Meten en rekenen geur (01.12.2012);</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rPr>
          <w:rFonts w:cs="Arial"/>
          <w:szCs w:val="20"/>
        </w:rPr>
      </w:pPr>
      <w:r w:rsidRPr="00802CA9">
        <w:rPr>
          <w:rFonts w:cs="Arial"/>
          <w:i/>
          <w:iCs/>
          <w:szCs w:val="20"/>
        </w:rPr>
        <w:t xml:space="preserve">NTA 9766: </w:t>
      </w:r>
      <w:r w:rsidRPr="00802CA9">
        <w:rPr>
          <w:rFonts w:cs="Arial"/>
          <w:iCs/>
          <w:szCs w:val="20"/>
        </w:rPr>
        <w:t>NTA 9766 2014:</w:t>
      </w:r>
      <w:r w:rsidRPr="00802CA9">
        <w:rPr>
          <w:rFonts w:cs="Arial"/>
          <w:i/>
          <w:iCs/>
          <w:szCs w:val="20"/>
        </w:rPr>
        <w:t xml:space="preserve"> </w:t>
      </w:r>
      <w:r w:rsidRPr="00802CA9">
        <w:rPr>
          <w:rFonts w:cs="Arial"/>
          <w:iCs/>
          <w:szCs w:val="20"/>
        </w:rPr>
        <w:t>Veiligheidsaspecten van installaties voor monomestvergisting en vergistingsgasopwerking op boerderijschaal (01.04.2014);</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NVN 11400-0:</w:t>
      </w:r>
      <w:r w:rsidRPr="00802CA9">
        <w:rPr>
          <w:rFonts w:cs="Arial"/>
          <w:szCs w:val="20"/>
        </w:rPr>
        <w:t xml:space="preserve"> NVN 11400-0:1999/A1 2005: Nederlandse voornorm voor Windturbines – Deel 0: Voorschriften voor typecertificatie – Technische eisen, februari 2005;</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 7:</w:t>
      </w:r>
      <w:r w:rsidRPr="00802CA9">
        <w:rPr>
          <w:rFonts w:cs="Arial"/>
          <w:szCs w:val="20"/>
        </w:rPr>
        <w:t xml:space="preserve"> Richtlijn PGS 7, getiteld ‘Opslag van vaste minerale anorganische meststoffen’, zoals gepubliceerd op www.publicatiereeksgevaarlijkestoffen.nl, PGS 7: 2007 versie 0.1 (2-2009);</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 8:</w:t>
      </w:r>
      <w:r w:rsidRPr="00802CA9">
        <w:rPr>
          <w:rFonts w:cs="Arial"/>
          <w:szCs w:val="20"/>
        </w:rPr>
        <w:t xml:space="preserve"> Richtlijn PGS 8, getiteld ‘Organische peroxiden: opslag’, zoals gepubliceerd op www.publicatiereeksgevaarlijkestoffen.nl, PGS 8:2011;</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 9:</w:t>
      </w:r>
      <w:r w:rsidRPr="00802CA9">
        <w:rPr>
          <w:rFonts w:cs="Arial"/>
          <w:szCs w:val="20"/>
        </w:rPr>
        <w:t xml:space="preserve"> Richtlijn PGS 9, getiteld ‘Vloeibare zuurstof; Opslag van 0,45-100 m</w:t>
      </w:r>
      <w:r w:rsidRPr="00802CA9">
        <w:rPr>
          <w:rFonts w:cs="Arial"/>
          <w:szCs w:val="20"/>
          <w:vertAlign w:val="superscript"/>
        </w:rPr>
        <w:t>3</w:t>
      </w:r>
      <w:r w:rsidRPr="00802CA9">
        <w:rPr>
          <w:rFonts w:cs="Arial"/>
          <w:szCs w:val="20"/>
        </w:rPr>
        <w:t>’, zoals gepubliceerd op www.publicatiereeksgevaarlijkestoffen.nl, PGS 9: 1983 (2-2009) en het erratum van 1 oktober 2007;</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 13:</w:t>
      </w:r>
      <w:r w:rsidRPr="00802CA9">
        <w:rPr>
          <w:rFonts w:cs="Arial"/>
          <w:szCs w:val="20"/>
        </w:rPr>
        <w:t xml:space="preserve"> Richtlijn PGS 13, getiteld ‘Ammoniak als koudemiddel in koelinstallaties en warmtepompen’, zoals gepubliceerd op www.publicatiereeksgevaarlijkestoffen.nl, PGS 13: 2009 versie 1.0 (2-2009);</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 15:</w:t>
      </w:r>
      <w:r w:rsidRPr="00802CA9">
        <w:rPr>
          <w:rFonts w:cs="Arial"/>
          <w:szCs w:val="20"/>
        </w:rPr>
        <w:t xml:space="preserve"> Richtlijn PGS 15, getiteld ‘Opslag van verpakte gevaarlijke stoffen’, zoals gepubliceerd op www.publicatiereeksgevaarlijkestoffen.nl, PGS 15:2011 versie 1.1 (december 2012);</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i/>
          <w:iCs/>
          <w:szCs w:val="20"/>
        </w:rPr>
        <w:tab/>
        <w:t>PGS 16:</w:t>
      </w:r>
      <w:r w:rsidRPr="00802CA9">
        <w:rPr>
          <w:rFonts w:cs="Arial"/>
          <w:iCs/>
          <w:szCs w:val="20"/>
        </w:rPr>
        <w:t xml:space="preserve"> Richtlijn PGS 16, getiteld ‘LPG: Afleverinstallaties; Richtlijn voor de brandveilige, arbeidsveilige en milieuveilige aflevering van LPG’, PGS 16:2010 versie 1.0 (09-2010);</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 19:</w:t>
      </w:r>
      <w:r w:rsidRPr="00802CA9">
        <w:rPr>
          <w:rFonts w:cs="Arial"/>
          <w:szCs w:val="20"/>
        </w:rPr>
        <w:t xml:space="preserve"> Richtlijn PGS 19, getiteld ‘Propaan en butaan: opslag’, zoals gepubliceerd op www.publicatiereeksgevaarlijkestoffen.nl, PGS 19:2013 versie 1.0 (oktober 2013);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 23:</w:t>
      </w:r>
      <w:r w:rsidRPr="00802CA9">
        <w:rPr>
          <w:rFonts w:cs="Arial"/>
          <w:szCs w:val="20"/>
        </w:rPr>
        <w:t xml:space="preserve"> Richtlijn PGS 23, getiteld ‘Propaan,Vulstations van butaan- en propaanflessen’, zoals gepubliceerd op www.publicatiereeksgevaarlijkestoffen.nl, PGS 23: 1994 versie 0.1 (2-2009);</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 25:</w:t>
      </w:r>
      <w:r w:rsidRPr="00802CA9">
        <w:rPr>
          <w:rFonts w:cs="Arial"/>
          <w:szCs w:val="20"/>
        </w:rPr>
        <w:t xml:space="preserve"> Richtlijn PGS 25, getiteld ‘Aardgas – afleverinstallaties voor motorvoertuigen’, zoals gepubliceerd op www.publicatiereeksgevaarlijkestoffen.nl, PGS 25:2009 versie 1.2 (december 2012);</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 28:</w:t>
      </w:r>
      <w:r w:rsidRPr="00802CA9">
        <w:rPr>
          <w:rFonts w:cs="Arial"/>
          <w:szCs w:val="20"/>
        </w:rPr>
        <w:t xml:space="preserve"> Richtlijn PGS 28, getiteld ‘Vloeibare brandstoffen – ondergrondse tankinstallaties en afleverinstallaties’, zoals gepubliceerd op www.publicatiereeksgevaarlijkestoffen.nl, PGS 28: 2011 versie 1.0 (december 2011);</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 30:</w:t>
      </w:r>
      <w:r w:rsidRPr="00802CA9">
        <w:rPr>
          <w:rFonts w:cs="Arial"/>
          <w:szCs w:val="20"/>
        </w:rPr>
        <w:t xml:space="preserve"> Richtlijn PGS 30, getiteld ‘Vloeibare brandstoffen – bovengrondse tankinstallaties en afleverinstallaties’, zoals gepubliceerd op www.publicatiereeksgevaarlijkestoffen.nl, PGS 30: 2011 versie 1.0 (december 2011);</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i/>
          <w:iCs/>
          <w:szCs w:val="20"/>
        </w:rPr>
        <w:tab/>
        <w:t xml:space="preserve">PGS 33-1: </w:t>
      </w:r>
      <w:r w:rsidRPr="00802CA9">
        <w:rPr>
          <w:rFonts w:cs="Arial"/>
          <w:iCs/>
          <w:szCs w:val="20"/>
        </w:rPr>
        <w:t>Richtlijn PGS 33-1, getiteld 'Aardgas - Afleverinstallaties van vloeibaar aardgas (LNG) voor motorvoertuigen', PGS 33-1: 2013 versie 1.0 (juni 2013);</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PGS-klasse 1:</w:t>
      </w:r>
      <w:r w:rsidRPr="00802CA9">
        <w:rPr>
          <w:rFonts w:cs="Arial"/>
          <w:szCs w:val="20"/>
        </w:rPr>
        <w:t xml:space="preserve"> Vloeistoffen met een vlampunt lager dan 23 graden Celsius en een beginkookpunt hoger dan 35 graden Celsius;</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PGS-klasse 2:</w:t>
      </w:r>
      <w:r w:rsidRPr="00802CA9">
        <w:rPr>
          <w:rFonts w:cs="Arial"/>
          <w:szCs w:val="20"/>
        </w:rPr>
        <w:t xml:space="preserve"> Vloeistoffen met een vlampunt hoger dan 23 graden Celsius en ten hoogste 55 graden Celsius;</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PGS-klasse 3:</w:t>
      </w:r>
      <w:r w:rsidRPr="00802CA9">
        <w:rPr>
          <w:rFonts w:cs="Arial"/>
          <w:szCs w:val="20"/>
        </w:rPr>
        <w:t xml:space="preserve"> Vloeistoffen met een vlampunt hoger dan 55 graden Celsius en ten hoogste 100 graden Celsius;</w:t>
      </w:r>
    </w:p>
    <w:p w:rsidR="00884E13" w:rsidRPr="00802CA9" w:rsidRDefault="00884E13" w:rsidP="00802CA9">
      <w:pPr>
        <w:widowControl w:val="0"/>
        <w:shd w:val="clear" w:color="auto" w:fill="D9D9D9" w:themeFill="background1" w:themeFillShade="D9"/>
        <w:autoSpaceDE w:val="0"/>
        <w:autoSpaceDN w:val="0"/>
        <w:adjustRightInd w:val="0"/>
        <w:spacing w:line="240" w:lineRule="auto"/>
        <w:ind w:left="640" w:hanging="320"/>
        <w:rPr>
          <w:rFonts w:cs="Arial"/>
          <w:szCs w:val="20"/>
        </w:rPr>
      </w:pPr>
      <w:r w:rsidRPr="00802CA9">
        <w:rPr>
          <w:rFonts w:cs="Arial"/>
          <w:szCs w:val="20"/>
        </w:rPr>
        <w:t xml:space="preserve"> </w:t>
      </w:r>
      <w:r w:rsidRPr="00802CA9">
        <w:rPr>
          <w:rFonts w:cs="Arial"/>
          <w:szCs w:val="20"/>
        </w:rPr>
        <w:tab/>
        <w:t xml:space="preserve"> </w:t>
      </w:r>
      <w:r w:rsidRPr="00802CA9">
        <w:rPr>
          <w:rFonts w:cs="Arial"/>
          <w:i/>
          <w:iCs/>
          <w:szCs w:val="20"/>
        </w:rPr>
        <w:t>PGS-klasse 4:</w:t>
      </w:r>
      <w:r w:rsidRPr="00802CA9">
        <w:rPr>
          <w:rFonts w:cs="Arial"/>
          <w:szCs w:val="20"/>
        </w:rPr>
        <w:t xml:space="preserve"> Vloeistoffen met een vlampunt hoger dan 100 graden Celsius;</w:t>
      </w:r>
    </w:p>
    <w:p w:rsidR="00884E13" w:rsidRPr="00802CA9" w:rsidRDefault="00884E13" w:rsidP="00802CA9">
      <w:pPr>
        <w:widowControl w:val="0"/>
        <w:shd w:val="clear" w:color="auto" w:fill="D9D9D9" w:themeFill="background1" w:themeFillShade="D9"/>
        <w:autoSpaceDE w:val="0"/>
        <w:autoSpaceDN w:val="0"/>
        <w:adjustRightInd w:val="0"/>
        <w:spacing w:line="240" w:lineRule="auto"/>
        <w:rPr>
          <w:rFonts w:cs="Arial"/>
          <w:szCs w:val="20"/>
        </w:rPr>
      </w:pPr>
    </w:p>
    <w:p w:rsidR="00884E13" w:rsidRPr="00802CA9" w:rsidRDefault="00884E13" w:rsidP="00802CA9">
      <w:pPr>
        <w:widowControl w:val="0"/>
        <w:shd w:val="clear" w:color="auto" w:fill="D9D9D9" w:themeFill="background1" w:themeFillShade="D9"/>
        <w:autoSpaceDE w:val="0"/>
        <w:autoSpaceDN w:val="0"/>
        <w:adjustRightInd w:val="0"/>
        <w:spacing w:after="240" w:line="240" w:lineRule="auto"/>
        <w:ind w:left="320" w:hanging="320"/>
        <w:rPr>
          <w:rFonts w:cs="Arial"/>
          <w:szCs w:val="20"/>
        </w:rPr>
      </w:pPr>
      <w:r w:rsidRPr="00802CA9">
        <w:rPr>
          <w:rFonts w:cs="Arial"/>
          <w:b/>
          <w:bCs/>
          <w:szCs w:val="20"/>
        </w:rPr>
        <w:t>2.</w:t>
      </w:r>
      <w:r w:rsidRPr="00802CA9">
        <w:rPr>
          <w:rFonts w:cs="Arial"/>
          <w:b/>
          <w:bCs/>
          <w:szCs w:val="20"/>
        </w:rPr>
        <w:tab/>
      </w:r>
      <w:r w:rsidRPr="00802CA9">
        <w:rPr>
          <w:rFonts w:cs="Arial"/>
          <w:szCs w:val="20"/>
        </w:rPr>
        <w:t>Bij de toepassing van het besluit wordt ten aanzien van de in het besluit opgenomen niet-publiekrechtelijke regelingen, voorschriften uit de NRB de tekst in acht genomen als genoemd in het eerste lid.</w:t>
      </w:r>
    </w:p>
    <w:p w:rsidR="00802CA9" w:rsidRPr="00802CA9" w:rsidRDefault="00802CA9" w:rsidP="00802CA9">
      <w:pPr>
        <w:pStyle w:val="artikelkop"/>
        <w:shd w:val="clear" w:color="auto" w:fill="D9D9D9" w:themeFill="background1" w:themeFillShade="D9"/>
      </w:pPr>
      <w:r w:rsidRPr="00802CA9">
        <w:t>Artikel 1.3</w:t>
      </w:r>
    </w:p>
    <w:p w:rsidR="00802CA9" w:rsidRPr="00802CA9" w:rsidRDefault="00802CA9" w:rsidP="00802CA9">
      <w:pPr>
        <w:pStyle w:val="art1enivo"/>
        <w:shd w:val="clear" w:color="auto" w:fill="D9D9D9" w:themeFill="background1" w:themeFillShade="D9"/>
        <w:suppressAutoHyphens/>
        <w:rPr>
          <w:rFonts w:cs="Arial"/>
        </w:rPr>
      </w:pPr>
      <w:r w:rsidRPr="00802CA9">
        <w:rPr>
          <w:rFonts w:cs="Arial"/>
        </w:rPr>
        <w:t>1.</w:t>
      </w:r>
      <w:r w:rsidRPr="00802CA9">
        <w:rPr>
          <w:rFonts w:cs="Arial"/>
        </w:rPr>
        <w:tab/>
        <w:t>Als oppervlaktewaterlichamen die met het oog op het lozen geen bijzondere bescherming behoeven als bedoeld in artikel 1.7, eerste lid, onderdeel b, van het besluit, worden aangewezen de in bijlage 2 opgenomen oppervlaktewaterlichamen.</w:t>
      </w:r>
    </w:p>
    <w:p w:rsidR="00802CA9" w:rsidRPr="00802CA9" w:rsidRDefault="00802CA9" w:rsidP="00802CA9">
      <w:pPr>
        <w:pStyle w:val="art1enivo"/>
        <w:shd w:val="clear" w:color="auto" w:fill="D9D9D9" w:themeFill="background1" w:themeFillShade="D9"/>
        <w:suppressAutoHyphens/>
        <w:rPr>
          <w:rFonts w:cs="Arial"/>
        </w:rPr>
      </w:pPr>
      <w:r w:rsidRPr="00802CA9">
        <w:rPr>
          <w:rFonts w:cs="Arial"/>
        </w:rPr>
        <w:t>2.</w:t>
      </w:r>
      <w:r w:rsidRPr="00802CA9">
        <w:rPr>
          <w:rFonts w:cs="Arial"/>
        </w:rPr>
        <w:tab/>
        <w:t>De in het eerste lid bedoelde aanwijzing beperkt zich tot het gedeelte van een oppervlaktewaterlichaam dat valt onder het beheer van de beheerder die bij het betreffende oppervlaktewaterlichaam in de bijlage vermeld staat.</w:t>
      </w:r>
    </w:p>
    <w:p w:rsidR="00802CA9" w:rsidRPr="00802CA9" w:rsidRDefault="00802CA9" w:rsidP="00802CA9">
      <w:pPr>
        <w:pStyle w:val="artikelkop"/>
        <w:shd w:val="clear" w:color="auto" w:fill="D9D9D9" w:themeFill="background1" w:themeFillShade="D9"/>
      </w:pPr>
      <w:r w:rsidRPr="00802CA9">
        <w:t>Artikel 1.3a</w:t>
      </w:r>
    </w:p>
    <w:p w:rsidR="00802CA9" w:rsidRPr="00802CA9" w:rsidRDefault="00802CA9" w:rsidP="00802CA9">
      <w:pPr>
        <w:pStyle w:val="artplat"/>
        <w:shd w:val="clear" w:color="auto" w:fill="D9D9D9" w:themeFill="background1" w:themeFillShade="D9"/>
        <w:suppressAutoHyphens/>
        <w:rPr>
          <w:rFonts w:cs="Arial"/>
        </w:rPr>
      </w:pPr>
      <w:r w:rsidRPr="00802CA9">
        <w:rPr>
          <w:rFonts w:cs="Arial"/>
        </w:rPr>
        <w:t xml:space="preserve"> Met toepassing van artikel 28, eerste lid, laatste zinsnede, van de Dienstenwet is paragraaf 4.1.3.3 van de Algemene wet bestuursrecht niet van toepassing op de aanvraag om accreditatie als bedoeld in de artikelen 3.10, tweede lid, 3.14, tweede lid, en 4.8, vierde lid.</w:t>
      </w:r>
    </w:p>
    <w:p w:rsidR="00802CA9" w:rsidRPr="00802CA9" w:rsidRDefault="00802CA9" w:rsidP="00802CA9">
      <w:pPr>
        <w:pStyle w:val="artikelkop"/>
        <w:shd w:val="clear" w:color="auto" w:fill="D9D9D9" w:themeFill="background1" w:themeFillShade="D9"/>
        <w:rPr>
          <w:rFonts w:eastAsiaTheme="minorEastAsia"/>
          <w:lang w:eastAsia="nl-NL"/>
        </w:rPr>
      </w:pPr>
      <w:r w:rsidRPr="00802CA9">
        <w:rPr>
          <w:rFonts w:eastAsiaTheme="minorEastAsia"/>
          <w:lang w:eastAsia="nl-NL"/>
        </w:rPr>
        <w:t>Artikel 1.3b</w:t>
      </w:r>
    </w:p>
    <w:p w:rsidR="00802CA9" w:rsidRPr="00802CA9" w:rsidRDefault="00802CA9" w:rsidP="00802CA9">
      <w:pPr>
        <w:pStyle w:val="art1enivo"/>
        <w:shd w:val="clear" w:color="auto" w:fill="D9D9D9" w:themeFill="background1" w:themeFillShade="D9"/>
        <w:rPr>
          <w:rFonts w:eastAsiaTheme="minorEastAsia"/>
          <w:lang w:eastAsia="nl-NL"/>
        </w:rPr>
      </w:pPr>
      <w:r w:rsidRPr="00802CA9">
        <w:rPr>
          <w:rFonts w:eastAsiaTheme="minorEastAsia"/>
          <w:lang w:eastAsia="nl-NL"/>
        </w:rPr>
        <w:t>1.</w:t>
      </w:r>
      <w:r w:rsidRPr="00802CA9">
        <w:rPr>
          <w:rFonts w:eastAsiaTheme="minorEastAsia"/>
          <w:lang w:eastAsia="nl-NL"/>
        </w:rPr>
        <w:tab/>
        <w:t>Als stoffen, stofklassen en stofcategorieën als bedoeld in artikel 1.1, derde lid, van het besluit, worden in ieder geval aangewezen en onderverdeeld de stoffen, stofklassen en stofcategorieën in bijlage 12a.</w:t>
      </w:r>
    </w:p>
    <w:p w:rsidR="00802CA9" w:rsidRPr="00802CA9" w:rsidRDefault="00802CA9" w:rsidP="00802CA9">
      <w:pPr>
        <w:pStyle w:val="art1enivo"/>
        <w:shd w:val="clear" w:color="auto" w:fill="D9D9D9" w:themeFill="background1" w:themeFillShade="D9"/>
        <w:rPr>
          <w:rFonts w:eastAsiaTheme="minorEastAsia"/>
          <w:lang w:eastAsia="nl-NL"/>
        </w:rPr>
      </w:pPr>
      <w:r w:rsidRPr="00802CA9">
        <w:rPr>
          <w:rFonts w:eastAsiaTheme="minorEastAsia"/>
          <w:lang w:eastAsia="nl-NL"/>
        </w:rPr>
        <w:t>2.</w:t>
      </w:r>
      <w:r w:rsidRPr="00802CA9">
        <w:rPr>
          <w:rFonts w:eastAsiaTheme="minorEastAsia"/>
          <w:lang w:eastAsia="nl-NL"/>
        </w:rPr>
        <w:tab/>
        <w:t>Voor de stoffen die als anders ingedeeld zijn aangemerkt als bedoeld in artikel 2.5, zesde lid, van het besluit en die in bijlage 12b zijn vermeld, gelden, in afwijking van artikel 2.5 van het besluit, tot 1 januari 2025 de waarden in bijlage 12b.</w:t>
      </w:r>
    </w:p>
    <w:p w:rsidR="00802CA9" w:rsidRPr="00802CA9" w:rsidRDefault="00802CA9" w:rsidP="00802CA9">
      <w:pPr>
        <w:pStyle w:val="artikelkop"/>
        <w:shd w:val="clear" w:color="auto" w:fill="D9D9D9" w:themeFill="background1" w:themeFillShade="D9"/>
        <w:rPr>
          <w:rFonts w:eastAsiaTheme="minorEastAsia"/>
          <w:lang w:eastAsia="nl-NL"/>
        </w:rPr>
      </w:pPr>
      <w:r w:rsidRPr="00802CA9">
        <w:rPr>
          <w:rFonts w:eastAsiaTheme="minorEastAsia"/>
          <w:lang w:eastAsia="nl-NL"/>
        </w:rPr>
        <w:t>Artikel 1.3c</w:t>
      </w:r>
    </w:p>
    <w:p w:rsidR="00802CA9" w:rsidRPr="00802CA9" w:rsidRDefault="00802CA9" w:rsidP="00802CA9">
      <w:pPr>
        <w:pStyle w:val="art1enivo"/>
        <w:shd w:val="clear" w:color="auto" w:fill="D9D9D9" w:themeFill="background1" w:themeFillShade="D9"/>
        <w:rPr>
          <w:rFonts w:eastAsiaTheme="minorEastAsia"/>
          <w:lang w:eastAsia="nl-NL"/>
        </w:rPr>
      </w:pPr>
      <w:r w:rsidRPr="00802CA9">
        <w:rPr>
          <w:rFonts w:eastAsiaTheme="minorEastAsia"/>
          <w:lang w:eastAsia="nl-NL"/>
        </w:rPr>
        <w:t>1.</w:t>
      </w:r>
      <w:r w:rsidRPr="00802CA9">
        <w:rPr>
          <w:rFonts w:eastAsiaTheme="minorEastAsia"/>
          <w:lang w:eastAsia="nl-NL"/>
        </w:rPr>
        <w:tab/>
        <w:t>Onverminderd artikel 1.3b valt een stof in ieder geval in de stofcategorie zeer zorgwekkende stoffen, bedoeld in artikel 1.1, derde lid, van het besluit en tabel 2.5 van het besluit en is in ieder geval een zeer zorgwekkende stof als bedoeld in artikel 2.3b, tweede lid, van het besluit, indien deze stof voorkomt op:</w:t>
      </w:r>
    </w:p>
    <w:p w:rsidR="00802CA9" w:rsidRPr="00802CA9" w:rsidRDefault="00802CA9" w:rsidP="00802CA9">
      <w:pPr>
        <w:pStyle w:val="art2enivo"/>
        <w:shd w:val="clear" w:color="auto" w:fill="D9D9D9" w:themeFill="background1" w:themeFillShade="D9"/>
        <w:rPr>
          <w:rFonts w:eastAsiaTheme="minorEastAsia"/>
          <w:lang w:eastAsia="nl-NL"/>
        </w:rPr>
      </w:pPr>
      <w:r w:rsidRPr="00802CA9">
        <w:rPr>
          <w:rFonts w:eastAsiaTheme="minorEastAsia"/>
          <w:lang w:eastAsia="nl-NL"/>
        </w:rPr>
        <w:t>a.</w:t>
      </w:r>
      <w:r w:rsidRPr="00802CA9">
        <w:rPr>
          <w:rFonts w:eastAsiaTheme="minorEastAsia"/>
          <w:lang w:eastAsia="nl-NL"/>
        </w:rPr>
        <w:tab/>
        <w:t>bijlage VI van EG-verordening indeling, etikettering en verpakking van stoffen en mengsels, en is ingedeeld als carcinogeen, mutageen of reprotoxisch, categorie 1a of categorie 1b;</w:t>
      </w:r>
    </w:p>
    <w:p w:rsidR="00802CA9" w:rsidRPr="00802CA9" w:rsidRDefault="00802CA9" w:rsidP="00802CA9">
      <w:pPr>
        <w:pStyle w:val="art2enivo"/>
        <w:shd w:val="clear" w:color="auto" w:fill="D9D9D9" w:themeFill="background1" w:themeFillShade="D9"/>
        <w:rPr>
          <w:rFonts w:eastAsiaTheme="minorEastAsia"/>
          <w:lang w:eastAsia="nl-NL"/>
        </w:rPr>
      </w:pPr>
      <w:r w:rsidRPr="00802CA9">
        <w:rPr>
          <w:rFonts w:eastAsiaTheme="minorEastAsia"/>
          <w:lang w:eastAsia="nl-NL"/>
        </w:rPr>
        <w:t>b.</w:t>
      </w:r>
      <w:r w:rsidRPr="00802CA9">
        <w:rPr>
          <w:rFonts w:eastAsiaTheme="minorEastAsia"/>
          <w:lang w:eastAsia="nl-NL"/>
        </w:rPr>
        <w:tab/>
        <w:t>de inventaris van geclassificeerde stoffen als bedoeld in artikel 42, eerste lid, van EG-verordening indeling, etikettering en verpakking van stoffen en mengsels, en is ingedeeld als carcinogeen, mutageen of reprotoxisch, categorie 1a of categorie 1b;</w:t>
      </w:r>
    </w:p>
    <w:p w:rsidR="00802CA9" w:rsidRPr="00802CA9" w:rsidRDefault="00802CA9" w:rsidP="00802CA9">
      <w:pPr>
        <w:pStyle w:val="art2enivo"/>
        <w:shd w:val="clear" w:color="auto" w:fill="D9D9D9" w:themeFill="background1" w:themeFillShade="D9"/>
        <w:rPr>
          <w:rFonts w:eastAsiaTheme="minorEastAsia"/>
          <w:lang w:eastAsia="nl-NL"/>
        </w:rPr>
      </w:pPr>
      <w:r w:rsidRPr="00802CA9">
        <w:rPr>
          <w:rFonts w:eastAsiaTheme="minorEastAsia"/>
          <w:lang w:eastAsia="nl-NL"/>
        </w:rPr>
        <w:t>c.</w:t>
      </w:r>
      <w:r w:rsidRPr="00802CA9">
        <w:rPr>
          <w:rFonts w:eastAsiaTheme="minorEastAsia"/>
          <w:lang w:eastAsia="nl-NL"/>
        </w:rPr>
        <w:tab/>
        <w:t>de kandidatenlijst, bedoeld in artikel 59 van EG-verordening registratie, evaluatie en autorisatie van chemische stoffen;</w:t>
      </w:r>
    </w:p>
    <w:p w:rsidR="00802CA9" w:rsidRPr="00802CA9" w:rsidRDefault="00802CA9" w:rsidP="00802CA9">
      <w:pPr>
        <w:pStyle w:val="art2enivo"/>
        <w:shd w:val="clear" w:color="auto" w:fill="D9D9D9" w:themeFill="background1" w:themeFillShade="D9"/>
        <w:rPr>
          <w:rFonts w:eastAsiaTheme="minorEastAsia"/>
          <w:lang w:eastAsia="nl-NL"/>
        </w:rPr>
      </w:pPr>
      <w:r w:rsidRPr="00802CA9">
        <w:rPr>
          <w:rFonts w:eastAsiaTheme="minorEastAsia"/>
          <w:lang w:eastAsia="nl-NL"/>
        </w:rPr>
        <w:t>d.</w:t>
      </w:r>
      <w:r w:rsidRPr="00802CA9">
        <w:rPr>
          <w:rFonts w:eastAsiaTheme="minorEastAsia"/>
          <w:lang w:eastAsia="nl-NL"/>
        </w:rPr>
        <w:tab/>
        <w:t>bijlage XIV van EG-verordening registratie, evaluatie en autorisatie van chemische stoffen;</w:t>
      </w:r>
    </w:p>
    <w:p w:rsidR="00802CA9" w:rsidRPr="00802CA9" w:rsidRDefault="00802CA9" w:rsidP="00802CA9">
      <w:pPr>
        <w:pStyle w:val="art2enivo"/>
        <w:shd w:val="clear" w:color="auto" w:fill="D9D9D9" w:themeFill="background1" w:themeFillShade="D9"/>
        <w:rPr>
          <w:rFonts w:eastAsiaTheme="minorEastAsia"/>
          <w:lang w:eastAsia="nl-NL"/>
        </w:rPr>
      </w:pPr>
      <w:r w:rsidRPr="00802CA9">
        <w:rPr>
          <w:rFonts w:eastAsiaTheme="minorEastAsia"/>
          <w:lang w:eastAsia="nl-NL"/>
        </w:rPr>
        <w:t>e.</w:t>
      </w:r>
      <w:r w:rsidRPr="00802CA9">
        <w:rPr>
          <w:rFonts w:eastAsiaTheme="minorEastAsia"/>
          <w:lang w:eastAsia="nl-NL"/>
        </w:rPr>
        <w:tab/>
        <w:t>bijlage I, II, III of IV van Verordening (EG) nr. 850/2004 van het Europees Parlement en de Raad van 29 april 2004 betreffende persistente organische verontreinigende stoffen en tot wijziging van Richtlijn 79/117/EEG (PbEU L158);</w:t>
      </w:r>
    </w:p>
    <w:p w:rsidR="00802CA9" w:rsidRPr="00802CA9" w:rsidRDefault="00802CA9" w:rsidP="00802CA9">
      <w:pPr>
        <w:pStyle w:val="art2enivo"/>
        <w:shd w:val="clear" w:color="auto" w:fill="D9D9D9" w:themeFill="background1" w:themeFillShade="D9"/>
        <w:rPr>
          <w:rFonts w:eastAsiaTheme="minorEastAsia"/>
          <w:lang w:eastAsia="nl-NL"/>
        </w:rPr>
      </w:pPr>
      <w:r w:rsidRPr="00802CA9">
        <w:rPr>
          <w:rFonts w:eastAsiaTheme="minorEastAsia"/>
          <w:lang w:eastAsia="nl-NL"/>
        </w:rPr>
        <w:t>f.</w:t>
      </w:r>
      <w:r w:rsidRPr="00802CA9">
        <w:rPr>
          <w:rFonts w:eastAsiaTheme="minorEastAsia"/>
          <w:lang w:eastAsia="nl-NL"/>
        </w:rPr>
        <w:tab/>
        <w:t>de lijst van stoffen voor prioritaire actie die is vastgesteld op grond van artikel 6 van het op 22 september 1992 te Parijs tot stand gekomen OSPAR Verdrag inzake de bescherming van het mariene milieu in het noordoostelijk deel van de Atlantische Oceaan, met Bijlagen en Aanhangsels (Trb. 1993, 16 en 141, 1998, 169, 2000, 74, 2001, 157, 2008, 60 en 203, 2011, 231), of</w:t>
      </w:r>
    </w:p>
    <w:p w:rsidR="00802CA9" w:rsidRPr="00802CA9" w:rsidRDefault="00802CA9" w:rsidP="00802CA9">
      <w:pPr>
        <w:pStyle w:val="art2enivo"/>
        <w:shd w:val="clear" w:color="auto" w:fill="D9D9D9" w:themeFill="background1" w:themeFillShade="D9"/>
        <w:rPr>
          <w:rFonts w:eastAsiaTheme="minorEastAsia"/>
          <w:lang w:eastAsia="nl-NL"/>
        </w:rPr>
      </w:pPr>
      <w:r w:rsidRPr="00802CA9">
        <w:rPr>
          <w:rFonts w:eastAsiaTheme="minorEastAsia"/>
          <w:lang w:eastAsia="nl-NL"/>
        </w:rPr>
        <w:t>g.</w:t>
      </w:r>
      <w:r w:rsidRPr="00802CA9">
        <w:rPr>
          <w:rFonts w:eastAsiaTheme="minorEastAsia"/>
          <w:lang w:eastAsia="nl-NL"/>
        </w:rPr>
        <w:tab/>
        <w:t>bijlage X van de kaderrichtlijn water, voor zover een stof in die bijlage is aangewezen als prioritaire gevaarlijke stof.</w:t>
      </w:r>
    </w:p>
    <w:p w:rsidR="00802CA9" w:rsidRPr="00802CA9" w:rsidRDefault="00802CA9" w:rsidP="00802CA9">
      <w:pPr>
        <w:pStyle w:val="art1enivo"/>
        <w:shd w:val="clear" w:color="auto" w:fill="D9D9D9" w:themeFill="background1" w:themeFillShade="D9"/>
        <w:rPr>
          <w:rFonts w:eastAsiaTheme="minorEastAsia"/>
          <w:lang w:eastAsia="nl-NL"/>
        </w:rPr>
      </w:pPr>
      <w:r w:rsidRPr="00802CA9">
        <w:rPr>
          <w:rFonts w:eastAsiaTheme="minorEastAsia"/>
          <w:lang w:eastAsia="nl-NL"/>
        </w:rPr>
        <w:t>2.</w:t>
      </w:r>
      <w:r w:rsidRPr="00802CA9">
        <w:rPr>
          <w:rFonts w:eastAsiaTheme="minorEastAsia"/>
          <w:lang w:eastAsia="nl-NL"/>
        </w:rPr>
        <w:tab/>
        <w:t>Onverminderd het eerste lid valt een stof tevens in de stofcategorie zeer zorgwekkende stoffen en is tevens een zeer zorgwekkende stof als bedoeld in het eerste lid indien deze stof voldoet aan de vastgestelde wetenschappelijke criteria voor het bepalen van hormoonontregelende eigenschappen als bedoeld in:</w:t>
      </w:r>
    </w:p>
    <w:p w:rsidR="00802CA9" w:rsidRPr="00802CA9" w:rsidRDefault="00802CA9" w:rsidP="00802CA9">
      <w:pPr>
        <w:pStyle w:val="art2enivo"/>
        <w:shd w:val="clear" w:color="auto" w:fill="D9D9D9" w:themeFill="background1" w:themeFillShade="D9"/>
        <w:rPr>
          <w:rFonts w:eastAsiaTheme="minorEastAsia"/>
          <w:lang w:eastAsia="nl-NL"/>
        </w:rPr>
      </w:pPr>
      <w:r w:rsidRPr="00802CA9">
        <w:rPr>
          <w:rFonts w:eastAsiaTheme="minorEastAsia"/>
          <w:lang w:eastAsia="nl-NL"/>
        </w:rPr>
        <w:t>a.</w:t>
      </w:r>
      <w:r w:rsidRPr="00802CA9">
        <w:rPr>
          <w:rFonts w:eastAsiaTheme="minorEastAsia"/>
          <w:lang w:eastAsia="nl-NL"/>
        </w:rPr>
        <w:tab/>
        <w:t>artikel 5, derde lid, van Verordening (EU) Nr. 528/2012 van het Europees Parlement en de Raad van 22 mei 2012 betreffende het op de markt aanbieden en het gebruik van biociden (PbEU L167), of</w:t>
      </w:r>
    </w:p>
    <w:p w:rsidR="00802CA9" w:rsidRPr="00802CA9" w:rsidRDefault="00802CA9" w:rsidP="00802CA9">
      <w:pPr>
        <w:pStyle w:val="art2enivo"/>
        <w:shd w:val="clear" w:color="auto" w:fill="D9D9D9" w:themeFill="background1" w:themeFillShade="D9"/>
        <w:rPr>
          <w:rFonts w:eastAsiaTheme="minorEastAsia"/>
          <w:lang w:eastAsia="nl-NL"/>
        </w:rPr>
      </w:pPr>
      <w:r w:rsidRPr="00802CA9">
        <w:rPr>
          <w:rFonts w:eastAsiaTheme="minorEastAsia"/>
          <w:lang w:eastAsia="nl-NL"/>
        </w:rPr>
        <w:t>b.</w:t>
      </w:r>
      <w:r w:rsidRPr="00802CA9">
        <w:rPr>
          <w:rFonts w:eastAsiaTheme="minorEastAsia"/>
          <w:lang w:eastAsia="nl-NL"/>
        </w:rPr>
        <w:tab/>
        <w:t>bijlage II, paragraaf 3.6.5, van Verordening (EG) Nr. 1107/2009 van het Europees Parlement en de Raad van 21 oktober 2009 betreffende het op de markt brengen van gewasbeschermingsmiddelen en tot intrekking van de Richtlijnen 79/117/EEG en 91/414/EEG van de Raad (PbEU L 309).</w:t>
      </w:r>
    </w:p>
    <w:p w:rsidR="00802CA9" w:rsidRDefault="00802CA9" w:rsidP="00802CA9">
      <w:pPr>
        <w:shd w:val="clear" w:color="auto" w:fill="D9D9D9" w:themeFill="background1" w:themeFillShade="D9"/>
      </w:pPr>
      <w:r w:rsidRPr="00802CA9">
        <w:rPr>
          <w:rFonts w:eastAsiaTheme="minorEastAsia"/>
          <w:lang w:eastAsia="nl-NL"/>
        </w:rPr>
        <w:t>3.</w:t>
      </w:r>
      <w:r w:rsidRPr="00802CA9">
        <w:rPr>
          <w:rFonts w:eastAsiaTheme="minorEastAsia"/>
          <w:lang w:eastAsia="nl-NL"/>
        </w:rPr>
        <w:tab/>
        <w:t>Een wijziging van de bijlagen, lijsten, inventaris dan wel criteria, bedoeld in het eerste en tweede lid, gaat voor de toepassing van het eerste lid gelden met ingang van de dag waarop aan de desbetreffende wijziging uitvoering moet zijn gegeven, tenzij bij ministerieel besluit, dat in de Staatscourant wordt bekendgemaakt een ander tijdstip wordt vastgesteld.</w:t>
      </w:r>
    </w:p>
    <w:p w:rsidR="00884E13" w:rsidRDefault="00884E13" w:rsidP="00802CA9">
      <w:pPr>
        <w:shd w:val="clear" w:color="auto" w:fill="D9D9D9" w:themeFill="background1" w:themeFillShade="D9"/>
      </w:pPr>
    </w:p>
    <w:p w:rsidR="00884E13" w:rsidRPr="00884E13" w:rsidRDefault="00884E13" w:rsidP="00884E13"/>
    <w:p w:rsidR="00296032" w:rsidRPr="00296032" w:rsidRDefault="00296032">
      <w:pPr>
        <w:pStyle w:val="paragraaf"/>
        <w:rPr>
          <w:rFonts w:cs="Arial"/>
        </w:rPr>
      </w:pPr>
      <w:bookmarkStart w:id="5" w:name="_Toc277243172"/>
      <w:bookmarkStart w:id="6" w:name="_Toc431375535"/>
      <w:r w:rsidRPr="00296032">
        <w:rPr>
          <w:rFonts w:cs="Arial"/>
        </w:rPr>
        <w:t>§ 1.1.1a</w:t>
      </w:r>
      <w:r w:rsidRPr="00296032">
        <w:rPr>
          <w:rFonts w:cs="Arial"/>
        </w:rPr>
        <w:tab/>
        <w:t>Omhangbepaling</w:t>
      </w:r>
      <w:bookmarkEnd w:id="5"/>
      <w:bookmarkEnd w:id="6"/>
    </w:p>
    <w:p w:rsidR="00296032" w:rsidRPr="00296032" w:rsidRDefault="00296032">
      <w:pPr>
        <w:pStyle w:val="artikelkop"/>
        <w:rPr>
          <w:rFonts w:cs="Arial"/>
        </w:rPr>
      </w:pPr>
      <w:r w:rsidRPr="00296032">
        <w:rPr>
          <w:rFonts w:cs="Arial"/>
        </w:rPr>
        <w:t>Artikel 1.3a</w:t>
      </w:r>
    </w:p>
    <w:p w:rsidR="00296032" w:rsidRPr="00620047" w:rsidRDefault="00296032">
      <w:pPr>
        <w:pStyle w:val="artplat"/>
        <w:rPr>
          <w:rFonts w:cs="Arial"/>
        </w:rPr>
      </w:pPr>
      <w:r w:rsidRPr="00620047">
        <w:rPr>
          <w:rFonts w:cs="Arial"/>
        </w:rPr>
        <w:t>Dit besluit berust mede op de artikelen 8.42a, 9.5.1 tot en met 9.5.3, 10.2, tweede lid, en 10.32 van de wet, de artikelen 6.2, eerste lid, onderdeel b, en tweede lid, onderdeel b, 6.6, 6.7 en 6.12, onderdeel e, van de Waterwet, de artikelen 78, 79 en 80 van de Wet gewasbeschermingsmiddelen en biociden, de artikelen 1.1, derde lid, 2.1, eerste lid, onderdeel i, 2.17 en 3.9, derde lid, van de Wet algemene bepalingen omgevingsrecht, de artikelen 6, 17 en 65 van de Wet bodembescherming en artikel 2, eerste lid, van de Meststoffenwet.</w:t>
      </w:r>
    </w:p>
    <w:p w:rsidR="00296032" w:rsidRPr="00296032" w:rsidRDefault="00296032">
      <w:pPr>
        <w:pStyle w:val="artikelkop"/>
        <w:rPr>
          <w:rFonts w:cs="Arial"/>
        </w:rPr>
      </w:pPr>
      <w:r w:rsidRPr="00296032">
        <w:rPr>
          <w:rFonts w:cs="Arial"/>
        </w:rPr>
        <w:t>Artikel 1.3b</w:t>
      </w:r>
    </w:p>
    <w:p w:rsidR="00296032" w:rsidRPr="00620047" w:rsidRDefault="00296032">
      <w:pPr>
        <w:pStyle w:val="artplat"/>
      </w:pPr>
      <w:r w:rsidRPr="00620047">
        <w:t>Hoofdstuk 6 van de Waterwet is mede van toepassing op handelingen waaromtrent regels zijn opgesteld bij of krachtens de Wet gewasbeschermingsmiddelen en biociden, voor zover die handelingen plaatsvinden:</w:t>
      </w:r>
    </w:p>
    <w:p w:rsidR="00296032" w:rsidRPr="00620047" w:rsidRDefault="00296032">
      <w:pPr>
        <w:pStyle w:val="artplatletter"/>
      </w:pPr>
      <w:r w:rsidRPr="00620047">
        <w:t>a.</w:t>
      </w:r>
      <w:r w:rsidRPr="00620047">
        <w:tab/>
        <w:t>bij het verrichten van agrarische activiteiten of activiteiten die daarmee verband houden;</w:t>
      </w:r>
    </w:p>
    <w:p w:rsidR="00296032" w:rsidRPr="00620047" w:rsidRDefault="00296032">
      <w:pPr>
        <w:pStyle w:val="artplatletter"/>
        <w:rPr>
          <w:b/>
        </w:rPr>
      </w:pPr>
      <w:r w:rsidRPr="00620047">
        <w:t>b.</w:t>
      </w:r>
      <w:r w:rsidRPr="00620047">
        <w:tab/>
        <w:t>bij het lozen van koelwater.</w:t>
      </w:r>
    </w:p>
    <w:p w:rsidR="00296032" w:rsidRPr="00296032" w:rsidRDefault="00296032">
      <w:pPr>
        <w:pStyle w:val="paragraaf"/>
        <w:rPr>
          <w:rFonts w:cs="Arial"/>
        </w:rPr>
      </w:pPr>
      <w:bookmarkStart w:id="7" w:name="_Toc277243173"/>
      <w:bookmarkStart w:id="8" w:name="_Toc431375536"/>
      <w:r w:rsidRPr="00296032">
        <w:rPr>
          <w:rFonts w:cs="Arial"/>
        </w:rPr>
        <w:t>§ 1.1.2</w:t>
      </w:r>
      <w:r w:rsidRPr="00296032">
        <w:rPr>
          <w:rFonts w:cs="Arial"/>
        </w:rPr>
        <w:tab/>
        <w:t>Reikwijdte en andere procedurele bepalingen</w:t>
      </w:r>
      <w:bookmarkEnd w:id="7"/>
      <w:bookmarkEnd w:id="8"/>
    </w:p>
    <w:p w:rsidR="00296032" w:rsidRPr="00296032" w:rsidRDefault="00296032">
      <w:pPr>
        <w:pStyle w:val="artikelkop"/>
      </w:pPr>
      <w:r w:rsidRPr="00296032">
        <w:t>Artikel 1.3c</w:t>
      </w:r>
    </w:p>
    <w:p w:rsidR="00296032" w:rsidRPr="00620047" w:rsidRDefault="00296032">
      <w:pPr>
        <w:pStyle w:val="artplat"/>
      </w:pPr>
      <w:r w:rsidRPr="00620047">
        <w:t>Een bedrijfswoning, behorend tot of voorheen behorend tot een inrichting waar uitsluitend of in hoofdzaak agrarische activiteiten dan wel activiteiten die daarmee verband houden worden verricht, die op grond van het bestemmingsplan, de beheersverordening of, indien met toepassing van artikel 2.12, eerste lid, van de Wabo van het bestemmingsplan of de beheersverordening is afgeweken, de omgevingsvergunning door een derde bewoond mag worden, wordt met betrekking tot die inrichting voor de toepassing van het bij of krachtens dit besluit bepaalde beschouwd als onderdeel van die inrichting.</w:t>
      </w:r>
    </w:p>
    <w:p w:rsidR="00296032" w:rsidRPr="00296032" w:rsidRDefault="00296032" w:rsidP="00620047">
      <w:pPr>
        <w:pStyle w:val="artikelkop"/>
      </w:pPr>
      <w:r w:rsidRPr="00296032">
        <w:t>Artikel 1.4</w:t>
      </w:r>
    </w:p>
    <w:p w:rsidR="00296032" w:rsidRPr="00620047" w:rsidRDefault="00296032" w:rsidP="00620047">
      <w:pPr>
        <w:pStyle w:val="artplat"/>
      </w:pPr>
      <w:r w:rsidRPr="00620047">
        <w:t>Een ieder die loost vanuit een inrichting type A, een inrichting type B of een inrichting type C, voldoet voor lozen als bedoeld in artikel 6.1 van de Waterwet, aan de bij of krachtens dit besluit gestelde regels, met uitzondering van afdeling 1.2.</w:t>
      </w:r>
    </w:p>
    <w:p w:rsidR="00296032" w:rsidRPr="00296032" w:rsidRDefault="00296032">
      <w:pPr>
        <w:pStyle w:val="artikelkop"/>
        <w:rPr>
          <w:rFonts w:cs="Arial"/>
        </w:rPr>
      </w:pPr>
      <w:r w:rsidRPr="00296032">
        <w:rPr>
          <w:rFonts w:cs="Arial"/>
        </w:rPr>
        <w:t>Artikel 1.4a</w:t>
      </w:r>
    </w:p>
    <w:p w:rsidR="00296032" w:rsidRPr="00620047" w:rsidRDefault="00296032">
      <w:pPr>
        <w:pStyle w:val="artplat"/>
        <w:rPr>
          <w:rFonts w:cs="Arial"/>
        </w:rPr>
      </w:pPr>
      <w:r w:rsidRPr="00620047">
        <w:rPr>
          <w:rFonts w:cs="Arial"/>
        </w:rPr>
        <w:t>Degene die anders dan vanuit een inrichting loost ten gevolge van agrarische activiteiten dan wel activiteiten die daarmee verband houden, voldoet aan de voor dat lozen bij of krachtens dit besluit gestelde regels.</w:t>
      </w:r>
    </w:p>
    <w:p w:rsidR="00296032" w:rsidRPr="00296032" w:rsidRDefault="00296032">
      <w:pPr>
        <w:pStyle w:val="artikelkop"/>
        <w:rPr>
          <w:rFonts w:cs="Arial"/>
        </w:rPr>
      </w:pPr>
      <w:r w:rsidRPr="00296032">
        <w:rPr>
          <w:rFonts w:cs="Arial"/>
        </w:rPr>
        <w:t>Artikel 1.4b</w:t>
      </w:r>
    </w:p>
    <w:p w:rsidR="00296032" w:rsidRPr="00620047" w:rsidRDefault="00296032">
      <w:pPr>
        <w:pStyle w:val="artplat"/>
        <w:rPr>
          <w:rFonts w:cs="Arial"/>
        </w:rPr>
      </w:pPr>
      <w:r w:rsidRPr="00620047">
        <w:rPr>
          <w:rFonts w:cs="Arial"/>
        </w:rPr>
        <w:t>Degene die nabij een oppervlaktewaterlichaam voor agrarische activiteiten dan wel activiteiten die daarmee verband houden gewasbeschermingsmiddelen en biociden gebruikt, voldoet aan de bij of krachtens dit besluit gestelde regels.</w:t>
      </w:r>
    </w:p>
    <w:p w:rsidR="00296032" w:rsidRPr="00296032" w:rsidRDefault="00296032">
      <w:pPr>
        <w:pStyle w:val="artikelkop"/>
        <w:rPr>
          <w:rFonts w:cs="Arial"/>
        </w:rPr>
      </w:pPr>
      <w:r w:rsidRPr="00296032">
        <w:rPr>
          <w:rFonts w:cs="Arial"/>
        </w:rPr>
        <w:t>Artikel 1.5</w:t>
      </w:r>
    </w:p>
    <w:p w:rsidR="00296032" w:rsidRPr="00620047" w:rsidRDefault="00296032">
      <w:pPr>
        <w:pStyle w:val="artplat"/>
        <w:rPr>
          <w:rFonts w:cs="Arial"/>
        </w:rPr>
      </w:pPr>
      <w:r w:rsidRPr="00620047">
        <w:rPr>
          <w:rFonts w:cs="Arial"/>
        </w:rPr>
        <w:t>De bij of krachtens de artikelen 3.78 tot en met 3.83 gestelde regels zijn niet van toepassing op het gebruik van gewasbeschermingsmiddelen, indien op grond van of krachtens artikel 3 van de Plantenziektenwet aan dat gebruik regels zijn gesteld en voor zover die regels niet verenigbaar zijn met de bij of krachtens dit besluit gestelde regels.</w:t>
      </w:r>
    </w:p>
    <w:p w:rsidR="00296032" w:rsidRPr="00296032" w:rsidRDefault="00296032">
      <w:pPr>
        <w:pStyle w:val="artikelkop"/>
      </w:pPr>
      <w:r w:rsidRPr="00296032">
        <w:t>Artikel 1.5a</w:t>
      </w:r>
    </w:p>
    <w:p w:rsidR="00296032" w:rsidRPr="00620047" w:rsidRDefault="00296032">
      <w:pPr>
        <w:pStyle w:val="Default"/>
      </w:pPr>
      <w:r w:rsidRPr="00620047">
        <w:t>In afwijking van de artikelen 1, 1.9b, 1.22, 2.1a, 2.3a, 2.8a, 2.11a, 2.14c, 2.15a, 2.16b, 2.22a, 2.23a, 2.27a, 3, 4 en 5, voldoet degene die een stookinstallatie binnen de Nederlandse exclusieve economische zone in werking heeft, uitsluitend aan de bij of krachtens dit besluit gestelde regels en voorschriften in hoofdstuk 1, met uitzondering van artikel 1.4, en in paragraaf 3.2.1, met uitzondering van de artikelen 3.10k, 3.10n en 3.10o en in de artikelen 5.43 en 5.44, en in hoofdstuk 6.</w:t>
      </w:r>
    </w:p>
    <w:p w:rsidR="00296032" w:rsidRPr="00296032" w:rsidRDefault="00296032">
      <w:pPr>
        <w:pStyle w:val="artikelkop"/>
      </w:pPr>
      <w:r w:rsidRPr="00296032">
        <w:t xml:space="preserve">Artikel 1.5b </w:t>
      </w:r>
    </w:p>
    <w:p w:rsidR="00296032" w:rsidRPr="00620047" w:rsidRDefault="00296032">
      <w:pPr>
        <w:pStyle w:val="artplat"/>
      </w:pPr>
      <w:r w:rsidRPr="00620047">
        <w:t>De bij of krachtens de artikelen 2.3b en 2.4 gestelde regels zijn niet van toepassing voor zover die regels niet verenigbaar zijn met internationale verdragen.</w:t>
      </w:r>
    </w:p>
    <w:p w:rsidR="00296032" w:rsidRPr="00296032" w:rsidRDefault="00296032">
      <w:pPr>
        <w:pStyle w:val="artikelkop"/>
        <w:rPr>
          <w:rFonts w:cs="Arial"/>
        </w:rPr>
      </w:pPr>
      <w:r w:rsidRPr="00296032">
        <w:rPr>
          <w:rFonts w:cs="Arial"/>
        </w:rPr>
        <w:t>Artikel 1.6</w:t>
      </w:r>
    </w:p>
    <w:p w:rsidR="00296032" w:rsidRPr="00620047" w:rsidRDefault="00296032">
      <w:pPr>
        <w:pStyle w:val="art1enivo"/>
      </w:pPr>
      <w:r w:rsidRPr="00620047">
        <w:t>1.</w:t>
      </w:r>
      <w:r w:rsidRPr="00620047">
        <w:tab/>
        <w:t>Vrijstelling wordt verleend van de verboden, bedoeld in artikel 6.2, eerste en tweede lid, van de Waterwet voor:</w:t>
      </w:r>
    </w:p>
    <w:p w:rsidR="00296032" w:rsidRPr="00620047" w:rsidRDefault="00296032">
      <w:pPr>
        <w:pStyle w:val="art2enivo"/>
      </w:pPr>
      <w:r w:rsidRPr="00620047">
        <w:t>a.</w:t>
      </w:r>
      <w:r w:rsidRPr="00620047">
        <w:tab/>
        <w:t>lozen vanuit een inrichting type A of een inrichting type B voor zover aan dat lozen regels zijn gesteld bij of krachtens de artikelen 3.1 tot en met 3.5, 3.5e tot en met 3.5g, 3.6 tot en met 3.6g, 3.10k, 3.31, 3.32, 3.33, 3.34, 3.60 tot en met 3.64, 3.76 tot en met 3.91, 3.101, 3.102, 3.104, 3.105, 3.131, 3.138, 3.150, 3.152, 4.74c, 4.74k, 4.74n, 4.103g en 4.104e;</w:t>
      </w:r>
    </w:p>
    <w:p w:rsidR="00296032" w:rsidRPr="00620047" w:rsidRDefault="00296032">
      <w:pPr>
        <w:pStyle w:val="art2enivo"/>
      </w:pPr>
      <w:r w:rsidRPr="00620047">
        <w:t>b.</w:t>
      </w:r>
      <w:r w:rsidRPr="00620047">
        <w:tab/>
        <w:t>lozen vanuit een inrichting type C, voor zover aan dat het lozen regels zijn gesteld bij of krachtens de artikelen 3.1 tot en met 3.5, 3.5e tot en met 3.5g, 3.6 tot en met 3.6b, 3.10k, 3.31, 3.32, 3.33, 3.34, 3.60 tot en met 3.64, 3.76 tot en met 3.91, 3.101, 3.102, 3.104, 3.105, 3.131, 3.138 en 3.150 en 3.152;</w:t>
      </w:r>
    </w:p>
    <w:p w:rsidR="00296032" w:rsidRPr="00620047" w:rsidRDefault="00296032">
      <w:pPr>
        <w:pStyle w:val="art2enivo"/>
      </w:pPr>
      <w:r w:rsidRPr="00620047">
        <w:t>c.</w:t>
      </w:r>
      <w:r w:rsidRPr="00620047">
        <w:tab/>
        <w:t xml:space="preserve">lozen anders dan vanuit een inrichting afkomstig van agrarische activiteiten dan wel activiteiten die daarmee </w:t>
      </w:r>
      <w:r w:rsidR="004542D0">
        <w:t>verband houden</w:t>
      </w:r>
      <w:r w:rsidRPr="00620047">
        <w:t xml:space="preserve"> voor zover aan dat lozen regels zijn gesteld in de artikelen 3.3, 3.31, 3.32 3.33, 3.34, 3.60 tot en met 3.64, 3.76 tot en met 3.91, 3.101, 3.102, 3.104, 3.105.</w:t>
      </w:r>
    </w:p>
    <w:p w:rsidR="00296032" w:rsidRPr="00620047" w:rsidRDefault="00296032">
      <w:pPr>
        <w:pStyle w:val="art1enivo"/>
      </w:pPr>
      <w:bookmarkStart w:id="9" w:name="OLE_LINK47"/>
      <w:bookmarkStart w:id="10" w:name="OLE_LINK48"/>
      <w:r w:rsidRPr="00620047">
        <w:t>2.</w:t>
      </w:r>
      <w:r w:rsidRPr="00620047">
        <w:tab/>
        <w:t xml:space="preserve"> Het lozen, bedoeld in het eerste lid, waarbij niet wordt voldaan aan de bij of krachtens dit besluit gestelde regels en voorschriften is verboden.</w:t>
      </w:r>
    </w:p>
    <w:bookmarkEnd w:id="9"/>
    <w:bookmarkEnd w:id="10"/>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Van het verbod, bedoeld in artikel 10.2, eerste lid, van de wet, wordt vrijstelling verleend voor lozen op of in de bodem anders dan vanuit een inrichting afkomstig van agrarische activiteiten dan wel activiteiten die daarmee verband houden.</w:t>
      </w:r>
    </w:p>
    <w:p w:rsidR="00296032" w:rsidRPr="00620047" w:rsidRDefault="00296032">
      <w:pPr>
        <w:pStyle w:val="art1enivo"/>
        <w:rPr>
          <w:rFonts w:cs="Arial"/>
        </w:rPr>
      </w:pPr>
      <w:r w:rsidRPr="00620047">
        <w:rPr>
          <w:rFonts w:cs="Arial"/>
        </w:rPr>
        <w:t>4.</w:t>
      </w:r>
      <w:r w:rsidRPr="00620047">
        <w:rPr>
          <w:rFonts w:cs="Arial"/>
        </w:rPr>
        <w:tab/>
        <w:t>De artikelen van dit besluit zijn, behoudens dit artikellid, niet van toepassing op het in een oppervlaktewaterlichaam:</w:t>
      </w:r>
    </w:p>
    <w:p w:rsidR="00296032" w:rsidRPr="00620047" w:rsidRDefault="00296032">
      <w:pPr>
        <w:pStyle w:val="art2enivo"/>
        <w:rPr>
          <w:rFonts w:cs="Arial"/>
        </w:rPr>
      </w:pPr>
      <w:r w:rsidRPr="00620047">
        <w:rPr>
          <w:rFonts w:cs="Arial"/>
        </w:rPr>
        <w:t>1°.</w:t>
      </w:r>
      <w:r w:rsidRPr="00620047">
        <w:rPr>
          <w:rFonts w:cs="Arial"/>
        </w:rPr>
        <w:tab/>
        <w:t>in een werk aanbrengen of houden van bouwstoffen;</w:t>
      </w:r>
    </w:p>
    <w:p w:rsidR="00296032" w:rsidRPr="00620047" w:rsidRDefault="00296032">
      <w:pPr>
        <w:pStyle w:val="art2enivo"/>
        <w:rPr>
          <w:rFonts w:cs="Arial"/>
        </w:rPr>
      </w:pPr>
      <w:r w:rsidRPr="00620047">
        <w:rPr>
          <w:rFonts w:cs="Arial"/>
        </w:rPr>
        <w:t>2°.</w:t>
      </w:r>
      <w:r w:rsidRPr="00620047">
        <w:rPr>
          <w:rFonts w:cs="Arial"/>
        </w:rPr>
        <w:tab/>
        <w:t>aanbrengen, verspreiden of tijdelijk opslaan van grond of baggerspecie alsmede het houden van die aangebrachte of tijdelijk opgeslagen grond of baggerspecie;</w:t>
      </w:r>
    </w:p>
    <w:p w:rsidR="00296032" w:rsidRPr="00620047" w:rsidRDefault="00296032">
      <w:pPr>
        <w:pStyle w:val="art2enivo"/>
        <w:rPr>
          <w:rFonts w:cs="Arial"/>
        </w:rPr>
      </w:pPr>
      <w:r w:rsidRPr="00620047">
        <w:rPr>
          <w:rFonts w:cs="Arial"/>
        </w:rPr>
        <w:t>3°.</w:t>
      </w:r>
      <w:r w:rsidRPr="00620047">
        <w:rPr>
          <w:rFonts w:cs="Arial"/>
        </w:rPr>
        <w:tab/>
        <w:t>lozen afkomstig van het toepassen van bouwstoffen, grond of baggerspecie, waarop het Besluit bodemkwaliteit van toepassing is.</w:t>
      </w:r>
    </w:p>
    <w:p w:rsidR="00296032" w:rsidRPr="00620047" w:rsidRDefault="00296032">
      <w:pPr>
        <w:pStyle w:val="art1enivo"/>
        <w:rPr>
          <w:rFonts w:cs="Arial"/>
        </w:rPr>
      </w:pPr>
      <w:r w:rsidRPr="00620047">
        <w:rPr>
          <w:rFonts w:cs="Arial"/>
        </w:rPr>
        <w:t>5.</w:t>
      </w:r>
      <w:r w:rsidRPr="00620047">
        <w:rPr>
          <w:rFonts w:cs="Arial"/>
        </w:rPr>
        <w:tab/>
        <w:t>Dit besluit is niet van toepassing op lozingen op of in de bodem waaraan regels zijn gesteld krachtens de Mijnbouwwet.</w:t>
      </w:r>
    </w:p>
    <w:p w:rsidR="00296032" w:rsidRPr="00296032" w:rsidRDefault="00296032">
      <w:pPr>
        <w:pStyle w:val="artikelkop"/>
        <w:rPr>
          <w:rFonts w:cs="Arial"/>
        </w:rPr>
      </w:pPr>
      <w:r w:rsidRPr="00296032">
        <w:rPr>
          <w:rFonts w:cs="Arial"/>
        </w:rPr>
        <w:t>Artikel 1.7</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ministeriële regeling kunnen:</w:t>
      </w:r>
    </w:p>
    <w:p w:rsidR="00296032" w:rsidRPr="00620047" w:rsidRDefault="00296032">
      <w:pPr>
        <w:pStyle w:val="art2enivo"/>
        <w:rPr>
          <w:rFonts w:cs="Arial"/>
        </w:rPr>
      </w:pPr>
      <w:r w:rsidRPr="00620047">
        <w:rPr>
          <w:rFonts w:cs="Arial"/>
        </w:rPr>
        <w:t>a.</w:t>
      </w:r>
      <w:r w:rsidRPr="00620047">
        <w:rPr>
          <w:rFonts w:cs="Arial"/>
        </w:rPr>
        <w:tab/>
        <w:t>ter bescherming van het milieu regels worden gesteld ter uitwerking van de hoofdstukken 2, 3 en 4;</w:t>
      </w:r>
    </w:p>
    <w:p w:rsidR="00296032" w:rsidRPr="00620047" w:rsidRDefault="00296032">
      <w:pPr>
        <w:pStyle w:val="art2enivo"/>
        <w:rPr>
          <w:rFonts w:cs="Arial"/>
        </w:rPr>
      </w:pPr>
      <w:r w:rsidRPr="00620047">
        <w:rPr>
          <w:rFonts w:cs="Arial"/>
        </w:rPr>
        <w:t>b.</w:t>
      </w:r>
      <w:r w:rsidRPr="00620047">
        <w:rPr>
          <w:rFonts w:cs="Arial"/>
        </w:rPr>
        <w:tab/>
        <w:t>ter uitwerking van de bij of krachtens dit besluit voor het lozen in een oppervlaktewaterlichaam gestelde regels, oppervlaktewaterlichamen worden aangewezen, die met het oog op het lozen geen bijzondere bescherming behoeven.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ministeriële regeling kan de verplichting worden opgelegd te voldoen aan maatwerkvoorschriften die nodig zijn ter bescherming van het milieu gesteld door het bevoegd gezag met betrekking tot de regels, bedoeld in het eerste lid, onderdeel a, en kan worden bepaald in welke mate die maatwerkvoorschriften kunnen afwijken van de regels, bedoeld in onderdeel a.</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Bij ministeriële regeling worden regels gesteld omtrent de bij de toepassing van dit besluit in acht te nemen tekst van:</w:t>
      </w:r>
    </w:p>
    <w:p w:rsidR="00296032" w:rsidRPr="00620047" w:rsidRDefault="00296032">
      <w:pPr>
        <w:pStyle w:val="art2enivo"/>
        <w:rPr>
          <w:rFonts w:cs="Arial"/>
        </w:rPr>
      </w:pPr>
      <w:r w:rsidRPr="00620047">
        <w:rPr>
          <w:rFonts w:cs="Arial"/>
        </w:rPr>
        <w:t>a.</w:t>
      </w:r>
      <w:r w:rsidRPr="00620047">
        <w:rPr>
          <w:rFonts w:cs="Arial"/>
        </w:rPr>
        <w:tab/>
        <w:t>de bij of krachtens dit besluit genoemde niet-publiekrechtelijke regelingen en</w:t>
      </w:r>
    </w:p>
    <w:p w:rsidR="00296032" w:rsidRPr="00620047" w:rsidRDefault="00296032">
      <w:pPr>
        <w:pStyle w:val="art2enivo"/>
        <w:rPr>
          <w:rFonts w:cs="Arial"/>
        </w:rPr>
      </w:pPr>
      <w:r w:rsidRPr="00620047">
        <w:rPr>
          <w:rFonts w:cs="Arial"/>
        </w:rPr>
        <w:t>b.</w:t>
      </w:r>
      <w:r w:rsidRPr="00620047">
        <w:rPr>
          <w:rFonts w:cs="Arial"/>
        </w:rPr>
        <w:tab/>
        <w:t>de NRB.</w:t>
      </w:r>
    </w:p>
    <w:p w:rsidR="00296032" w:rsidRPr="00296032" w:rsidRDefault="00296032">
      <w:pPr>
        <w:pStyle w:val="artikelkop"/>
        <w:rPr>
          <w:rFonts w:cs="Arial"/>
        </w:rPr>
      </w:pPr>
      <w:r w:rsidRPr="00296032">
        <w:rPr>
          <w:rFonts w:cs="Arial"/>
        </w:rPr>
        <w:t>Artikel 1.8</w:t>
      </w:r>
    </w:p>
    <w:p w:rsidR="00296032" w:rsidRPr="00620047" w:rsidRDefault="00296032">
      <w:pPr>
        <w:rPr>
          <w:rFonts w:cs="Arial"/>
        </w:rPr>
      </w:pPr>
      <w:r w:rsidRPr="00620047">
        <w:rPr>
          <w:rFonts w:cs="Arial"/>
        </w:rPr>
        <w:t>Indien bij of krachtens dit besluit is bepaald dat een daarbij aangegeven maatregel ter bescherming van het milieu moet worden toegepast kan een andere maatregel worden toegepast indien het bevoegd gezag heeft beslist dat met die maatregel ten minste een gelijkwaardig niveau van bescherming van het milieu wordt bereikt.</w:t>
      </w:r>
    </w:p>
    <w:p w:rsidR="00296032" w:rsidRPr="00296032" w:rsidRDefault="00296032">
      <w:pPr>
        <w:pStyle w:val="artikelkop"/>
        <w:rPr>
          <w:rFonts w:cs="Arial"/>
        </w:rPr>
      </w:pPr>
      <w:r w:rsidRPr="00296032">
        <w:rPr>
          <w:rFonts w:cs="Arial"/>
        </w:rPr>
        <w:t>Artikel 1.9</w:t>
      </w:r>
    </w:p>
    <w:p w:rsidR="00296032" w:rsidRPr="00620047" w:rsidRDefault="00296032">
      <w:pPr>
        <w:rPr>
          <w:rFonts w:cs="Arial"/>
        </w:rPr>
      </w:pPr>
      <w:r w:rsidRPr="00620047">
        <w:rPr>
          <w:rFonts w:cs="Arial"/>
        </w:rPr>
        <w:t>Van de beschikking waarbij bij of krachtens dit besluit een maatwerkvoorschrift wordt gesteld, wordt kennisgegeven in één of meer dagbladen, nieuwsbladen of huis-aan-huisbladen.</w:t>
      </w:r>
    </w:p>
    <w:p w:rsidR="00296032" w:rsidRPr="00296032" w:rsidRDefault="00296032">
      <w:pPr>
        <w:pStyle w:val="artikelkop"/>
        <w:rPr>
          <w:rFonts w:cs="Arial"/>
        </w:rPr>
      </w:pPr>
      <w:r w:rsidRPr="00296032">
        <w:rPr>
          <w:rFonts w:cs="Arial"/>
        </w:rPr>
        <w:t>Artikel 1.9a</w:t>
      </w:r>
    </w:p>
    <w:p w:rsidR="00296032" w:rsidRPr="00620047" w:rsidRDefault="00296032">
      <w:pPr>
        <w:rPr>
          <w:rFonts w:cs="Arial"/>
        </w:rPr>
      </w:pPr>
      <w:r w:rsidRPr="00620047">
        <w:rPr>
          <w:rFonts w:cs="Arial"/>
        </w:rPr>
        <w:t>Met toepassing van artikel 28, eerste lid, laatste zinsnede, van de Dienstenwet, is paragraaf 4.1.3.3. van de Algemene wet bestuursrecht niet van toepassing op de aanvraag om accreditatie als bedoeld in artikel 3.20, vierde lid, onder a.</w:t>
      </w:r>
    </w:p>
    <w:p w:rsidR="00296032" w:rsidRPr="00620047" w:rsidRDefault="00296032">
      <w:pPr>
        <w:pStyle w:val="afdeling"/>
        <w:rPr>
          <w:rFonts w:cs="Arial"/>
        </w:rPr>
      </w:pPr>
      <w:bookmarkStart w:id="11" w:name="_Toc277243174"/>
      <w:bookmarkStart w:id="12" w:name="_Toc431375537"/>
      <w:r w:rsidRPr="00620047">
        <w:rPr>
          <w:rFonts w:cs="Arial"/>
        </w:rPr>
        <w:t>Afdeling 1.2. Melding</w:t>
      </w:r>
      <w:bookmarkEnd w:id="11"/>
      <w:bookmarkEnd w:id="12"/>
    </w:p>
    <w:p w:rsidR="00296032" w:rsidRPr="00296032" w:rsidRDefault="00296032">
      <w:pPr>
        <w:pStyle w:val="artikelkop"/>
      </w:pPr>
      <w:r w:rsidRPr="00296032">
        <w:t>Artikel 1.9b</w:t>
      </w:r>
    </w:p>
    <w:p w:rsidR="00296032" w:rsidRPr="00620047" w:rsidRDefault="00296032">
      <w:pPr>
        <w:pStyle w:val="artplatletter"/>
      </w:pPr>
      <w:r w:rsidRPr="00620047">
        <w:t>Deze afdeling is van toepassing op degene die:</w:t>
      </w:r>
    </w:p>
    <w:p w:rsidR="00296032" w:rsidRPr="00620047" w:rsidRDefault="00296032">
      <w:pPr>
        <w:pStyle w:val="artplatletter"/>
      </w:pPr>
      <w:r w:rsidRPr="00620047">
        <w:t>a.</w:t>
      </w:r>
      <w:r w:rsidRPr="00620047">
        <w:tab/>
        <w:t>een inrichting type B drijft, of</w:t>
      </w:r>
    </w:p>
    <w:p w:rsidR="00296032" w:rsidRPr="00620047" w:rsidRDefault="00296032">
      <w:pPr>
        <w:pStyle w:val="artplatletter"/>
      </w:pPr>
      <w:r w:rsidRPr="00620047">
        <w:t>b.</w:t>
      </w:r>
      <w:r w:rsidRPr="00620047">
        <w:tab/>
        <w:t>een inrichting type C drijft, voor zover deze afdeling betrekking heeft op activiteiten die verricht worden binnen de inrichting waarop hoofdstuk 3 van toepassing is.</w:t>
      </w:r>
    </w:p>
    <w:p w:rsidR="00296032" w:rsidRPr="00296032" w:rsidRDefault="00296032">
      <w:pPr>
        <w:pStyle w:val="artikelkop"/>
        <w:rPr>
          <w:rFonts w:cs="Arial"/>
        </w:rPr>
      </w:pPr>
      <w:r w:rsidRPr="00296032">
        <w:rPr>
          <w:rFonts w:cs="Arial"/>
        </w:rPr>
        <w:t>Artikel 1.10</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een inrichting opricht, meldt dit ten minste vier weken voor de oprichting aan het bevoegd gezag.</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van overeenkomstige toepassing met betrekking tot het veranderen van een inrichting en het veranderen van de werking daarvan. Deze melding is niet vereist, indien eerder een melding overeenkomstig dit artikel is gedaan en door dit veranderen geen afwijking ontstaat van de bij die melding verstrekte gegevens.</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Bij de melding worden de volgende gegevens verstrekt:</w:t>
      </w:r>
    </w:p>
    <w:p w:rsidR="00296032" w:rsidRPr="00620047" w:rsidRDefault="00296032">
      <w:pPr>
        <w:pStyle w:val="art2enivo"/>
        <w:rPr>
          <w:rFonts w:cs="Arial"/>
        </w:rPr>
      </w:pPr>
      <w:r w:rsidRPr="00620047">
        <w:rPr>
          <w:rFonts w:cs="Arial"/>
        </w:rPr>
        <w:t>a.</w:t>
      </w:r>
      <w:r w:rsidRPr="00620047">
        <w:rPr>
          <w:rFonts w:cs="Arial"/>
        </w:rPr>
        <w:tab/>
        <w:t>het adres en het nummer van de Kamer van Koophandel van de inrichting;</w:t>
      </w:r>
    </w:p>
    <w:p w:rsidR="00296032" w:rsidRPr="00620047" w:rsidRDefault="00296032">
      <w:pPr>
        <w:pStyle w:val="art2enivo"/>
        <w:rPr>
          <w:rFonts w:cs="Arial"/>
        </w:rPr>
      </w:pPr>
      <w:r w:rsidRPr="00620047">
        <w:rPr>
          <w:rFonts w:cs="Arial"/>
        </w:rPr>
        <w:t>b.</w:t>
      </w:r>
      <w:r w:rsidRPr="00620047">
        <w:rPr>
          <w:rFonts w:cs="Arial"/>
        </w:rPr>
        <w:tab/>
        <w:t>de naam en het adres van degene die de inrichting opricht dan wel verandert of de werking daarvan verandert, en, indien dit iemand anders is, van degene die de inrichting drijft of zal drijven;</w:t>
      </w:r>
    </w:p>
    <w:p w:rsidR="00296032" w:rsidRPr="00620047" w:rsidRDefault="00296032">
      <w:pPr>
        <w:pStyle w:val="art2enivo"/>
        <w:rPr>
          <w:rFonts w:cs="Arial"/>
        </w:rPr>
      </w:pPr>
      <w:r w:rsidRPr="00620047">
        <w:rPr>
          <w:rFonts w:cs="Arial"/>
        </w:rPr>
        <w:t>c.</w:t>
      </w:r>
      <w:r w:rsidRPr="00620047">
        <w:rPr>
          <w:rFonts w:cs="Arial"/>
        </w:rPr>
        <w:tab/>
        <w:t>het tijdstip waarop de inrichting of de verandering daarvan in werking zal worden gebracht, dan wel de verandering van de werking daarvan verwezenlijkt zal zijn;</w:t>
      </w:r>
    </w:p>
    <w:p w:rsidR="00296032" w:rsidRPr="00620047" w:rsidRDefault="00296032">
      <w:pPr>
        <w:pStyle w:val="art2enivo"/>
        <w:rPr>
          <w:rFonts w:cs="Arial"/>
        </w:rPr>
      </w:pPr>
      <w:r w:rsidRPr="00620047">
        <w:rPr>
          <w:rFonts w:cs="Arial"/>
        </w:rPr>
        <w:t>d.</w:t>
      </w:r>
      <w:r w:rsidRPr="00620047">
        <w:rPr>
          <w:rFonts w:cs="Arial"/>
        </w:rPr>
        <w:tab/>
        <w:t>de aard en omvang van de activiteiten en processen in de inrichting;</w:t>
      </w:r>
    </w:p>
    <w:p w:rsidR="00296032" w:rsidRPr="00620047" w:rsidRDefault="00296032">
      <w:pPr>
        <w:pStyle w:val="art2enivo"/>
        <w:rPr>
          <w:rFonts w:cs="Arial"/>
        </w:rPr>
      </w:pPr>
      <w:r w:rsidRPr="00620047">
        <w:rPr>
          <w:rFonts w:cs="Arial"/>
        </w:rPr>
        <w:t>e.</w:t>
      </w:r>
      <w:r w:rsidRPr="00620047">
        <w:rPr>
          <w:rFonts w:cs="Arial"/>
        </w:rPr>
        <w:tab/>
        <w:t>de indeling en uitvoering van de inrichting, waarbij de grenzen van het terrein van de inrichting, de ligging en de indeling van de gebouwen, de functie van de te onderscheiden ruimten en de ligging van de bedrijfsriolering en de plaats van de lozingspunten worden aangegeven; en</w:t>
      </w:r>
    </w:p>
    <w:p w:rsidR="00296032" w:rsidRPr="00620047" w:rsidRDefault="00296032">
      <w:pPr>
        <w:pStyle w:val="art2enivo"/>
        <w:rPr>
          <w:rFonts w:cs="Arial"/>
        </w:rPr>
      </w:pPr>
      <w:r w:rsidRPr="00620047">
        <w:rPr>
          <w:rFonts w:cs="Arial"/>
        </w:rPr>
        <w:t>f.</w:t>
      </w:r>
      <w:r w:rsidRPr="00620047">
        <w:rPr>
          <w:rFonts w:cs="Arial"/>
        </w:rPr>
        <w:tab/>
        <w:t>een situatieschets, met een schaal van ten minste 1:10.000 waarop de ligging van de inrichting ten opzichte van de omgeving is aangegeven en die is voorzien van een noordpijl.</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bestuursorgaan dat een melding ontvangt waarvoor een ander bestuursorgaan mede bevoegd gezag is, stuurt onverwijld een kopie van de melding aan dat andere bevoegde gezag. De melding wordt geacht mede bij dat andere bevoegde gezag te zijn gedaan.</w:t>
      </w:r>
    </w:p>
    <w:p w:rsidR="00296032" w:rsidRPr="00296032" w:rsidRDefault="00296032">
      <w:pPr>
        <w:pStyle w:val="artikelkop"/>
        <w:rPr>
          <w:rFonts w:cs="Arial"/>
        </w:rPr>
      </w:pPr>
      <w:r w:rsidRPr="00296032">
        <w:rPr>
          <w:rFonts w:cs="Arial"/>
        </w:rPr>
        <w:t>Artikel 1.10a</w:t>
      </w:r>
    </w:p>
    <w:p w:rsidR="00296032" w:rsidRPr="00620047" w:rsidRDefault="00296032">
      <w:pPr>
        <w:pStyle w:val="art1enivo"/>
        <w:rPr>
          <w:rFonts w:cs="Arial"/>
        </w:rPr>
      </w:pPr>
      <w:r w:rsidRPr="00620047">
        <w:rPr>
          <w:rFonts w:cs="Arial"/>
        </w:rPr>
        <w:t>1.</w:t>
      </w:r>
      <w:r w:rsidRPr="00620047">
        <w:rPr>
          <w:rFonts w:cs="Arial"/>
        </w:rPr>
        <w:tab/>
        <w:t>Degene die voornemens is agrarische activiteiten of activiteiten die daarmee verband houden uit te voeren buiten een inrichting ten gevolge waarvan lozen kan plaatsvinden, meldt het lozen ten minste vier weken voordat daarmee wordt aangevangen aan het bevoegd gezag.</w:t>
      </w:r>
    </w:p>
    <w:p w:rsidR="00296032" w:rsidRPr="00620047" w:rsidRDefault="00296032">
      <w:pPr>
        <w:pStyle w:val="art1enivo"/>
        <w:rPr>
          <w:rFonts w:cs="Arial"/>
        </w:rPr>
      </w:pPr>
      <w:r w:rsidRPr="00620047">
        <w:rPr>
          <w:rFonts w:cs="Arial"/>
        </w:rPr>
        <w:t>2.</w:t>
      </w:r>
      <w:r w:rsidRPr="00620047">
        <w:rPr>
          <w:rFonts w:cs="Arial"/>
        </w:rPr>
        <w:tab/>
        <w:t>Het eerste lid is van overeenkomstige toepassing met betrekking tot het veranderen van de activiteiten, bedoeld in dat lid. Een melding is niet vereist indien:</w:t>
      </w:r>
    </w:p>
    <w:p w:rsidR="00296032" w:rsidRPr="00620047" w:rsidRDefault="00296032">
      <w:pPr>
        <w:pStyle w:val="art2enivo"/>
        <w:rPr>
          <w:rFonts w:cs="Arial"/>
        </w:rPr>
      </w:pPr>
      <w:r w:rsidRPr="00620047">
        <w:rPr>
          <w:rFonts w:cs="Arial"/>
        </w:rPr>
        <w:t>a.</w:t>
      </w:r>
      <w:r w:rsidRPr="00620047">
        <w:rPr>
          <w:rFonts w:cs="Arial"/>
        </w:rPr>
        <w:tab/>
        <w:t>eerder een melding overeenkomstig dit artikel is gedaan en door dit veranderen geen afwijking ontstaat van de bij die melding verstrekte gegevens en de artikelen 1.13 en 1.14 niet verplichten tot het verstrekken van andere gegevens, of</w:t>
      </w:r>
    </w:p>
    <w:p w:rsidR="00296032" w:rsidRPr="00620047" w:rsidRDefault="00296032">
      <w:pPr>
        <w:pStyle w:val="art2enivo"/>
        <w:rPr>
          <w:rFonts w:cs="Arial"/>
        </w:rPr>
      </w:pPr>
      <w:r w:rsidRPr="00620047">
        <w:rPr>
          <w:rFonts w:cs="Arial"/>
        </w:rPr>
        <w:t>b.</w:t>
      </w:r>
      <w:r w:rsidRPr="00620047">
        <w:rPr>
          <w:rFonts w:cs="Arial"/>
        </w:rPr>
        <w:tab/>
        <w:t>de veranderende activiteiten slechts een wijziging in teelt betreffen en de gegevens omtrent de te telen gewassen en de betreffende percelen op grond van artikel 26 van het Uitvoeringsbesluit Meststoffenwet zijn gemeld aan Onze Minister van Economische Zaken, Landbouw en Innovatie.</w:t>
      </w:r>
    </w:p>
    <w:p w:rsidR="00296032" w:rsidRPr="00620047" w:rsidRDefault="00296032">
      <w:pPr>
        <w:pStyle w:val="art1enivo"/>
        <w:rPr>
          <w:rFonts w:cs="Arial"/>
        </w:rPr>
      </w:pPr>
      <w:r w:rsidRPr="00620047">
        <w:rPr>
          <w:rFonts w:cs="Arial"/>
        </w:rPr>
        <w:t>3.</w:t>
      </w:r>
      <w:r w:rsidRPr="00620047">
        <w:rPr>
          <w:rFonts w:cs="Arial"/>
        </w:rPr>
        <w:tab/>
        <w:t>Bij de melding worden de volgende gegevens verstrekt:</w:t>
      </w:r>
    </w:p>
    <w:p w:rsidR="00296032" w:rsidRPr="00620047" w:rsidRDefault="00296032">
      <w:pPr>
        <w:pStyle w:val="art2enivo"/>
        <w:rPr>
          <w:rFonts w:cs="Arial"/>
        </w:rPr>
      </w:pPr>
      <w:r w:rsidRPr="00620047">
        <w:rPr>
          <w:rFonts w:cs="Arial"/>
        </w:rPr>
        <w:t>a. de naam en het adres van degene die meldt;</w:t>
      </w:r>
    </w:p>
    <w:p w:rsidR="00296032" w:rsidRPr="00620047" w:rsidRDefault="00296032">
      <w:pPr>
        <w:pStyle w:val="art2enivo"/>
        <w:rPr>
          <w:rFonts w:cs="Arial"/>
        </w:rPr>
      </w:pPr>
      <w:r w:rsidRPr="00620047">
        <w:rPr>
          <w:rFonts w:cs="Arial"/>
        </w:rPr>
        <w:t>b. de aard en omvang van de activiteiten die worden verricht;</w:t>
      </w:r>
    </w:p>
    <w:p w:rsidR="00296032" w:rsidRPr="00620047" w:rsidRDefault="00296032">
      <w:pPr>
        <w:pStyle w:val="art2enivo"/>
        <w:rPr>
          <w:rFonts w:cs="Arial"/>
        </w:rPr>
      </w:pPr>
      <w:r w:rsidRPr="00620047">
        <w:rPr>
          <w:rFonts w:cs="Arial"/>
        </w:rPr>
        <w:t>c. het tijdstip waarop het lozen zal aanvangen en de duur van het lozen, en</w:t>
      </w:r>
    </w:p>
    <w:p w:rsidR="00296032" w:rsidRPr="00620047" w:rsidRDefault="00296032">
      <w:pPr>
        <w:pStyle w:val="art2enivo"/>
        <w:rPr>
          <w:rFonts w:cs="Arial"/>
        </w:rPr>
      </w:pPr>
      <w:r w:rsidRPr="00620047">
        <w:rPr>
          <w:rFonts w:cs="Arial"/>
        </w:rPr>
        <w:t>d. de locatie van de percelen van waaraf het lozen plaatsvindt.</w:t>
      </w:r>
    </w:p>
    <w:p w:rsidR="00296032" w:rsidRPr="00620047" w:rsidRDefault="00296032">
      <w:pPr>
        <w:pStyle w:val="art1enivo"/>
        <w:rPr>
          <w:rFonts w:cs="Arial"/>
        </w:rPr>
      </w:pPr>
      <w:r w:rsidRPr="00620047">
        <w:rPr>
          <w:rFonts w:cs="Arial"/>
        </w:rPr>
        <w:t>4.</w:t>
      </w:r>
      <w:r w:rsidRPr="00620047">
        <w:rPr>
          <w:rFonts w:cs="Arial"/>
        </w:rPr>
        <w:tab/>
        <w:t>Het bevoegd gezag kan de krachtens artikel 26 van het Uitvoeringsbesluit Meststoffenwet gemelde gegevens gebruiken voor zover noodzakelijk voor het toezicht op de naleving van de bij of krachtens dit besluit gestelde regels.</w:t>
      </w:r>
    </w:p>
    <w:p w:rsidR="00296032" w:rsidRPr="00620047" w:rsidRDefault="00296032">
      <w:pPr>
        <w:pStyle w:val="art1enivo"/>
        <w:rPr>
          <w:rFonts w:cs="Arial"/>
        </w:rPr>
      </w:pPr>
      <w:r w:rsidRPr="00620047">
        <w:rPr>
          <w:rFonts w:cs="Arial"/>
        </w:rPr>
        <w:t>5.</w:t>
      </w:r>
      <w:r w:rsidRPr="00620047">
        <w:rPr>
          <w:rFonts w:cs="Arial"/>
        </w:rPr>
        <w:tab/>
        <w:t>Onverminderd het eerste en tweede lid is een melding evenmin vereist voor het lozen als bedoeld in paragraaf 3.1.3.</w:t>
      </w:r>
    </w:p>
    <w:p w:rsidR="00296032" w:rsidRPr="00296032" w:rsidRDefault="00296032">
      <w:pPr>
        <w:pStyle w:val="artikelkop"/>
        <w:rPr>
          <w:rFonts w:cs="Arial"/>
        </w:rPr>
      </w:pPr>
      <w:r w:rsidRPr="00296032">
        <w:rPr>
          <w:rFonts w:cs="Arial"/>
        </w:rPr>
        <w:t>Artikel 1.11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de melding, bedoeld in artikel 1.10, wordt een rapport van een akoestisch onderzoek gevoegd indien tussen 19.00 en 7.00 uur naar verwachting gemiddeld meer dan vier transportbewegingen plaatsvinden met motorvoertuigen waarvan de massa van het ledig voertuig vermeerderd met het laadvermogen meer is dan 3.500 kilogram en binnen een afstand van 50 meter van de grens van de inrichting gevoelige objecten aanwezig zijn. Het gemiddelde als bedoeld in de eerste volzin betreft een gemiddelde gemeten over de periode van een jaar. Voor inrichtingen als bedoeld in artikel 2.17, vijfde en zesde lid, wordt in plaats van 'tussen 19.00 en 7.00 uur' gelezen 'tussen 19.00 en 6.00 uur'. De eerste volzin is niet van toepassing op inrichtingen die uitsluitend of in hoofdzaak bestemd zijn voor de openbare verkoop aan derden van vloeibare brandstof, mengsmering en aardgas voor het wegverkeer en inrichtingen waar uitsluitend of in hoofdzaak horeca-activiteiten plaatsvinden.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de melding, bedoeld in artikel 1.10, wordt een rapport van een akoestisch onderzoek gevoegd indien het, mede op basis van de aard van de inrichting, aannemelijk is dat:</w:t>
      </w:r>
    </w:p>
    <w:p w:rsidR="00296032" w:rsidRPr="00620047" w:rsidRDefault="00296032">
      <w:pPr>
        <w:pStyle w:val="art2enivo"/>
        <w:rPr>
          <w:rFonts w:cs="Arial"/>
        </w:rPr>
      </w:pPr>
      <w:r w:rsidRPr="00620047">
        <w:rPr>
          <w:rFonts w:cs="Arial"/>
        </w:rPr>
        <w:t>a.</w:t>
      </w:r>
      <w:r w:rsidRPr="00620047">
        <w:rPr>
          <w:rFonts w:cs="Arial"/>
        </w:rPr>
        <w:tab/>
        <w:t>in enig vertrek van de inrichting het equivalente geluidsniveau (L</w:t>
      </w:r>
      <w:r w:rsidRPr="00620047">
        <w:rPr>
          <w:rFonts w:cs="Arial"/>
          <w:vertAlign w:val="subscript"/>
        </w:rPr>
        <w:t>Aeq</w:t>
      </w:r>
      <w:r w:rsidRPr="00620047">
        <w:rPr>
          <w:rFonts w:cs="Arial"/>
        </w:rPr>
        <w:t>) veroorzaakt door de ten gehore gebrachte muziek in de representatieve bedrijfssituatie, meer bedraagt dan:</w:t>
      </w:r>
      <w:r w:rsidRPr="00620047">
        <w:rPr>
          <w:rFonts w:cs="Arial"/>
        </w:rPr>
        <w:br/>
        <w:t>1°.</w:t>
      </w:r>
      <w:r w:rsidRPr="00620047">
        <w:rPr>
          <w:rFonts w:cs="Arial"/>
        </w:rPr>
        <w:tab/>
        <w:t>70 dB(A), indien dit vertrek in- of aanpandig is gelegen met gevoelige gebouwen;</w:t>
      </w:r>
      <w:r w:rsidRPr="00620047">
        <w:rPr>
          <w:rFonts w:cs="Arial"/>
        </w:rPr>
        <w:br/>
        <w:t>2°.</w:t>
      </w:r>
      <w:r w:rsidRPr="00620047">
        <w:rPr>
          <w:rFonts w:cs="Arial"/>
        </w:rPr>
        <w:tab/>
        <w:t>80 dB(A), indien onderdeel 1° niet van toepassing is; of</w:t>
      </w:r>
    </w:p>
    <w:p w:rsidR="00296032" w:rsidRPr="00620047" w:rsidRDefault="00296032">
      <w:pPr>
        <w:pStyle w:val="art2enivo"/>
        <w:rPr>
          <w:rFonts w:cs="Arial"/>
        </w:rPr>
      </w:pPr>
      <w:r w:rsidRPr="00620047">
        <w:rPr>
          <w:rFonts w:cs="Arial"/>
        </w:rPr>
        <w:t>b.</w:t>
      </w:r>
      <w:r w:rsidRPr="00620047">
        <w:rPr>
          <w:rFonts w:cs="Arial"/>
        </w:rPr>
        <w:tab/>
        <w:t>in de buitenlucht of op een open terrein van de inrichting muziek ten gehore zal worden gebracht.</w:t>
      </w:r>
    </w:p>
    <w:p w:rsidR="00296032" w:rsidRPr="00620047" w:rsidRDefault="00296032">
      <w:pPr>
        <w:pStyle w:val="art1enivo"/>
      </w:pPr>
      <w:r w:rsidRPr="00620047">
        <w:t>3.</w:t>
      </w:r>
      <w:r w:rsidRPr="00620047">
        <w:tab/>
        <w:t>Bij een melding als bedoeld in artikel 1.10, wordt een rapport van een akoestisch onderzoek gevoegd indien:</w:t>
      </w:r>
    </w:p>
    <w:p w:rsidR="00296032" w:rsidRPr="00620047" w:rsidRDefault="00296032">
      <w:pPr>
        <w:pStyle w:val="art2enivo"/>
        <w:rPr>
          <w:rFonts w:cs="Arial"/>
        </w:rPr>
      </w:pPr>
      <w:r w:rsidRPr="00620047">
        <w:rPr>
          <w:rFonts w:cs="Arial"/>
        </w:rPr>
        <w:t>a.</w:t>
      </w:r>
      <w:r w:rsidRPr="00620047">
        <w:rPr>
          <w:rFonts w:cs="Arial"/>
        </w:rPr>
        <w:tab/>
        <w:t>de melding betrekking heeft op een of meer windturbines;</w:t>
      </w:r>
    </w:p>
    <w:p w:rsidR="00296032" w:rsidRPr="00620047" w:rsidRDefault="00296032">
      <w:pPr>
        <w:pStyle w:val="art2enivo"/>
        <w:rPr>
          <w:rFonts w:cs="Arial"/>
        </w:rPr>
      </w:pPr>
      <w:r w:rsidRPr="00620047">
        <w:rPr>
          <w:rFonts w:cs="Arial"/>
        </w:rPr>
        <w:t>b.</w:t>
      </w:r>
      <w:r w:rsidRPr="00620047">
        <w:rPr>
          <w:rFonts w:cs="Arial"/>
        </w:rPr>
        <w:tab/>
        <w:t>in de buitenlucht metalen in bulk worden overgeslagen of in de buitenlucht metalen mechanisch worden bewerkt;</w:t>
      </w:r>
    </w:p>
    <w:p w:rsidR="00296032" w:rsidRPr="00620047" w:rsidRDefault="00296032">
      <w:pPr>
        <w:pStyle w:val="art2enivo"/>
        <w:rPr>
          <w:rFonts w:cs="Arial"/>
        </w:rPr>
      </w:pPr>
      <w:r w:rsidRPr="00620047">
        <w:rPr>
          <w:rFonts w:cs="Arial"/>
        </w:rPr>
        <w:t>c.</w:t>
      </w:r>
      <w:r w:rsidRPr="00620047">
        <w:rPr>
          <w:rFonts w:cs="Arial"/>
        </w:rPr>
        <w:tab/>
        <w:t>de melding betrekking heeft op een inrichting als bedoeld in categorie 27.3 van onderdeel C, van bijlage 1, bij het Besluit omgevingsrecht;</w:t>
      </w:r>
    </w:p>
    <w:p w:rsidR="00296032" w:rsidRPr="00620047" w:rsidRDefault="00296032">
      <w:pPr>
        <w:pStyle w:val="art2enivo"/>
        <w:rPr>
          <w:rFonts w:cs="Arial"/>
        </w:rPr>
      </w:pPr>
      <w:r w:rsidRPr="00620047">
        <w:rPr>
          <w:rFonts w:cs="Arial"/>
        </w:rPr>
        <w:t>d.</w:t>
      </w:r>
      <w:r w:rsidRPr="00620047">
        <w:rPr>
          <w:rFonts w:cs="Arial"/>
        </w:rPr>
        <w:tab/>
        <w:t>airbags of gordelspanners worden geneutraliseerd door deze te ontsteken;</w:t>
      </w:r>
    </w:p>
    <w:p w:rsidR="00296032" w:rsidRPr="00620047" w:rsidRDefault="00296032">
      <w:pPr>
        <w:pStyle w:val="art2enivo"/>
        <w:rPr>
          <w:rFonts w:cs="Arial"/>
        </w:rPr>
      </w:pPr>
      <w:r w:rsidRPr="00620047">
        <w:rPr>
          <w:rFonts w:cs="Arial"/>
        </w:rPr>
        <w:t>e.</w:t>
      </w:r>
      <w:r w:rsidRPr="00620047">
        <w:rPr>
          <w:rFonts w:cs="Arial"/>
        </w:rPr>
        <w:tab/>
        <w:t>de melding betrekking heeft op een inrichting als bedoeld in categorie 11.1, onderdeel b, van onderdeel C, van bijlage 1, bij het Besluit omgevingsrecht, voor zover het een inrichting betreft voor het vervaardigen van betonmortel of betonwaren;</w:t>
      </w:r>
    </w:p>
    <w:p w:rsidR="00296032" w:rsidRPr="00620047" w:rsidRDefault="00296032">
      <w:pPr>
        <w:pStyle w:val="art2enivo"/>
      </w:pPr>
      <w:r w:rsidRPr="00620047">
        <w:t>f.</w:t>
      </w:r>
      <w:r w:rsidRPr="00620047">
        <w:tab/>
        <w:t>de melding betrekking heeft op een binnenschietbaan en de afstand van de binnenschietbaan tot het dichtstbijzijnde gevoelige object kleiner is dan 50 meter, of</w:t>
      </w:r>
    </w:p>
    <w:p w:rsidR="00296032" w:rsidRPr="00620047" w:rsidRDefault="00296032">
      <w:pPr>
        <w:pStyle w:val="art2enivo"/>
      </w:pPr>
      <w:r w:rsidRPr="00620047">
        <w:t>g.</w:t>
      </w:r>
      <w:r w:rsidRPr="00620047">
        <w:tab/>
        <w:t>de melding betrekking heeft op een buitenschietbaan.</w:t>
      </w:r>
    </w:p>
    <w:p w:rsidR="00296032" w:rsidRPr="00620047" w:rsidRDefault="00296032">
      <w:pPr>
        <w:pStyle w:val="art1enivo"/>
        <w:rPr>
          <w:rFonts w:cs="Arial"/>
        </w:rPr>
      </w:pPr>
      <w:r w:rsidRPr="00620047">
        <w:rPr>
          <w:rFonts w:cs="Arial"/>
        </w:rPr>
        <w:t>4</w:t>
      </w:r>
      <w:r w:rsidRPr="00620047">
        <w:rPr>
          <w:rFonts w:cs="Arial"/>
          <w:bCs/>
        </w:rPr>
        <w:t>.</w:t>
      </w:r>
      <w:r w:rsidRPr="00620047">
        <w:rPr>
          <w:rFonts w:cs="Arial"/>
          <w:bCs/>
        </w:rPr>
        <w:tab/>
      </w:r>
      <w:r w:rsidRPr="00620047">
        <w:rPr>
          <w:rFonts w:cs="Arial"/>
        </w:rPr>
        <w:t>Het bevoegd gezag kan besluiten dat het overleggen van een rapport van een akoestisch onderzoek als bedoeld in het eerste tot en met derde lid niet is vereist, indien aannemelijk is dat aan de waarden, bedoeld in de artikelen 2.17, 2.17a, 2.19, 2.19a, 2.20, 3.14a, 3.160, dan wel de van toepassing zijnde geluidswaarden van de omgevingsvergunning kan worden voldaan</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Indien er een melding is gedaan als bedoeld in artikel 1.10, eerste of tweede lid, en aannemelijk is dat, in andere gevallen dan die genoemd in het eerste tot en met derde lid, het langtijdgemiddeld beoordelingsniveau (L</w:t>
      </w:r>
      <w:r w:rsidRPr="00620047">
        <w:rPr>
          <w:rFonts w:cs="Arial"/>
          <w:vertAlign w:val="subscript"/>
        </w:rPr>
        <w:t>Ar,LT</w:t>
      </w:r>
      <w:r w:rsidRPr="00620047">
        <w:rPr>
          <w:rFonts w:cs="Arial"/>
        </w:rPr>
        <w:t>) of het maximaal geluidsniveau (L</w:t>
      </w:r>
      <w:r w:rsidRPr="00620047">
        <w:rPr>
          <w:rFonts w:cs="Arial"/>
          <w:vertAlign w:val="subscript"/>
        </w:rPr>
        <w:t>Amax</w:t>
      </w:r>
      <w:r w:rsidRPr="00620047">
        <w:rPr>
          <w:rFonts w:cs="Arial"/>
        </w:rPr>
        <w:t>) veroorzaakt door de in de inrichting aanwezige installaties en toestellen, alsmede door de in de inrichting verrichte werkzaamheden en activiteiten of veroorzaakt door de verandering daarvan, meer bedragen dan de waarden, bedoeld in de artikelen 2.17, 2.19, 2.20, 2.17a dan wel de van toepassing zijnde geluidswaarden van de omgevingsvergunning, kan het bevoegd gezag binnen vier weken na ontvangst van de melding besluiten dat binnen een door het bevoegd gezag gestelde termijn een rapport van een akoestisch onderzoek wordt overgelegd.</w:t>
      </w:r>
    </w:p>
    <w:p w:rsidR="00296032" w:rsidRPr="00620047" w:rsidRDefault="00296032">
      <w:pPr>
        <w:pStyle w:val="art1enivo"/>
        <w:rPr>
          <w:rFonts w:cs="Arial"/>
        </w:rPr>
      </w:pPr>
      <w:r w:rsidRPr="00620047">
        <w:rPr>
          <w:rFonts w:cs="Arial"/>
          <w:bCs/>
        </w:rPr>
        <w:t>6.</w:t>
      </w:r>
      <w:r w:rsidRPr="00620047">
        <w:rPr>
          <w:rFonts w:cs="Arial"/>
          <w:bCs/>
        </w:rPr>
        <w:tab/>
      </w:r>
      <w:r w:rsidRPr="00620047">
        <w:rPr>
          <w:rFonts w:cs="Arial"/>
        </w:rPr>
        <w:t>Het bevoegd gezag kan binnen vier weken na ontvangst van de melding, bedoeld in artikel 1.10, besluiten dat een rapport van een akoestisch onderzoek wordt overgelegd indien de inrichting is gelegen op een gezoneerd industrieterrein en een rapport van een akoestisch onderzoek noodzakelijk is voor zonebeheer.</w:t>
      </w:r>
    </w:p>
    <w:p w:rsidR="00296032" w:rsidRPr="00620047" w:rsidRDefault="00296032">
      <w:pPr>
        <w:pStyle w:val="art1enivo"/>
        <w:rPr>
          <w:rFonts w:cs="Arial"/>
        </w:rPr>
      </w:pPr>
      <w:r w:rsidRPr="00620047">
        <w:rPr>
          <w:rFonts w:cs="Arial"/>
          <w:bCs/>
        </w:rPr>
        <w:t>7.</w:t>
      </w:r>
      <w:r w:rsidRPr="00620047">
        <w:rPr>
          <w:rFonts w:cs="Arial"/>
          <w:bCs/>
        </w:rPr>
        <w:tab/>
      </w:r>
      <w:r w:rsidRPr="00620047">
        <w:rPr>
          <w:rFonts w:cs="Arial"/>
        </w:rPr>
        <w:t xml:space="preserve">Uit het rapport van een akoestisch onderzoek blijkt op grond van verrichte geluidsmetingen of geluidsberekeningen of aan de waarden, bedoeld in de artikelen 2.17, 2.19, 2.20, </w:t>
      </w:r>
      <w:r w:rsidRPr="00620047">
        <w:rPr>
          <w:rFonts w:cs="Arial"/>
          <w:szCs w:val="20"/>
        </w:rPr>
        <w:t>3.14a</w:t>
      </w:r>
      <w:r w:rsidRPr="00620047">
        <w:rPr>
          <w:rFonts w:cs="Arial"/>
        </w:rPr>
        <w:t xml:space="preserve"> dan wel de van toepassing zijnde geluidswaarden van de omgevingsvergunning kan worden voldaan. In het rapport wordt aangegeven welke voorzieningen worden getroffen om te voorkomen dat de in de eerste volzin bedoelde waarden worden overschreden.</w:t>
      </w:r>
    </w:p>
    <w:p w:rsidR="00296032" w:rsidRPr="00620047" w:rsidRDefault="00296032">
      <w:pPr>
        <w:pStyle w:val="art1enivo"/>
      </w:pPr>
      <w:r w:rsidRPr="00620047">
        <w:rPr>
          <w:rFonts w:cs="Arial"/>
          <w:bCs/>
        </w:rPr>
        <w:t>8.</w:t>
      </w:r>
      <w:r w:rsidRPr="00620047">
        <w:rPr>
          <w:rFonts w:cs="Arial"/>
          <w:bCs/>
        </w:rPr>
        <w:tab/>
        <w:t xml:space="preserve">Indien het een inrichting betreft als bedoeld in categorie 11.3, onderdeel c, onder 2° en 3°, van onderdeel C, van bijlage I, bij het Besluit omgevingsrecht geeft het rapport tevens een beschrijving van het langtijdgemiddelde beoordelingsniveau (LAr,LT) veroorzaakt door de inrichting op de zonegrens en op gevoelige objecten binnen de zone op basis waarvan het bevoegd gezag kan beoordelen of aan de geluidsvoorwaarden voor de zone kan worden voldaan. </w:t>
      </w:r>
    </w:p>
    <w:p w:rsidR="00296032" w:rsidRPr="00620047" w:rsidRDefault="00296032">
      <w:pPr>
        <w:pStyle w:val="art1enivo"/>
        <w:rPr>
          <w:rFonts w:cs="Arial"/>
        </w:rPr>
      </w:pPr>
      <w:r w:rsidRPr="00620047">
        <w:rPr>
          <w:rFonts w:cs="Arial"/>
          <w:bCs/>
        </w:rPr>
        <w:t>9.</w:t>
      </w:r>
      <w:r w:rsidRPr="00620047">
        <w:rPr>
          <w:rFonts w:cs="Arial"/>
          <w:bCs/>
        </w:rPr>
        <w:tab/>
      </w:r>
      <w:r w:rsidRPr="00620047">
        <w:rPr>
          <w:rFonts w:cs="Arial"/>
        </w:rPr>
        <w:t>Het akoestisch onderzoek wordt uitgevoerd overeenkomstig de Handleiding meten en rekenen industrielawaai.</w:t>
      </w:r>
    </w:p>
    <w:p w:rsidR="00296032" w:rsidRPr="00620047" w:rsidRDefault="00296032">
      <w:pPr>
        <w:pStyle w:val="art1enivo"/>
        <w:rPr>
          <w:rFonts w:cs="Arial"/>
        </w:rPr>
      </w:pPr>
      <w:r w:rsidRPr="00620047">
        <w:rPr>
          <w:rFonts w:cs="Arial"/>
        </w:rPr>
        <w:t>10.</w:t>
      </w:r>
      <w:r w:rsidRPr="00620047">
        <w:rPr>
          <w:rFonts w:cs="Arial"/>
        </w:rPr>
        <w:tab/>
        <w:t>In afwijking van het negende lid wordt het akoestisch onderzoek voor windturbines, een buitenschietbaan of een binnenschietbaan uitgevoerd overeenkomstig de bij ministeriële regeling te stellen eisen.</w:t>
      </w:r>
    </w:p>
    <w:p w:rsidR="00296032" w:rsidRPr="00620047" w:rsidRDefault="00296032">
      <w:pPr>
        <w:pStyle w:val="art1enivo"/>
        <w:rPr>
          <w:rFonts w:cs="Arial"/>
        </w:rPr>
      </w:pPr>
      <w:r w:rsidRPr="00620047">
        <w:rPr>
          <w:rFonts w:cs="Arial"/>
        </w:rPr>
        <w:t>11.</w:t>
      </w:r>
      <w:r w:rsidRPr="00620047">
        <w:rPr>
          <w:rFonts w:cs="Arial"/>
        </w:rPr>
        <w:tab/>
        <w:t>Indien aannemelijk is dat de geluidniveaus vanwege werkzaamheden en activiteiten bij een inrichting als bedoeld in artikel 2.17, vijfde lid, een significante bijdrage leveren aan de totale geluidsbelasting van de inrichting, kan het bevoegd gezag binnen vier weken na ontvangst van de melding besluiten dat een rapport van een akoestisch onderzoek wordt overgelegd. Het onderzoek richt zich met gebruikmaking van geluidmetingen of geluidberekeningen op de bestaande en te verwachten geluidniveaus vanwege de werkzaamheden en activiteiten. In het rapport wordt aangegeven welke technische voorzieningen worden getroffen en welke gedragsregels in acht worden genomen om deze geluidsniveaus te beperken.</w:t>
      </w:r>
    </w:p>
    <w:p w:rsidR="00296032" w:rsidRPr="00296032" w:rsidRDefault="00296032">
      <w:pPr>
        <w:pStyle w:val="artikelkop"/>
        <w:rPr>
          <w:rFonts w:cs="Arial"/>
        </w:rPr>
      </w:pPr>
      <w:r w:rsidRPr="00296032">
        <w:rPr>
          <w:rFonts w:cs="Arial"/>
        </w:rPr>
        <w:t>Artikel 1.12</w:t>
      </w:r>
    </w:p>
    <w:p w:rsidR="00296032" w:rsidRPr="00620047" w:rsidRDefault="00296032">
      <w:pPr>
        <w:rPr>
          <w:rFonts w:cs="Arial"/>
        </w:rPr>
      </w:pPr>
      <w:r w:rsidRPr="00620047">
        <w:rPr>
          <w:rFonts w:cs="Arial"/>
        </w:rPr>
        <w:t>Indien op grond van artikel 7 van het Besluit uniforme saneringen met een sanering kan worden begonnen nadat vijf werkdagen zijn verstreken vanaf de datum van ontvangst van de melding, bedoeld in artikel 6 van dat besluit, meldt degene die voornemens is te lozen vanuit die bodemsanering als bedoeld in artikel 3.1, tweede, derde en vierde lid, in afwijking van de termijn bedoeld in artikel 1.10, eerste lid, dit ten minste vijf werkdagen voordat met het lozen wordt aangevangen.</w:t>
      </w:r>
    </w:p>
    <w:p w:rsidR="00296032" w:rsidRPr="00296032" w:rsidRDefault="00296032">
      <w:pPr>
        <w:pStyle w:val="artikelkop"/>
        <w:rPr>
          <w:rFonts w:cs="Arial"/>
        </w:rPr>
      </w:pPr>
      <w:r w:rsidRPr="00296032">
        <w:rPr>
          <w:rFonts w:cs="Arial"/>
        </w:rPr>
        <w:t>Artikel 1.13</w:t>
      </w:r>
    </w:p>
    <w:p w:rsidR="00296032" w:rsidRPr="00620047" w:rsidRDefault="00296032">
      <w:pPr>
        <w:pStyle w:val="artplat"/>
        <w:rPr>
          <w:rFonts w:cs="Arial"/>
        </w:rPr>
      </w:pPr>
      <w:r w:rsidRPr="00620047">
        <w:rPr>
          <w:rFonts w:cs="Arial"/>
        </w:rPr>
        <w:t>Indien het lozen van grondwater bij ontwatering als bedoeld in artikel 3.2, derde, vijfde en zevende lid, langer dan 48 uur doch ten hoogste 8 weken duurt, meldt degene die voornemens is te lozen in afwijking van de termijn bedoeld in artikel 1.10, eerste lid, dit ten minste vijf werkdagen voordat met het lozen wordt aangevangen.</w:t>
      </w:r>
    </w:p>
    <w:p w:rsidR="00296032" w:rsidRPr="00296032" w:rsidRDefault="00296032">
      <w:pPr>
        <w:pStyle w:val="artikelkop"/>
        <w:rPr>
          <w:rFonts w:cs="Arial"/>
          <w:bCs/>
        </w:rPr>
      </w:pPr>
      <w:r w:rsidRPr="00296032">
        <w:rPr>
          <w:rFonts w:cs="Arial"/>
          <w:bCs/>
        </w:rPr>
        <w:t>Artikel 1.13a</w:t>
      </w:r>
    </w:p>
    <w:p w:rsidR="00296032" w:rsidRPr="00620047" w:rsidRDefault="00296032">
      <w:pPr>
        <w:pStyle w:val="artplat"/>
        <w:rPr>
          <w:rFonts w:cs="Arial"/>
        </w:rPr>
      </w:pPr>
      <w:r w:rsidRPr="00620047">
        <w:rPr>
          <w:rFonts w:cs="Arial"/>
        </w:rPr>
        <w:t>Bij een melding, als bedoeld in artikel 1.10, wordt, indien de melding betreft het lozen ten gevolge van sloop-, of renovatiewerkzaamheden aan of nieuwbouw van vaste objecten als bedoeld in artikel 3.6b, tevens een in dat artikel genoemd werkplan gevoegd.</w:t>
      </w:r>
    </w:p>
    <w:p w:rsidR="00296032" w:rsidRPr="00296032" w:rsidRDefault="00296032">
      <w:pPr>
        <w:pStyle w:val="artikelkop"/>
        <w:rPr>
          <w:rFonts w:cs="Arial"/>
        </w:rPr>
      </w:pPr>
      <w:r w:rsidRPr="00296032">
        <w:rPr>
          <w:rFonts w:cs="Arial"/>
        </w:rPr>
        <w:t>Artikel 1.14</w:t>
      </w:r>
    </w:p>
    <w:p w:rsidR="00296032" w:rsidRPr="00620047" w:rsidRDefault="00296032">
      <w:pPr>
        <w:rPr>
          <w:rFonts w:cs="Arial"/>
        </w:rPr>
      </w:pPr>
      <w:r w:rsidRPr="00620047">
        <w:rPr>
          <w:rFonts w:cs="Arial"/>
        </w:rPr>
        <w:t>Bij een melding als bedoeld in artikel 1.10 of artikel 1.10a worden indien sprake is van een lozing van huishoudelijk afvalwater in een oppervlaktewaterlichaam of op of in de bodem als bedoeld in artikel 3.4 de volgende gegevens gemeld:</w:t>
      </w:r>
    </w:p>
    <w:p w:rsidR="00296032" w:rsidRPr="00620047" w:rsidRDefault="00296032">
      <w:pPr>
        <w:pStyle w:val="artplatletter"/>
        <w:rPr>
          <w:rFonts w:cs="Arial"/>
        </w:rPr>
      </w:pPr>
      <w:r w:rsidRPr="00620047">
        <w:rPr>
          <w:rFonts w:cs="Arial"/>
        </w:rPr>
        <w:t>a.</w:t>
      </w:r>
      <w:r w:rsidRPr="00620047">
        <w:rPr>
          <w:rFonts w:cs="Arial"/>
        </w:rPr>
        <w:tab/>
        <w:t>het aantal inwonerequivalenten dat wordt geloosd; en</w:t>
      </w:r>
    </w:p>
    <w:p w:rsidR="00296032" w:rsidRPr="00620047" w:rsidRDefault="00296032">
      <w:pPr>
        <w:pStyle w:val="artplatletter"/>
        <w:rPr>
          <w:rFonts w:cs="Arial"/>
        </w:rPr>
      </w:pPr>
      <w:r w:rsidRPr="00620047">
        <w:rPr>
          <w:rFonts w:cs="Arial"/>
        </w:rPr>
        <w:t>b.</w:t>
      </w:r>
      <w:r w:rsidRPr="00620047">
        <w:rPr>
          <w:rFonts w:cs="Arial"/>
        </w:rPr>
        <w:tab/>
        <w:t>de wijze van behandeling van het afvalwater.</w:t>
      </w:r>
    </w:p>
    <w:p w:rsidR="00296032" w:rsidRPr="00296032" w:rsidRDefault="00296032">
      <w:pPr>
        <w:pStyle w:val="artikelkop"/>
        <w:rPr>
          <w:rFonts w:cs="Arial"/>
        </w:rPr>
      </w:pPr>
      <w:r w:rsidRPr="00296032">
        <w:rPr>
          <w:rFonts w:cs="Arial"/>
        </w:rPr>
        <w:t>Artikel 1.14a</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een melding als bedoeld in artikel 1.10 worden:</w:t>
      </w:r>
    </w:p>
    <w:p w:rsidR="00296032" w:rsidRPr="00620047" w:rsidRDefault="00296032">
      <w:pPr>
        <w:pStyle w:val="art2enivo"/>
        <w:rPr>
          <w:rFonts w:cs="Arial"/>
        </w:rPr>
      </w:pPr>
      <w:r w:rsidRPr="00620047">
        <w:rPr>
          <w:rFonts w:cs="Arial"/>
        </w:rPr>
        <w:t>a.</w:t>
      </w:r>
      <w:r w:rsidRPr="00620047">
        <w:rPr>
          <w:rFonts w:cs="Arial"/>
        </w:rPr>
        <w:tab/>
        <w:t>indien sprake is van het gericht werken met een biologisch agens die is of wordt ingedeeld in groep 2 in een laboratorium of praktijkruimte als bedoeld in artikel 4.122, de ligging van de ruimten gemeld waar gewerkt wordt met een biologisch agens die is of wordt ingedeeld in groep 2,</w:t>
      </w:r>
    </w:p>
    <w:p w:rsidR="00296032" w:rsidRPr="00620047" w:rsidRDefault="00296032">
      <w:pPr>
        <w:pStyle w:val="art2enivo"/>
        <w:rPr>
          <w:rFonts w:cs="Arial"/>
        </w:rPr>
      </w:pPr>
      <w:r w:rsidRPr="00620047">
        <w:rPr>
          <w:rFonts w:cs="Arial"/>
        </w:rPr>
        <w:t>b.</w:t>
      </w:r>
      <w:r w:rsidRPr="00620047">
        <w:rPr>
          <w:rFonts w:cs="Arial"/>
        </w:rPr>
        <w:tab/>
        <w:t>indien sprake is van het gericht werken met een biologisch agens, anders dan dat bedoeld onder a, en dat behoort tot een soort die bij ministeriële regeling is aangewezen, gemeld tot welke soort het biologisch agens behoort.</w:t>
      </w:r>
    </w:p>
    <w:p w:rsidR="00296032" w:rsidRDefault="00296032">
      <w:pPr>
        <w:pStyle w:val="art1enivo"/>
        <w:rPr>
          <w:rFonts w:cs="Arial"/>
        </w:rPr>
      </w:pPr>
      <w:r w:rsidRPr="00620047">
        <w:rPr>
          <w:rFonts w:cs="Arial"/>
          <w:bCs/>
        </w:rPr>
        <w:t>2.</w:t>
      </w:r>
      <w:r w:rsidRPr="00620047">
        <w:rPr>
          <w:rFonts w:cs="Arial"/>
          <w:bCs/>
        </w:rPr>
        <w:tab/>
      </w:r>
      <w:r w:rsidRPr="00620047">
        <w:rPr>
          <w:rFonts w:cs="Arial"/>
        </w:rPr>
        <w:t>Voor de groepsindeling, bedoeld in het eerste lid, onder a, wordt aangesloten bij de indeling in risico-groepen van richtlijn nr. 2000/54/EG van het Europees Parlement en de Raad van 18 september 2000 betreffende de bescherming van de werknemers tegen de risico's van blootstelling aan biologische agentia op het werk.</w:t>
      </w:r>
    </w:p>
    <w:p w:rsidR="00802CA9" w:rsidRDefault="00802CA9" w:rsidP="00802CA9"/>
    <w:p w:rsidR="00802CA9" w:rsidRPr="00F41CD6" w:rsidRDefault="00802CA9" w:rsidP="00802CA9">
      <w:pPr>
        <w:pStyle w:val="afdeling"/>
        <w:shd w:val="clear" w:color="auto" w:fill="D9D9D9" w:themeFill="background1" w:themeFillShade="D9"/>
      </w:pPr>
      <w:bookmarkStart w:id="13" w:name="_Toc431375538"/>
      <w:r w:rsidRPr="00F41CD6">
        <w:t>Afdeling 1.2. Melding</w:t>
      </w:r>
      <w:bookmarkEnd w:id="13"/>
    </w:p>
    <w:p w:rsidR="00802CA9" w:rsidRDefault="00802CA9" w:rsidP="00802CA9">
      <w:pPr>
        <w:pStyle w:val="artikelkop"/>
        <w:shd w:val="clear" w:color="auto" w:fill="D9D9D9" w:themeFill="background1" w:themeFillShade="D9"/>
      </w:pPr>
      <w:r>
        <w:t>Artikel 1.4</w:t>
      </w:r>
    </w:p>
    <w:p w:rsidR="00802CA9" w:rsidRDefault="00802CA9" w:rsidP="00802CA9">
      <w:pPr>
        <w:pStyle w:val="artplat"/>
        <w:shd w:val="clear" w:color="auto" w:fill="D9D9D9" w:themeFill="background1" w:themeFillShade="D9"/>
        <w:suppressAutoHyphens/>
        <w:rPr>
          <w:rFonts w:cs="Arial"/>
        </w:rPr>
      </w:pPr>
      <w:r>
        <w:rPr>
          <w:rFonts w:cs="Arial"/>
        </w:rPr>
        <w:t>Als soorten biologische agentia als bedoeld in artikel 1.14a, eerste lid, onder b, van het besluit, worden aangewezen de soorten die in bijlage 3 zijn opgenomen.</w:t>
      </w:r>
    </w:p>
    <w:p w:rsidR="00802CA9" w:rsidRPr="00802CA9" w:rsidRDefault="00802CA9" w:rsidP="00802CA9"/>
    <w:p w:rsidR="00296032" w:rsidRPr="00296032" w:rsidRDefault="00296032">
      <w:pPr>
        <w:pStyle w:val="artikelkop"/>
        <w:rPr>
          <w:rFonts w:cs="Arial"/>
        </w:rPr>
      </w:pPr>
      <w:r w:rsidRPr="00296032">
        <w:rPr>
          <w:rFonts w:cs="Arial"/>
        </w:rPr>
        <w:t>Artikel 1.15</w:t>
      </w:r>
    </w:p>
    <w:p w:rsidR="00296032" w:rsidRPr="00620047" w:rsidRDefault="00296032">
      <w:pPr>
        <w:rPr>
          <w:rFonts w:cs="Arial"/>
        </w:rPr>
      </w:pPr>
      <w:r w:rsidRPr="00620047">
        <w:rPr>
          <w:rFonts w:cs="Arial"/>
        </w:rPr>
        <w:t>Degene die een inrichting drijft verstrekt desgevraagd aan het bevoegd gezag binnen de door dat bestuursorgaan gestelde redelijke termijn, voor zover hij daarover beschikt of redelijkerwijs kan beschikken, alle gegevens over stoffen en preparaten en producten waarin stoffen of preparaten zijn verwerkt, die het bevoegd gezag redelijkerwijs nodig heeft voor het stellen van maatwerkvoorschriften.</w:t>
      </w:r>
    </w:p>
    <w:p w:rsidR="00296032" w:rsidRPr="00296032" w:rsidRDefault="00296032">
      <w:pPr>
        <w:pStyle w:val="artikelkop"/>
        <w:rPr>
          <w:rFonts w:cs="Arial"/>
        </w:rPr>
      </w:pPr>
      <w:r w:rsidRPr="00296032">
        <w:rPr>
          <w:rFonts w:cs="Arial"/>
        </w:rPr>
        <w:t>Artikel 1.16</w:t>
      </w:r>
    </w:p>
    <w:p w:rsidR="00296032" w:rsidRPr="00620047" w:rsidRDefault="00296032">
      <w:pPr>
        <w:pStyle w:val="art1enivo"/>
        <w:rPr>
          <w:rFonts w:cs="Arial"/>
        </w:rPr>
      </w:pPr>
      <w:r w:rsidRPr="00620047">
        <w:rPr>
          <w:rFonts w:cs="Arial"/>
        </w:rPr>
        <w:t>1.</w:t>
      </w:r>
      <w:r w:rsidRPr="00620047">
        <w:rPr>
          <w:rFonts w:cs="Arial"/>
        </w:rPr>
        <w:tab/>
        <w:t>Bij een melding als bedoeld in artikel 1.10 worden, indien sprake is van het opslaan, overslaan of verwerken van afvalstoffen die van buiten de inrichting afkomstig zijn, de volgende gegevens gemeld:</w:t>
      </w:r>
    </w:p>
    <w:p w:rsidR="00296032" w:rsidRPr="00620047" w:rsidRDefault="00296032">
      <w:pPr>
        <w:pStyle w:val="art2enivo"/>
        <w:rPr>
          <w:rFonts w:cs="Arial"/>
        </w:rPr>
      </w:pPr>
      <w:r w:rsidRPr="00620047">
        <w:rPr>
          <w:rFonts w:cs="Arial"/>
        </w:rPr>
        <w:t>a.</w:t>
      </w:r>
      <w:r w:rsidRPr="00620047">
        <w:rPr>
          <w:rFonts w:cs="Arial"/>
        </w:rPr>
        <w:tab/>
        <w:t>de afvalstoffen en de activiteiten met afvalstoffen, bedoeld in onderdeel 28.10, onder 1° tot en met 34° van onderdeel C, bijlage 1, bij het Besluit omgevingsrecht, en</w:t>
      </w:r>
    </w:p>
    <w:p w:rsidR="00296032" w:rsidRPr="00620047" w:rsidRDefault="00296032">
      <w:pPr>
        <w:pStyle w:val="art2enivo"/>
        <w:rPr>
          <w:rFonts w:cs="Arial"/>
        </w:rPr>
      </w:pPr>
      <w:r w:rsidRPr="00620047">
        <w:rPr>
          <w:rFonts w:cs="Arial"/>
        </w:rPr>
        <w:t>b.</w:t>
      </w:r>
      <w:r w:rsidRPr="00620047">
        <w:rPr>
          <w:rFonts w:cs="Arial"/>
        </w:rPr>
        <w:tab/>
        <w:t>per handeling per afvalstof de maximale opslagcapaciteit en de verwerkingscapaciteit per jaar.</w:t>
      </w:r>
    </w:p>
    <w:p w:rsidR="00296032" w:rsidRPr="00620047" w:rsidRDefault="00296032">
      <w:pPr>
        <w:pStyle w:val="art1enivo"/>
        <w:rPr>
          <w:rFonts w:cs="Arial"/>
        </w:rPr>
      </w:pPr>
      <w:r w:rsidRPr="00620047">
        <w:rPr>
          <w:rFonts w:cs="Arial"/>
        </w:rPr>
        <w:t>2.</w:t>
      </w:r>
      <w:r w:rsidRPr="00620047">
        <w:rPr>
          <w:rFonts w:cs="Arial"/>
        </w:rPr>
        <w:tab/>
        <w:t>Indien de afvalstoffen, bedoeld in het eerste lid, worden ingezameld bij of worden afgegeven door een andere persoon dan degene die de inrichting drijft, wordt bij de melding een beschrijving gevoegd van de procedures van acceptatie en controle van de ontvangen afvalstoffen als bedoeld in artikel 2.14b.</w:t>
      </w:r>
    </w:p>
    <w:p w:rsidR="00296032" w:rsidRPr="00296032" w:rsidRDefault="00296032">
      <w:pPr>
        <w:pStyle w:val="artikelkop"/>
      </w:pPr>
      <w:r w:rsidRPr="00296032">
        <w:t>Artikel 1.16a</w:t>
      </w:r>
    </w:p>
    <w:p w:rsidR="00296032" w:rsidRPr="00620047" w:rsidRDefault="00296032">
      <w:pPr>
        <w:pStyle w:val="artplat"/>
      </w:pPr>
      <w:r w:rsidRPr="00620047">
        <w:t>Bij een melding als bedoeld in artikel 1.10 wordt een rapport met de onderbouwing van de gevolgen voor de luchtkwaliteit gevoegd, indien sprake is van een inrichting als bedoeld in categorie 11.1, onderdeel b, van onderdeel C, van bijlage 1, bij het Besluit omgevingsrecht, voor zover het een inrichting betreft voor het vervaardigen van betonmortel of betonwaren.</w:t>
      </w:r>
    </w:p>
    <w:p w:rsidR="00296032" w:rsidRPr="00296032" w:rsidRDefault="00296032">
      <w:pPr>
        <w:pStyle w:val="artikelkop"/>
      </w:pPr>
      <w:r w:rsidRPr="00296032">
        <w:t>Artikel 1.17</w:t>
      </w:r>
    </w:p>
    <w:p w:rsidR="00296032" w:rsidRPr="00620047" w:rsidRDefault="00296032">
      <w:pPr>
        <w:pStyle w:val="art1enivo"/>
      </w:pPr>
      <w:r w:rsidRPr="00620047">
        <w:t>1.</w:t>
      </w:r>
      <w:r w:rsidRPr="00620047">
        <w:tab/>
        <w:t>Bij een melding als bedoeld in artikel 1.10, wordt indien sprake is van een zuiveringtechnisch werk, een beschrijving gevoegd hoe invulling wordt gegeven aan het bepaalde bij of krachtens artikel 3.5b en artikel 3.5d.</w:t>
      </w:r>
    </w:p>
    <w:p w:rsidR="00296032" w:rsidRPr="00620047" w:rsidRDefault="00296032">
      <w:pPr>
        <w:pStyle w:val="art1enivo"/>
      </w:pPr>
      <w:r w:rsidRPr="00620047">
        <w:t>2.</w:t>
      </w:r>
      <w:r w:rsidRPr="00620047">
        <w:tab/>
        <w:t>Bij een melding als bedoeld in artikel 1.10, wordt indien sprake is van een inrichting voor het vervaardigen of bewerken van voedingsmiddelen of dranken als bedoeld in artikel 3.137, een beschrijving gevoegd hoe invulling wordt gegeven aan artikel 3.140.</w:t>
      </w:r>
    </w:p>
    <w:p w:rsidR="00296032" w:rsidRPr="00620047" w:rsidRDefault="00296032">
      <w:pPr>
        <w:pStyle w:val="art1enivo"/>
      </w:pPr>
      <w:r w:rsidRPr="00620047">
        <w:t>3.</w:t>
      </w:r>
      <w:r w:rsidRPr="00620047">
        <w:tab/>
        <w:t>Bij een melding als bedoeld in artikel 1.10, wordt indien sprake is van een inrichting voor de verwerking van polyesterhars, een beschrijving gevoegd hoe invulling wordt gegeven aan het bepaalde bij of krachtens artikel 4.31c.</w:t>
      </w:r>
    </w:p>
    <w:p w:rsidR="00296032" w:rsidRPr="00620047" w:rsidRDefault="00296032">
      <w:pPr>
        <w:pStyle w:val="art1enivo"/>
      </w:pPr>
      <w:r w:rsidRPr="00620047">
        <w:t>4.</w:t>
      </w:r>
      <w:r w:rsidRPr="00620047">
        <w:tab/>
        <w:t>Het bevoegd gezag kan binnen vier weken na ontvangst van de melding, bedoeld in het eerste en tweede lid, indien onvoldoende aannemelijk is dat aan artikel 3.5b en artikel 3.5d, respectievelijk artikel 3.140 wordt voldaan, besluiten dat een rapport van een geuronderzoek wordt overgelegd.</w:t>
      </w:r>
    </w:p>
    <w:p w:rsidR="00296032" w:rsidRPr="00620047" w:rsidRDefault="00296032">
      <w:pPr>
        <w:pStyle w:val="art1enivo"/>
      </w:pPr>
      <w:r w:rsidRPr="00620047">
        <w:t>5.</w:t>
      </w:r>
      <w:r w:rsidRPr="00620047">
        <w:tab/>
        <w:t>Een geuronderzoek als bedoeld in het vierde lid wordt uitgevoerd overeenkomstig NTA 9065.</w:t>
      </w:r>
    </w:p>
    <w:p w:rsidR="00296032" w:rsidRPr="00296032" w:rsidRDefault="00296032">
      <w:pPr>
        <w:pStyle w:val="artikelkop"/>
      </w:pPr>
      <w:r w:rsidRPr="00296032">
        <w:t>Artikel 1.17a</w:t>
      </w:r>
    </w:p>
    <w:p w:rsidR="00296032" w:rsidRPr="00620047" w:rsidRDefault="00296032">
      <w:pPr>
        <w:pStyle w:val="artplat"/>
      </w:pPr>
      <w:r w:rsidRPr="00620047">
        <w:t>Bij een melding als bedoeld in artikel 1.10 worden, indien sprake is van de oprichting van een zuiveringtechnisch werk of de wijziging van een bestaand zuiveringtechnisch werk die de lozing van dat werk op een oppervlaktewaterlichaam beïnvloedt, tevens de volgende gegevens gemeld:</w:t>
      </w:r>
    </w:p>
    <w:p w:rsidR="00296032" w:rsidRPr="00620047" w:rsidRDefault="00296032">
      <w:pPr>
        <w:pStyle w:val="artplatletter"/>
      </w:pPr>
      <w:r w:rsidRPr="00620047">
        <w:t>a.</w:t>
      </w:r>
      <w:r w:rsidRPr="00620047">
        <w:tab/>
        <w:t>de ontwerpcapaciteit, uitgedrukt in inwonerequivalenten, en de toename van de ontwerpcapaciteit tussen 1 september 1992 en het tijdstip van de melding,</w:t>
      </w:r>
    </w:p>
    <w:p w:rsidR="00296032" w:rsidRPr="00620047" w:rsidRDefault="00296032">
      <w:pPr>
        <w:pStyle w:val="artplatletter"/>
      </w:pPr>
      <w:r w:rsidRPr="00620047">
        <w:t>b.</w:t>
      </w:r>
      <w:r w:rsidRPr="00620047">
        <w:tab/>
        <w:t xml:space="preserve"> het gemiddelde lozingsdebiet in kubieke meter per dag,</w:t>
      </w:r>
    </w:p>
    <w:p w:rsidR="00296032" w:rsidRPr="00620047" w:rsidRDefault="00296032">
      <w:pPr>
        <w:pStyle w:val="artplatletter"/>
      </w:pPr>
      <w:r w:rsidRPr="00620047">
        <w:t>c.</w:t>
      </w:r>
      <w:r w:rsidRPr="00620047">
        <w:tab/>
        <w:t>de maximale hydraulische aanvoer in kubieke meter per uur,</w:t>
      </w:r>
    </w:p>
    <w:p w:rsidR="00296032" w:rsidRPr="00620047" w:rsidRDefault="00296032">
      <w:pPr>
        <w:pStyle w:val="artplatletter"/>
      </w:pPr>
      <w:r w:rsidRPr="00620047">
        <w:t>d.</w:t>
      </w:r>
      <w:r w:rsidRPr="00620047">
        <w:tab/>
        <w:t>de te verwachten concentraties biochemisch zuurstofverbruik, chemisch zuurstofverbruik, onopgeloste stoffen, totaal fosfor en totaal stikstof in het te lozen afvalwater in milligram per liter,</w:t>
      </w:r>
    </w:p>
    <w:p w:rsidR="00296032" w:rsidRPr="00620047" w:rsidRDefault="00296032">
      <w:pPr>
        <w:pStyle w:val="artplatletter"/>
      </w:pPr>
      <w:r w:rsidRPr="00620047">
        <w:t>e.</w:t>
      </w:r>
      <w:r w:rsidRPr="00620047">
        <w:tab/>
        <w:t>de resultaten van een immissietoets van de concentraties totaal fosfor en totaal stikstof, uitgevoerd overeenkomstig een daartoe krachtens artikel 5.4, tweede lid, van het Besluit omgevingsrecht aangewezen BBT-informatiedocument</w:t>
      </w:r>
      <w:r w:rsidR="00244F18">
        <w:t xml:space="preserve"> </w:t>
      </w:r>
      <w:r w:rsidRPr="00620047">
        <w:t>(Handboek immissietoets: toetsing van lozingen op effecten voor het oppervlaktewater), en</w:t>
      </w:r>
    </w:p>
    <w:p w:rsidR="00296032" w:rsidRPr="00620047" w:rsidRDefault="00296032">
      <w:pPr>
        <w:pStyle w:val="artplatletter"/>
      </w:pPr>
      <w:r w:rsidRPr="00620047">
        <w:t>f.</w:t>
      </w:r>
      <w:r w:rsidRPr="00620047">
        <w:tab/>
        <w:t xml:space="preserve">de te verwerken afvalstoffen die per as van buiten de inrichting worden aangevoerd, de daarbij toe te passen best beschikbare verwerkingstechnieken en het acceptatie- en verwerkingsbeleid. </w:t>
      </w:r>
    </w:p>
    <w:p w:rsidR="00296032" w:rsidRPr="00296032" w:rsidRDefault="00296032">
      <w:pPr>
        <w:pStyle w:val="artikelkop"/>
        <w:rPr>
          <w:rFonts w:cs="Arial"/>
        </w:rPr>
      </w:pPr>
      <w:r w:rsidRPr="00296032">
        <w:rPr>
          <w:rFonts w:cs="Arial"/>
        </w:rPr>
        <w:t>Artikel 1.18</w:t>
      </w:r>
    </w:p>
    <w:p w:rsidR="00296032" w:rsidRPr="00620047" w:rsidRDefault="00296032">
      <w:pPr>
        <w:pStyle w:val="art1enivo"/>
        <w:rPr>
          <w:rFonts w:cs="Arial"/>
        </w:rPr>
      </w:pPr>
      <w:r w:rsidRPr="00620047">
        <w:rPr>
          <w:rFonts w:cs="Arial"/>
        </w:rPr>
        <w:t>1.</w:t>
      </w:r>
      <w:r w:rsidRPr="00620047">
        <w:rPr>
          <w:rFonts w:cs="Arial"/>
        </w:rPr>
        <w:tab/>
        <w:t>Bij een melding als bedoeld in artikel 1.10 worden, indien in de inrichting landbouwhuisdieren worden gehouden in dierenverblijven, tevens de volgende gegevens verstrekt:</w:t>
      </w:r>
    </w:p>
    <w:p w:rsidR="00296032" w:rsidRPr="00620047" w:rsidRDefault="00296032">
      <w:pPr>
        <w:pStyle w:val="art2enivo"/>
        <w:rPr>
          <w:rFonts w:cs="Arial"/>
        </w:rPr>
      </w:pPr>
      <w:r w:rsidRPr="00620047">
        <w:rPr>
          <w:rFonts w:cs="Arial"/>
        </w:rPr>
        <w:t>a.</w:t>
      </w:r>
      <w:r w:rsidRPr="00620047">
        <w:rPr>
          <w:rFonts w:cs="Arial"/>
        </w:rPr>
        <w:tab/>
        <w:t>per dierenverblijf het aantal landbouwhuisdieren per diercategorie en per huisvestingssysteem, genoemd in de regeling op grond van artikel 1 van de Wet ammoniak en veehouderij;</w:t>
      </w:r>
    </w:p>
    <w:p w:rsidR="00296032" w:rsidRPr="00620047" w:rsidRDefault="00296032">
      <w:pPr>
        <w:pStyle w:val="art2enivo"/>
        <w:rPr>
          <w:rFonts w:cs="Arial"/>
        </w:rPr>
      </w:pPr>
      <w:r w:rsidRPr="00620047">
        <w:rPr>
          <w:rFonts w:cs="Arial"/>
        </w:rPr>
        <w:t>b.</w:t>
      </w:r>
      <w:r w:rsidRPr="00620047">
        <w:rPr>
          <w:rFonts w:cs="Arial"/>
        </w:rPr>
        <w:tab/>
        <w:t>per dierenverblijf een beschrijving van het ventilatiesysteem;</w:t>
      </w:r>
    </w:p>
    <w:p w:rsidR="00296032" w:rsidRPr="00620047" w:rsidRDefault="00296032">
      <w:pPr>
        <w:pStyle w:val="art2enivo"/>
        <w:rPr>
          <w:rFonts w:cs="Arial"/>
        </w:rPr>
      </w:pPr>
      <w:r w:rsidRPr="00620047">
        <w:rPr>
          <w:rFonts w:cs="Arial"/>
        </w:rPr>
        <w:t>c.</w:t>
      </w:r>
      <w:r w:rsidRPr="00620047">
        <w:rPr>
          <w:rFonts w:cs="Arial"/>
        </w:rPr>
        <w:tab/>
        <w:t xml:space="preserve"> per dierenverblijf waarin dieren met een geuremissiefactor worden gehouden:</w:t>
      </w:r>
    </w:p>
    <w:p w:rsidR="00296032" w:rsidRPr="00620047" w:rsidRDefault="00296032">
      <w:pPr>
        <w:pStyle w:val="art3enivo"/>
      </w:pPr>
      <w:r w:rsidRPr="00620047">
        <w:t>1°. de inputgegevens van het verspreidingsmodel V-stacks vergunning, genoemd in de regeling op grond van artikel 10 van de Wet geurhinder en veehouderij;</w:t>
      </w:r>
    </w:p>
    <w:p w:rsidR="00296032" w:rsidRPr="00620047" w:rsidRDefault="00296032">
      <w:pPr>
        <w:pStyle w:val="art3enivo"/>
      </w:pPr>
      <w:r w:rsidRPr="00620047">
        <w:t>2°. een plattegrondtekening overeenkomstig de beschrijving van de binnen het dierenverblijf toegepaste huisvestingssystemen, waarop de emissiepunten en de ventilatoren met hun diameter zijn aangegeven;</w:t>
      </w:r>
    </w:p>
    <w:p w:rsidR="00296032" w:rsidRPr="00620047" w:rsidRDefault="00296032">
      <w:pPr>
        <w:pStyle w:val="art3enivo"/>
      </w:pPr>
      <w:r w:rsidRPr="00620047">
        <w:t>3°. een doorsnedetekening overeenkomstig de beschrijving van de binnen het dierenverblijf toegepaste huisvestingssystemen, waarop de goothoogte, de nokhoogte, de emissiepunten en de ventilatoren zijn aangegeven.</w:t>
      </w:r>
    </w:p>
    <w:p w:rsidR="00296032" w:rsidRPr="00620047" w:rsidRDefault="00296032">
      <w:pPr>
        <w:pStyle w:val="art1enivo"/>
        <w:rPr>
          <w:rFonts w:cs="Arial"/>
        </w:rPr>
      </w:pPr>
      <w:r w:rsidRPr="00620047">
        <w:rPr>
          <w:rFonts w:cs="Arial"/>
        </w:rPr>
        <w:t>2.</w:t>
      </w:r>
      <w:r w:rsidRPr="00620047">
        <w:rPr>
          <w:rFonts w:cs="Arial"/>
        </w:rPr>
        <w:tab/>
        <w:t xml:space="preserve">Het eerste lid is niet van toepassing op inrichtingen waar minder dan 10 schapen, 5 paarden, 10 geiten, 25 stuks pluimvee, 25 konijnen </w:t>
      </w:r>
      <w:r w:rsidR="00261AD3">
        <w:rPr>
          <w:rFonts w:cs="Arial"/>
        </w:rPr>
        <w:t>en</w:t>
      </w:r>
      <w:r w:rsidRPr="00620047">
        <w:rPr>
          <w:rFonts w:cs="Arial"/>
        </w:rPr>
        <w:t xml:space="preserve"> 10 overige landbouwhuisdieren worden gehouden..</w:t>
      </w:r>
    </w:p>
    <w:p w:rsidR="00296032" w:rsidRPr="00296032" w:rsidRDefault="00296032">
      <w:pPr>
        <w:pStyle w:val="artikelkop"/>
        <w:rPr>
          <w:rFonts w:cs="Arial"/>
        </w:rPr>
      </w:pPr>
      <w:r w:rsidRPr="00296032">
        <w:rPr>
          <w:rFonts w:cs="Arial"/>
        </w:rPr>
        <w:t>Artikel 1.19</w:t>
      </w:r>
    </w:p>
    <w:p w:rsidR="00296032" w:rsidRPr="00620047" w:rsidRDefault="00296032">
      <w:pPr>
        <w:pStyle w:val="artplat"/>
        <w:rPr>
          <w:rFonts w:cs="Arial"/>
        </w:rPr>
      </w:pPr>
      <w:r w:rsidRPr="00620047">
        <w:rPr>
          <w:rFonts w:cs="Arial"/>
        </w:rPr>
        <w:t>Bij een melding als bedoeld in artikel 1.10, worden de inputgegevens voor het luchtkwaliteitsmodel ISL3a verstrekt indien sprake is van het in huisvestingssystemen houden van:</w:t>
      </w:r>
    </w:p>
    <w:p w:rsidR="00296032" w:rsidRPr="00620047" w:rsidRDefault="00296032">
      <w:pPr>
        <w:pStyle w:val="artplatletter"/>
        <w:rPr>
          <w:rFonts w:cs="Arial"/>
        </w:rPr>
      </w:pPr>
      <w:r w:rsidRPr="00620047">
        <w:rPr>
          <w:rFonts w:cs="Arial"/>
        </w:rPr>
        <w:t>a.</w:t>
      </w:r>
      <w:r w:rsidRPr="00620047">
        <w:rPr>
          <w:rFonts w:cs="Arial"/>
        </w:rPr>
        <w:tab/>
        <w:t>ten minste 500 en ten hoogste 1.200 vleesrunderen, behorend tot de diercategorieën A4 tot en met A7, genoemd in de regeling op grond van artikel 1 van de Wet ammoniak en veehouderij;</w:t>
      </w:r>
    </w:p>
    <w:p w:rsidR="00296032" w:rsidRPr="00620047" w:rsidRDefault="00296032">
      <w:pPr>
        <w:pStyle w:val="artplatletter"/>
        <w:rPr>
          <w:rFonts w:cs="Arial"/>
        </w:rPr>
      </w:pPr>
      <w:r w:rsidRPr="00620047">
        <w:rPr>
          <w:rFonts w:cs="Arial"/>
        </w:rPr>
        <w:t>b.</w:t>
      </w:r>
      <w:r w:rsidRPr="00620047">
        <w:rPr>
          <w:rFonts w:cs="Arial"/>
        </w:rPr>
        <w:tab/>
        <w:t>ten minste 3.000 stuks pluimvee, voor zover er geen sprake is van een IPPC-installatie;</w:t>
      </w:r>
    </w:p>
    <w:p w:rsidR="00296032" w:rsidRPr="00620047" w:rsidRDefault="00296032">
      <w:pPr>
        <w:pStyle w:val="artplatletter"/>
        <w:rPr>
          <w:rFonts w:cs="Arial"/>
        </w:rPr>
      </w:pPr>
      <w:r w:rsidRPr="00620047">
        <w:rPr>
          <w:rFonts w:cs="Arial"/>
        </w:rPr>
        <w:t>c.</w:t>
      </w:r>
      <w:r w:rsidRPr="00620047">
        <w:rPr>
          <w:rFonts w:cs="Arial"/>
        </w:rPr>
        <w:tab/>
        <w:t>ten minste 900 varkens behorend tot de diercategorieën D1 tot en met D3, genoemd in de regeling op grond van artikel 1 van de Wet ammoniak en veehouderij, voor zover er geen sprake is van een IPPC-installatie;</w:t>
      </w:r>
    </w:p>
    <w:p w:rsidR="00296032" w:rsidRPr="00620047" w:rsidRDefault="00296032">
      <w:pPr>
        <w:pStyle w:val="artplatletter"/>
        <w:rPr>
          <w:rFonts w:cs="Arial"/>
        </w:rPr>
      </w:pPr>
      <w:r w:rsidRPr="00620047">
        <w:rPr>
          <w:rFonts w:cs="Arial"/>
        </w:rPr>
        <w:t>d.</w:t>
      </w:r>
      <w:r w:rsidRPr="00620047">
        <w:rPr>
          <w:rFonts w:cs="Arial"/>
        </w:rPr>
        <w:tab/>
        <w:t>ten minste 1.500 stuks pluimvee behorend tot de diercategorieën E1 tot en met E5, F1 tot en met F4, G1, G2 en J1, genoemd in de regeling op grond van artikel 1 van de Wet ammoniak en veehouderij, 500 gespeende biggen behorend tot de diercategorie D.1.1, genoemd in de regeling op grond van artikel 1 van de Wet ammoniak en veehouderij of 500 landbouwhuisdieren anders dan pluimvee en gespeende biggen indien binnen de inrichting landbouwhuisdieren van meer dan een hoofdcategorie als bedoeld in de regeling op grond van artikel 1 van de Wet ammoniak en veehouderij worden gehouden.</w:t>
      </w:r>
    </w:p>
    <w:p w:rsidR="00296032" w:rsidRPr="00296032" w:rsidRDefault="00296032">
      <w:pPr>
        <w:pStyle w:val="artikelkop"/>
        <w:rPr>
          <w:rFonts w:cs="Arial"/>
        </w:rPr>
      </w:pPr>
      <w:r w:rsidRPr="00296032">
        <w:rPr>
          <w:rFonts w:cs="Arial"/>
        </w:rPr>
        <w:t>Artikel 1.20</w:t>
      </w:r>
    </w:p>
    <w:p w:rsidR="00296032" w:rsidRPr="00620047" w:rsidRDefault="00296032">
      <w:pPr>
        <w:pStyle w:val="artplat"/>
        <w:rPr>
          <w:rFonts w:cs="Arial"/>
        </w:rPr>
      </w:pPr>
      <w:r w:rsidRPr="00620047">
        <w:rPr>
          <w:rFonts w:cs="Arial"/>
        </w:rPr>
        <w:t>Bij een melding als bedoeld in artikel 1.10 of artikel 1.10a, worden, voor lozen als bedoeld in de artikelen 3.60, 3.61, 3.76, 3.77, 3.80, 3.83 en 3.105 afkomstig van biologische teelt, gegevens verstrekt waaruit kan worden afgeleid dat sprake is van biologische teelt.</w:t>
      </w:r>
    </w:p>
    <w:p w:rsidR="00296032" w:rsidRPr="00296032" w:rsidRDefault="00296032">
      <w:pPr>
        <w:pStyle w:val="artikelkop"/>
      </w:pPr>
      <w:r w:rsidRPr="00296032">
        <w:t>Artikel 1.21</w:t>
      </w:r>
    </w:p>
    <w:p w:rsidR="00296032" w:rsidRPr="00620047" w:rsidRDefault="00296032">
      <w:pPr>
        <w:pStyle w:val="artplat"/>
      </w:pPr>
      <w:r w:rsidRPr="00620047">
        <w:t>Bij een melding als bedoeld in artikel 1.10 wordt, indien sprake is van een lozing in het vuilwaterriool van zuurstofbindende stoffen met een jaargemiddelde vervuilingswaarde van 5.000 inwonerequivalenten of meer, inzicht gegeven in de spreiding van de lozing over het jaar.</w:t>
      </w:r>
    </w:p>
    <w:p w:rsidR="00296032" w:rsidRPr="00296032" w:rsidRDefault="00296032">
      <w:pPr>
        <w:pStyle w:val="artikelkop"/>
      </w:pPr>
      <w:r w:rsidRPr="00296032">
        <w:t>Artikel 1.21a</w:t>
      </w:r>
    </w:p>
    <w:p w:rsidR="00296032" w:rsidRPr="00620047" w:rsidRDefault="00296032">
      <w:pPr>
        <w:pStyle w:val="art1enivo"/>
      </w:pPr>
      <w:r w:rsidRPr="00620047">
        <w:t>1.</w:t>
      </w:r>
      <w:r w:rsidRPr="00620047">
        <w:tab/>
        <w:t xml:space="preserve"> Bij een melding als bedoeld in artikel 1.10 worden, indien sprake is van het installeren van een gesloten bodemenergiesysteem waarop paragraaf 3.2.8 van toepassing is, tevens de volgende gegevens gemeld:</w:t>
      </w:r>
    </w:p>
    <w:p w:rsidR="00296032" w:rsidRPr="00620047" w:rsidRDefault="00296032">
      <w:pPr>
        <w:pStyle w:val="art2enivo"/>
      </w:pPr>
      <w:r w:rsidRPr="00620047">
        <w:t>a.</w:t>
      </w:r>
      <w:r w:rsidRPr="00620047">
        <w:tab/>
        <w:t>de naam en het adres van degene die boringen of andere werkzaamheden ten behoeve van de installatie uitvoert;</w:t>
      </w:r>
    </w:p>
    <w:p w:rsidR="00296032" w:rsidRPr="00620047" w:rsidRDefault="00296032">
      <w:pPr>
        <w:pStyle w:val="art2enivo"/>
      </w:pPr>
      <w:r w:rsidRPr="00620047">
        <w:t>b.</w:t>
      </w:r>
      <w:r w:rsidRPr="00620047">
        <w:tab/>
        <w:t>een situatieschets, met een schaal van ten minste 1:1.000 en voorzien van een noordpijl, waarop de ligging van het systeem ten opzichte van de omgeving is aangegeven;</w:t>
      </w:r>
    </w:p>
    <w:p w:rsidR="00296032" w:rsidRPr="00620047" w:rsidRDefault="00296032">
      <w:pPr>
        <w:pStyle w:val="art2enivo"/>
      </w:pPr>
      <w:r w:rsidRPr="00620047">
        <w:t>c.</w:t>
      </w:r>
      <w:r w:rsidRPr="00620047">
        <w:tab/>
        <w:t>de einddiepte waarop het systeem zal worden geïnstalleerd;</w:t>
      </w:r>
    </w:p>
    <w:p w:rsidR="00296032" w:rsidRPr="00620047" w:rsidRDefault="00296032">
      <w:pPr>
        <w:pStyle w:val="art2enivo"/>
      </w:pPr>
      <w:r w:rsidRPr="00620047">
        <w:t>d.</w:t>
      </w:r>
      <w:r w:rsidRPr="00620047">
        <w:tab/>
        <w:t>de x-y-coördinaten van het middelpunt van het systeem;</w:t>
      </w:r>
    </w:p>
    <w:p w:rsidR="00296032" w:rsidRPr="00620047" w:rsidRDefault="00296032">
      <w:pPr>
        <w:pStyle w:val="art2enivo"/>
      </w:pPr>
      <w:r w:rsidRPr="00620047">
        <w:t>e.</w:t>
      </w:r>
      <w:r w:rsidRPr="00620047">
        <w:tab/>
        <w:t>een onderbouwing waaruit blijkt dat het in werking hebben van het systeem niet leidt tot zodanige interferentie met een eerder geïnstalleerd bodemenergiesysteem dat het doelmatig functioneren van een van de desbetreffende systemen kan worden geschaad;</w:t>
      </w:r>
    </w:p>
    <w:p w:rsidR="00296032" w:rsidRPr="00620047" w:rsidRDefault="00296032">
      <w:pPr>
        <w:pStyle w:val="art2enivo"/>
      </w:pPr>
      <w:r w:rsidRPr="00620047">
        <w:t>f.</w:t>
      </w:r>
      <w:r w:rsidRPr="00620047">
        <w:tab/>
        <w:t>het energierendement, uitgedrukt als de SPF, dat het bodemenergiesysteem zal behalen bij voorzien gebruik van het gebouw overeenkomstig de bestemming waarvoor het systeem is ontworpen, blijkend uit een schriftelijke verklaring van de installateur;</w:t>
      </w:r>
    </w:p>
    <w:p w:rsidR="00296032" w:rsidRPr="00620047" w:rsidRDefault="00296032">
      <w:pPr>
        <w:pStyle w:val="art2enivo"/>
      </w:pPr>
      <w:r w:rsidRPr="00620047">
        <w:t>g.</w:t>
      </w:r>
      <w:r w:rsidRPr="00620047">
        <w:tab/>
        <w:t>het bodemzijdig vermogen van het systeem en de omvang van de behoefte aan warmte en koude waarin het systeem voorziet.</w:t>
      </w:r>
    </w:p>
    <w:p w:rsidR="00296032" w:rsidRPr="00620047" w:rsidRDefault="00296032">
      <w:pPr>
        <w:pStyle w:val="art1enivo"/>
      </w:pPr>
      <w:r w:rsidRPr="00620047">
        <w:t>2.</w:t>
      </w:r>
      <w:r w:rsidRPr="00620047">
        <w:tab/>
        <w:t>Bij een melding als bedoeld in artikel 1.10 die werkzaamheden als bedoeld in artikel 3.16p betreft, worden de naam en het adres vermeld van degene die die werkzaamheden verricht.</w:t>
      </w:r>
    </w:p>
    <w:p w:rsidR="00296032" w:rsidRPr="00620047" w:rsidRDefault="00296032">
      <w:pPr>
        <w:pStyle w:val="art1enivo"/>
      </w:pPr>
      <w:r w:rsidRPr="00620047">
        <w:t>3.</w:t>
      </w:r>
      <w:r w:rsidRPr="00620047">
        <w:tab/>
        <w:t>Indien een gesloten bodemenergiesysteem is geïnstalleerd voor het tijdstip van inwerkingtreding van paragraaf 3.2.8 en vanaf dat tijdstip vrijwillig een melding wordt gedaan van het in werking hebben van dat systeem, worden bij de melding de volgende gegevens verstrekt:</w:t>
      </w:r>
    </w:p>
    <w:p w:rsidR="00296032" w:rsidRPr="00620047" w:rsidRDefault="00296032">
      <w:pPr>
        <w:pStyle w:val="art2enivo"/>
      </w:pPr>
      <w:r w:rsidRPr="00620047">
        <w:t>a.</w:t>
      </w:r>
      <w:r w:rsidRPr="00620047">
        <w:tab/>
        <w:t>de naam en het adres van degene die het systeem in werking heeft;</w:t>
      </w:r>
    </w:p>
    <w:p w:rsidR="00296032" w:rsidRPr="00620047" w:rsidRDefault="00296032">
      <w:pPr>
        <w:pStyle w:val="art2enivo"/>
      </w:pPr>
      <w:r w:rsidRPr="00620047">
        <w:t>b.</w:t>
      </w:r>
      <w:r w:rsidRPr="00620047">
        <w:tab/>
        <w:t>een beschrijving van de kenmerken van het systeem;</w:t>
      </w:r>
    </w:p>
    <w:p w:rsidR="00296032" w:rsidRPr="00620047" w:rsidRDefault="00296032">
      <w:pPr>
        <w:pStyle w:val="art2enivo"/>
      </w:pPr>
      <w:r w:rsidRPr="00620047">
        <w:t>c.</w:t>
      </w:r>
      <w:r w:rsidRPr="00620047">
        <w:tab/>
        <w:t>de in het eerste lid, onderdelen b tot en met d, en g, bedoelde gegevens.</w:t>
      </w:r>
    </w:p>
    <w:p w:rsidR="00296032" w:rsidRPr="00296032" w:rsidRDefault="00296032">
      <w:pPr>
        <w:pStyle w:val="artikelkop"/>
      </w:pPr>
      <w:r w:rsidRPr="00296032">
        <w:t>Artikel 1.21b</w:t>
      </w:r>
    </w:p>
    <w:p w:rsidR="00296032" w:rsidRPr="00620047" w:rsidRDefault="00296032">
      <w:pPr>
        <w:pStyle w:val="art1enivo"/>
      </w:pPr>
      <w:r w:rsidRPr="00620047">
        <w:t>1.</w:t>
      </w:r>
      <w:r w:rsidRPr="00620047">
        <w:tab/>
        <w:t>Bij een melding als bedoeld in artikel 1.10 wordt een munitie-QRA gevoegd, die voldoet aan de regels, gesteld krachtens artikel 2.6.7, vijfde lid, van het Besluit algemene regels ruimtelijke ordening, indien sprake is van het binnen een inrichting die in gebruik is bij de Nederlandse of een bondgenootschappelijke krijgsmacht:</w:t>
      </w:r>
    </w:p>
    <w:p w:rsidR="00296032" w:rsidRPr="00620047" w:rsidRDefault="00296032">
      <w:pPr>
        <w:pStyle w:val="art2enivo"/>
      </w:pPr>
      <w:r w:rsidRPr="00620047">
        <w:t>a.</w:t>
      </w:r>
      <w:r w:rsidRPr="00620047">
        <w:tab/>
        <w:t>oprichten van een voorziening waarin gevaarlijke stoffen van de ADR klasse 1.1 of 1.2 of meer dan 50 kilogram NEG van klasse 1.3 worden opgeslagen;</w:t>
      </w:r>
    </w:p>
    <w:p w:rsidR="00296032" w:rsidRPr="00620047" w:rsidRDefault="00296032">
      <w:pPr>
        <w:pStyle w:val="art2enivo"/>
      </w:pPr>
      <w:r w:rsidRPr="00620047">
        <w:t>b.</w:t>
      </w:r>
      <w:r w:rsidRPr="00620047">
        <w:tab/>
        <w:t>uitbreiden van de hoeveelheid opgeslagen gevaarlijke stoffen van de ADR klasse 1.1 of 1.2 per opslagvoorziening;</w:t>
      </w:r>
    </w:p>
    <w:p w:rsidR="00296032" w:rsidRPr="00620047" w:rsidRDefault="00296032">
      <w:pPr>
        <w:pStyle w:val="art2enivo"/>
      </w:pPr>
      <w:r w:rsidRPr="00620047">
        <w:t>c.</w:t>
      </w:r>
      <w:r w:rsidRPr="00620047">
        <w:tab/>
        <w:t xml:space="preserve">uitbreiden van de hoeveelheid opgeslagen gevaarlijke stoffen van de ADR klasse 1.3 per opslagvoorziening, indien na uitbreiding meer dan 50 kilogram NEG van deze klasse aanwezig is; </w:t>
      </w:r>
    </w:p>
    <w:p w:rsidR="00296032" w:rsidRPr="00620047" w:rsidRDefault="00296032">
      <w:pPr>
        <w:pStyle w:val="art2enivo"/>
      </w:pPr>
      <w:r w:rsidRPr="00620047">
        <w:t>d.</w:t>
      </w:r>
      <w:r w:rsidRPr="00620047">
        <w:tab/>
        <w:t>veranderen van de bouwkundige staat van een voorziening waarin gevaarlijke stoffen van de ADR klasse 1.1 of 1.2 of meer dan 50 kilogram NEG van klasse 1.3 wordt opgeslagen.</w:t>
      </w:r>
    </w:p>
    <w:p w:rsidR="00296032" w:rsidRPr="00620047" w:rsidRDefault="00296032"/>
    <w:p w:rsidR="00296032" w:rsidRPr="00620047" w:rsidRDefault="00296032">
      <w:pPr>
        <w:pStyle w:val="hoofdstuk"/>
        <w:rPr>
          <w:rFonts w:cs="Arial"/>
        </w:rPr>
      </w:pPr>
      <w:bookmarkStart w:id="14" w:name="_Toc277243175"/>
      <w:bookmarkStart w:id="15" w:name="_Toc431375539"/>
      <w:r w:rsidRPr="00620047">
        <w:rPr>
          <w:rFonts w:cs="Arial"/>
        </w:rPr>
        <w:t>Hoofdstuk 2. Algemene regels ten aanzien van alle activiteiten</w:t>
      </w:r>
      <w:bookmarkEnd w:id="14"/>
      <w:bookmarkEnd w:id="15"/>
    </w:p>
    <w:p w:rsidR="00296032" w:rsidRPr="00620047" w:rsidRDefault="00296032">
      <w:pPr>
        <w:pStyle w:val="afdeling"/>
        <w:rPr>
          <w:rFonts w:cs="Arial"/>
        </w:rPr>
      </w:pPr>
      <w:bookmarkStart w:id="16" w:name="_Toc277243176"/>
      <w:bookmarkStart w:id="17" w:name="_Toc431375540"/>
      <w:r w:rsidRPr="00620047">
        <w:rPr>
          <w:rFonts w:cs="Arial"/>
        </w:rPr>
        <w:t>Afdeling 2.1 Zorgplicht</w:t>
      </w:r>
      <w:bookmarkEnd w:id="16"/>
      <w:bookmarkEnd w:id="17"/>
    </w:p>
    <w:p w:rsidR="00296032" w:rsidRPr="00296032" w:rsidRDefault="00296032">
      <w:pPr>
        <w:pStyle w:val="artikelkop"/>
      </w:pPr>
      <w:r w:rsidRPr="00296032">
        <w:t>Artikel 2</w:t>
      </w:r>
    </w:p>
    <w:p w:rsidR="00296032" w:rsidRPr="00620047" w:rsidRDefault="00296032">
      <w:pPr>
        <w:pStyle w:val="artplat"/>
      </w:pPr>
      <w:r w:rsidRPr="00620047">
        <w:t>Deze afdeling is van toepassing op degene die:</w:t>
      </w:r>
    </w:p>
    <w:p w:rsidR="00296032" w:rsidRPr="00620047" w:rsidRDefault="00296032">
      <w:pPr>
        <w:pStyle w:val="artplatletter"/>
      </w:pPr>
      <w:r w:rsidRPr="00620047">
        <w:t>a.</w:t>
      </w:r>
      <w:r w:rsidRPr="00620047">
        <w:tab/>
        <w:t>een inrichting type A of een inrichting B drijft, of</w:t>
      </w:r>
    </w:p>
    <w:p w:rsidR="00296032" w:rsidRPr="00620047" w:rsidRDefault="00296032">
      <w:pPr>
        <w:pStyle w:val="artplatletter"/>
      </w:pPr>
      <w:r w:rsidRPr="00620047">
        <w:t>b.</w:t>
      </w:r>
      <w:r w:rsidRPr="00620047">
        <w:tab/>
        <w:t>een inrichting type C drijft, voor zover deze afdeling betrekking heeft op activiteiten die verricht worden binnen de inrichting waarop hoofdstuk 3 van toepassing is.</w:t>
      </w:r>
    </w:p>
    <w:p w:rsidR="00296032" w:rsidRPr="00296032" w:rsidRDefault="00296032">
      <w:pPr>
        <w:pStyle w:val="artikelkop"/>
        <w:rPr>
          <w:rFonts w:cs="Arial"/>
        </w:rPr>
      </w:pPr>
      <w:r w:rsidRPr="00296032">
        <w:rPr>
          <w:rFonts w:cs="Arial"/>
        </w:rPr>
        <w:t>Artikel 2.1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een inrichting drijft en weet of redelijkerwijs had kunnen weten dat door het in werking zijn dan wel het al dan niet tijdelijk buiten werking stellen van de inrichting nadelige gevolgen voor het milieu ontstaan of kunnen ontstaan, die niet of onvoldoende worden voorkomen of beperkt door naleving van de bij of krachtens dit besluit gestelde regels, voorkomt die gevolgen of beperkt die voor zover voorkomen niet mogelijk is en voor zover dit redelijkerwijs van hem kan worden gevergd.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Onder het voorkomen of beperken van het ontstaan van nadelige gevolgen voor het milieu als bedoeld in het eerste lid wordt verstaan:</w:t>
      </w:r>
    </w:p>
    <w:p w:rsidR="00296032" w:rsidRPr="00620047" w:rsidRDefault="00296032">
      <w:pPr>
        <w:pStyle w:val="art2enivo"/>
        <w:rPr>
          <w:rFonts w:cs="Arial"/>
        </w:rPr>
      </w:pPr>
      <w:r w:rsidRPr="00620047">
        <w:rPr>
          <w:rFonts w:cs="Arial"/>
        </w:rPr>
        <w:t>a.</w:t>
      </w:r>
      <w:r w:rsidRPr="00620047">
        <w:rPr>
          <w:rFonts w:cs="Arial"/>
        </w:rPr>
        <w:tab/>
        <w:t>een doelmatig gebruik van energie;</w:t>
      </w:r>
    </w:p>
    <w:p w:rsidR="00296032" w:rsidRPr="00620047" w:rsidRDefault="00296032">
      <w:pPr>
        <w:pStyle w:val="art2enivo"/>
        <w:rPr>
          <w:rFonts w:cs="Arial"/>
        </w:rPr>
      </w:pPr>
      <w:r w:rsidRPr="00620047">
        <w:rPr>
          <w:rFonts w:cs="Arial"/>
        </w:rPr>
        <w:t>b.</w:t>
      </w:r>
      <w:r w:rsidRPr="00620047">
        <w:rPr>
          <w:rFonts w:cs="Arial"/>
        </w:rPr>
        <w:tab/>
        <w:t>het voorkomen dan wel voor zover dat niet mogelijk is het zoveel mogelijk beperken van bodemverontreiniging;</w:t>
      </w:r>
    </w:p>
    <w:p w:rsidR="00296032" w:rsidRPr="00620047" w:rsidRDefault="00296032">
      <w:pPr>
        <w:pStyle w:val="art2enivo"/>
        <w:rPr>
          <w:rFonts w:cs="Arial"/>
        </w:rPr>
      </w:pPr>
      <w:r w:rsidRPr="00620047">
        <w:rPr>
          <w:rFonts w:cs="Arial"/>
        </w:rPr>
        <w:t>c.</w:t>
      </w:r>
      <w:r w:rsidRPr="00620047">
        <w:rPr>
          <w:rFonts w:cs="Arial"/>
        </w:rPr>
        <w:tab/>
        <w:t>het voorkomen dan wel voor zover dat niet mogelijk is het zoveel mogelijk beperken van verontreiniging van het grondwater;</w:t>
      </w:r>
    </w:p>
    <w:p w:rsidR="00296032" w:rsidRPr="00620047" w:rsidRDefault="00296032">
      <w:pPr>
        <w:pStyle w:val="art2enivo"/>
        <w:rPr>
          <w:rFonts w:cs="Arial"/>
        </w:rPr>
      </w:pPr>
      <w:r w:rsidRPr="00620047">
        <w:rPr>
          <w:rFonts w:cs="Arial"/>
        </w:rPr>
        <w:t>d.</w:t>
      </w:r>
      <w:r w:rsidRPr="00620047">
        <w:rPr>
          <w:rFonts w:cs="Arial"/>
        </w:rPr>
        <w:tab/>
        <w:t>het voorkomen dan wel voor zover dat niet mogelijk is het zoveel mogelijk beperken van de verontreiniging van een oppervlaktewaterlichaam;</w:t>
      </w:r>
    </w:p>
    <w:p w:rsidR="00296032" w:rsidRPr="00620047" w:rsidRDefault="00296032">
      <w:pPr>
        <w:pStyle w:val="art2enivo"/>
        <w:rPr>
          <w:rFonts w:cs="Arial"/>
        </w:rPr>
      </w:pPr>
      <w:r w:rsidRPr="00620047">
        <w:rPr>
          <w:rFonts w:cs="Arial"/>
        </w:rPr>
        <w:t>e.</w:t>
      </w:r>
      <w:r w:rsidRPr="00620047">
        <w:rPr>
          <w:rFonts w:cs="Arial"/>
        </w:rPr>
        <w:tab/>
        <w:t>het voorkomen dan wel voor zover dat niet mogelijk is het zoveel mogelijk beperken van luchtverontreiniging;</w:t>
      </w:r>
    </w:p>
    <w:p w:rsidR="00296032" w:rsidRPr="00620047" w:rsidRDefault="00296032">
      <w:pPr>
        <w:pStyle w:val="art2enivo"/>
        <w:rPr>
          <w:rFonts w:cs="Arial"/>
        </w:rPr>
      </w:pPr>
      <w:r w:rsidRPr="00620047">
        <w:rPr>
          <w:rFonts w:cs="Arial"/>
        </w:rPr>
        <w:t>f.</w:t>
      </w:r>
      <w:r w:rsidRPr="00620047">
        <w:rPr>
          <w:rFonts w:cs="Arial"/>
        </w:rPr>
        <w:tab/>
        <w:t>het voorkomen dan wel voor zover dat niet mogelijk is het tot een aanvaardbaar niveau beperken van geluidhinder;</w:t>
      </w:r>
    </w:p>
    <w:p w:rsidR="00296032" w:rsidRPr="00620047" w:rsidRDefault="00296032">
      <w:pPr>
        <w:pStyle w:val="art2enivo"/>
        <w:rPr>
          <w:rFonts w:cs="Arial"/>
        </w:rPr>
      </w:pPr>
      <w:r w:rsidRPr="00620047">
        <w:rPr>
          <w:rFonts w:cs="Arial"/>
        </w:rPr>
        <w:t>g.</w:t>
      </w:r>
      <w:r w:rsidRPr="00620047">
        <w:rPr>
          <w:rFonts w:cs="Arial"/>
        </w:rPr>
        <w:tab/>
        <w:t>het voorkomen dan wel voor zover dat niet mogelijk is het tot een aanvaardbaar niveau beperken van geurhinder;</w:t>
      </w:r>
    </w:p>
    <w:p w:rsidR="00296032" w:rsidRPr="00620047" w:rsidRDefault="00296032">
      <w:pPr>
        <w:pStyle w:val="art2enivo"/>
        <w:rPr>
          <w:rFonts w:cs="Arial"/>
        </w:rPr>
      </w:pPr>
      <w:r w:rsidRPr="00620047">
        <w:rPr>
          <w:rFonts w:cs="Arial"/>
        </w:rPr>
        <w:t>h.</w:t>
      </w:r>
      <w:r w:rsidRPr="00620047">
        <w:rPr>
          <w:rFonts w:cs="Arial"/>
        </w:rPr>
        <w:tab/>
        <w:t>het voorkomen dan wel voor zover dat niet mogelijk is het tot een aanvaardbaar niveau beperken van lichthinder;</w:t>
      </w:r>
    </w:p>
    <w:p w:rsidR="00296032" w:rsidRPr="00620047" w:rsidRDefault="00296032">
      <w:pPr>
        <w:pStyle w:val="art2enivo"/>
        <w:rPr>
          <w:rFonts w:cs="Arial"/>
        </w:rPr>
      </w:pPr>
      <w:r w:rsidRPr="00620047">
        <w:rPr>
          <w:rFonts w:cs="Arial"/>
        </w:rPr>
        <w:t>i.</w:t>
      </w:r>
      <w:r w:rsidRPr="00620047">
        <w:rPr>
          <w:rFonts w:cs="Arial"/>
        </w:rPr>
        <w:tab/>
        <w:t>het voorkomen dan wel voor zover dat niet mogelijk is het tot een aanvaardbaar niveau beperken van stofhinder;</w:t>
      </w:r>
    </w:p>
    <w:p w:rsidR="00296032" w:rsidRPr="00620047" w:rsidRDefault="00296032">
      <w:pPr>
        <w:pStyle w:val="art2enivo"/>
        <w:rPr>
          <w:rFonts w:cs="Arial"/>
        </w:rPr>
      </w:pPr>
      <w:r w:rsidRPr="00620047">
        <w:rPr>
          <w:rFonts w:cs="Arial"/>
        </w:rPr>
        <w:t>j.</w:t>
      </w:r>
      <w:r w:rsidRPr="00620047">
        <w:rPr>
          <w:rFonts w:cs="Arial"/>
        </w:rPr>
        <w:tab/>
        <w:t>het voorkomen dan wel voor zover dat niet mogelijk is het tot een aanvaardbaar niveau beperken van trillinghinder;</w:t>
      </w:r>
    </w:p>
    <w:p w:rsidR="00296032" w:rsidRPr="00620047" w:rsidRDefault="00296032">
      <w:pPr>
        <w:pStyle w:val="art2enivo"/>
        <w:rPr>
          <w:rFonts w:cs="Arial"/>
        </w:rPr>
      </w:pPr>
      <w:r w:rsidRPr="00620047">
        <w:rPr>
          <w:rFonts w:cs="Arial"/>
        </w:rPr>
        <w:t>k.</w:t>
      </w:r>
      <w:r w:rsidRPr="00620047">
        <w:rPr>
          <w:rFonts w:cs="Arial"/>
        </w:rPr>
        <w:tab/>
        <w:t>het voorkomen dan wel voor zover dat niet mogelijk is het beperken van de nadelige gevolgen voor het milieu van het verkeer van personen en goederen van en naar de inrichting;</w:t>
      </w:r>
    </w:p>
    <w:p w:rsidR="00296032" w:rsidRPr="00620047" w:rsidRDefault="00296032">
      <w:pPr>
        <w:pStyle w:val="art2enivo"/>
        <w:rPr>
          <w:rFonts w:cs="Arial"/>
        </w:rPr>
      </w:pPr>
      <w:r w:rsidRPr="00620047">
        <w:rPr>
          <w:rFonts w:cs="Arial"/>
        </w:rPr>
        <w:t>l.</w:t>
      </w:r>
      <w:r w:rsidRPr="00620047">
        <w:rPr>
          <w:rFonts w:cs="Arial"/>
        </w:rPr>
        <w:tab/>
        <w:t>het voorkomen van risico's voor de omgeving en ongewone voorvallen, dan wel voor zover dat niet mogelijk is het zoveel mogelijk beperken van de risico's voor de omgeving en de kans dat ongewone voorvallen zich voordoen en de gevolgen hiervan;</w:t>
      </w:r>
    </w:p>
    <w:p w:rsidR="00296032" w:rsidRPr="00620047" w:rsidRDefault="00296032">
      <w:pPr>
        <w:pStyle w:val="art2enivo"/>
        <w:rPr>
          <w:rFonts w:cs="Arial"/>
        </w:rPr>
      </w:pPr>
      <w:r w:rsidRPr="00620047">
        <w:rPr>
          <w:rFonts w:cs="Arial"/>
        </w:rPr>
        <w:t>m.</w:t>
      </w:r>
      <w:r w:rsidRPr="00620047">
        <w:rPr>
          <w:rFonts w:cs="Arial"/>
        </w:rPr>
        <w:tab/>
        <w:t>het zorgen voor een goede staat van onderhoud van de inrichting;</w:t>
      </w:r>
    </w:p>
    <w:p w:rsidR="00296032" w:rsidRPr="00620047" w:rsidRDefault="00296032">
      <w:pPr>
        <w:pStyle w:val="art2enivo"/>
        <w:rPr>
          <w:rFonts w:cs="Arial"/>
        </w:rPr>
      </w:pPr>
      <w:r w:rsidRPr="00620047">
        <w:rPr>
          <w:rFonts w:cs="Arial"/>
        </w:rPr>
        <w:t>n.</w:t>
      </w:r>
      <w:r w:rsidRPr="00620047">
        <w:rPr>
          <w:rFonts w:cs="Arial"/>
        </w:rPr>
        <w:tab/>
        <w:t>de bescherming van de doelmatige werking van de voorzieningen voor het beheer van afvalwater;</w:t>
      </w:r>
    </w:p>
    <w:p w:rsidR="00296032" w:rsidRPr="00620047" w:rsidRDefault="00296032">
      <w:pPr>
        <w:pStyle w:val="art2enivo"/>
        <w:rPr>
          <w:rFonts w:cs="Arial"/>
        </w:rPr>
      </w:pPr>
      <w:r w:rsidRPr="00620047">
        <w:rPr>
          <w:rFonts w:cs="Arial"/>
        </w:rPr>
        <w:t>o.</w:t>
      </w:r>
      <w:r w:rsidRPr="00620047">
        <w:rPr>
          <w:rFonts w:cs="Arial"/>
        </w:rPr>
        <w:tab/>
        <w:t>het doelmatig beheer van afvalwater;</w:t>
      </w:r>
    </w:p>
    <w:p w:rsidR="00296032" w:rsidRPr="00620047" w:rsidRDefault="00296032">
      <w:pPr>
        <w:pStyle w:val="art2enivo"/>
        <w:rPr>
          <w:rFonts w:cs="Arial"/>
        </w:rPr>
      </w:pPr>
      <w:r w:rsidRPr="00620047">
        <w:rPr>
          <w:rFonts w:cs="Arial"/>
        </w:rPr>
        <w:t>p.</w:t>
      </w:r>
      <w:r w:rsidRPr="00620047">
        <w:rPr>
          <w:rFonts w:cs="Arial"/>
        </w:rPr>
        <w:tab/>
        <w:t>het doelmatig beheer van afvalstoffen;</w:t>
      </w:r>
    </w:p>
    <w:p w:rsidR="00296032" w:rsidRPr="00620047" w:rsidRDefault="00296032">
      <w:pPr>
        <w:pStyle w:val="art2enivo"/>
        <w:rPr>
          <w:rFonts w:cs="Arial"/>
        </w:rPr>
      </w:pPr>
      <w:r w:rsidRPr="00620047">
        <w:rPr>
          <w:rFonts w:cs="Arial"/>
        </w:rPr>
        <w:t>q.</w:t>
      </w:r>
      <w:r w:rsidRPr="00620047">
        <w:rPr>
          <w:rFonts w:cs="Arial"/>
        </w:rPr>
        <w:tab/>
        <w:t>het beschermen van de duisternis en het donkere landschap in door het bevoegd gezag aangewezen gebieden.</w:t>
      </w:r>
    </w:p>
    <w:p w:rsidR="00296032" w:rsidRPr="00620047" w:rsidRDefault="00296032">
      <w:pPr>
        <w:pStyle w:val="art1enivo"/>
        <w:rPr>
          <w:rFonts w:cs="Arial"/>
        </w:rPr>
      </w:pPr>
      <w:r w:rsidRPr="00620047">
        <w:rPr>
          <w:rFonts w:cs="Arial"/>
        </w:rPr>
        <w:t>3.</w:t>
      </w:r>
      <w:r w:rsidRPr="00620047">
        <w:rPr>
          <w:rFonts w:cs="Arial"/>
        </w:rPr>
        <w:tab/>
        <w:t>Het eerste en tweede lid, onderdelen b, c, d, n, o en p, zijn van overeenkomstige toepassing op degene die, anders dan vanuit een inrichting, loost ten gevolge van agrarische activiteiten dan wel activiteiten die daarmee verband houden.</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bevoegd gezag kan met betrekking tot de verplichting, bedoeld in het eerste en derde lid, maatwerkvoorschriften stellen voor zover het betreffende aspect bij of krachtens dit besluit niet uitputtend is geregeld. Deze maatwerkvoorschriften kunnen mede inhouden dat de door degene die de inrichting drijft dan wel degene die loost, te verrichten activiteiten worden beschreven alsmede dat metingen, berekeningen of tellingen moeten worden verricht ter bepaling van de mate waarin de inrichting dan wel het lozen, bedoeld in het derde lid, nadelige gevolgen voor het milieu veroorzaakt.</w:t>
      </w:r>
    </w:p>
    <w:p w:rsidR="00296032" w:rsidRPr="00620047" w:rsidRDefault="00296032">
      <w:pPr>
        <w:pStyle w:val="afdeling"/>
        <w:rPr>
          <w:rFonts w:cs="Arial"/>
        </w:rPr>
      </w:pPr>
      <w:bookmarkStart w:id="18" w:name="_Toc277243177"/>
      <w:bookmarkStart w:id="19" w:name="_Toc431375541"/>
      <w:r w:rsidRPr="00620047">
        <w:rPr>
          <w:rFonts w:cs="Arial"/>
        </w:rPr>
        <w:t>Afdeling 2.2. Lozingen</w:t>
      </w:r>
      <w:bookmarkEnd w:id="18"/>
      <w:bookmarkEnd w:id="19"/>
    </w:p>
    <w:p w:rsidR="00296032" w:rsidRPr="00296032" w:rsidRDefault="00296032">
      <w:pPr>
        <w:pStyle w:val="artikelkop"/>
      </w:pPr>
      <w:r w:rsidRPr="00296032">
        <w:t>Artikel 2.1a</w:t>
      </w:r>
    </w:p>
    <w:p w:rsidR="00296032" w:rsidRPr="00620047" w:rsidRDefault="00296032">
      <w:pPr>
        <w:pStyle w:val="artplat"/>
      </w:pPr>
      <w:r w:rsidRPr="00620047">
        <w:t>Deze afdeling is van toepassing op degene die:</w:t>
      </w:r>
    </w:p>
    <w:p w:rsidR="00296032" w:rsidRPr="00620047" w:rsidRDefault="00296032">
      <w:pPr>
        <w:pStyle w:val="artplatletter"/>
      </w:pPr>
      <w:r w:rsidRPr="00620047">
        <w:t>a.</w:t>
      </w:r>
      <w:r w:rsidRPr="00620047">
        <w:tab/>
        <w:t>een inrichting type A of een inrichting B drijft, of</w:t>
      </w:r>
    </w:p>
    <w:p w:rsidR="00296032" w:rsidRPr="00620047" w:rsidRDefault="00296032">
      <w:pPr>
        <w:pStyle w:val="artplatletter"/>
      </w:pPr>
      <w:r w:rsidRPr="00620047">
        <w:t>b.</w:t>
      </w:r>
      <w:r w:rsidRPr="00620047">
        <w:tab/>
        <w:t>een inrichting type C drijft, voor zover binnen de inrichting activiteiten worden verricht waarop hoofdstuk 3 van toepassing is..</w:t>
      </w:r>
    </w:p>
    <w:p w:rsidR="00296032" w:rsidRPr="00296032" w:rsidRDefault="00296032">
      <w:pPr>
        <w:pStyle w:val="artikelkop"/>
        <w:rPr>
          <w:rFonts w:cs="Arial"/>
        </w:rPr>
      </w:pPr>
      <w:r w:rsidRPr="00296032">
        <w:rPr>
          <w:rFonts w:cs="Arial"/>
        </w:rPr>
        <w:t>Artikel 2.2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is verboden:</w:t>
      </w:r>
    </w:p>
    <w:p w:rsidR="00296032" w:rsidRPr="00620047" w:rsidRDefault="00296032">
      <w:pPr>
        <w:pStyle w:val="art2enivo"/>
      </w:pPr>
      <w:r w:rsidRPr="00620047">
        <w:t>a.</w:t>
      </w:r>
      <w:r w:rsidRPr="00620047">
        <w:tab/>
        <w:t>afvalwater te lozen op of in de bodem, tenzij het lozen is toegestaan bij of krachtens de artikelen 2.2b, 3.1 tot en met 3.5, 3.6, 3.6a, 3.6f, 3.6g, 3.10k, 3.16h, 3.23d, 3.24, 3.32 tot en met 3.34, 3.47, 3.60, 3.61, 3.62, 3.77, 3.87, 3.100, 3.102, 3.105, 3.129, 3.131, 3.150, 4.74c, 4.74k, 4.104, 4.104b en 4.104c,</w:t>
      </w:r>
    </w:p>
    <w:p w:rsidR="00296032" w:rsidRPr="00620047" w:rsidRDefault="00296032">
      <w:pPr>
        <w:pStyle w:val="art2enivo"/>
        <w:rPr>
          <w:rFonts w:cs="Arial"/>
        </w:rPr>
      </w:pPr>
      <w:r w:rsidRPr="00620047">
        <w:rPr>
          <w:rFonts w:cs="Arial"/>
        </w:rPr>
        <w:t>b.</w:t>
      </w:r>
      <w:r w:rsidRPr="00620047">
        <w:rPr>
          <w:rFonts w:cs="Arial"/>
        </w:rPr>
        <w:tab/>
        <w:t>afvalwater en andere afvalstoffen te lozen in een voorziening voor de inzameling en het transport van afvalwater niet zijnde een vuilwaterriool, tenzij het lozen is toegestaan bij of krachtens de artikelen 2.2b, 3.1 tot en met 3.3, 3.6a, 3.60 3.61, 3.62, 3.150, 4.74c en 4.104e.</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 afwijking van het eerste lid, onder a,</w:t>
      </w:r>
      <w:r w:rsidR="00244F18">
        <w:rPr>
          <w:rFonts w:cs="Arial"/>
        </w:rPr>
        <w:t xml:space="preserve"> </w:t>
      </w:r>
      <w:r w:rsidRPr="00620047">
        <w:rPr>
          <w:rFonts w:cs="Arial"/>
        </w:rPr>
        <w:t>is lozen op of in de bodem verboden, indien daarbij stoffen zonder doorsijpeling door bodem of ondergrond in het grondwater geraken.</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bevoegd gezag kan bij maatwerkvoorschrift bepalen dat het eerste en tweede lid niet van toepassing zijn en dat lozen op of in de bodem of in een voorziening voor de inzameling en het transport van afvalwater niet zijnde een vuilwaterriool is toegestaan indien het belang van de bescherming van het milieu zich gelet op de samenstelling, hoeveelheid en eigenschappen van de lozing daartegen niet verzet.</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Bij maatwerkvoorschrift als bedoeld in het derde lid kunnen voorwaarden worden gesteld met betrekking tot:</w:t>
      </w:r>
    </w:p>
    <w:p w:rsidR="00296032" w:rsidRPr="00620047" w:rsidRDefault="00296032">
      <w:pPr>
        <w:pStyle w:val="art2enivo"/>
        <w:rPr>
          <w:rFonts w:cs="Arial"/>
        </w:rPr>
      </w:pPr>
      <w:r w:rsidRPr="00620047">
        <w:rPr>
          <w:rFonts w:cs="Arial"/>
        </w:rPr>
        <w:t>a.</w:t>
      </w:r>
      <w:r w:rsidRPr="00620047">
        <w:rPr>
          <w:rFonts w:cs="Arial"/>
        </w:rPr>
        <w:tab/>
        <w:t>de samenstelling, eigenschappen of hoeveelheid van de lozing en het meten en registreren daarvan;</w:t>
      </w:r>
    </w:p>
    <w:p w:rsidR="00296032" w:rsidRPr="00620047" w:rsidRDefault="00296032">
      <w:pPr>
        <w:pStyle w:val="art2enivo"/>
        <w:rPr>
          <w:rFonts w:cs="Arial"/>
        </w:rPr>
      </w:pPr>
      <w:r w:rsidRPr="00620047">
        <w:rPr>
          <w:rFonts w:cs="Arial"/>
        </w:rPr>
        <w:t>b.</w:t>
      </w:r>
      <w:r w:rsidRPr="00620047">
        <w:rPr>
          <w:rFonts w:cs="Arial"/>
        </w:rPr>
        <w:tab/>
        <w:t>te treffen maatregelen;</w:t>
      </w:r>
    </w:p>
    <w:p w:rsidR="00296032" w:rsidRPr="00620047" w:rsidRDefault="00296032">
      <w:pPr>
        <w:pStyle w:val="art2enivo"/>
        <w:rPr>
          <w:rFonts w:cs="Arial"/>
        </w:rPr>
      </w:pPr>
      <w:r w:rsidRPr="00620047">
        <w:rPr>
          <w:rFonts w:cs="Arial"/>
        </w:rPr>
        <w:t>c.</w:t>
      </w:r>
      <w:r w:rsidRPr="00620047">
        <w:rPr>
          <w:rFonts w:cs="Arial"/>
        </w:rPr>
        <w:tab/>
        <w:t>de duur van de lozing; en</w:t>
      </w:r>
    </w:p>
    <w:p w:rsidR="00296032" w:rsidRPr="00620047" w:rsidRDefault="00296032">
      <w:pPr>
        <w:pStyle w:val="art2enivo"/>
        <w:rPr>
          <w:rFonts w:cs="Arial"/>
        </w:rPr>
      </w:pPr>
      <w:r w:rsidRPr="00620047">
        <w:rPr>
          <w:rFonts w:cs="Arial"/>
        </w:rPr>
        <w:t>d.</w:t>
      </w:r>
      <w:r w:rsidRPr="00620047">
        <w:rPr>
          <w:rFonts w:cs="Arial"/>
        </w:rPr>
        <w:tab/>
        <w:t>de plaats van het lozingspunt.</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Het eerste lid, onder a, en het tweede lid zijn niet van toepassing op lozen in de bodem waaraan in een vergunning op grond van artikel 6.4 of artikel 6.5, onderdeel b, van de Waterwet, dan wel een vergunning op grond van een verordening van het waterschap voorschriften zijn gesteld.</w:t>
      </w:r>
    </w:p>
    <w:p w:rsidR="00296032" w:rsidRPr="00620047" w:rsidRDefault="00296032">
      <w:pPr>
        <w:pStyle w:val="art1enivo"/>
        <w:rPr>
          <w:rFonts w:cs="Arial"/>
        </w:rPr>
      </w:pPr>
      <w:r w:rsidRPr="00620047">
        <w:rPr>
          <w:rFonts w:cs="Arial"/>
          <w:bCs/>
        </w:rPr>
        <w:t>6.</w:t>
      </w:r>
      <w:r w:rsidRPr="00620047">
        <w:rPr>
          <w:rFonts w:cs="Arial"/>
          <w:bCs/>
        </w:rPr>
        <w:tab/>
      </w:r>
      <w:r w:rsidRPr="00620047">
        <w:rPr>
          <w:rFonts w:cs="Arial"/>
        </w:rPr>
        <w:t>Indien een maatwerkvoorschrift als bedoeld in het derde lid een lozing betreft die aanzienlijke gevolgen voor het milieu kan hebben, is op de voorbereiding van het maatwerkvoorschrift afdeling 3.4 van de Algemene wet bestuursrecht van toepassing.</w:t>
      </w:r>
    </w:p>
    <w:p w:rsidR="00296032" w:rsidRPr="00296032" w:rsidRDefault="00296032">
      <w:pPr>
        <w:pStyle w:val="artikelkop"/>
        <w:rPr>
          <w:rFonts w:cs="Arial"/>
        </w:rPr>
      </w:pPr>
      <w:r w:rsidRPr="00296032">
        <w:rPr>
          <w:rFonts w:cs="Arial"/>
        </w:rPr>
        <w:t>Artikel 2.2a</w:t>
      </w:r>
    </w:p>
    <w:p w:rsidR="00296032" w:rsidRPr="00620047" w:rsidRDefault="00296032">
      <w:pPr>
        <w:rPr>
          <w:rFonts w:cs="Arial"/>
        </w:rPr>
      </w:pPr>
      <w:r w:rsidRPr="00620047">
        <w:rPr>
          <w:rFonts w:cs="Arial"/>
        </w:rPr>
        <w:t>Indien er sprake is van een zodanige combinatie van meerdere activiteiten, dat een scheiding van het afvalwater, afkomstig van die activiteiten, niet doelmatig is, kan het bevoegd gezag, indien het belang van de bescherming van het milieu zich daartegen niet verzet, op verzoek van de aanvrager bij maatwerkvoorschrift aan het lozen voorwaarden stellen, die afwijken van de voorwaarden die aan het lozen als gevolg van een afzonderlijke activiteit bij of krachtens hoofdstuk 3 of 4 zijn gesteld.</w:t>
      </w:r>
    </w:p>
    <w:p w:rsidR="00296032" w:rsidRPr="00296032" w:rsidRDefault="00296032">
      <w:pPr>
        <w:pStyle w:val="artikelkop"/>
      </w:pPr>
      <w:r w:rsidRPr="00296032">
        <w:t>Artikel 2.2b</w:t>
      </w:r>
    </w:p>
    <w:p w:rsidR="00296032" w:rsidRPr="00620047" w:rsidRDefault="00296032">
      <w:pPr>
        <w:pStyle w:val="art1enivo"/>
      </w:pPr>
      <w:r w:rsidRPr="00620047">
        <w:t>1.</w:t>
      </w:r>
      <w:r w:rsidRPr="00620047">
        <w:tab/>
        <w:t>In afwijking van artikel 2.2, eerste lid, is het lozen van spoelwater ten gevolge van het boren ten behoeve van een open bodemenergiesysteem op de bodem toegestaan.</w:t>
      </w:r>
    </w:p>
    <w:p w:rsidR="00296032" w:rsidRPr="00620047" w:rsidRDefault="00296032">
      <w:pPr>
        <w:pStyle w:val="art1enivo"/>
      </w:pPr>
      <w:r w:rsidRPr="00620047">
        <w:t>2.</w:t>
      </w:r>
      <w:r w:rsidRPr="00620047">
        <w:tab/>
        <w:t>In afwijking van artikel 2.2, eerste lid, is het lozen van spoelwater ten gevolge van het ontwikkelen en het onderhoud van een open bodemenergiesysteem in een voorziening voor de inzameling en het transport van afvalwater, niet zijnde een vuilwaterriool, toegestaan.</w:t>
      </w:r>
    </w:p>
    <w:p w:rsidR="00296032" w:rsidRPr="00620047" w:rsidRDefault="00296032">
      <w:pPr>
        <w:pStyle w:val="art1enivo"/>
      </w:pPr>
      <w:r w:rsidRPr="00620047">
        <w:t>3.</w:t>
      </w:r>
      <w:r w:rsidRPr="00620047">
        <w:tab/>
        <w:t>Het lozen van spoelwater ten gevolge van het ontwikkelen en het onderhoud van een open bodemenergiesysteem vindt slechts dan in een vuilwaterriool plaats, indien lozen als bedoeld in het tweede lid, redelijkerwijs niet mogelijk is.</w:t>
      </w:r>
    </w:p>
    <w:p w:rsidR="00296032" w:rsidRPr="00620047" w:rsidRDefault="00296032">
      <w:pPr>
        <w:pStyle w:val="art1enivo"/>
      </w:pPr>
      <w:r w:rsidRPr="00620047">
        <w:t>4.</w:t>
      </w:r>
      <w:r w:rsidRPr="00620047">
        <w:tab/>
        <w:t>In afwijking van artikel 2, onder b, is artikel 2.1 van toepassing op degene die een inrichting type C drijft ten aanzien van het lozen in een voorziening voor de inzameling en het transport van afvalwater op of in de bodem ten gevolge van een open bodemenergiesysteem.</w:t>
      </w:r>
    </w:p>
    <w:p w:rsidR="00296032" w:rsidRPr="00296032" w:rsidRDefault="00296032">
      <w:pPr>
        <w:pStyle w:val="artikelkop"/>
        <w:rPr>
          <w:rFonts w:cs="Arial"/>
        </w:rPr>
      </w:pPr>
      <w:r w:rsidRPr="00296032">
        <w:rPr>
          <w:rFonts w:cs="Arial"/>
        </w:rPr>
        <w:t>Artikel 2.3</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Emissiemetingen ter controle op de naleving van de emissie-eisen voor het lozen worden uitgevoerd volgens:</w:t>
      </w:r>
    </w:p>
    <w:p w:rsidR="00296032" w:rsidRPr="00620047" w:rsidRDefault="00296032">
      <w:pPr>
        <w:pStyle w:val="art2enivo"/>
        <w:rPr>
          <w:rFonts w:cs="Arial"/>
        </w:rPr>
      </w:pPr>
      <w:r w:rsidRPr="00620047">
        <w:rPr>
          <w:rFonts w:cs="Arial"/>
        </w:rPr>
        <w:t>a.</w:t>
      </w:r>
      <w:r w:rsidRPr="00620047">
        <w:rPr>
          <w:rFonts w:cs="Arial"/>
        </w:rPr>
        <w:tab/>
        <w:t>NEN 6966 of NEN-EN-ISO 17294-2 ten aanzien van arseen, barium, berylium, boor, cadmium, chroom, cobalt, ijzer, koper, molybdeen, nikkel, lood, seleen, tin, titaan, uranium, vanadium, zilver en zink, waarbij de ontsluiting van de elementen plaats vindt volgens NEN-EN-ISO 15587-1 en NEN 6961;</w:t>
      </w:r>
    </w:p>
    <w:p w:rsidR="00296032" w:rsidRPr="00620047" w:rsidRDefault="00296032">
      <w:pPr>
        <w:pStyle w:val="art2enivo"/>
        <w:rPr>
          <w:rFonts w:cs="Arial"/>
        </w:rPr>
      </w:pPr>
      <w:r w:rsidRPr="00620047">
        <w:rPr>
          <w:rFonts w:cs="Arial"/>
        </w:rPr>
        <w:t>b.</w:t>
      </w:r>
      <w:r w:rsidRPr="00620047">
        <w:rPr>
          <w:rFonts w:cs="Arial"/>
        </w:rPr>
        <w:tab/>
        <w:t>NEN-EN-ISO 12846 ten aanzien van kwik;</w:t>
      </w:r>
    </w:p>
    <w:p w:rsidR="00296032" w:rsidRPr="00620047" w:rsidRDefault="00296032">
      <w:pPr>
        <w:pStyle w:val="art2enivo"/>
        <w:rPr>
          <w:rFonts w:cs="Arial"/>
        </w:rPr>
      </w:pPr>
      <w:r w:rsidRPr="00620047">
        <w:rPr>
          <w:rFonts w:cs="Arial"/>
        </w:rPr>
        <w:t>c.</w:t>
      </w:r>
      <w:r w:rsidRPr="00620047">
        <w:rPr>
          <w:rFonts w:cs="Arial"/>
        </w:rPr>
        <w:tab/>
        <w:t>NEN-EN-ISO 14403-1 of NEN-EN-ISO 14403-2 ten aanzien van vrij cyanide in afvalwater;</w:t>
      </w:r>
    </w:p>
    <w:p w:rsidR="00296032" w:rsidRPr="00620047" w:rsidRDefault="00296032">
      <w:pPr>
        <w:pStyle w:val="art2enivo"/>
        <w:rPr>
          <w:rFonts w:cs="Arial"/>
        </w:rPr>
      </w:pPr>
      <w:r w:rsidRPr="00620047">
        <w:rPr>
          <w:rFonts w:cs="Arial"/>
        </w:rPr>
        <w:t>d.</w:t>
      </w:r>
      <w:r w:rsidRPr="00620047">
        <w:rPr>
          <w:rFonts w:cs="Arial"/>
        </w:rPr>
        <w:tab/>
        <w:t>NEN-EN-ISO 15680 ten aanzien van benzeen, tolueen, ethylbenzeen, xyleen en naftaleen;</w:t>
      </w:r>
    </w:p>
    <w:p w:rsidR="00296032" w:rsidRPr="00620047" w:rsidRDefault="00296032">
      <w:pPr>
        <w:pStyle w:val="art2enivo"/>
        <w:rPr>
          <w:rFonts w:cs="Arial"/>
        </w:rPr>
      </w:pPr>
      <w:r w:rsidRPr="00620047">
        <w:rPr>
          <w:rFonts w:cs="Arial"/>
        </w:rPr>
        <w:t>e.</w:t>
      </w:r>
      <w:r w:rsidRPr="00620047">
        <w:rPr>
          <w:rFonts w:cs="Arial"/>
        </w:rPr>
        <w:tab/>
        <w:t>NEN 6401 ten aanzien van vluchtige organohalogeenverbindingen;</w:t>
      </w:r>
    </w:p>
    <w:p w:rsidR="00296032" w:rsidRPr="00620047" w:rsidRDefault="00296032">
      <w:pPr>
        <w:pStyle w:val="art2enivo"/>
        <w:rPr>
          <w:rFonts w:cs="Arial"/>
        </w:rPr>
      </w:pPr>
      <w:r w:rsidRPr="00620047">
        <w:rPr>
          <w:rFonts w:cs="Arial"/>
        </w:rPr>
        <w:t>f.</w:t>
      </w:r>
      <w:r w:rsidRPr="00620047">
        <w:rPr>
          <w:rFonts w:cs="Arial"/>
        </w:rPr>
        <w:tab/>
        <w:t>NEN-EN-ISO 6468 ten aanzien van aromatische organohalogeenverbindingen;</w:t>
      </w:r>
    </w:p>
    <w:p w:rsidR="00296032" w:rsidRPr="00620047" w:rsidRDefault="00296032">
      <w:pPr>
        <w:pStyle w:val="art2enivo"/>
        <w:rPr>
          <w:rFonts w:cs="Arial"/>
        </w:rPr>
      </w:pPr>
      <w:r w:rsidRPr="00620047">
        <w:rPr>
          <w:rFonts w:cs="Arial"/>
        </w:rPr>
        <w:t>g.</w:t>
      </w:r>
      <w:r w:rsidRPr="00620047">
        <w:rPr>
          <w:rFonts w:cs="Arial"/>
        </w:rPr>
        <w:tab/>
        <w:t>NEN-EN-ISO 10301 ten aanzien van chlooretheen (vinylchloride), dichloormethaan, tetrachlooretheen (PER), tetrachloormethaan, trichlooretheen, trichloormethaan, 1,1-dichloorethaan, 1,2-dichloorethaan, 1,2-dichlooretheen, cis-1,2-dichlooretheen, trans-1,2-dichlooretheen 1,1,1-trichloorethaan en 1,1,2-trichloorethaan;</w:t>
      </w:r>
    </w:p>
    <w:p w:rsidR="00296032" w:rsidRPr="00620047" w:rsidRDefault="00296032">
      <w:pPr>
        <w:pStyle w:val="art2enivo"/>
        <w:rPr>
          <w:rFonts w:cs="Arial"/>
        </w:rPr>
      </w:pPr>
      <w:r w:rsidRPr="00620047">
        <w:rPr>
          <w:rFonts w:cs="Arial"/>
        </w:rPr>
        <w:t>h.</w:t>
      </w:r>
      <w:r w:rsidRPr="00620047">
        <w:rPr>
          <w:rFonts w:cs="Arial"/>
        </w:rPr>
        <w:tab/>
        <w:t>NEN 6676 ten aanzien van extraheerbare organohalogeenverbindingen;</w:t>
      </w:r>
    </w:p>
    <w:p w:rsidR="00296032" w:rsidRPr="00620047" w:rsidRDefault="00296032">
      <w:pPr>
        <w:pStyle w:val="art2enivo"/>
        <w:rPr>
          <w:rFonts w:cs="Arial"/>
        </w:rPr>
      </w:pPr>
      <w:r w:rsidRPr="00620047">
        <w:rPr>
          <w:rFonts w:cs="Arial"/>
        </w:rPr>
        <w:t>i.</w:t>
      </w:r>
      <w:r w:rsidRPr="00620047">
        <w:rPr>
          <w:rFonts w:cs="Arial"/>
        </w:rPr>
        <w:tab/>
        <w:t>NEN-EN-ISO 9377-2 ten aanzien van olie;</w:t>
      </w:r>
    </w:p>
    <w:p w:rsidR="00296032" w:rsidRPr="00620047" w:rsidRDefault="00296032">
      <w:pPr>
        <w:pStyle w:val="art2enivo"/>
        <w:rPr>
          <w:rFonts w:cs="Arial"/>
        </w:rPr>
      </w:pPr>
      <w:r w:rsidRPr="00620047">
        <w:rPr>
          <w:rFonts w:cs="Arial"/>
        </w:rPr>
        <w:t>j.</w:t>
      </w:r>
      <w:r w:rsidRPr="00620047">
        <w:rPr>
          <w:rFonts w:cs="Arial"/>
        </w:rPr>
        <w:tab/>
        <w:t>NEN-EN-ISO 17993 ten aanzien van polycyclische aromatische koolwaterstoffen;</w:t>
      </w:r>
    </w:p>
    <w:p w:rsidR="00296032" w:rsidRPr="00620047" w:rsidRDefault="00296032">
      <w:pPr>
        <w:pStyle w:val="art2enivo"/>
        <w:rPr>
          <w:rFonts w:cs="Arial"/>
        </w:rPr>
      </w:pPr>
      <w:r w:rsidRPr="00620047">
        <w:rPr>
          <w:rFonts w:cs="Arial"/>
        </w:rPr>
        <w:t>k.</w:t>
      </w:r>
      <w:r w:rsidRPr="00620047">
        <w:rPr>
          <w:rFonts w:cs="Arial"/>
        </w:rPr>
        <w:tab/>
        <w:t>ISO 5815-1/2 of NEN-EN 1899-1/2 ten aanzien van het biochemisch zuurstof verbruik;</w:t>
      </w:r>
    </w:p>
    <w:p w:rsidR="00296032" w:rsidRPr="00620047" w:rsidRDefault="00296032">
      <w:pPr>
        <w:pStyle w:val="art2enivo"/>
        <w:rPr>
          <w:rFonts w:cs="Arial"/>
        </w:rPr>
      </w:pPr>
      <w:r w:rsidRPr="00620047">
        <w:rPr>
          <w:rFonts w:cs="Arial"/>
        </w:rPr>
        <w:t>l.</w:t>
      </w:r>
      <w:r w:rsidRPr="00620047">
        <w:rPr>
          <w:rFonts w:cs="Arial"/>
        </w:rPr>
        <w:tab/>
        <w:t>NEN 6633 ten aanzien van het chemisch zuurstof verbruik;</w:t>
      </w:r>
    </w:p>
    <w:p w:rsidR="00296032" w:rsidRPr="00620047" w:rsidRDefault="00296032">
      <w:pPr>
        <w:pStyle w:val="art2enivo"/>
        <w:rPr>
          <w:rFonts w:cs="Arial"/>
        </w:rPr>
      </w:pPr>
      <w:r w:rsidRPr="00620047">
        <w:rPr>
          <w:rFonts w:cs="Arial"/>
        </w:rPr>
        <w:t>m.</w:t>
      </w:r>
      <w:r w:rsidRPr="00620047">
        <w:rPr>
          <w:rFonts w:cs="Arial"/>
        </w:rPr>
        <w:tab/>
        <w:t>NEN-EN-ISO 13395 ten aanzien van nitrietstikstof en nitraatstikstof;</w:t>
      </w:r>
    </w:p>
    <w:p w:rsidR="00296032" w:rsidRPr="00620047" w:rsidRDefault="00296032">
      <w:pPr>
        <w:pStyle w:val="art2enivo"/>
        <w:rPr>
          <w:rFonts w:cs="Arial"/>
        </w:rPr>
      </w:pPr>
      <w:r w:rsidRPr="00620047">
        <w:rPr>
          <w:rFonts w:cs="Arial"/>
        </w:rPr>
        <w:t>n.</w:t>
      </w:r>
      <w:r w:rsidRPr="00620047">
        <w:rPr>
          <w:rFonts w:cs="Arial"/>
        </w:rPr>
        <w:tab/>
        <w:t>NEN-ISO 5663 of NEN 6646 ten aanzien van organisch stikstof (Kjeldahlstikstof);</w:t>
      </w:r>
    </w:p>
    <w:p w:rsidR="00296032" w:rsidRPr="00620047" w:rsidRDefault="00296032">
      <w:pPr>
        <w:pStyle w:val="art2enivo"/>
        <w:rPr>
          <w:rFonts w:cs="Arial"/>
        </w:rPr>
      </w:pPr>
      <w:r w:rsidRPr="00620047">
        <w:rPr>
          <w:rFonts w:cs="Arial"/>
        </w:rPr>
        <w:t>o.</w:t>
      </w:r>
      <w:r w:rsidRPr="00620047">
        <w:rPr>
          <w:rFonts w:cs="Arial"/>
        </w:rPr>
        <w:tab/>
        <w:t>NEN 6646, NEN-EN-ISO 11732 of NEN-ISO 15923-1:2013 ten aanzien van ammoniumstikstof;</w:t>
      </w:r>
    </w:p>
    <w:p w:rsidR="00296032" w:rsidRPr="00620047" w:rsidRDefault="00296032">
      <w:pPr>
        <w:pStyle w:val="art2enivo"/>
        <w:rPr>
          <w:rFonts w:cs="Arial"/>
        </w:rPr>
      </w:pPr>
      <w:r w:rsidRPr="00620047">
        <w:rPr>
          <w:rFonts w:cs="Arial"/>
        </w:rPr>
        <w:t>p.</w:t>
      </w:r>
      <w:r w:rsidRPr="00620047">
        <w:rPr>
          <w:rFonts w:cs="Arial"/>
        </w:rPr>
        <w:tab/>
        <w:t>NEN-ISO 5813 of NEN-EN-ISO 5814 ten aanzien van het zuurstofgehalte;</w:t>
      </w:r>
    </w:p>
    <w:p w:rsidR="00296032" w:rsidRPr="00620047" w:rsidRDefault="00296032">
      <w:pPr>
        <w:pStyle w:val="art2enivo"/>
        <w:rPr>
          <w:rFonts w:cs="Arial"/>
        </w:rPr>
      </w:pPr>
      <w:r w:rsidRPr="00620047">
        <w:rPr>
          <w:rFonts w:cs="Arial"/>
        </w:rPr>
        <w:t>q.</w:t>
      </w:r>
      <w:r w:rsidRPr="00620047">
        <w:rPr>
          <w:rFonts w:cs="Arial"/>
        </w:rPr>
        <w:tab/>
        <w:t>NEN-EN 872 ten aanzien van onopgeloste stoffen;</w:t>
      </w:r>
    </w:p>
    <w:p w:rsidR="00296032" w:rsidRPr="00620047" w:rsidRDefault="00296032">
      <w:pPr>
        <w:pStyle w:val="art2enivo"/>
        <w:rPr>
          <w:rFonts w:cs="Arial"/>
        </w:rPr>
      </w:pPr>
      <w:r w:rsidRPr="00620047">
        <w:rPr>
          <w:rFonts w:cs="Arial"/>
        </w:rPr>
        <w:t>r.</w:t>
      </w:r>
      <w:r w:rsidRPr="00620047">
        <w:rPr>
          <w:rFonts w:cs="Arial"/>
        </w:rPr>
        <w:tab/>
        <w:t>NEN-EN-ISO 15681-1 en NEN-EN-ISO 15681-2 ten aanzien van fosfor totaal;</w:t>
      </w:r>
    </w:p>
    <w:p w:rsidR="00296032" w:rsidRPr="00620047" w:rsidRDefault="00296032">
      <w:pPr>
        <w:pStyle w:val="art2enivo"/>
        <w:rPr>
          <w:rFonts w:cs="Arial"/>
        </w:rPr>
      </w:pPr>
      <w:r w:rsidRPr="00620047">
        <w:rPr>
          <w:rFonts w:cs="Arial"/>
        </w:rPr>
        <w:t>s.</w:t>
      </w:r>
      <w:r w:rsidRPr="00620047">
        <w:rPr>
          <w:rFonts w:cs="Arial"/>
        </w:rPr>
        <w:tab/>
        <w:t xml:space="preserve">NEN 6414 ten aanzien van temperatuur; </w:t>
      </w:r>
    </w:p>
    <w:p w:rsidR="00296032" w:rsidRPr="00620047" w:rsidRDefault="00296032">
      <w:pPr>
        <w:pStyle w:val="art2enivo"/>
        <w:rPr>
          <w:rFonts w:cs="Arial"/>
        </w:rPr>
      </w:pPr>
      <w:r w:rsidRPr="00620047">
        <w:rPr>
          <w:rFonts w:cs="Arial"/>
        </w:rPr>
        <w:t>t.</w:t>
      </w:r>
      <w:r w:rsidRPr="00620047">
        <w:rPr>
          <w:rFonts w:cs="Arial"/>
        </w:rPr>
        <w:tab/>
        <w:t>NEN-ISO 11083 ten aanzien van chroom VI.</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De monstername ten behoeve van de emissiemetingen ter controle van de naleving van de emissie-eisen voor het lozen wordt uitgevoerd volgens NEN 6600-1 en de conservering van het monster wordt uitgevoerd volgens NEN-EN-ISO 5667-3. Het monster wordt niet gefiltreerd en de onopgeloste stoffen worden meegenomen in de analyse.</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 afwijking van het eerste en tweede lid kunnen andere methoden voor emissiemetingen, monstername en conservering worden gebruikt, indien deze gelijkwaardig zijn aan de in die leden genoemde methoden.</w:t>
      </w:r>
    </w:p>
    <w:p w:rsidR="00296032" w:rsidRPr="00C667E9" w:rsidRDefault="00296032">
      <w:pPr>
        <w:pStyle w:val="afdeling"/>
        <w:rPr>
          <w:b w:val="0"/>
          <w:i w:val="0"/>
        </w:rPr>
      </w:pPr>
      <w:bookmarkStart w:id="20" w:name="_Toc431375542"/>
      <w:r w:rsidRPr="00C667E9">
        <w:rPr>
          <w:b w:val="0"/>
          <w:i w:val="0"/>
        </w:rPr>
        <w:t xml:space="preserve">AFDELING 2.3. </w:t>
      </w:r>
      <w:r w:rsidRPr="00C667E9">
        <w:rPr>
          <w:rFonts w:cs="Arial"/>
          <w:b w:val="0"/>
          <w:i w:val="0"/>
        </w:rPr>
        <w:t>LUCHT</w:t>
      </w:r>
      <w:r w:rsidRPr="00C667E9">
        <w:rPr>
          <w:b w:val="0"/>
          <w:i w:val="0"/>
        </w:rPr>
        <w:t xml:space="preserve"> EN GEUR</w:t>
      </w:r>
      <w:bookmarkEnd w:id="20"/>
    </w:p>
    <w:p w:rsidR="00296032" w:rsidRPr="00296032" w:rsidRDefault="00296032">
      <w:pPr>
        <w:pStyle w:val="artikelkop"/>
      </w:pPr>
      <w:r w:rsidRPr="00296032">
        <w:t xml:space="preserve">Artikel 2.3a </w:t>
      </w:r>
    </w:p>
    <w:p w:rsidR="00296032" w:rsidRPr="00620047" w:rsidRDefault="00296032">
      <w:pPr>
        <w:pStyle w:val="art1enivo"/>
      </w:pPr>
      <w:r w:rsidRPr="00620047">
        <w:t>1.</w:t>
      </w:r>
      <w:r w:rsidRPr="00620047">
        <w:tab/>
        <w:t>Deze afdeling is van toepassing op degene die een inrichting type A, een inrichting type B of een inrichting type C drijft.</w:t>
      </w:r>
    </w:p>
    <w:p w:rsidR="00296032" w:rsidRPr="00620047" w:rsidRDefault="00296032">
      <w:pPr>
        <w:pStyle w:val="art1enivo"/>
      </w:pPr>
      <w:r w:rsidRPr="00620047">
        <w:t>2.</w:t>
      </w:r>
      <w:r w:rsidRPr="00620047">
        <w:tab/>
        <w:t>In afwijking van het eerste lid is deze afdeling, met uitzondering van de artikelen 2.4, tweede lid, en 2.8, niet van toepassing op emissies naar de lucht van een IPPC-installaties indien en voor zover voor de activiteit of het type productieproces BBT-conclusies voor deze emissies zijn vastgesteld op grond van artikel 13, vijfde en zevende lid, van de EU-richtlijn industriële emissies.</w:t>
      </w:r>
    </w:p>
    <w:p w:rsidR="00296032" w:rsidRPr="00620047" w:rsidRDefault="00296032">
      <w:pPr>
        <w:pStyle w:val="art1enivo"/>
      </w:pPr>
      <w:r w:rsidRPr="00620047">
        <w:t>3.</w:t>
      </w:r>
      <w:r w:rsidRPr="00620047">
        <w:tab/>
        <w:t>In afwijking van het eerste lid zijn de artikelen 2.5, tweede, derde en zesde lid niet van toepassing op emissies van stoffen voor zover in de hoofdstukken 3 en 4 emissie-eisen aan die stoffen zijn gesteld.</w:t>
      </w:r>
    </w:p>
    <w:p w:rsidR="00296032" w:rsidRPr="00620047" w:rsidRDefault="00296032">
      <w:pPr>
        <w:pStyle w:val="art1enivo"/>
      </w:pPr>
      <w:r w:rsidRPr="00620047">
        <w:t>4.</w:t>
      </w:r>
      <w:r w:rsidRPr="00620047">
        <w:tab/>
        <w:t>In afwijking van het eerste lid is artikel 2.7a, eerste, tweede en vierde lid, niet van toepassing op emissies van stoffen voor zover in hoofdstuk 3, 4 en 5 eisen aan geurhinder zijn gesteld.</w:t>
      </w:r>
    </w:p>
    <w:p w:rsidR="00296032" w:rsidRPr="00620047" w:rsidRDefault="00296032">
      <w:pPr>
        <w:pStyle w:val="art1enivo"/>
      </w:pPr>
      <w:r w:rsidRPr="00620047">
        <w:t>5.</w:t>
      </w:r>
      <w:r w:rsidRPr="00620047">
        <w:tab/>
        <w:t>In afwijking van het eerste lid is artikel 2.8 niet van toepassing op stoffen waarvoor op grond van hoofdstuk 5 een monitoringsbepaling geldt.</w:t>
      </w:r>
    </w:p>
    <w:p w:rsidR="00296032" w:rsidRPr="00620047" w:rsidRDefault="00296032">
      <w:pPr>
        <w:pStyle w:val="art1enivo"/>
      </w:pPr>
      <w:r w:rsidRPr="00620047">
        <w:t>6.</w:t>
      </w:r>
      <w:r w:rsidRPr="00620047">
        <w:tab/>
        <w:t>In afwijking van het eerste lid zijn de artikelen 2.5, 2.6 en 2.8 niet van toepassing op oplosmiddeleninstallaties die vallen onder afdeling 2.11.</w:t>
      </w:r>
    </w:p>
    <w:p w:rsidR="00296032" w:rsidRPr="00296032" w:rsidRDefault="00296032">
      <w:pPr>
        <w:pStyle w:val="artikelkop"/>
      </w:pPr>
      <w:r w:rsidRPr="00296032">
        <w:t xml:space="preserve">Artikel 2.3b </w:t>
      </w:r>
    </w:p>
    <w:p w:rsidR="00296032" w:rsidRPr="00620047" w:rsidRDefault="00296032">
      <w:pPr>
        <w:pStyle w:val="art1enivo"/>
      </w:pPr>
      <w:r w:rsidRPr="00620047">
        <w:t>1.</w:t>
      </w:r>
      <w:r w:rsidRPr="00620047">
        <w:tab/>
        <w:t>Voor de toepassing van deze afdeling wordt onder een zeer zorgwekkende stof verstaan: een stof die voldoet aan een of meer van de criteria of voorwaarden, bedoeld in artikel 57 van EG-verordening registratie, evaluatie en autorisatie van chemische stoffen.</w:t>
      </w:r>
    </w:p>
    <w:p w:rsidR="00296032" w:rsidRPr="00620047" w:rsidRDefault="00296032">
      <w:pPr>
        <w:pStyle w:val="art1enivo"/>
      </w:pPr>
      <w:r w:rsidRPr="00620047">
        <w:t>2.</w:t>
      </w:r>
      <w:r w:rsidRPr="00620047">
        <w:tab/>
        <w:t>Bij ministeriële regeling worden regels gesteld over zeer zorgwekkende stoffen.</w:t>
      </w:r>
    </w:p>
    <w:p w:rsidR="00296032" w:rsidRPr="00296032" w:rsidRDefault="00296032">
      <w:pPr>
        <w:pStyle w:val="artikelkop"/>
      </w:pPr>
      <w:r w:rsidRPr="00296032">
        <w:t xml:space="preserve">Artikel 2.4 </w:t>
      </w:r>
    </w:p>
    <w:p w:rsidR="00296032" w:rsidRPr="00620047" w:rsidRDefault="00296032">
      <w:pPr>
        <w:pStyle w:val="art1enivo"/>
      </w:pPr>
      <w:r w:rsidRPr="00620047">
        <w:t>1.</w:t>
      </w:r>
      <w:r w:rsidRPr="00620047">
        <w:tab/>
        <w:t>In afwijking van artikel 2.3a, eerste lid, is dit artikel, met uitzondering van het achtste lid, onder b, uitsluitend van toepassing op degene die een inrichting type C drijft.</w:t>
      </w:r>
    </w:p>
    <w:p w:rsidR="00296032" w:rsidRPr="00620047" w:rsidRDefault="00296032">
      <w:pPr>
        <w:pStyle w:val="art1enivo"/>
      </w:pPr>
      <w:r w:rsidRPr="00620047">
        <w:t>2.</w:t>
      </w:r>
      <w:r w:rsidRPr="00620047">
        <w:tab/>
        <w:t>Emissies van zeer zorgwekkende stoffen naar de lucht worden zoveel mogelijk voorkomen dan wel, indien dat niet mogelijk is, tot een minimum beperkt.</w:t>
      </w:r>
    </w:p>
    <w:p w:rsidR="00296032" w:rsidRPr="00620047" w:rsidRDefault="00296032">
      <w:pPr>
        <w:pStyle w:val="art1enivo"/>
      </w:pPr>
      <w:r w:rsidRPr="00620047">
        <w:t>3.</w:t>
      </w:r>
      <w:r w:rsidRPr="00620047">
        <w:tab/>
        <w:t>Degene die een inrichting drijft van waaruit emissies van zeer zorgwekkende stoffen naar de lucht plaatsvinden, overlegt elke vijf jaar informatie aan het bevoegd gezag over:</w:t>
      </w:r>
    </w:p>
    <w:p w:rsidR="00296032" w:rsidRPr="00620047" w:rsidRDefault="00296032">
      <w:pPr>
        <w:pStyle w:val="art2enivo"/>
      </w:pPr>
      <w:r w:rsidRPr="00620047">
        <w:t>a.</w:t>
      </w:r>
      <w:r w:rsidRPr="00620047">
        <w:tab/>
        <w:t>de mate waarin emissies van zeer zorgwekkende stoffen naar de lucht plaatsvinden;</w:t>
      </w:r>
    </w:p>
    <w:p w:rsidR="00296032" w:rsidRPr="00620047" w:rsidRDefault="00296032">
      <w:pPr>
        <w:pStyle w:val="art2enivo"/>
      </w:pPr>
      <w:r w:rsidRPr="00620047">
        <w:t>b.</w:t>
      </w:r>
      <w:r w:rsidRPr="00620047">
        <w:tab/>
        <w:t>de mogelijkheden om emissies van die stoffen te voorkomen dan wel, indien dat niet mogelijk is, te beperken.</w:t>
      </w:r>
    </w:p>
    <w:p w:rsidR="00296032" w:rsidRPr="00620047" w:rsidRDefault="00296032">
      <w:pPr>
        <w:pStyle w:val="art1enivo"/>
      </w:pPr>
      <w:r w:rsidRPr="00620047">
        <w:t>4.</w:t>
      </w:r>
      <w:r w:rsidRPr="00620047">
        <w:tab/>
        <w:t>In afwijking van het derde lid, kan het bevoegd gezag, indien het belang van de bescherming van het milieu zich daartegen niet verzet, bij maatwerkvoorschrift toestaan dat:</w:t>
      </w:r>
    </w:p>
    <w:p w:rsidR="00296032" w:rsidRPr="00620047" w:rsidRDefault="00296032">
      <w:pPr>
        <w:pStyle w:val="art2enivo"/>
      </w:pPr>
      <w:r w:rsidRPr="00620047">
        <w:t>a.</w:t>
      </w:r>
      <w:r w:rsidRPr="00620047">
        <w:tab/>
        <w:t>aan de informatieverplichting niet hoeft te worden voldaan indien naar het oordeel van het bevoegd gezag de bijdrage van emissies uit de inrichting aan het maximaal toelaatbaar risico, bedoeld in het vijfde lid, verwaarloosbaar is, of</w:t>
      </w:r>
    </w:p>
    <w:p w:rsidR="00296032" w:rsidRPr="00620047" w:rsidRDefault="00296032">
      <w:pPr>
        <w:pStyle w:val="art2enivo"/>
      </w:pPr>
      <w:r w:rsidRPr="00620047">
        <w:t>b.</w:t>
      </w:r>
      <w:r w:rsidRPr="00620047">
        <w:tab/>
        <w:t>de informatieverplichting, rekening houdend met de meest relevante zeer zorgwekkende stoffen, gefaseerd wordt uitgevoerd. Hierbij stelt het bevoegd gezag per stof een redelijke termijn vast waarbinnen die informatie wordt aangeleverd.</w:t>
      </w:r>
    </w:p>
    <w:p w:rsidR="00296032" w:rsidRPr="00620047" w:rsidRDefault="00296032">
      <w:pPr>
        <w:pStyle w:val="art1enivo"/>
      </w:pPr>
      <w:r w:rsidRPr="00620047">
        <w:t>5.</w:t>
      </w:r>
      <w:r w:rsidRPr="00620047">
        <w:tab/>
        <w:t>Indien bij activiteiten emissies van zeer zorgwekkende stoffen naar de lucht plaatsvinden, leiden de emissiewaarden van die stoffen, genoemd in artikel 2.5, niet tot overschrijding van het maximaal toelaatbaar risiconiveau van de immissieconcentratie van die stof.</w:t>
      </w:r>
    </w:p>
    <w:p w:rsidR="00296032" w:rsidRPr="00620047" w:rsidRDefault="00296032">
      <w:pPr>
        <w:pStyle w:val="art1enivo"/>
      </w:pPr>
      <w:r w:rsidRPr="00620047">
        <w:t>6.</w:t>
      </w:r>
      <w:r w:rsidRPr="00620047">
        <w:tab/>
        <w:t>Bij ministeriële regeling worden ten behoeve van de bescherming van het milieu regels gesteld over:</w:t>
      </w:r>
    </w:p>
    <w:p w:rsidR="00296032" w:rsidRPr="00620047" w:rsidRDefault="00296032">
      <w:pPr>
        <w:pStyle w:val="art2enivo"/>
      </w:pPr>
      <w:r w:rsidRPr="00620047">
        <w:t>a.</w:t>
      </w:r>
      <w:r w:rsidRPr="00620047">
        <w:tab/>
        <w:t>het opstellen van de programma’s voor het voorkomen dan wel, indien dat niet mogelijk is, beperken van emissies van zeer zorgwekkende stoffen, bedoeld in het derde lid;</w:t>
      </w:r>
    </w:p>
    <w:p w:rsidR="00296032" w:rsidRPr="00620047" w:rsidRDefault="00296032">
      <w:pPr>
        <w:pStyle w:val="art2enivo"/>
      </w:pPr>
      <w:r w:rsidRPr="00620047">
        <w:t>b.</w:t>
      </w:r>
      <w:r w:rsidRPr="00620047">
        <w:tab/>
        <w:t>het maximaal toelaatbaar risiconiveau en de vaststelling daarvan;</w:t>
      </w:r>
    </w:p>
    <w:p w:rsidR="00296032" w:rsidRPr="00620047" w:rsidRDefault="00296032">
      <w:pPr>
        <w:pStyle w:val="art2enivo"/>
      </w:pPr>
      <w:r w:rsidRPr="00620047">
        <w:t>c.</w:t>
      </w:r>
      <w:r w:rsidRPr="00620047">
        <w:tab/>
        <w:t>de bepaling van de immissieconcentratie, bedoeld in het vijfde lid.</w:t>
      </w:r>
    </w:p>
    <w:p w:rsidR="00296032" w:rsidRPr="00620047" w:rsidRDefault="00296032">
      <w:pPr>
        <w:pStyle w:val="art1enivo"/>
      </w:pPr>
      <w:r w:rsidRPr="00620047">
        <w:t>7.</w:t>
      </w:r>
      <w:r w:rsidRPr="00620047">
        <w:tab/>
        <w:t>Indien voor een van de zeer zorgwekkende stoffen nog geen maximaal toelaatbaar risiconiveau is vastgesteld, is het vijfde lid niet van toepassing op die stof tot het moment waarop de vaststelling plaatsvindt.</w:t>
      </w:r>
    </w:p>
    <w:p w:rsidR="00296032" w:rsidRPr="00620047" w:rsidRDefault="00296032">
      <w:pPr>
        <w:pStyle w:val="art1enivo"/>
      </w:pPr>
      <w:r w:rsidRPr="00620047">
        <w:t>8.</w:t>
      </w:r>
      <w:r w:rsidRPr="00620047">
        <w:tab/>
        <w:t xml:space="preserve">Indien de geografische ligging, de plaatselijke milieuomstandigheden of de technische kenmerken van de betrokken installatie daartoe aanleiding geven, kan het bevoegd gezag in het belang van de bescherming van het milieu, en het voorkomen dan wel voor zover dat niet mogelijk is het zoveel mogelijk beperken van luchtverontreiniging, bij maatwerkvoorschrift voor zover het betreft: </w:t>
      </w:r>
    </w:p>
    <w:p w:rsidR="00296032" w:rsidRPr="00620047" w:rsidRDefault="00296032">
      <w:pPr>
        <w:pStyle w:val="art2enivo"/>
      </w:pPr>
      <w:r w:rsidRPr="00620047">
        <w:t>a.</w:t>
      </w:r>
      <w:r w:rsidRPr="00620047">
        <w:tab/>
        <w:t>een inrichting type C, emissiegrenswaarden vaststellen die afwijken van de emissiewaarden, bedoeld in het vijfde lid, dan wel afwijken van de emissiewaarden in de tabellen 2.5 en 2.6 of de tijdelijk bij ministeriële regeling vastgestelde waarden als bedoeld in artikel 2.5, vijfde lid, dan wel andere eisen stellen;</w:t>
      </w:r>
    </w:p>
    <w:p w:rsidR="00296032" w:rsidRPr="00620047" w:rsidRDefault="00296032">
      <w:pPr>
        <w:pStyle w:val="art2enivo"/>
      </w:pPr>
      <w:r w:rsidRPr="00620047">
        <w:t>b.</w:t>
      </w:r>
      <w:r w:rsidRPr="00620047">
        <w:tab/>
        <w:t>een inrichting type B, eisen stellen aan de situering en uitvoering van het afvoerpunt van emissies;</w:t>
      </w:r>
    </w:p>
    <w:p w:rsidR="00296032" w:rsidRPr="00620047" w:rsidRDefault="00296032">
      <w:pPr>
        <w:pStyle w:val="art2enivo"/>
      </w:pPr>
      <w:r w:rsidRPr="00620047">
        <w:t xml:space="preserve">c. </w:t>
      </w:r>
      <w:r w:rsidRPr="00620047">
        <w:tab/>
        <w:t>eisen stellen aan de emissies van diffuse bronnen.</w:t>
      </w:r>
    </w:p>
    <w:p w:rsidR="00296032" w:rsidRPr="00620047" w:rsidRDefault="00296032">
      <w:pPr>
        <w:pStyle w:val="art1enivo"/>
      </w:pPr>
      <w:r w:rsidRPr="00620047">
        <w:t>9.</w:t>
      </w:r>
      <w:r w:rsidRPr="00620047">
        <w:tab/>
        <w:t>Ten aanzien van de technische kenmerken, bedoeld in het achtste lid,</w:t>
      </w:r>
      <w:r w:rsidR="00244F18">
        <w:t xml:space="preserve"> </w:t>
      </w:r>
      <w:r w:rsidRPr="00620047">
        <w:t>wordt onder meer rekening gehouden met een afwijkend emissiepatroon, de kosten en baten en een integrale afweging van de mogelijkheden voor emissiebeperking.</w:t>
      </w:r>
    </w:p>
    <w:p w:rsidR="00296032" w:rsidRPr="00620047" w:rsidRDefault="00296032">
      <w:pPr>
        <w:pStyle w:val="art1enivo"/>
      </w:pPr>
      <w:r w:rsidRPr="00620047">
        <w:t>10.</w:t>
      </w:r>
      <w:r w:rsidRPr="00620047">
        <w:tab/>
        <w:t>Dit artikel is, met uitzondering van het tweede lid en het achtste lid, onderdeel b, niet van toepassing op de stoffen genoemd in bijlage 2 bij de Wet milieubeheer.</w:t>
      </w:r>
    </w:p>
    <w:p w:rsidR="00296032" w:rsidRPr="00620047" w:rsidRDefault="00296032">
      <w:pPr>
        <w:pStyle w:val="art1enivo"/>
      </w:pPr>
      <w:r w:rsidRPr="00620047">
        <w:t>11.</w:t>
      </w:r>
      <w:r w:rsidRPr="00620047">
        <w:tab/>
        <w:t>De termijn van vijf jaar, genoemd in het derde lid, vangt aan:</w:t>
      </w:r>
    </w:p>
    <w:p w:rsidR="00296032" w:rsidRPr="00620047" w:rsidRDefault="00296032">
      <w:pPr>
        <w:pStyle w:val="art2enivo"/>
      </w:pPr>
      <w:r w:rsidRPr="00620047">
        <w:t>a.</w:t>
      </w:r>
      <w:r w:rsidRPr="00620047">
        <w:tab/>
        <w:t>op het tijdstip van het van toepassing worden van artikel 2.4. op de inrichting, of</w:t>
      </w:r>
    </w:p>
    <w:p w:rsidR="00296032" w:rsidRPr="00620047" w:rsidRDefault="00296032">
      <w:pPr>
        <w:pStyle w:val="art2enivo"/>
      </w:pPr>
      <w:r w:rsidRPr="00620047">
        <w:t>b.</w:t>
      </w:r>
      <w:r w:rsidRPr="00620047">
        <w:tab/>
        <w:t>in afwijking van onderdeel a, voor een inrichting waarvoor tot het toepassing worden van artikel 2.4 voor die inrichting in een vergunning een afwijkend tijdstip was vastgelegd, op dat afwijkende tijdstip.</w:t>
      </w:r>
    </w:p>
    <w:p w:rsidR="00F129C4" w:rsidRDefault="00F129C4" w:rsidP="00F129C4">
      <w:pPr>
        <w:pStyle w:val="artikelkop"/>
        <w:shd w:val="clear" w:color="auto" w:fill="D9D9D9" w:themeFill="background1" w:themeFillShade="D9"/>
        <w:rPr>
          <w:rFonts w:eastAsiaTheme="minorEastAsia"/>
          <w:lang w:eastAsia="nl-NL"/>
        </w:rPr>
      </w:pPr>
      <w:r>
        <w:rPr>
          <w:rFonts w:eastAsiaTheme="minorEastAsia"/>
          <w:lang w:eastAsia="nl-NL"/>
        </w:rPr>
        <w:t xml:space="preserve">Artikel 2.17 </w:t>
      </w:r>
    </w:p>
    <w:p w:rsidR="00F129C4" w:rsidRDefault="00F129C4" w:rsidP="00F129C4">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Als maximaal toelaatbaar risiconiveau van de immissieconcentratie van een zeer zorgwekkende stof als bedoeld in artikel 2.4, zesde lid, onder b, van het besluit, geldt de grenswaarde in bijlage 13.</w:t>
      </w:r>
    </w:p>
    <w:p w:rsidR="00F129C4" w:rsidRDefault="00F129C4" w:rsidP="00F129C4">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Indien voor een zeer zorgwekkende stof geen grenswaarde is opgenomen in bijlage 13, wordt die grenswaarde vastgesteld volgens de procedure in bijlage 14.</w:t>
      </w:r>
    </w:p>
    <w:p w:rsidR="00F129C4" w:rsidRDefault="00F129C4" w:rsidP="00F129C4">
      <w:pPr>
        <w:pStyle w:val="artikelkop"/>
        <w:shd w:val="clear" w:color="auto" w:fill="D9D9D9" w:themeFill="background1" w:themeFillShade="D9"/>
        <w:rPr>
          <w:rFonts w:eastAsiaTheme="minorEastAsia"/>
          <w:lang w:eastAsia="nl-NL"/>
        </w:rPr>
      </w:pPr>
      <w:r>
        <w:rPr>
          <w:rFonts w:eastAsiaTheme="minorEastAsia"/>
          <w:lang w:eastAsia="nl-NL"/>
        </w:rPr>
        <w:t xml:space="preserve">Artikel 2.18 </w:t>
      </w:r>
    </w:p>
    <w:p w:rsidR="00F129C4" w:rsidRDefault="00F129C4" w:rsidP="00F129C4">
      <w:pPr>
        <w:pStyle w:val="artplat"/>
        <w:shd w:val="clear" w:color="auto" w:fill="D9D9D9" w:themeFill="background1" w:themeFillShade="D9"/>
        <w:rPr>
          <w:rFonts w:eastAsiaTheme="minorEastAsia"/>
          <w:lang w:eastAsia="nl-NL"/>
        </w:rPr>
      </w:pPr>
      <w:r>
        <w:rPr>
          <w:rFonts w:eastAsiaTheme="minorEastAsia"/>
          <w:lang w:eastAsia="nl-NL"/>
        </w:rPr>
        <w:t>Bij het door middel van berekening bepalen van immissieconcentraties van zeer zorgwekkende stoffen in de buitenlucht als bedoeld in artikel 2.4, zesde lid, onder c, van het besluit, bij inrichtingen:</w:t>
      </w:r>
    </w:p>
    <w:p w:rsidR="00F129C4" w:rsidRDefault="00F129C4" w:rsidP="00F129C4">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wordt gebruik gemaakt van gegevens met betrekking tot de:</w:t>
      </w:r>
    </w:p>
    <w:p w:rsidR="00F129C4" w:rsidRDefault="00F129C4" w:rsidP="00F129C4">
      <w:pPr>
        <w:pStyle w:val="art2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fysieke kenmerken van de bron;</w:t>
      </w:r>
    </w:p>
    <w:p w:rsidR="00F129C4" w:rsidRDefault="00F129C4" w:rsidP="00F129C4">
      <w:pPr>
        <w:pStyle w:val="art2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kenmerken van de emissie, en</w:t>
      </w:r>
    </w:p>
    <w:p w:rsidR="00F129C4" w:rsidRDefault="00F129C4" w:rsidP="00F129C4">
      <w:pPr>
        <w:pStyle w:val="art2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kenmerken van de omgeving.</w:t>
      </w:r>
    </w:p>
    <w:p w:rsidR="00F129C4" w:rsidRDefault="00F129C4" w:rsidP="00F129C4">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worden de immissieconcentraties bepaald vanaf de grens van het terrein van de betreffende inrichting.</w:t>
      </w:r>
    </w:p>
    <w:p w:rsidR="00F129C4" w:rsidRDefault="00F129C4" w:rsidP="00F129C4">
      <w:pPr>
        <w:pStyle w:val="artikelkop"/>
        <w:shd w:val="clear" w:color="auto" w:fill="D9D9D9" w:themeFill="background1" w:themeFillShade="D9"/>
        <w:rPr>
          <w:rFonts w:eastAsiaTheme="minorEastAsia"/>
          <w:lang w:eastAsia="nl-NL"/>
        </w:rPr>
      </w:pPr>
      <w:r>
        <w:rPr>
          <w:rFonts w:eastAsiaTheme="minorEastAsia"/>
          <w:lang w:eastAsia="nl-NL"/>
        </w:rPr>
        <w:t xml:space="preserve">Artikel 2.19 </w:t>
      </w:r>
    </w:p>
    <w:p w:rsidR="00F129C4" w:rsidRDefault="00F129C4" w:rsidP="00F129C4">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door middel van berekening bepalen van de concentraties van zeer zorgwekkende stoffen, bedoeld in artikel 2.18, vindt plaats volgens de standaardrekenmethode 3 Nieuw Nationaal Model, voor zover de desbetreffende situatie valt binnen het toepassingsgebied van die rekenmethode.</w:t>
      </w:r>
    </w:p>
    <w:p w:rsidR="00F129C4" w:rsidRDefault="00F129C4" w:rsidP="00F129C4">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Van de standaardrekenmethode 3 Nieuw Nationaal Model kan in overleg met het bevoegd gezag worden afgeweken mits de methode waarmee wordt afgeweken passend is en gelijkwaardig aan de standaardrekenmethode 3 Nieuw Nationaal Model.</w:t>
      </w:r>
    </w:p>
    <w:p w:rsidR="00F129C4" w:rsidRDefault="00F129C4" w:rsidP="00F129C4">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 situaties die buiten het toepassingsgebied van standaardrekenmethode 3 Nieuw Nationaal Model vallen, wordt in overleg met het bevoegd gezag een andere, passende methode toegepast.</w:t>
      </w:r>
    </w:p>
    <w:p w:rsidR="00F129C4" w:rsidRDefault="00F129C4" w:rsidP="00F129C4">
      <w:pPr>
        <w:pStyle w:val="artikelkop"/>
        <w:shd w:val="clear" w:color="auto" w:fill="D9D9D9" w:themeFill="background1" w:themeFillShade="D9"/>
        <w:rPr>
          <w:rFonts w:eastAsiaTheme="minorEastAsia"/>
          <w:lang w:eastAsia="nl-NL"/>
        </w:rPr>
      </w:pPr>
      <w:r>
        <w:rPr>
          <w:rFonts w:eastAsiaTheme="minorEastAsia"/>
          <w:lang w:eastAsia="nl-NL"/>
        </w:rPr>
        <w:t xml:space="preserve">Artikel 2.20 </w:t>
      </w:r>
    </w:p>
    <w:p w:rsidR="00F129C4" w:rsidRDefault="00F129C4" w:rsidP="00F129C4">
      <w:pPr>
        <w:pStyle w:val="artplat"/>
        <w:shd w:val="clear" w:color="auto" w:fill="D9D9D9" w:themeFill="background1" w:themeFillShade="D9"/>
        <w:rPr>
          <w:rFonts w:eastAsiaTheme="minorEastAsia"/>
          <w:lang w:eastAsia="nl-NL"/>
        </w:rPr>
      </w:pPr>
      <w:r>
        <w:rPr>
          <w:rFonts w:eastAsiaTheme="minorEastAsia"/>
          <w:lang w:eastAsia="nl-NL"/>
        </w:rPr>
        <w:t>De vermijdings- en reductieprogramma's van zeer zorgwekkende stoffen, bedoeld in artikel 2.4, zesde lid, onder a, van het besluit, bevatten in ieder geval:</w:t>
      </w:r>
    </w:p>
    <w:p w:rsidR="00F129C4" w:rsidRDefault="00F129C4" w:rsidP="00F129C4">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een overzicht van mogelijkheden en technieken ter voorkoming en ter beperking van de emissies;</w:t>
      </w:r>
    </w:p>
    <w:p w:rsidR="00F129C4" w:rsidRDefault="00F129C4" w:rsidP="00F129C4">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met betrekking tot de technieken, bedoeld in onderdeel a, informatie over:</w:t>
      </w:r>
    </w:p>
    <w:p w:rsidR="00F129C4" w:rsidRDefault="00F129C4" w:rsidP="00F129C4">
      <w:pPr>
        <w:pStyle w:val="art2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rendement;</w:t>
      </w:r>
    </w:p>
    <w:p w:rsidR="00F129C4" w:rsidRDefault="00F129C4" w:rsidP="00F129C4">
      <w:pPr>
        <w:pStyle w:val="art2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validatie;</w:t>
      </w:r>
    </w:p>
    <w:p w:rsidR="00F129C4" w:rsidRDefault="00F129C4" w:rsidP="00F129C4">
      <w:pPr>
        <w:pStyle w:val="artplatletter"/>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informatie over de bedrijfszekerheid en de kosten;</w:t>
      </w:r>
    </w:p>
    <w:p w:rsidR="00F129C4" w:rsidRDefault="00F129C4" w:rsidP="00F129C4">
      <w:pPr>
        <w:pStyle w:val="artplatletter"/>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informatie over afwenteleffecten.</w:t>
      </w:r>
    </w:p>
    <w:p w:rsidR="00F129C4" w:rsidRDefault="00F129C4" w:rsidP="00F129C4">
      <w:pPr>
        <w:shd w:val="clear" w:color="auto" w:fill="D9D9D9" w:themeFill="background1" w:themeFillShade="D9"/>
      </w:pPr>
    </w:p>
    <w:p w:rsidR="00296032" w:rsidRPr="00296032" w:rsidRDefault="00296032">
      <w:pPr>
        <w:pStyle w:val="artikelkop"/>
      </w:pPr>
      <w:r w:rsidRPr="00296032">
        <w:t xml:space="preserve">Artikel 2.5 </w:t>
      </w:r>
    </w:p>
    <w:p w:rsidR="00296032" w:rsidRPr="00620047" w:rsidRDefault="00296032">
      <w:pPr>
        <w:pStyle w:val="art1enivo"/>
      </w:pPr>
      <w:r w:rsidRPr="00620047">
        <w:t>1.</w:t>
      </w:r>
      <w:r w:rsidRPr="00620047">
        <w:tab/>
        <w:t>Indien de som van de onder normale procesomstandigheden gedurende één uur optredende massastromen van stoffen in de stofcategorieën ZZS, sA en gO naar de lucht binnen eenzelfde stofklasse vanuit alle puntbronnen in de inrichting de in tabel 2.5 opgenomen grensmassastroom van die stofklasse overschrijdt, is de emissieconcentratie van die stofklasse per puntbron niet hoger dan de in tabel 2.5 opgenomen emissiegrenswaarde behorende bij die stofklasse.</w:t>
      </w:r>
    </w:p>
    <w:p w:rsidR="00296032" w:rsidRPr="00620047" w:rsidRDefault="00296032">
      <w:pPr>
        <w:pStyle w:val="art1enivo"/>
      </w:pPr>
      <w:r w:rsidRPr="00620047">
        <w:t>2.</w:t>
      </w:r>
      <w:r w:rsidRPr="00620047">
        <w:tab/>
        <w:t>Voor stofklassen S en sO geldt dat alle bronnen in de inrichting afzonderlijk:</w:t>
      </w:r>
    </w:p>
    <w:p w:rsidR="00296032" w:rsidRPr="00620047" w:rsidRDefault="00296032">
      <w:pPr>
        <w:pStyle w:val="art2enivo"/>
      </w:pPr>
      <w:r w:rsidRPr="00620047">
        <w:t>a.</w:t>
      </w:r>
      <w:r w:rsidRPr="00620047">
        <w:tab/>
        <w:t>ten hoogste 5 mg/Nm</w:t>
      </w:r>
      <w:r w:rsidRPr="00620047">
        <w:rPr>
          <w:position w:val="5"/>
        </w:rPr>
        <w:t>3</w:t>
      </w:r>
      <w:r w:rsidRPr="00620047">
        <w:t xml:space="preserve"> emitteren, indien de massastroom van een stof of de som van de onder normale procesomstandigheden gedurende één uur optredende massastromen van stoffen binnen deze stofklasse vanuit al die puntbronnen, groter of gelijk is aan 200 gram per uur, of</w:t>
      </w:r>
    </w:p>
    <w:p w:rsidR="00296032" w:rsidRPr="00620047" w:rsidRDefault="00296032">
      <w:pPr>
        <w:pStyle w:val="art2enivo"/>
      </w:pPr>
      <w:r w:rsidRPr="00620047">
        <w:t>b.</w:t>
      </w:r>
      <w:r w:rsidRPr="00620047">
        <w:tab/>
        <w:t>ten hoogste 20 mg/Nm</w:t>
      </w:r>
      <w:r w:rsidRPr="00620047">
        <w:rPr>
          <w:position w:val="5"/>
        </w:rPr>
        <w:t>3</w:t>
      </w:r>
      <w:r w:rsidRPr="00620047">
        <w:t xml:space="preserve"> emitteren, indien de massastroom van een stof of de som van de onder normale procesomstandigheden gedurende één uur optredende massastromen van stoffen binnen deze stofklasse vanuit al die puntbronnen, kleiner is dan 200 gram per uur.</w:t>
      </w:r>
    </w:p>
    <w:p w:rsidR="00296032" w:rsidRPr="00620047" w:rsidRDefault="00296032">
      <w:pPr>
        <w:pStyle w:val="art1enivo"/>
      </w:pPr>
      <w:r w:rsidRPr="00620047">
        <w:t>3.</w:t>
      </w:r>
      <w:r w:rsidRPr="00620047">
        <w:tab/>
        <w:t>Indien voor een bron geen filtrerende afscheider kan worden toegepast, emitteert deze bron in afwijking van het tweede lid, onderdeel a, afzonderlijk ten hoogste 20 mg/Nm</w:t>
      </w:r>
      <w:r w:rsidRPr="00620047">
        <w:rPr>
          <w:position w:val="5"/>
        </w:rPr>
        <w:t>3</w:t>
      </w:r>
      <w:r w:rsidRPr="00620047">
        <w:t>.</w:t>
      </w:r>
    </w:p>
    <w:p w:rsidR="00296032" w:rsidRPr="00620047" w:rsidRDefault="00296032">
      <w:pPr>
        <w:pStyle w:val="art1enivo"/>
      </w:pPr>
      <w:r w:rsidRPr="00620047">
        <w:t>4.</w:t>
      </w:r>
      <w:r w:rsidRPr="00620047">
        <w:tab/>
        <w:t>Onverminderd het eerste lid is voor de stofcategorieën ZZS, sA en gO in tabel 2.5 een emissiegrenswaarde voor alle bronnen afzonderlijk van toepassing indien:</w:t>
      </w:r>
    </w:p>
    <w:p w:rsidR="00296032" w:rsidRPr="00620047" w:rsidRDefault="00296032">
      <w:pPr>
        <w:pStyle w:val="art2enivo"/>
      </w:pPr>
      <w:r w:rsidRPr="00620047">
        <w:t>a.</w:t>
      </w:r>
      <w:r w:rsidRPr="00620047">
        <w:tab/>
        <w:t>de gedurende één uur optredende massastromen van stoffen uit een stofklasse genoemd in tabel 2.5 samen met de gedurende hetzelfde uur optredende massastromen van stoffen uit de eerstvolgende hogere stofklasse genoemd in die tabel, vanuit alle puntbronnen in de inrichting de in die tabel genoemde grensmassastroom van de laatstbedoelde stofklasse overschrijdt</w:t>
      </w:r>
      <w:r w:rsidR="006A7FC9">
        <w:t>.</w:t>
      </w:r>
      <w:r w:rsidRPr="00620047">
        <w:t xml:space="preserve"> De emissieconcentratie van deze stofklassen per puntbron is in dit geval niet hoger dan de in tabel 2.5 opgenomen emissiegrenswaarde behorende bij de hogere stofklasse;</w:t>
      </w:r>
    </w:p>
    <w:p w:rsidR="00296032" w:rsidRPr="00620047" w:rsidRDefault="00296032">
      <w:pPr>
        <w:pStyle w:val="art2enivo"/>
      </w:pPr>
      <w:r w:rsidRPr="00620047">
        <w:t>b.</w:t>
      </w:r>
      <w:r w:rsidRPr="00620047">
        <w:tab/>
        <w:t xml:space="preserve">de gedurende één uur optredende massastromen van afzonderlijke stofklassen binnen één stofcategorie samen vanuit alle </w:t>
      </w:r>
      <w:r w:rsidR="00386CA4">
        <w:t>punt</w:t>
      </w:r>
      <w:r w:rsidRPr="00620047">
        <w:t>bronnen in de inrichting de in tabel 2.5 genoemde grensmassastroom van de hoogste stofklasse genoemd in die tabel van die stofcategorie overschrijdt. De emissieconcentratie van deze stofcategorie per puntbron is in dit geval niet hoger dan de in tabel 2.5 opgenomen emissiegrenswaarde behorende bij de hoogste stofklasse.</w:t>
      </w:r>
    </w:p>
    <w:p w:rsidR="00296032" w:rsidRPr="00620047" w:rsidRDefault="00296032">
      <w:pPr>
        <w:pStyle w:val="art1enivo"/>
      </w:pPr>
      <w:r w:rsidRPr="00620047">
        <w:t>5.</w:t>
      </w:r>
      <w:r w:rsidRPr="00620047">
        <w:tab/>
        <w:t>Voor stoffen die in een andere stofklasse of stofcategorie worden ingedeeld kunnen, in afwijking van de waarden genoemd in tabel 2.5 en 2.6, indien het belang van de bescherming van het milieu zich daartegen niet verzet, bij ministeriële regeling voor de betreffende stof tijdelijk andere waarden worden vastgesteld.</w:t>
      </w:r>
    </w:p>
    <w:p w:rsidR="00296032" w:rsidRPr="00620047" w:rsidRDefault="00296032">
      <w:pPr>
        <w:pStyle w:val="art1enivo"/>
      </w:pPr>
      <w:r w:rsidRPr="00620047">
        <w:t>6.</w:t>
      </w:r>
      <w:r w:rsidRPr="00620047">
        <w:tab/>
        <w:t>Indien in hoofdstuk 4 of bij ministeriële regeling als bedoeld in het vijfde lid, eisen zijn gesteld aan de emissie van stoffen in de stofcategorie ZZS wordt ten aanzien van de berekeningen in het eerste en vierde lid gerekend met de afwijkende massastroom en emissiegrenswaarde zoals opgenomen in de betreffende artikelen van hoofdstuk 4 of in de betreffende artikelen van de ministeriële regeling.</w:t>
      </w:r>
    </w:p>
    <w:p w:rsidR="00296032" w:rsidRPr="00620047" w:rsidRDefault="00296032">
      <w:pPr>
        <w:pStyle w:val="tabelkop"/>
      </w:pPr>
      <w:r w:rsidRPr="00620047">
        <w:t>Tabel 2.5</w:t>
      </w:r>
    </w:p>
    <w:tbl>
      <w:tblPr>
        <w:tblStyle w:val="Tabelraster"/>
        <w:tblW w:w="9129" w:type="dxa"/>
        <w:tblInd w:w="0" w:type="dxa"/>
        <w:tblLook w:val="04A0" w:firstRow="1" w:lastRow="0" w:firstColumn="1" w:lastColumn="0" w:noHBand="0" w:noVBand="1"/>
      </w:tblPr>
      <w:tblGrid>
        <w:gridCol w:w="2135"/>
        <w:gridCol w:w="1924"/>
        <w:gridCol w:w="2597"/>
        <w:gridCol w:w="2473"/>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Stofcategorie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Stofklasse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E05570">
            <w:r>
              <w:t xml:space="preserve">Grensmassastroom </w:t>
            </w:r>
            <w:r w:rsidR="00296032" w:rsidRPr="00620047">
              <w:t>mg TEQ/jaar</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Emissiegrenswaarde</w:t>
            </w:r>
          </w:p>
          <w:p w:rsidR="00296032" w:rsidRPr="00620047" w:rsidRDefault="00296032">
            <w:r w:rsidRPr="00620047">
              <w:t xml:space="preserve"> ng TEQ /Nm3</w:t>
            </w:r>
            <w:r w:rsidR="00244F18">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ZZS</w:t>
            </w:r>
          </w:p>
          <w:p w:rsidR="00296032" w:rsidRPr="00620047" w:rsidRDefault="00296032">
            <w:r w:rsidRPr="00620047">
              <w:t xml:space="preserve">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ERS</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20</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0,1</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pP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Stofklasse</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Grensmassastroom g/uur</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Emissiegrenswaarde</w:t>
            </w:r>
          </w:p>
          <w:p w:rsidR="00296032" w:rsidRPr="00620047" w:rsidRDefault="00296032">
            <w:r w:rsidRPr="00620047">
              <w:t xml:space="preserve"> mg/Nm3</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pP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MVP1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0,15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0,05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pP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MVP2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2,5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1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sA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sA.1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0,25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0,05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sA.2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2,5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0,5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sA.3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10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gA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gA.1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2,5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0,5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gA.2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15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3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gA.3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150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30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gA.4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w:t>
            </w:r>
            <w:r w:rsidR="00E41F52">
              <w:t>.</w:t>
            </w:r>
            <w:r w:rsidRPr="00620047">
              <w:t xml:space="preserve">000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50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gA.5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w:t>
            </w:r>
            <w:r w:rsidR="00E41F52">
              <w:t>.</w:t>
            </w:r>
            <w:r w:rsidRPr="00620047">
              <w:t xml:space="preserve">000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200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gO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gO.1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100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20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gO.2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500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50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1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w:t>
            </w:r>
          </w:p>
        </w:tc>
        <w:tc>
          <w:tcPr>
            <w:tcW w:w="192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gO.3 </w:t>
            </w:r>
          </w:p>
        </w:tc>
        <w:tc>
          <w:tcPr>
            <w:tcW w:w="25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500 </w:t>
            </w:r>
          </w:p>
        </w:tc>
        <w:tc>
          <w:tcPr>
            <w:tcW w:w="24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100 </w:t>
            </w:r>
          </w:p>
        </w:tc>
      </w:tr>
    </w:tbl>
    <w:p w:rsidR="00296032" w:rsidRPr="00620047" w:rsidRDefault="00296032"/>
    <w:p w:rsidR="00296032" w:rsidRPr="00296032" w:rsidRDefault="00296032">
      <w:pPr>
        <w:pStyle w:val="artikelkop"/>
      </w:pPr>
      <w:r w:rsidRPr="00296032">
        <w:t xml:space="preserve">Artikel 2.6 </w:t>
      </w:r>
    </w:p>
    <w:p w:rsidR="00296032" w:rsidRPr="00620047" w:rsidRDefault="00296032">
      <w:pPr>
        <w:pStyle w:val="artplat"/>
      </w:pPr>
      <w:r w:rsidRPr="00620047">
        <w:t>Indien de massastroom van een bron op jaarbasis kleiner is dan de in tabel 2.6 genoemde vrijstellingsgrens gelden in afwijking van artikel 2.5 en de emissiegrenswaarden voor stoffen waarvoor in hoofdstuk 4 eisen aan emissies naar de lucht zijn gesteld, de daarin genoemde emissiegrenswaarden niet voor de emissie van die bron.</w:t>
      </w:r>
    </w:p>
    <w:p w:rsidR="00296032" w:rsidRPr="00620047" w:rsidRDefault="00296032">
      <w:pPr>
        <w:pStyle w:val="tabelkop"/>
      </w:pPr>
      <w:r w:rsidRPr="00620047">
        <w:t>Tabel 2.6</w:t>
      </w:r>
    </w:p>
    <w:tbl>
      <w:tblPr>
        <w:tblStyle w:val="Tabelraster"/>
        <w:tblW w:w="9129" w:type="dxa"/>
        <w:tblInd w:w="0" w:type="dxa"/>
        <w:tblLook w:val="04A0" w:firstRow="1" w:lastRow="0" w:firstColumn="1" w:lastColumn="0" w:noHBand="0" w:noVBand="1"/>
      </w:tblPr>
      <w:tblGrid>
        <w:gridCol w:w="2690"/>
        <w:gridCol w:w="2580"/>
        <w:gridCol w:w="3859"/>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r w:rsidRPr="00620047">
              <w:rPr>
                <w:rFonts w:cs="Arial"/>
                <w:sz w:val="16"/>
                <w:szCs w:val="16"/>
              </w:rPr>
              <w:t xml:space="preserve">Stofcategorie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Stofklasse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Vrijstellingsgrens</w:t>
            </w:r>
            <w:r w:rsidRPr="00620047">
              <w:rPr>
                <w:rFonts w:cs="Arial"/>
                <w:sz w:val="16"/>
                <w:szCs w:val="16"/>
              </w:rPr>
              <w:br/>
              <w:t xml:space="preserve"> (mg TEQ/jaar )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vMerge w:val="restart"/>
            <w:tcBorders>
              <w:top w:val="single" w:sz="4" w:space="0" w:color="7F7F7F"/>
              <w:left w:val="single" w:sz="4" w:space="0" w:color="7F7F7F"/>
              <w:bottom w:val="single" w:sz="4" w:space="0" w:color="7F7F7F"/>
              <w:right w:val="single" w:sz="4" w:space="0" w:color="7F7F7F"/>
            </w:tcBorders>
          </w:tcPr>
          <w:p w:rsidR="00296032" w:rsidRPr="00620047" w:rsidRDefault="00296032">
            <w:pPr>
              <w:widowControl w:val="0"/>
              <w:autoSpaceDE w:val="0"/>
              <w:autoSpaceDN w:val="0"/>
              <w:adjustRightInd w:val="0"/>
              <w:rPr>
                <w:rFonts w:cs="Arial"/>
              </w:rPr>
            </w:pPr>
          </w:p>
          <w:p w:rsidR="00296032" w:rsidRPr="00620047" w:rsidRDefault="00296032">
            <w:pPr>
              <w:widowControl w:val="0"/>
              <w:autoSpaceDE w:val="0"/>
              <w:autoSpaceDN w:val="0"/>
              <w:adjustRightInd w:val="0"/>
              <w:rPr>
                <w:rFonts w:cs="Arial"/>
                <w:sz w:val="16"/>
                <w:szCs w:val="16"/>
              </w:rPr>
            </w:pPr>
          </w:p>
          <w:p w:rsidR="00296032" w:rsidRPr="00620047" w:rsidRDefault="00296032">
            <w:pPr>
              <w:widowControl w:val="0"/>
              <w:autoSpaceDE w:val="0"/>
              <w:autoSpaceDN w:val="0"/>
              <w:adjustRightInd w:val="0"/>
              <w:rPr>
                <w:rFonts w:cs="Arial"/>
                <w:sz w:val="16"/>
                <w:szCs w:val="16"/>
              </w:rPr>
            </w:pPr>
            <w:r w:rsidRPr="00620047">
              <w:rPr>
                <w:rFonts w:cs="Arial"/>
                <w:sz w:val="16"/>
                <w:szCs w:val="16"/>
              </w:rPr>
              <w:t>ZZS</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ERS</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20</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 w:val="16"/>
                <w:szCs w:val="16"/>
              </w:rPr>
            </w:pP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Stofklasse</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Vrijstellingsgrens</w:t>
            </w:r>
          </w:p>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 (kilogram per jaar)</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 w:val="16"/>
                <w:szCs w:val="16"/>
              </w:rPr>
            </w:pP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MVP1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0,075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 w:val="16"/>
                <w:szCs w:val="16"/>
              </w:rPr>
            </w:pP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MVP2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1,25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r w:rsidRPr="00620047">
              <w:rPr>
                <w:rFonts w:cs="Arial"/>
                <w:sz w:val="16"/>
                <w:szCs w:val="16"/>
              </w:rPr>
              <w:t xml:space="preserve">S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S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100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r w:rsidRPr="00620047">
              <w:rPr>
                <w:rFonts w:cs="Arial"/>
                <w:sz w:val="16"/>
                <w:szCs w:val="16"/>
              </w:rPr>
              <w:t xml:space="preserve">sO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sO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E41F52">
            <w:pPr>
              <w:widowControl w:val="0"/>
              <w:autoSpaceDE w:val="0"/>
              <w:autoSpaceDN w:val="0"/>
              <w:adjustRightInd w:val="0"/>
              <w:rPr>
                <w:rFonts w:cs="Arial"/>
                <w:sz w:val="16"/>
                <w:szCs w:val="16"/>
              </w:rPr>
            </w:pPr>
            <w:r>
              <w:rPr>
                <w:rFonts w:cs="Arial"/>
                <w:sz w:val="16"/>
                <w:szCs w:val="16"/>
              </w:rPr>
              <w:t>100</w:t>
            </w:r>
            <w:r w:rsidR="00296032" w:rsidRPr="00620047">
              <w:rPr>
                <w:rFonts w:cs="Arial"/>
                <w:sz w:val="16"/>
                <w:szCs w:val="16"/>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r w:rsidRPr="00620047">
              <w:rPr>
                <w:rFonts w:cs="Arial"/>
                <w:sz w:val="16"/>
                <w:szCs w:val="16"/>
              </w:rPr>
              <w:t xml:space="preserve">sA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sA.1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0,125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sA.2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1,25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sA.3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r w:rsidRPr="00620047">
              <w:rPr>
                <w:rFonts w:cs="Arial"/>
                <w:sz w:val="16"/>
                <w:szCs w:val="16"/>
              </w:rPr>
              <w:t xml:space="preserve">gA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gA.1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1,25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gA.2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7,5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gA.3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75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gA.4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1</w:t>
            </w:r>
            <w:r w:rsidR="00371676">
              <w:rPr>
                <w:rFonts w:cs="Arial"/>
                <w:sz w:val="16"/>
                <w:szCs w:val="16"/>
              </w:rPr>
              <w:t>.</w:t>
            </w:r>
            <w:r w:rsidRPr="00620047">
              <w:rPr>
                <w:rFonts w:cs="Arial"/>
                <w:sz w:val="16"/>
                <w:szCs w:val="16"/>
              </w:rPr>
              <w:t xml:space="preserve">000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gA.5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1</w:t>
            </w:r>
            <w:r w:rsidR="00371676">
              <w:rPr>
                <w:rFonts w:cs="Arial"/>
                <w:sz w:val="16"/>
                <w:szCs w:val="16"/>
              </w:rPr>
              <w:t>.</w:t>
            </w:r>
            <w:r w:rsidRPr="00620047">
              <w:rPr>
                <w:rFonts w:cs="Arial"/>
                <w:sz w:val="16"/>
                <w:szCs w:val="16"/>
              </w:rPr>
              <w:t xml:space="preserve">000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r w:rsidRPr="00620047">
              <w:rPr>
                <w:rFonts w:cs="Arial"/>
                <w:sz w:val="16"/>
                <w:szCs w:val="16"/>
              </w:rPr>
              <w:t xml:space="preserve">gO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gO.1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50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gO.2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250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269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rPr>
              <w:t xml:space="preserve"> </w:t>
            </w:r>
          </w:p>
        </w:tc>
        <w:tc>
          <w:tcPr>
            <w:tcW w:w="258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gO.3 </w:t>
            </w:r>
          </w:p>
        </w:tc>
        <w:tc>
          <w:tcPr>
            <w:tcW w:w="38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16"/>
                <w:szCs w:val="16"/>
              </w:rPr>
            </w:pPr>
            <w:r w:rsidRPr="00620047">
              <w:rPr>
                <w:rFonts w:cs="Arial"/>
                <w:sz w:val="16"/>
                <w:szCs w:val="16"/>
              </w:rPr>
              <w:t xml:space="preserve">250 </w:t>
            </w:r>
          </w:p>
        </w:tc>
      </w:tr>
    </w:tbl>
    <w:p w:rsidR="00296032" w:rsidRPr="00296032" w:rsidRDefault="00296032">
      <w:pPr>
        <w:pStyle w:val="artikelkop"/>
      </w:pPr>
      <w:r w:rsidRPr="00296032">
        <w:t xml:space="preserve">Artikel 2.7 </w:t>
      </w:r>
    </w:p>
    <w:p w:rsidR="00296032" w:rsidRPr="00620047" w:rsidRDefault="00296032">
      <w:pPr>
        <w:pStyle w:val="art1enivo"/>
      </w:pPr>
      <w:r w:rsidRPr="00620047">
        <w:t>1.</w:t>
      </w:r>
      <w:r w:rsidRPr="00620047">
        <w:tab/>
        <w:t>Indien de geografische ligging, de plaatselijke milieuomstandigheden of de technische kenmerken van de betrokken installatie daartoe aanleiding geven, kan het bevoegd gezag de emissiegrenswaarden voor de stofcategorieën S, sO, sA, gA en gO, bedoeld in de artikelen 2.5 en 6, met uitzondering van de emissiegrenswaarden voor stoffen waarvoor in de hoofdstukken 3 en 4 eisen aan emissies naar de lucht zijn gesteld, bij maatwerkvoorschrift niet van toepassing verklaren en andere emissiegrenswaarden vaststellen dan wel eisen stellen aan emissies van diffuse bronnen dan wel andere eisen stellen om luchtverontreiniging te voorkomen dan wel voor zover dat niet mogelijk is zoveel mogelijk te beperken. Daarbij worden in de inrichting ten minste de voor de inrichting in aanmerking komende beste beschikbare technieken toegepast.</w:t>
      </w:r>
    </w:p>
    <w:p w:rsidR="00296032" w:rsidRPr="00620047" w:rsidRDefault="00296032">
      <w:pPr>
        <w:pStyle w:val="art1enivo"/>
      </w:pPr>
      <w:r w:rsidRPr="00620047">
        <w:t>2.</w:t>
      </w:r>
      <w:r w:rsidRPr="00620047">
        <w:tab/>
        <w:t>Ten aanzien van de technische kenmerken wordt onder meer rekening gehouden met een afwijkend emissiepatroon, kosteneffectiviteit en integrale afweging van de mogelijkheden voor emissiebeperking.</w:t>
      </w:r>
    </w:p>
    <w:p w:rsidR="00296032" w:rsidRPr="00620047" w:rsidRDefault="00296032">
      <w:pPr>
        <w:pStyle w:val="art1enivo"/>
      </w:pPr>
      <w:r w:rsidRPr="00620047">
        <w:t>3.</w:t>
      </w:r>
      <w:r w:rsidRPr="00620047">
        <w:tab/>
        <w:t>Het bevoegd gezag stelt de kosteneffectiviteit van maatregelen vast volgens de rekenmethode in bijlage 2 en de waarden, bedoeld in het vierde tot en met het zesde lid.</w:t>
      </w:r>
    </w:p>
    <w:p w:rsidR="00296032" w:rsidRPr="00620047" w:rsidRDefault="00296032">
      <w:pPr>
        <w:pStyle w:val="art1enivo"/>
      </w:pPr>
      <w:r w:rsidRPr="00620047">
        <w:t>4.</w:t>
      </w:r>
      <w:r w:rsidRPr="00620047">
        <w:tab/>
        <w:t>Een maatregel met betrekking tot emissies van stikstofoxiden (NO</w:t>
      </w:r>
      <w:r w:rsidRPr="00620047">
        <w:rPr>
          <w:position w:val="-2"/>
        </w:rPr>
        <w:t>x</w:t>
      </w:r>
      <w:r w:rsidRPr="00620047">
        <w:t>), zwaveldioxide (SO</w:t>
      </w:r>
      <w:r w:rsidRPr="00620047">
        <w:rPr>
          <w:position w:val="-2"/>
        </w:rPr>
        <w:t>2</w:t>
      </w:r>
      <w:r w:rsidRPr="00620047">
        <w:t>), vluchtige organische stoffen (VOS) of totaal stof is in ieder geval kosteneffectief indien de berekende waarde lager is dan de laagste waarde van het afwegingsgebied in tabel 2.7.</w:t>
      </w:r>
    </w:p>
    <w:p w:rsidR="00296032" w:rsidRPr="00620047" w:rsidRDefault="00296032">
      <w:pPr>
        <w:pStyle w:val="tabelkop"/>
      </w:pPr>
      <w:r w:rsidRPr="00620047">
        <w:t>Tabel 2.7</w:t>
      </w:r>
    </w:p>
    <w:p w:rsidR="00296032" w:rsidRPr="00620047" w:rsidRDefault="00296032">
      <w:pPr>
        <w:pStyle w:val="Basis"/>
        <w:spacing w:before="210"/>
        <w:ind w:left="510" w:hanging="510"/>
        <w:rPr>
          <w:lang w:val="nl-NL"/>
        </w:rPr>
      </w:pPr>
    </w:p>
    <w:tbl>
      <w:tblPr>
        <w:tblStyle w:val="Tabelraster"/>
        <w:tblW w:w="5000" w:type="pct"/>
        <w:tblInd w:w="0" w:type="dxa"/>
        <w:tblLook w:val="04A0" w:firstRow="1" w:lastRow="0" w:firstColumn="1" w:lastColumn="0" w:noHBand="0" w:noVBand="1"/>
      </w:tblPr>
      <w:tblGrid>
        <w:gridCol w:w="1729"/>
        <w:gridCol w:w="7456"/>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tcPr>
          <w:p w:rsidR="00296032" w:rsidRPr="00620047" w:rsidRDefault="00296032"/>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Afwegingsgebied (€/kg)</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NOx</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5 – 20</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SO2</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5 – 10</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VOS</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8 – 15</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Stof</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8 – 15</w:t>
            </w:r>
          </w:p>
        </w:tc>
      </w:tr>
    </w:tbl>
    <w:p w:rsidR="00296032" w:rsidRPr="00620047" w:rsidRDefault="00296032">
      <w:pPr>
        <w:pStyle w:val="art1enivo"/>
      </w:pPr>
      <w:r w:rsidRPr="00620047">
        <w:t>5.</w:t>
      </w:r>
      <w:r w:rsidRPr="00620047">
        <w:tab/>
        <w:t>Een maatregel met betrekking tot de emissie van de stoffen, bedoeld in het vierde lid, is niet kosteneffectief indien de berekende waarde hoger is dan de hoogste waarde van het afwegingsgebied in tabel 2.7.</w:t>
      </w:r>
    </w:p>
    <w:p w:rsidR="00296032" w:rsidRPr="00620047" w:rsidRDefault="00296032">
      <w:pPr>
        <w:pStyle w:val="art1enivo"/>
      </w:pPr>
      <w:r w:rsidRPr="00620047">
        <w:t>6.</w:t>
      </w:r>
      <w:r w:rsidRPr="00620047">
        <w:tab/>
        <w:t>Indien de berekende kosteneffectiviteit van een maatregel, met betrekking tot de emissie van de stoffen, bedoeld in het vierde lid, binnen het afwegingsgebied van tabel 2.7 ligt, bepaalt het bevoegd gezag bij maatwerkvoorschrift of die maatregel in een individueel geval kosteneffectief is.</w:t>
      </w:r>
    </w:p>
    <w:p w:rsidR="00296032" w:rsidRPr="00620047" w:rsidRDefault="00296032">
      <w:pPr>
        <w:pStyle w:val="art1enivo"/>
      </w:pPr>
      <w:r w:rsidRPr="00620047">
        <w:t>7.</w:t>
      </w:r>
      <w:r w:rsidRPr="00620047">
        <w:tab/>
        <w:t>Indien een maatwerkvoorschrift, als bedoeld in het eerste lid, wordt vastgesteld kan het bevoegd gezag besluiten dat door degene die de inrichting drijft een rapport van een onderzoek naar de beschikbaarheid van maatregelen wordt overgelegd om te kunnen voldoen aan de artikelen 2.5 en 2.6.</w:t>
      </w:r>
    </w:p>
    <w:p w:rsidR="00296032" w:rsidRPr="00620047" w:rsidRDefault="00296032">
      <w:pPr>
        <w:pStyle w:val="art1enivo"/>
      </w:pPr>
      <w:r w:rsidRPr="00620047">
        <w:t>8.</w:t>
      </w:r>
      <w:r w:rsidRPr="00620047">
        <w:tab/>
        <w:t>Het bevoegd gezag kan tevens, in het belang van de bescherming van het milieu, maatwerkvoorschriften stellen met betrekking tot het controleren van emissies naar de lucht, bedoeld in de artikelen 2.5 en 2.6, en alle activiteiten waarvoor bij of krachtens de hoofdstukken 3 en 4 eisen aan emissies naar de lucht zijn gesteld indien:</w:t>
      </w:r>
    </w:p>
    <w:p w:rsidR="00296032" w:rsidRPr="00620047" w:rsidRDefault="00296032">
      <w:pPr>
        <w:pStyle w:val="art2enivo"/>
      </w:pPr>
      <w:r w:rsidRPr="00620047">
        <w:t>a.</w:t>
      </w:r>
      <w:r w:rsidRPr="00620047">
        <w:tab/>
        <w:t>de inrichting een andere maatregel heeft gekozen dan de maatregel die is erkend op grond van de ministeriële regeling, bedoeld in artikel 1.7;</w:t>
      </w:r>
    </w:p>
    <w:p w:rsidR="00296032" w:rsidRPr="00620047" w:rsidRDefault="00296032">
      <w:pPr>
        <w:pStyle w:val="art2enivo"/>
      </w:pPr>
      <w:r w:rsidRPr="00620047">
        <w:t>b.</w:t>
      </w:r>
      <w:r w:rsidRPr="00620047">
        <w:tab/>
        <w:t>de toegepaste emissiebeperkende techniek in combinatie met de geëmitteerde stoffen leidt tot hoge storinggevoeligheid, er veel onderhoud nodig is dan wel er veel fluctuaties zijn in de aard en grootte van de emissies;</w:t>
      </w:r>
    </w:p>
    <w:p w:rsidR="00296032" w:rsidRPr="00620047" w:rsidRDefault="00296032">
      <w:pPr>
        <w:pStyle w:val="art2enivo"/>
      </w:pPr>
      <w:r w:rsidRPr="00620047">
        <w:t>c.</w:t>
      </w:r>
      <w:r w:rsidRPr="00620047">
        <w:tab/>
        <w:t>de grootte en aard van de emissies daartoe aanleiding geven, of</w:t>
      </w:r>
    </w:p>
    <w:p w:rsidR="00296032" w:rsidRPr="00620047" w:rsidRDefault="00296032">
      <w:pPr>
        <w:pStyle w:val="art2enivo"/>
      </w:pPr>
      <w:r w:rsidRPr="00620047">
        <w:t>d.</w:t>
      </w:r>
      <w:r w:rsidRPr="00620047">
        <w:tab/>
        <w:t>de grootte van de emissies die kunnen optreden bij storing aan de emissiebeperkende techniek, daartoe aanleiding geven.</w:t>
      </w:r>
    </w:p>
    <w:p w:rsidR="00296032" w:rsidRPr="00620047" w:rsidRDefault="00296032">
      <w:pPr>
        <w:pStyle w:val="art1enivo"/>
      </w:pPr>
      <w:r w:rsidRPr="00620047">
        <w:t>9.</w:t>
      </w:r>
      <w:r w:rsidRPr="00620047">
        <w:tab/>
        <w:t>Het bevoegd gezag kan tevens, in het belang van de bescherming van het milieu, maatwerkvoorschriften stellen met betrekking tot het onderhoud en de controle van een emissiebeperkende techniek die door degene die de inrichting drijft, wordt ingezet om aan de artikelen 2.5, 2.6, 3.26b, 3.38, 3.141, 3.143, 4.21, 4.23, 4.27a, 4.29, 4.31b, 4.33 tot en met 4.35, 4.40 tot en met 4.42, 4.44 tot en met 4.46, 4.50, 4.54, 4.54a, 4.58, 4.60, 4.62, 4.65, 4.68, 4.74b, 4.74f, 4.74j, 4.74s, 4.94, 4.94g, 4.103aa, 4.103d, 4.119 en 4.125 te voldoen indien geen of naar de mening van het bevoegd gezag onvoldoende onderhoud is verricht aan de emissiebeperkende techniek.</w:t>
      </w:r>
    </w:p>
    <w:p w:rsidR="00296032" w:rsidRPr="00296032" w:rsidRDefault="00296032">
      <w:pPr>
        <w:pStyle w:val="artikelkop"/>
      </w:pPr>
      <w:r w:rsidRPr="00296032">
        <w:t xml:space="preserve">Artikel 2.7a </w:t>
      </w:r>
    </w:p>
    <w:p w:rsidR="00296032" w:rsidRPr="00620047" w:rsidRDefault="00296032">
      <w:pPr>
        <w:pStyle w:val="art1enivo"/>
      </w:pPr>
      <w:r w:rsidRPr="00620047">
        <w:t>1.</w:t>
      </w:r>
      <w:r w:rsidRPr="00620047">
        <w:tab/>
        <w:t>Indien bij een activiteit emissies naar de lucht plaatsvinden, wordt daarbij geurhinder bij geurgevoelige objecten voorkomen, dan wel voor zover dat niet mogelijk is wordt de geurhinder tot een aanvaardbaar niveau beperkt.</w:t>
      </w:r>
    </w:p>
    <w:p w:rsidR="00296032" w:rsidRPr="00620047" w:rsidRDefault="00296032">
      <w:pPr>
        <w:pStyle w:val="art1enivo"/>
      </w:pPr>
      <w:r w:rsidRPr="00620047">
        <w:t>2.</w:t>
      </w:r>
      <w:r w:rsidRPr="00620047">
        <w:tab/>
        <w:t>Het bevoegd gezag kan, indien het redelijk vermoeden bestaat dat niet aan het eerste lid wordt voldaan, besluiten dat een rapport van een geuronderzoek wordt overgelegd. Een geuronderzoek wordt uitgevoerd overeenkomstig de NTA 9065.</w:t>
      </w:r>
    </w:p>
    <w:p w:rsidR="00296032" w:rsidRPr="00620047" w:rsidRDefault="00296032">
      <w:pPr>
        <w:pStyle w:val="art1enivo"/>
      </w:pPr>
      <w:r w:rsidRPr="00620047">
        <w:t>3.</w:t>
      </w:r>
      <w:r w:rsidRPr="00620047">
        <w:tab/>
        <w:t>Bij het bepalen van een aanvaardbaar niveau van geurhinder wordt ten minste rekening gehouden met de volgende aspecten:</w:t>
      </w:r>
    </w:p>
    <w:p w:rsidR="00296032" w:rsidRPr="00620047" w:rsidRDefault="00296032">
      <w:pPr>
        <w:pStyle w:val="art2enivo"/>
      </w:pPr>
      <w:r w:rsidRPr="00620047">
        <w:t>a.</w:t>
      </w:r>
      <w:r w:rsidRPr="00620047">
        <w:tab/>
        <w:t>de bestaande toetsingskaders, waaronder lokaal geurbeleid;</w:t>
      </w:r>
    </w:p>
    <w:p w:rsidR="00296032" w:rsidRPr="00620047" w:rsidRDefault="00296032">
      <w:pPr>
        <w:pStyle w:val="art2enivo"/>
      </w:pPr>
      <w:r w:rsidRPr="00620047">
        <w:t>b.</w:t>
      </w:r>
      <w:r w:rsidRPr="00620047">
        <w:tab/>
        <w:t>de geurbelasting ter plaatse van geurgevoelige objecten;</w:t>
      </w:r>
    </w:p>
    <w:p w:rsidR="00296032" w:rsidRPr="00620047" w:rsidRDefault="00296032">
      <w:pPr>
        <w:pStyle w:val="art2enivo"/>
      </w:pPr>
      <w:r w:rsidRPr="00620047">
        <w:t>c.</w:t>
      </w:r>
      <w:r w:rsidRPr="00620047">
        <w:tab/>
        <w:t>de aard, omvang en waardering van de geur die vrijkomt bij de betreffende inrichting;</w:t>
      </w:r>
    </w:p>
    <w:p w:rsidR="00296032" w:rsidRPr="00620047" w:rsidRDefault="00296032">
      <w:pPr>
        <w:pStyle w:val="art2enivo"/>
      </w:pPr>
      <w:r w:rsidRPr="00620047">
        <w:t>d.</w:t>
      </w:r>
      <w:r w:rsidRPr="00620047">
        <w:tab/>
        <w:t>de historie van de betreffende inrichting en het klachtenpatroon met betrekking geurhinder;</w:t>
      </w:r>
    </w:p>
    <w:p w:rsidR="00296032" w:rsidRPr="00620047" w:rsidRDefault="00296032">
      <w:pPr>
        <w:pStyle w:val="art2enivo"/>
      </w:pPr>
      <w:r w:rsidRPr="00620047">
        <w:t>e.</w:t>
      </w:r>
      <w:r w:rsidRPr="00620047">
        <w:tab/>
        <w:t>de bestaande en verwachte geurhinder van de betreffende inrichting, en</w:t>
      </w:r>
    </w:p>
    <w:p w:rsidR="00296032" w:rsidRPr="00620047" w:rsidRDefault="00296032">
      <w:pPr>
        <w:pStyle w:val="art2enivo"/>
      </w:pPr>
      <w:r w:rsidRPr="00620047">
        <w:t>f.</w:t>
      </w:r>
      <w:r w:rsidRPr="00620047">
        <w:tab/>
        <w:t>de kosten en baten van technische voorzieningen en gedragsregels in de inrichting.</w:t>
      </w:r>
    </w:p>
    <w:p w:rsidR="00296032" w:rsidRPr="00620047" w:rsidRDefault="00296032">
      <w:pPr>
        <w:pStyle w:val="art1enivo"/>
      </w:pPr>
      <w:r w:rsidRPr="00620047">
        <w:t>4.</w:t>
      </w:r>
      <w:r w:rsidRPr="00620047">
        <w:tab/>
        <w:t>Het bevoegd gezag kan, indien blijkt dat de geurhinder ter plaatse van een of meer geurgevoelige objecten een aanvaardbaar hinderniveau overschrijdt, bij maatwerkvoorschrift:</w:t>
      </w:r>
    </w:p>
    <w:p w:rsidR="00296032" w:rsidRPr="00620047" w:rsidRDefault="00296032">
      <w:pPr>
        <w:pStyle w:val="art2enivo"/>
      </w:pPr>
      <w:r w:rsidRPr="00620047">
        <w:t>a.</w:t>
      </w:r>
      <w:r w:rsidRPr="00620047">
        <w:tab/>
        <w:t>geuremissiewaarden vaststellen;</w:t>
      </w:r>
    </w:p>
    <w:p w:rsidR="00296032" w:rsidRPr="00620047" w:rsidRDefault="00296032">
      <w:pPr>
        <w:pStyle w:val="art2enivo"/>
      </w:pPr>
      <w:r w:rsidRPr="00620047">
        <w:t>b.</w:t>
      </w:r>
      <w:r w:rsidRPr="00620047">
        <w:tab/>
        <w:t>bepalen dat bepaalde geurbelastingen ter plaatse van die objecten niet worden overschreden, of</w:t>
      </w:r>
    </w:p>
    <w:p w:rsidR="00296032" w:rsidRPr="00620047" w:rsidRDefault="00296032">
      <w:pPr>
        <w:pStyle w:val="art2enivo"/>
      </w:pPr>
      <w:r w:rsidRPr="00620047">
        <w:t>c.</w:t>
      </w:r>
      <w:r w:rsidRPr="00620047">
        <w:tab/>
        <w:t>bepalen dat technische voorzieningen in de inrichting worden aangebracht of gedragsregels in de inrichting in acht worden genomen om de geurhinder tot een aanvaardbaar niveau te beperken.</w:t>
      </w:r>
    </w:p>
    <w:p w:rsidR="00296032" w:rsidRPr="00620047" w:rsidRDefault="00296032">
      <w:pPr>
        <w:pStyle w:val="art1enivo"/>
      </w:pPr>
      <w:r w:rsidRPr="00620047">
        <w:t>5.</w:t>
      </w:r>
      <w:r w:rsidRPr="00620047">
        <w:tab/>
        <w:t>Indien een maatwerkvoorschrift als bedoeld in het vierde lid wordt vastgesteld, kan het bevoegd gezag besluiten dat door degene die de inrichting drijft een rapport van een onderzoek naar de beschikbaarheid van technische voorzieningen en gedragsregels wordt overgelegd waaruit blijkt dat aan het eerste lid wordt voldaan.</w:t>
      </w:r>
    </w:p>
    <w:p w:rsidR="00296032" w:rsidRPr="00296032" w:rsidRDefault="00296032">
      <w:pPr>
        <w:pStyle w:val="artikelkop"/>
      </w:pPr>
      <w:r w:rsidRPr="00296032">
        <w:t xml:space="preserve">Artikel 2.8 </w:t>
      </w:r>
    </w:p>
    <w:p w:rsidR="00296032" w:rsidRPr="00620047" w:rsidRDefault="00296032">
      <w:pPr>
        <w:pStyle w:val="art1enivo"/>
      </w:pPr>
      <w:r w:rsidRPr="00620047">
        <w:t>1.</w:t>
      </w:r>
      <w:r w:rsidRPr="00620047">
        <w:tab/>
        <w:t>Indien bij ministeriële regeling op grond van artikel 1.7 is bepaald dat daarbij aangegeven maatregelen ter bescherming van het milieu kunnen worden toegepast maar degene die de inrichting drijft op een andere wijze voldoet aan de eisen ten aanzien van emissies naar de lucht van stoffen die bij of krachtens de hoofdstukken 3, 4 of 5 zijn gesteld:</w:t>
      </w:r>
    </w:p>
    <w:p w:rsidR="00296032" w:rsidRPr="00620047" w:rsidRDefault="00296032">
      <w:pPr>
        <w:pStyle w:val="art2enivo"/>
      </w:pPr>
      <w:r w:rsidRPr="00620047">
        <w:t>a.</w:t>
      </w:r>
      <w:r w:rsidRPr="00620047">
        <w:tab/>
        <w:t>wordt op verzoek van het bevoegd gezag eenmalig aangetoond dat de grensmassastromen zoals bedoeld in artikel 2.5 en in de hoofdstukken 3, 4 of 5 vanwege het in werking zijn van de inrichting, niet overschreden worden, of</w:t>
      </w:r>
    </w:p>
    <w:p w:rsidR="00296032" w:rsidRPr="00620047" w:rsidRDefault="00296032">
      <w:pPr>
        <w:pStyle w:val="art2enivo"/>
      </w:pPr>
      <w:r w:rsidRPr="00620047">
        <w:t>b.</w:t>
      </w:r>
      <w:r w:rsidRPr="00620047">
        <w:tab/>
        <w:t>wordt op verzoek van het bevoegd gezag, indien één of meer grensmassastromen als bedoeld in de hoofdstukken 3, 4 en 5 worden overschreden, eenmalig aangetoond of wordt voldaan aan de emissie-eisen dan wel een op grond van artikel 2.7, eerste lid, gestelde eis ten aanzien van stoffen waarvoor in de artikelen 3.38, 3.43, 4.21, 4.23, 4.27, 4.29, 4.33 tot en met 4.35, 4.40 tot en met 4.42, 4.44 tot en met 4.46, 4.50, 4.54, 4.54a, 4.58, 4.60, 4.62, 4.65, 4.68, 4.74b, 4.74f, 4.94, 4.94g, 4.103a, 4.103d, 4.119 en 4.125, eisen ten aanzien van emissies naar de lucht zijn gesteld door middel van een emissiemeting, dan wel door middel van een emissieberekening mits dit is goedgekeurd door het bevoegd gezag, met uitzondering van bronnen waarvan is aangetoond dat de massastroom lager is dan de vrijstellingsgrens, bedoeld in artikel 2.6.</w:t>
      </w:r>
    </w:p>
    <w:p w:rsidR="00296032" w:rsidRPr="00620047" w:rsidRDefault="00296032">
      <w:pPr>
        <w:pStyle w:val="art1enivo"/>
      </w:pPr>
      <w:r w:rsidRPr="00620047">
        <w:t>2.</w:t>
      </w:r>
      <w:r w:rsidRPr="00620047">
        <w:tab/>
        <w:t>Het eerste lid, onderdelen a en b, is van overeenkomstige toepassing op een verandering van de inrichting indien de verandering naar verwachting zal leiden tot een significante toename van de emissie.</w:t>
      </w:r>
    </w:p>
    <w:p w:rsidR="00296032" w:rsidRPr="00620047" w:rsidRDefault="00296032">
      <w:pPr>
        <w:pStyle w:val="art1enivo"/>
      </w:pPr>
      <w:r w:rsidRPr="00620047">
        <w:t>3.</w:t>
      </w:r>
      <w:r w:rsidRPr="00620047">
        <w:tab/>
        <w:t>Indien op grond van artikel 2.5 en artikel 2.6 emissiegrenswaarden gelden dan worden de emissies gecontroleerd op basis van een controleregime als bedoeld in tabel 2.8.</w:t>
      </w:r>
    </w:p>
    <w:p w:rsidR="00296032" w:rsidRPr="00620047" w:rsidRDefault="00296032">
      <w:pPr>
        <w:pStyle w:val="tabelkop"/>
      </w:pPr>
      <w:r w:rsidRPr="00620047">
        <w:t>Tabel 2.8</w:t>
      </w:r>
    </w:p>
    <w:p w:rsidR="00296032" w:rsidRPr="00620047" w:rsidRDefault="00296032"/>
    <w:tbl>
      <w:tblPr>
        <w:tblStyle w:val="Tabelraster"/>
        <w:tblW w:w="5000" w:type="pct"/>
        <w:tblInd w:w="0" w:type="dxa"/>
        <w:tblLook w:val="04A0" w:firstRow="1" w:lastRow="0" w:firstColumn="1" w:lastColumn="0" w:noHBand="0" w:noVBand="1"/>
      </w:tblPr>
      <w:tblGrid>
        <w:gridCol w:w="2142"/>
        <w:gridCol w:w="2085"/>
        <w:gridCol w:w="4958"/>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storingsfactor F</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Controleregime</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Mogelijke controlevormen</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F &lt; 3</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0</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ERP’s cat. B</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3 &lt; F &lt; 30</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1</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Meting eenmalig + ERP’s cat. B</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30 &lt; F &lt; 300</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Meting 1 x per 3 jaar + ERP’s cat. B</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300 &lt; F &lt; 3</w:t>
            </w:r>
            <w:r w:rsidR="00DF7D90">
              <w:t>.</w:t>
            </w:r>
            <w:r w:rsidRPr="00620047">
              <w:t>000</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3</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Meting 1 x per jaar + ERP’s cat. B</w:t>
            </w:r>
          </w:p>
          <w:p w:rsidR="00296032" w:rsidRPr="00620047" w:rsidRDefault="00296032">
            <w:r w:rsidRPr="00620047">
              <w:t>Bij sterke fluctuaties: controleregime 4</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F &gt; 3</w:t>
            </w:r>
            <w:r w:rsidR="00DF7D90">
              <w:t>.</w:t>
            </w:r>
            <w:r w:rsidRPr="00620047">
              <w:t>000</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4</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C667E9" w:rsidRDefault="00296032">
            <w:pPr>
              <w:rPr>
                <w:lang w:val="en-AU"/>
              </w:rPr>
            </w:pPr>
            <w:r w:rsidRPr="00C667E9">
              <w:rPr>
                <w:lang w:val="en-AU"/>
              </w:rPr>
              <w:t>Continue meting of</w:t>
            </w:r>
          </w:p>
          <w:p w:rsidR="00296032" w:rsidRPr="00C667E9" w:rsidRDefault="00296032">
            <w:pPr>
              <w:rPr>
                <w:lang w:val="en-AU"/>
              </w:rPr>
            </w:pPr>
            <w:r w:rsidRPr="00C667E9">
              <w:rPr>
                <w:lang w:val="en-AU"/>
              </w:rPr>
              <w:t>ERP’s cat. A of</w:t>
            </w:r>
          </w:p>
          <w:p w:rsidR="00296032" w:rsidRPr="00620047" w:rsidRDefault="00296032">
            <w:r w:rsidRPr="00C667E9">
              <w:rPr>
                <w:lang w:val="en-AU"/>
              </w:rPr>
              <w:t xml:space="preserve">Meting 2 x per jaar + ERP’s cat. </w:t>
            </w:r>
            <w:r w:rsidRPr="00620047">
              <w:t>B</w:t>
            </w:r>
          </w:p>
        </w:tc>
      </w:tr>
    </w:tbl>
    <w:p w:rsidR="00296032" w:rsidRPr="00620047" w:rsidRDefault="00296032">
      <w:pPr>
        <w:pStyle w:val="art1enivo"/>
      </w:pPr>
      <w:r w:rsidRPr="00620047">
        <w:t>4.</w:t>
      </w:r>
      <w:r w:rsidRPr="00620047">
        <w:tab/>
        <w:t>De controle van emissies wordt gebaseerd op de grootte van de storingsfactor, bedoeld in tabel 2.8. Het bevoegd gezag kan, indien het belang van de bescherming van het milieu zich daartegen niet verzet, bij maatwerkvoorschrift van de in tabel 2.8 opgenomen controlevormen afwijken.</w:t>
      </w:r>
    </w:p>
    <w:p w:rsidR="00296032" w:rsidRPr="00620047" w:rsidRDefault="00296032">
      <w:pPr>
        <w:pStyle w:val="art1enivo"/>
      </w:pPr>
      <w:r w:rsidRPr="00620047">
        <w:t>5.</w:t>
      </w:r>
      <w:r w:rsidRPr="00620047">
        <w:tab/>
        <w:t>Voor zover de controlevorm een ERP voorschrijft, toont de drijver van de inrichting aan:</w:t>
      </w:r>
    </w:p>
    <w:p w:rsidR="00296032" w:rsidRPr="00620047" w:rsidRDefault="00296032">
      <w:pPr>
        <w:pStyle w:val="art2enivo"/>
      </w:pPr>
      <w:r w:rsidRPr="00620047">
        <w:t>a.</w:t>
      </w:r>
      <w:r w:rsidRPr="00620047">
        <w:tab/>
        <w:t>welke ERP’s dienen om de emissies van een specifieke component te controleren;</w:t>
      </w:r>
    </w:p>
    <w:p w:rsidR="00296032" w:rsidRPr="00620047" w:rsidRDefault="00296032">
      <w:pPr>
        <w:pStyle w:val="art2enivo"/>
      </w:pPr>
      <w:r w:rsidRPr="00620047">
        <w:t>b.</w:t>
      </w:r>
      <w:r w:rsidRPr="00620047">
        <w:tab/>
        <w:t>binnen welke grenzen van de waarden van de ERP’s wordt voldaan aan de emissie-eisen.</w:t>
      </w:r>
    </w:p>
    <w:p w:rsidR="00296032" w:rsidRPr="00620047" w:rsidRDefault="00296032">
      <w:pPr>
        <w:pStyle w:val="art1enivo"/>
      </w:pPr>
      <w:r w:rsidRPr="00620047">
        <w:t>6.</w:t>
      </w:r>
      <w:r w:rsidRPr="00620047">
        <w:tab/>
        <w:t>De metingen van emissies waarvoor grenswaarden gelden als bedoeld in artikel 2.5 en in de hoofdstukken 3 en 4 worden uitgevoerd door een daartoe geaccrediteerde meetinstantie. Het bevoegd gezag kan, indien het belang van de bescherming van het milieu zich daartegen niet verzet, bij maatwerkvoorschrift hiervan afwijken.</w:t>
      </w:r>
    </w:p>
    <w:p w:rsidR="00296032" w:rsidRPr="00620047" w:rsidRDefault="00296032">
      <w:pPr>
        <w:pStyle w:val="art1enivo"/>
      </w:pPr>
      <w:r w:rsidRPr="00620047">
        <w:t>7.</w:t>
      </w:r>
      <w:r w:rsidRPr="00620047">
        <w:tab/>
        <w:t>Voor de resultaten van emissiemetingen of controle van ERP’s geldt dat:</w:t>
      </w:r>
    </w:p>
    <w:p w:rsidR="00296032" w:rsidRPr="00620047" w:rsidRDefault="00296032">
      <w:pPr>
        <w:pStyle w:val="art2enivo"/>
      </w:pPr>
      <w:r w:rsidRPr="00620047">
        <w:t>a.</w:t>
      </w:r>
      <w:r w:rsidRPr="00620047">
        <w:tab/>
        <w:t>deze worden vastgelegd in een rapport;</w:t>
      </w:r>
    </w:p>
    <w:p w:rsidR="00296032" w:rsidRPr="00620047" w:rsidRDefault="00296032">
      <w:pPr>
        <w:pStyle w:val="art2enivo"/>
      </w:pPr>
      <w:r w:rsidRPr="00620047">
        <w:t>b.</w:t>
      </w:r>
      <w:r w:rsidRPr="00620047">
        <w:tab/>
        <w:t>de resultaten van emissiemetingen worden gerapporteerd bij standaard luchtcondities voor temperatuur en druk, en bij droog afgas;</w:t>
      </w:r>
    </w:p>
    <w:p w:rsidR="00296032" w:rsidRPr="00620047" w:rsidRDefault="00296032">
      <w:pPr>
        <w:pStyle w:val="art2enivo"/>
      </w:pPr>
      <w:r w:rsidRPr="00620047">
        <w:t>c.</w:t>
      </w:r>
      <w:r w:rsidRPr="00620047">
        <w:tab/>
        <w:t>de resultaten van emissiemetingen worden gecorrigeerd voor de meetonzekerheid;</w:t>
      </w:r>
    </w:p>
    <w:p w:rsidR="00296032" w:rsidRPr="00620047" w:rsidRDefault="00296032">
      <w:pPr>
        <w:pStyle w:val="art2enivo"/>
      </w:pPr>
      <w:r w:rsidRPr="00620047">
        <w:t>d.</w:t>
      </w:r>
      <w:r w:rsidRPr="00620047">
        <w:tab/>
        <w:t>emissies van verbrandingsprocessen worden herleid op afgas met een volumegehalte aan zuurstof van:</w:t>
      </w:r>
    </w:p>
    <w:p w:rsidR="00296032" w:rsidRPr="00620047" w:rsidRDefault="00296032">
      <w:pPr>
        <w:pStyle w:val="art3enivo"/>
      </w:pPr>
      <w:r w:rsidRPr="00620047">
        <w:t>1°.</w:t>
      </w:r>
      <w:r w:rsidRPr="00620047">
        <w:tab/>
        <w:t>6 procent, indien het een stookinstallatie met vaste brandstof betreft;</w:t>
      </w:r>
    </w:p>
    <w:p w:rsidR="00296032" w:rsidRPr="00620047" w:rsidRDefault="00296032">
      <w:pPr>
        <w:pStyle w:val="art3enivo"/>
      </w:pPr>
      <w:r w:rsidRPr="00620047">
        <w:t>2°.</w:t>
      </w:r>
      <w:r w:rsidRPr="00620047">
        <w:tab/>
        <w:t>3 procent, indien het een stookinstallatie met een gasvormige of vloeibare brandstof betreft, of</w:t>
      </w:r>
    </w:p>
    <w:p w:rsidR="00296032" w:rsidRPr="00620047" w:rsidRDefault="00296032">
      <w:pPr>
        <w:pStyle w:val="art3enivo"/>
      </w:pPr>
      <w:r w:rsidRPr="00620047">
        <w:t>3°. het gehalte dat het bevoegd gezag bij maatwerkvoorschrift heeft vastgelegd.</w:t>
      </w:r>
    </w:p>
    <w:p w:rsidR="00296032" w:rsidRPr="00620047" w:rsidRDefault="00296032">
      <w:pPr>
        <w:pStyle w:val="art2enivo"/>
      </w:pPr>
      <w:r w:rsidRPr="00620047">
        <w:t>e.</w:t>
      </w:r>
      <w:r w:rsidRPr="00620047">
        <w:tab/>
        <w:t>het resultaat van afzonderlijke emissiemetingen de emissiegrenswaarde niet mag overschrijden;</w:t>
      </w:r>
    </w:p>
    <w:p w:rsidR="00296032" w:rsidRPr="00620047" w:rsidRDefault="00296032">
      <w:pPr>
        <w:pStyle w:val="art2enivo"/>
      </w:pPr>
      <w:r w:rsidRPr="00620047">
        <w:t>f.</w:t>
      </w:r>
      <w:r w:rsidRPr="00620047">
        <w:tab/>
        <w:t>de daggemiddelde waarde van de emissieconcentratie, bepaald op basis van het resultaat van continu metingen, niet hoger mag zijn dan de emissiegrenswaarde, en</w:t>
      </w:r>
    </w:p>
    <w:p w:rsidR="00296032" w:rsidRPr="00620047" w:rsidRDefault="00296032">
      <w:pPr>
        <w:pStyle w:val="art2enivo"/>
      </w:pPr>
      <w:r w:rsidRPr="00620047">
        <w:t>g.</w:t>
      </w:r>
      <w:r w:rsidRPr="00620047">
        <w:tab/>
        <w:t>geen van de halfuurgemiddelde waarden, als resultaat van continu metingen, hoger mag zijn dan het dubbele van de emissiegrenswaarde.</w:t>
      </w:r>
    </w:p>
    <w:p w:rsidR="00296032" w:rsidRPr="00620047" w:rsidRDefault="00296032">
      <w:pPr>
        <w:pStyle w:val="art1enivo"/>
      </w:pPr>
      <w:r w:rsidRPr="00620047">
        <w:t>8.</w:t>
      </w:r>
      <w:r w:rsidRPr="00620047">
        <w:tab/>
        <w:t>De metingen, bedoeld in het eerste lid, onder b, en in het vierde lid, met inbegrip van berekeningen en bepalingen van ERP’s, de registratie en rapportage van de meting, voldoen, ten behoeve van de bescherming van het milieu, aan de bij ministeriële regeling gestelde eisen.</w:t>
      </w:r>
    </w:p>
    <w:p w:rsidR="00296032" w:rsidRDefault="00296032"/>
    <w:p w:rsidR="005468BF" w:rsidRDefault="005468BF" w:rsidP="005468BF">
      <w:pPr>
        <w:pStyle w:val="artikelkop"/>
        <w:shd w:val="clear" w:color="auto" w:fill="D9D9D9" w:themeFill="background1" w:themeFillShade="D9"/>
        <w:rPr>
          <w:rFonts w:eastAsiaTheme="minorEastAsia"/>
          <w:lang w:eastAsia="nl-NL"/>
        </w:rPr>
      </w:pPr>
      <w:r>
        <w:rPr>
          <w:rFonts w:eastAsiaTheme="minorEastAsia"/>
          <w:lang w:eastAsia="nl-NL"/>
        </w:rPr>
        <w:t xml:space="preserve">Artikel 2.21 </w:t>
      </w:r>
    </w:p>
    <w:p w:rsidR="005468BF" w:rsidRDefault="005468BF" w:rsidP="005468BF">
      <w:pPr>
        <w:pStyle w:val="artplat"/>
        <w:shd w:val="clear" w:color="auto" w:fill="D9D9D9" w:themeFill="background1" w:themeFillShade="D9"/>
        <w:rPr>
          <w:rFonts w:eastAsiaTheme="minorEastAsia"/>
          <w:lang w:eastAsia="nl-NL"/>
        </w:rPr>
      </w:pPr>
      <w:r>
        <w:rPr>
          <w:rFonts w:eastAsiaTheme="minorEastAsia"/>
          <w:lang w:eastAsia="nl-NL"/>
        </w:rPr>
        <w:t>Een meting als bedoeld in artikel 2.8, achtste lid, van het besluit voldoet aan de artikelen 2.22 en 2.23.</w:t>
      </w:r>
    </w:p>
    <w:p w:rsidR="005468BF" w:rsidRDefault="005468BF" w:rsidP="005468BF">
      <w:pPr>
        <w:pStyle w:val="artikelkop"/>
        <w:shd w:val="clear" w:color="auto" w:fill="D9D9D9" w:themeFill="background1" w:themeFillShade="D9"/>
        <w:rPr>
          <w:rFonts w:eastAsiaTheme="minorEastAsia"/>
          <w:lang w:eastAsia="nl-NL"/>
        </w:rPr>
      </w:pPr>
      <w:r>
        <w:rPr>
          <w:rFonts w:eastAsiaTheme="minorEastAsia"/>
          <w:lang w:eastAsia="nl-NL"/>
        </w:rPr>
        <w:t xml:space="preserve">Artikel 2.22 </w:t>
      </w:r>
    </w:p>
    <w:p w:rsidR="005468BF" w:rsidRDefault="005468BF" w:rsidP="005468BF">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concentraties van componenten in de afgassen worden bepaald door continue meting of afzonderlijke metingen onder procescondities die representatief zijn voor de normale bedrijfsvoering.</w:t>
      </w:r>
    </w:p>
    <w:p w:rsidR="005468BF" w:rsidRDefault="005468BF" w:rsidP="005468BF">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metingen bemonsteringen en analyses van de parameters die nodig zijn voor het bepalen of wordt voldaan aan de emissiegrenswaarden alsmede de andere metingen en berekeningen die zijn voorgeschreven, worden uitgevoerd volgens onderstaande normbladen:</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r>
      <w:r w:rsidRPr="00D73001">
        <w:rPr>
          <w:rFonts w:eastAsiaTheme="minorEastAsia"/>
        </w:rPr>
        <w:t>emissiemeting</w:t>
      </w:r>
      <w:r>
        <w:rPr>
          <w:rFonts w:eastAsiaTheme="minorEastAsia"/>
          <w:lang w:eastAsia="nl-NL"/>
        </w:rPr>
        <w:t xml:space="preserve"> en analyse:</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1°.</w:t>
      </w:r>
      <w:r>
        <w:rPr>
          <w:rFonts w:eastAsiaTheme="minorEastAsia"/>
          <w:lang w:eastAsia="nl-NL"/>
        </w:rPr>
        <w:tab/>
        <w:t>stikstofoxiden (NO</w:t>
      </w:r>
      <w:r>
        <w:rPr>
          <w:rFonts w:eastAsiaTheme="minorEastAsia"/>
          <w:position w:val="-2"/>
          <w:lang w:eastAsia="nl-NL"/>
        </w:rPr>
        <w:t>x</w:t>
      </w:r>
      <w:r>
        <w:rPr>
          <w:rFonts w:eastAsiaTheme="minorEastAsia"/>
          <w:lang w:eastAsia="nl-NL"/>
        </w:rPr>
        <w:t>): NEN-EN 14792;</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2°.</w:t>
      </w:r>
      <w:r>
        <w:rPr>
          <w:rFonts w:eastAsiaTheme="minorEastAsia"/>
          <w:lang w:eastAsia="nl-NL"/>
        </w:rPr>
        <w:tab/>
        <w:t>stikstofoxiden (NO</w:t>
      </w:r>
      <w:r>
        <w:rPr>
          <w:rFonts w:eastAsiaTheme="minorEastAsia"/>
          <w:position w:val="-2"/>
          <w:lang w:eastAsia="nl-NL"/>
        </w:rPr>
        <w:t>x</w:t>
      </w:r>
      <w:r>
        <w:rPr>
          <w:rFonts w:eastAsiaTheme="minorEastAsia"/>
          <w:lang w:eastAsia="nl-NL"/>
        </w:rPr>
        <w:t>) continumeting: NEN-ISO 10849;</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3°.</w:t>
      </w:r>
      <w:r>
        <w:rPr>
          <w:rFonts w:eastAsiaTheme="minorEastAsia"/>
          <w:lang w:eastAsia="nl-NL"/>
        </w:rPr>
        <w:tab/>
        <w:t>zwaveldioxide (SO</w:t>
      </w:r>
      <w:r>
        <w:rPr>
          <w:rFonts w:eastAsiaTheme="minorEastAsia"/>
          <w:position w:val="-2"/>
          <w:lang w:eastAsia="nl-NL"/>
        </w:rPr>
        <w:t>2</w:t>
      </w:r>
      <w:r>
        <w:rPr>
          <w:rFonts w:eastAsiaTheme="minorEastAsia"/>
          <w:lang w:eastAsia="nl-NL"/>
        </w:rPr>
        <w:t>): NEN-EN 14791;</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4°.</w:t>
      </w:r>
      <w:r>
        <w:rPr>
          <w:rFonts w:eastAsiaTheme="minorEastAsia"/>
          <w:lang w:eastAsia="nl-NL"/>
        </w:rPr>
        <w:tab/>
        <w:t>onverbrande koolwaterstoffen (C</w:t>
      </w:r>
      <w:r>
        <w:rPr>
          <w:rFonts w:eastAsiaTheme="minorEastAsia"/>
          <w:position w:val="-2"/>
          <w:lang w:eastAsia="nl-NL"/>
        </w:rPr>
        <w:t>x</w:t>
      </w:r>
      <w:r>
        <w:rPr>
          <w:rFonts w:eastAsiaTheme="minorEastAsia"/>
          <w:lang w:eastAsia="nl-NL"/>
        </w:rPr>
        <w:t>H</w:t>
      </w:r>
      <w:r>
        <w:rPr>
          <w:rFonts w:eastAsiaTheme="minorEastAsia"/>
          <w:position w:val="-2"/>
          <w:lang w:eastAsia="nl-NL"/>
        </w:rPr>
        <w:t>y</w:t>
      </w:r>
      <w:r>
        <w:rPr>
          <w:rFonts w:eastAsiaTheme="minorEastAsia"/>
          <w:lang w:eastAsia="nl-NL"/>
        </w:rPr>
        <w:t>): NEN-EN 12619;</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5°.</w:t>
      </w:r>
      <w:r>
        <w:rPr>
          <w:rFonts w:eastAsiaTheme="minorEastAsia"/>
          <w:lang w:eastAsia="nl-NL"/>
        </w:rPr>
        <w:tab/>
        <w:t>totaal stof: NEN-EN 13284-1 of NEN-EN 13284-2;</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6°.</w:t>
      </w:r>
      <w:r>
        <w:rPr>
          <w:rFonts w:eastAsiaTheme="minorEastAsia"/>
          <w:lang w:eastAsia="nl-NL"/>
        </w:rPr>
        <w:tab/>
        <w:t>zuurstof (O</w:t>
      </w:r>
      <w:r>
        <w:rPr>
          <w:rFonts w:eastAsiaTheme="minorEastAsia"/>
          <w:position w:val="-2"/>
          <w:lang w:eastAsia="nl-NL"/>
        </w:rPr>
        <w:t>2</w:t>
      </w:r>
      <w:r>
        <w:rPr>
          <w:rFonts w:eastAsiaTheme="minorEastAsia"/>
          <w:lang w:eastAsia="nl-NL"/>
        </w:rPr>
        <w:t>): NEN-EN 14789;</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7°.</w:t>
      </w:r>
      <w:r>
        <w:rPr>
          <w:rFonts w:eastAsiaTheme="minorEastAsia"/>
          <w:lang w:eastAsia="nl-NL"/>
        </w:rPr>
        <w:tab/>
        <w:t>chroom VI -verbindingen: ISO 16740;</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8°.</w:t>
      </w:r>
      <w:r>
        <w:rPr>
          <w:rFonts w:eastAsiaTheme="minorEastAsia"/>
          <w:lang w:eastAsia="nl-NL"/>
        </w:rPr>
        <w:tab/>
        <w:t>zware metalen: NEN-EN 14385;</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9°.</w:t>
      </w:r>
      <w:r>
        <w:rPr>
          <w:rFonts w:eastAsiaTheme="minorEastAsia"/>
          <w:lang w:eastAsia="nl-NL"/>
        </w:rPr>
        <w:tab/>
        <w:t>zoutzuur: NEN-EN 1911-1, 1911-2 en 1911-3;</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10°.</w:t>
      </w:r>
      <w:r>
        <w:rPr>
          <w:rFonts w:eastAsiaTheme="minorEastAsia"/>
          <w:lang w:eastAsia="nl-NL"/>
        </w:rPr>
        <w:tab/>
        <w:t>waterstoffluoride: NEN-ISO 15713;</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11°.</w:t>
      </w:r>
      <w:r>
        <w:rPr>
          <w:rFonts w:eastAsiaTheme="minorEastAsia"/>
          <w:lang w:eastAsia="nl-NL"/>
        </w:rPr>
        <w:tab/>
        <w:t>ammoniak: NEN 2826;</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 xml:space="preserve">12°. </w:t>
      </w:r>
      <w:r>
        <w:rPr>
          <w:rFonts w:eastAsiaTheme="minorEastAsia"/>
          <w:lang w:eastAsia="nl-NL"/>
        </w:rPr>
        <w:tab/>
        <w:t>individuele gasvormige organische componenten: NEN-EN 13649;</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13°.</w:t>
      </w:r>
      <w:r>
        <w:rPr>
          <w:rFonts w:eastAsiaTheme="minorEastAsia"/>
          <w:lang w:eastAsia="nl-NL"/>
        </w:rPr>
        <w:tab/>
        <w:t>dioxines en furanen: NEN-EN 1948 deel 1, 2 en 3;</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 xml:space="preserve">14°. </w:t>
      </w:r>
      <w:r>
        <w:rPr>
          <w:rFonts w:eastAsiaTheme="minorEastAsia"/>
          <w:lang w:eastAsia="nl-NL"/>
        </w:rPr>
        <w:tab/>
        <w:t>kwik: NEN-EN 13211;</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 xml:space="preserve">15°. </w:t>
      </w:r>
      <w:r>
        <w:rPr>
          <w:rFonts w:eastAsiaTheme="minorEastAsia"/>
          <w:lang w:eastAsia="nl-NL"/>
        </w:rPr>
        <w:tab/>
        <w:t>vocht: NEN-EN 14790;</w:t>
      </w:r>
    </w:p>
    <w:p w:rsidR="005468BF" w:rsidRDefault="005468BF" w:rsidP="005468BF">
      <w:pPr>
        <w:pStyle w:val="art3enivo"/>
        <w:shd w:val="clear" w:color="auto" w:fill="D9D9D9" w:themeFill="background1" w:themeFillShade="D9"/>
        <w:tabs>
          <w:tab w:val="clear" w:pos="1134"/>
          <w:tab w:val="left" w:pos="1276"/>
        </w:tabs>
        <w:ind w:left="1276" w:hanging="425"/>
        <w:rPr>
          <w:rFonts w:eastAsiaTheme="minorEastAsia"/>
          <w:lang w:eastAsia="nl-NL"/>
        </w:rPr>
      </w:pPr>
      <w:r>
        <w:rPr>
          <w:rFonts w:eastAsiaTheme="minorEastAsia"/>
          <w:lang w:eastAsia="nl-NL"/>
        </w:rPr>
        <w:t xml:space="preserve">16°. </w:t>
      </w:r>
      <w:r>
        <w:rPr>
          <w:rFonts w:eastAsiaTheme="minorEastAsia"/>
          <w:lang w:eastAsia="nl-NL"/>
        </w:rPr>
        <w:tab/>
        <w:t>debiet: NEN-EN-ISO 16911 deel 1 en 2;</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meetlocatie, monstername en rapportage van de stoffen, genoemd onder a: NEN-EN 15259.</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 xml:space="preserve">c. </w:t>
      </w:r>
      <w:r>
        <w:rPr>
          <w:rFonts w:eastAsiaTheme="minorEastAsia"/>
          <w:lang w:eastAsia="nl-NL"/>
        </w:rPr>
        <w:tab/>
        <w:t>kwaliteitsborging van continue metingen: NEN-EN 14181.</w:t>
      </w:r>
    </w:p>
    <w:p w:rsidR="005468BF" w:rsidRDefault="005468BF" w:rsidP="005468BF">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Een afzonderlijke meting als bedoeld in het eerste lid bestaat uit drie deelmetingen van een half uur, tenzij een langere bemonsteringstijd voortvloeit uit de meetmethode of de representatieve wijze van bemonsteren. Het resultaat van de afzonderlijke emissiemeting is het gemiddelde van de deelmetingen, verminderd met de gerapporteerde meetonzekerheid of met een standaardwaarde voor de meetonzekerheid.</w:t>
      </w:r>
    </w:p>
    <w:p w:rsidR="005468BF" w:rsidRDefault="005468BF" w:rsidP="005468BF">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Een continue meting vindt plaats door:</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een rechtstreekse continue meting van de concentratie in het afgas, of</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een continue meting van de parameters van de voor de installatie vastgestelde uitworpkarakteristiek.</w:t>
      </w:r>
    </w:p>
    <w:p w:rsidR="005468BF" w:rsidRDefault="005468BF" w:rsidP="005468BF">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Het resultaat van een continue meting is de verzameling van half-uursgemiddelde of etmaalgemiddelden, verminderd met de gerapporteerde meetonzekerheid of met een standaardwaarde voor de meetonzekerheid.</w:t>
      </w:r>
    </w:p>
    <w:p w:rsidR="005468BF" w:rsidRDefault="005468BF" w:rsidP="005468BF">
      <w:pPr>
        <w:pStyle w:val="artikelkop"/>
        <w:shd w:val="clear" w:color="auto" w:fill="D9D9D9" w:themeFill="background1" w:themeFillShade="D9"/>
        <w:rPr>
          <w:rFonts w:eastAsiaTheme="minorEastAsia"/>
          <w:lang w:eastAsia="nl-NL"/>
        </w:rPr>
      </w:pPr>
      <w:r>
        <w:rPr>
          <w:rFonts w:eastAsiaTheme="minorEastAsia"/>
          <w:lang w:eastAsia="nl-NL"/>
        </w:rPr>
        <w:t xml:space="preserve">Artikel 2.23 </w:t>
      </w:r>
    </w:p>
    <w:p w:rsidR="005468BF" w:rsidRDefault="005468BF" w:rsidP="005468BF">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bevoegd gezag bepaalt de meetonzekerheid op basis van de 95%-betrouwbaarheidsinterval van individuele waarnemingen. Bij het bepalen van de meetonzekerheid wordt het gemiddelde van de deelmetingen, bedoeld in artikel 2.22, gecorrigeerd voor het aantal deelmetingen. De meetonzekerheid wordt berekend als percentage van de grenswaarde.</w:t>
      </w:r>
    </w:p>
    <w:p w:rsidR="005468BF" w:rsidRDefault="005468BF" w:rsidP="005468BF">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Voor de elementen, genoemd in tabel 2.23, bedraagt de maximale meetonzekerheid als percentage van de emissiegrenswaarde niet meer dan de in tabel 2.23 opgenomen percentages.</w:t>
      </w:r>
    </w:p>
    <w:p w:rsidR="005468BF" w:rsidRDefault="005468BF" w:rsidP="005468BF">
      <w:pPr>
        <w:pStyle w:val="tabelkop"/>
        <w:shd w:val="clear" w:color="auto" w:fill="D9D9D9" w:themeFill="background1" w:themeFillShade="D9"/>
        <w:rPr>
          <w:rFonts w:eastAsiaTheme="minorEastAsia"/>
          <w:lang w:eastAsia="nl-NL"/>
        </w:rPr>
      </w:pPr>
      <w:r>
        <w:rPr>
          <w:rFonts w:eastAsiaTheme="minorEastAsia"/>
          <w:lang w:eastAsia="nl-NL"/>
        </w:rPr>
        <w:t>Tabel 2.23</w:t>
      </w:r>
    </w:p>
    <w:tbl>
      <w:tblPr>
        <w:tblStyle w:val="Tabelraster"/>
        <w:tblW w:w="4752" w:type="pct"/>
        <w:tblInd w:w="483" w:type="dxa"/>
        <w:tblLook w:val="04A0" w:firstRow="1" w:lastRow="0" w:firstColumn="1" w:lastColumn="0" w:noHBand="0" w:noVBand="1"/>
      </w:tblPr>
      <w:tblGrid>
        <w:gridCol w:w="4288"/>
        <w:gridCol w:w="4441"/>
      </w:tblGrid>
      <w:tr w:rsidR="005468BF" w:rsidTr="004178A7">
        <w:trPr>
          <w:cnfStyle w:val="100000000000" w:firstRow="1" w:lastRow="0" w:firstColumn="0" w:lastColumn="0" w:oddVBand="0" w:evenVBand="0" w:oddHBand="0" w:evenHBand="0" w:firstRowFirstColumn="0" w:firstRowLastColumn="0" w:lastRowFirstColumn="0" w:lastRowLastColumn="0"/>
        </w:trPr>
        <w:tc>
          <w:tcPr>
            <w:tcW w:w="2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Elementen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Meetonzekerheid (%)</w:t>
            </w:r>
          </w:p>
        </w:tc>
      </w:tr>
      <w:tr w:rsidR="005468BF" w:rsidTr="004178A7">
        <w:tc>
          <w:tcPr>
            <w:tcW w:w="2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SO2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20</w:t>
            </w:r>
          </w:p>
        </w:tc>
      </w:tr>
      <w:tr w:rsidR="005468BF" w:rsidTr="004178A7">
        <w:tc>
          <w:tcPr>
            <w:tcW w:w="2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NOx</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20</w:t>
            </w:r>
          </w:p>
        </w:tc>
      </w:tr>
      <w:tr w:rsidR="005468BF" w:rsidTr="004178A7">
        <w:tc>
          <w:tcPr>
            <w:tcW w:w="2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Stof</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30</w:t>
            </w:r>
          </w:p>
        </w:tc>
      </w:tr>
      <w:tr w:rsidR="005468BF" w:rsidTr="004178A7">
        <w:tc>
          <w:tcPr>
            <w:tcW w:w="2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totaal stof (stofklasse S)</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30</w:t>
            </w:r>
          </w:p>
        </w:tc>
      </w:tr>
      <w:tr w:rsidR="005468BF" w:rsidTr="004178A7">
        <w:tc>
          <w:tcPr>
            <w:tcW w:w="2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Overige componenten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40</w:t>
            </w:r>
          </w:p>
        </w:tc>
      </w:tr>
      <w:tr w:rsidR="005468BF" w:rsidTr="004178A7">
        <w:tc>
          <w:tcPr>
            <w:tcW w:w="2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Debiet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shd w:val="clear" w:color="auto" w:fill="D9D9D9" w:themeFill="background1" w:themeFillShade="D9"/>
              <w:rPr>
                <w:rFonts w:eastAsiaTheme="minorEastAsia"/>
              </w:rPr>
            </w:pPr>
            <w:r>
              <w:rPr>
                <w:rFonts w:eastAsiaTheme="minorEastAsia"/>
              </w:rPr>
              <w:t>20</w:t>
            </w:r>
          </w:p>
        </w:tc>
      </w:tr>
    </w:tbl>
    <w:p w:rsidR="005468BF" w:rsidRPr="00620047" w:rsidRDefault="005468BF"/>
    <w:p w:rsidR="00296032" w:rsidRPr="00296032" w:rsidRDefault="00296032">
      <w:pPr>
        <w:pStyle w:val="artikelkop"/>
      </w:pPr>
      <w:r w:rsidRPr="00296032">
        <w:t>Artikel 2.8a</w:t>
      </w:r>
    </w:p>
    <w:p w:rsidR="00296032" w:rsidRPr="00620047" w:rsidRDefault="00296032">
      <w:pPr>
        <w:pStyle w:val="artplat"/>
      </w:pPr>
      <w:r w:rsidRPr="00620047">
        <w:t xml:space="preserve">Voor een inrichting type C waarvoor onmiddellijk voorafgaand aan het tijdstip van het van toepassing worden van dit besluit of een deel daarvan op een activiteit in die inrichtingen een omgevingsvergunning op grond van artikel 2.1, eerste lid, aanhef en onder e, van de Wet algemene bepalingen omgevingsrecht in werking en onherroepelijk was, worden de geurvoorschriften van die vergunning in afwijking van artikel 6.1, eerste lid, na het van toepassing worden van dit besluit of een deel daarvan op een activiteit in die inrichtingen, tot 1 januari 2021 aangemerkt als maatwerkvoorschriften, mits de geurvoorschriften van de vergunning vallen binnen de bevoegdheid van het bevoegd gezag tot het stellen van maatwerkvoorschriften en voor zover dit besluit op de inrichting van toepassing is. </w:t>
      </w:r>
    </w:p>
    <w:p w:rsidR="00296032" w:rsidRPr="00620047" w:rsidRDefault="00296032">
      <w:pPr>
        <w:pStyle w:val="afdeling"/>
        <w:rPr>
          <w:rFonts w:cs="Arial"/>
        </w:rPr>
      </w:pPr>
      <w:bookmarkStart w:id="21" w:name="_Toc277243179"/>
      <w:bookmarkStart w:id="22" w:name="_Toc431375543"/>
      <w:r w:rsidRPr="00620047">
        <w:rPr>
          <w:rFonts w:cs="Arial"/>
        </w:rPr>
        <w:t>Afdeling 2.4. Bodem</w:t>
      </w:r>
      <w:bookmarkEnd w:id="21"/>
      <w:bookmarkEnd w:id="22"/>
    </w:p>
    <w:p w:rsidR="00296032" w:rsidRPr="00296032" w:rsidRDefault="00296032">
      <w:pPr>
        <w:pStyle w:val="artikelkop"/>
      </w:pPr>
      <w:r w:rsidRPr="00296032">
        <w:t>Artikel 2.8b</w:t>
      </w:r>
    </w:p>
    <w:p w:rsidR="00296032" w:rsidRPr="00620047" w:rsidRDefault="00296032">
      <w:pPr>
        <w:pStyle w:val="art1enivo"/>
      </w:pPr>
      <w:r w:rsidRPr="00620047">
        <w:t>1.</w:t>
      </w:r>
      <w:r w:rsidRPr="00620047">
        <w:tab/>
        <w:t>Deze afdeling is van toepassing op degene die:</w:t>
      </w:r>
    </w:p>
    <w:p w:rsidR="00296032" w:rsidRPr="00620047" w:rsidRDefault="00296032">
      <w:pPr>
        <w:pStyle w:val="art2enivo"/>
      </w:pPr>
      <w:r w:rsidRPr="00620047">
        <w:t>a.</w:t>
      </w:r>
      <w:r w:rsidRPr="00620047">
        <w:tab/>
        <w:t>een inrichting type A of een inrichting type B drijft of een inrichting type C waartoe een IPPC-installatie behoort, of</w:t>
      </w:r>
    </w:p>
    <w:p w:rsidR="00296032" w:rsidRPr="00620047" w:rsidRDefault="00296032">
      <w:pPr>
        <w:pStyle w:val="art2enivo"/>
      </w:pPr>
      <w:r w:rsidRPr="00620047">
        <w:t>b.</w:t>
      </w:r>
      <w:r w:rsidRPr="00620047">
        <w:tab/>
        <w:t>een inrichting type C drijft waartoe geen IPPC-installatie behoort, voor zover binnen de activiteiten worden verricht waarop hoofdstuk 3 van toepassing is.</w:t>
      </w:r>
    </w:p>
    <w:p w:rsidR="00296032" w:rsidRPr="00620047" w:rsidRDefault="00296032">
      <w:pPr>
        <w:pStyle w:val="art1enivo"/>
      </w:pPr>
      <w:r w:rsidRPr="00620047">
        <w:t>2.</w:t>
      </w:r>
      <w:r w:rsidRPr="00620047">
        <w:tab/>
        <w:t>Voor zover het betreft een inrichting type C waartoe een IPPC-installatie behoort, is in afwijking van het eerste lid, onder a, artikel 2.11, eerste lid, niet van toepassing.</w:t>
      </w:r>
    </w:p>
    <w:p w:rsidR="00296032" w:rsidRPr="00296032" w:rsidRDefault="00296032">
      <w:pPr>
        <w:pStyle w:val="artikelkop"/>
        <w:rPr>
          <w:rFonts w:cs="Arial"/>
        </w:rPr>
      </w:pPr>
      <w:r w:rsidRPr="00296032">
        <w:rPr>
          <w:rFonts w:cs="Arial"/>
        </w:rPr>
        <w:t>Artikel 2.9</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Indien in een inrichting een bodembedreigende activiteit wordt verricht worden bodembeschermende voorzieningen en bodembeschermende maatregelen getroffen waarmee een verwaarloosbaar bodemrisico wordt gerealiseerd.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De bodembeschermende voorzieningen en bodembeschermende maatregelen voldoen aan de bij ministeriële regeling gestelde eisen in verband met de goede werking van die voorzieningen en maatregelen, en omtrent de controle van die eisen alsmede aan de bij ministeriële regeling gestelde eisen in verband met de mogelijkheid om bodemverontreiniging te kunnen signaleren.</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 de bij ministeriële regeling te bepalen gevallen zendt degene die de inrichting drijft de resultaten van het onderzoek in verband met de mogelijkheid om bodemverontreiniging te kunnen signaleren, bedoeld in het tweede lid, aan het bij die regeling aangegeven bestuursorgaan.</w:t>
      </w:r>
    </w:p>
    <w:p w:rsidR="00296032" w:rsidRPr="00296032" w:rsidRDefault="00296032">
      <w:pPr>
        <w:pStyle w:val="artikelkop"/>
      </w:pPr>
      <w:r w:rsidRPr="00296032">
        <w:t>Artikel 2.9a</w:t>
      </w:r>
    </w:p>
    <w:p w:rsidR="00296032" w:rsidRPr="00620047" w:rsidRDefault="00296032">
      <w:pPr>
        <w:pStyle w:val="art1enivo"/>
      </w:pPr>
      <w:r w:rsidRPr="00620047">
        <w:t xml:space="preserve">1. </w:t>
      </w:r>
      <w:r w:rsidRPr="00620047">
        <w:tab/>
        <w:t>In afwijking van artikel 2.9 kan het bevoegd gezag op aanvraag bij maatwerkvoorschrift bepalen dat een aanvaardbaar bodemrisico wordt gerealiseerd, indien:</w:t>
      </w:r>
    </w:p>
    <w:p w:rsidR="00296032" w:rsidRPr="00620047" w:rsidRDefault="00296032">
      <w:pPr>
        <w:pStyle w:val="art2enivo"/>
      </w:pPr>
      <w:r w:rsidRPr="00620047">
        <w:t xml:space="preserve">a. </w:t>
      </w:r>
      <w:r w:rsidRPr="00620047">
        <w:tab/>
        <w:t>voor 1 januari 2008 binnen een inrichting een bodembedreigende activiteit werd uitgevoerd, of</w:t>
      </w:r>
    </w:p>
    <w:p w:rsidR="00296032" w:rsidRPr="00620047" w:rsidRDefault="00296032">
      <w:pPr>
        <w:pStyle w:val="art2enivo"/>
      </w:pPr>
      <w:r w:rsidRPr="00620047">
        <w:t xml:space="preserve">b. </w:t>
      </w:r>
      <w:r w:rsidRPr="00620047">
        <w:tab/>
        <w:t>tot het van toepassing worden van dit besluit of een deel daarvan, binnen een inrichting een bodembedreigende activiteit werd uitgevoerd en voor die inrichting een vergunning in werking en onherroepelijk was.</w:t>
      </w:r>
    </w:p>
    <w:p w:rsidR="00296032" w:rsidRPr="00620047" w:rsidRDefault="00296032">
      <w:pPr>
        <w:pStyle w:val="art1enivo"/>
      </w:pPr>
      <w:r w:rsidRPr="00620047">
        <w:t xml:space="preserve">2. </w:t>
      </w:r>
      <w:r w:rsidRPr="00620047">
        <w:tab/>
        <w:t>Een maatwerkvoorschrift als bedoeld in het eerste lid kan slechts worden gesteld indien het realiseren van een verwaarloosbaar bodemrisico redelijkerwijs niet kan worden gevergd en is voldaan aan het derde lid.</w:t>
      </w:r>
    </w:p>
    <w:p w:rsidR="00296032" w:rsidRPr="00620047" w:rsidRDefault="00296032">
      <w:pPr>
        <w:pStyle w:val="art1enivo"/>
      </w:pPr>
      <w:r w:rsidRPr="00620047">
        <w:t xml:space="preserve">3. </w:t>
      </w:r>
      <w:r w:rsidRPr="00620047">
        <w:tab/>
        <w:t>Bij de aanvraag, bedoeld in het eerste lid, wordt een plan van aanpak gevoegd, waarin ten minste is vastgelegd:</w:t>
      </w:r>
    </w:p>
    <w:p w:rsidR="00296032" w:rsidRPr="00620047" w:rsidRDefault="00296032">
      <w:pPr>
        <w:pStyle w:val="art2enivo"/>
      </w:pPr>
      <w:r w:rsidRPr="00620047">
        <w:t>a.</w:t>
      </w:r>
      <w:r w:rsidRPr="00620047">
        <w:tab/>
        <w:t>de wijze waarop het monitoringssysteem wordt uitgevoerd;</w:t>
      </w:r>
    </w:p>
    <w:p w:rsidR="00296032" w:rsidRPr="00620047" w:rsidRDefault="00296032">
      <w:pPr>
        <w:pStyle w:val="art2enivo"/>
      </w:pPr>
      <w:r w:rsidRPr="00620047">
        <w:t>b.</w:t>
      </w:r>
      <w:r w:rsidRPr="00620047">
        <w:tab/>
        <w:t>de bodemkwaliteit op dat moment, zoals die is onderzocht en vastgelegd door een persoon of een instelling die daartoe beschikt over een erkenning op grond van het Besluit bodemkwaliteit;</w:t>
      </w:r>
    </w:p>
    <w:p w:rsidR="00296032" w:rsidRPr="00620047" w:rsidRDefault="00296032">
      <w:pPr>
        <w:pStyle w:val="art2enivo"/>
      </w:pPr>
      <w:r w:rsidRPr="00620047">
        <w:t>c.</w:t>
      </w:r>
      <w:r w:rsidRPr="00620047">
        <w:tab/>
        <w:t>de wijze waarop en de termijn waarbinnen eventueel optredende verontreiniging of aantasting van de bodem wordt hersteld door een persoon of instelling die daartoe beschikt over een erkenning op grond van het Besluit bodemkwaliteit;</w:t>
      </w:r>
    </w:p>
    <w:p w:rsidR="00296032" w:rsidRPr="00620047" w:rsidRDefault="00296032">
      <w:pPr>
        <w:pStyle w:val="art2enivo"/>
      </w:pPr>
      <w:r w:rsidRPr="00620047">
        <w:t>d.</w:t>
      </w:r>
      <w:r w:rsidRPr="00620047">
        <w:tab/>
        <w:t>de kosten die daarvoor worden geraamd en de wijze waarop hiervoor financiële zekerheid wordt gesteld.</w:t>
      </w:r>
    </w:p>
    <w:p w:rsidR="00296032" w:rsidRPr="00620047" w:rsidRDefault="00296032">
      <w:pPr>
        <w:pStyle w:val="art1enivo"/>
      </w:pPr>
      <w:r w:rsidRPr="00620047">
        <w:t>4.</w:t>
      </w:r>
      <w:r w:rsidRPr="00620047">
        <w:tab/>
        <w:t>Het plan van aanpak, bedoeld in het derde lid, waarmee het bevoegd gezag heeft ingestemd maakt deel uit van het maatwerkvoorschrift.</w:t>
      </w:r>
    </w:p>
    <w:p w:rsidR="00296032" w:rsidRPr="00620047" w:rsidRDefault="00296032">
      <w:pPr>
        <w:pStyle w:val="art1enivo"/>
      </w:pPr>
      <w:r w:rsidRPr="00620047">
        <w:t>5.</w:t>
      </w:r>
      <w:r w:rsidRPr="00620047">
        <w:tab/>
        <w:t>Onder een aanvaardbaar bodemrisico als bedoeld in het eerste lid wordt verstaan: een situatie als bedoeld in de NRB waarin een bodemrisico aanvaardbaar is gemaakt middels een monitoringssysteem en door het anticiperen op het beperken en zoveel mogelijk ongedaan maken van eventueel optredende verontreiniging of aantasting van de bodem.</w:t>
      </w:r>
    </w:p>
    <w:p w:rsidR="00296032" w:rsidRPr="00620047" w:rsidRDefault="00296032">
      <w:pPr>
        <w:pStyle w:val="art1enivo"/>
      </w:pPr>
      <w:r w:rsidRPr="00620047">
        <w:t>6.</w:t>
      </w:r>
      <w:r w:rsidRPr="00620047">
        <w:tab/>
        <w:t>Het monitoringssysteem als bedoeld in het derde en vijfde lid voldoet aan bijlage 3 van deel 3 van de NRB en wordt uitgevoerd door een persoon of instelling die daartoe beschikt over een erkenning op grond van het Besluit bodemkwaliteit.</w:t>
      </w:r>
    </w:p>
    <w:p w:rsidR="00296032" w:rsidRPr="00620047" w:rsidRDefault="00296032"/>
    <w:p w:rsidR="00296032" w:rsidRPr="00296032" w:rsidRDefault="00296032">
      <w:pPr>
        <w:pStyle w:val="artikelkop"/>
        <w:rPr>
          <w:rFonts w:cs="Arial"/>
        </w:rPr>
      </w:pPr>
      <w:r w:rsidRPr="00296032">
        <w:rPr>
          <w:rFonts w:cs="Arial"/>
        </w:rPr>
        <w:t>Artikel 2.10</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Om een verwaarloosbaar bodemrisico te realiseren voldoet een ondergrondse opslagtank aan de bij ministeriële regeling gestelde eisen in verband met:</w:t>
      </w:r>
    </w:p>
    <w:p w:rsidR="00296032" w:rsidRPr="00620047" w:rsidRDefault="00296032">
      <w:pPr>
        <w:pStyle w:val="art2enivo"/>
        <w:rPr>
          <w:rFonts w:cs="Arial"/>
        </w:rPr>
      </w:pPr>
      <w:r w:rsidRPr="00620047">
        <w:rPr>
          <w:rFonts w:cs="Arial"/>
        </w:rPr>
        <w:t>a.</w:t>
      </w:r>
      <w:r w:rsidRPr="00620047">
        <w:rPr>
          <w:rFonts w:cs="Arial"/>
        </w:rPr>
        <w:tab/>
        <w:t>de goede werking van die opslagtank;</w:t>
      </w:r>
    </w:p>
    <w:p w:rsidR="00296032" w:rsidRPr="00620047" w:rsidRDefault="00296032">
      <w:pPr>
        <w:pStyle w:val="art2enivo"/>
        <w:rPr>
          <w:rFonts w:cs="Arial"/>
        </w:rPr>
      </w:pPr>
      <w:r w:rsidRPr="00620047">
        <w:rPr>
          <w:rFonts w:cs="Arial"/>
        </w:rPr>
        <w:t>b.</w:t>
      </w:r>
      <w:r w:rsidRPr="00620047">
        <w:rPr>
          <w:rFonts w:cs="Arial"/>
        </w:rPr>
        <w:tab/>
        <w:t>de mogelijkheid om bodemverontreiniging te kunnen signaleren.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Een kathodische bescherming voldoet aan de bij ministeriële regeling gestelde eisen in verband met de goede werking van die bescherming.</w:t>
      </w:r>
    </w:p>
    <w:p w:rsidR="00296032" w:rsidRPr="00296032" w:rsidRDefault="00296032">
      <w:pPr>
        <w:pStyle w:val="artikelkop"/>
        <w:rPr>
          <w:rFonts w:cs="Arial"/>
        </w:rPr>
      </w:pPr>
      <w:r w:rsidRPr="00296032">
        <w:rPr>
          <w:rFonts w:cs="Arial"/>
        </w:rPr>
        <w:t>Artikel 2.11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Indien in de inrichting een bodembedreigende activiteit wordt verricht, wordt uiterlijk binnen drie maanden na oprichting van de inrichting, een rapport met de resultaten van een onderzoek naar de bodemkwaliteit toegestuurd aan het bevoegd gezag.</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bevoegd gezag kan maatwerkvoorschriften stellen met betrekking tot het uitvoeren van een onderzoek naar de bodemkwaliteit bij een verandering van de inrichting, indien het gelet op de aard of de mate waarin de inrichting verandert, nodig is de bodemkwaliteit vast te leggen met het oog op een mogelijke aantasting of verontreiniging van de bodem die kan of is ontstaan door een bodembedreigende activiteit.</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Indien in de inrichting een bodembedreigende activiteit is verricht wordt uiterlijk binnen zes maanden na beëindiging van de inrichting of de IPPC-installatie of na beëindiging van het opslaan van vloeibare brandstof, afgewerkte olie of pekel in een ondergrondse opslagtank, een rapport met de resultaten van een onderzoek naar de bodemkwaliteit toegezonden aan het bevoegd gezag. In dit rapport wordt ten minste vermeld:</w:t>
      </w:r>
    </w:p>
    <w:p w:rsidR="00296032" w:rsidRPr="00620047" w:rsidRDefault="00296032">
      <w:pPr>
        <w:pStyle w:val="art2enivo"/>
        <w:rPr>
          <w:rFonts w:cs="Arial"/>
        </w:rPr>
      </w:pPr>
      <w:r w:rsidRPr="00620047">
        <w:rPr>
          <w:rFonts w:cs="Arial"/>
        </w:rPr>
        <w:t>a.</w:t>
      </w:r>
      <w:r w:rsidRPr="00620047">
        <w:rPr>
          <w:rFonts w:cs="Arial"/>
        </w:rPr>
        <w:tab/>
        <w:t>de naam en adres van degene die het onderzoek heeft verricht;</w:t>
      </w:r>
    </w:p>
    <w:p w:rsidR="00296032" w:rsidRPr="00620047" w:rsidRDefault="00296032">
      <w:pPr>
        <w:pStyle w:val="art2enivo"/>
        <w:rPr>
          <w:rFonts w:cs="Arial"/>
        </w:rPr>
      </w:pPr>
      <w:r w:rsidRPr="00620047">
        <w:rPr>
          <w:rFonts w:cs="Arial"/>
        </w:rPr>
        <w:t>b.</w:t>
      </w:r>
      <w:r w:rsidRPr="00620047">
        <w:rPr>
          <w:rFonts w:cs="Arial"/>
        </w:rPr>
        <w:tab/>
        <w:t>de wijze waarop het onderzoek is verricht;</w:t>
      </w:r>
    </w:p>
    <w:p w:rsidR="00296032" w:rsidRPr="00620047" w:rsidRDefault="00296032">
      <w:pPr>
        <w:pStyle w:val="art2enivo"/>
        <w:rPr>
          <w:rFonts w:cs="Arial"/>
        </w:rPr>
      </w:pPr>
      <w:r w:rsidRPr="00620047">
        <w:rPr>
          <w:rFonts w:cs="Arial"/>
        </w:rPr>
        <w:t>c.</w:t>
      </w:r>
      <w:r w:rsidRPr="00620047">
        <w:rPr>
          <w:rFonts w:cs="Arial"/>
        </w:rPr>
        <w:tab/>
        <w:t>de aard en de mate van de aangetroffen verontreinigende stoffen en de herkomst daarvan;</w:t>
      </w:r>
    </w:p>
    <w:p w:rsidR="00296032" w:rsidRPr="00620047" w:rsidRDefault="00296032">
      <w:pPr>
        <w:pStyle w:val="art2enivo"/>
        <w:rPr>
          <w:rFonts w:cs="Arial"/>
        </w:rPr>
      </w:pPr>
      <w:r w:rsidRPr="00620047">
        <w:rPr>
          <w:rFonts w:cs="Arial"/>
        </w:rPr>
        <w:t>d.</w:t>
      </w:r>
      <w:r w:rsidRPr="00620047">
        <w:rPr>
          <w:rFonts w:cs="Arial"/>
        </w:rPr>
        <w:tab/>
        <w:t>de mate waarin de bodemkwaliteit is gewijzigd ten opzichte van de situatie bij de oprichting of de verandering van de inrichting voor zover die situatie is vastgelegd in een rapport;</w:t>
      </w:r>
    </w:p>
    <w:p w:rsidR="00296032" w:rsidRPr="00620047" w:rsidRDefault="00296032">
      <w:pPr>
        <w:pStyle w:val="art2enivo"/>
        <w:rPr>
          <w:rFonts w:cs="Arial"/>
        </w:rPr>
      </w:pPr>
      <w:r w:rsidRPr="00620047">
        <w:rPr>
          <w:rFonts w:cs="Arial"/>
        </w:rPr>
        <w:t>e.</w:t>
      </w:r>
      <w:r w:rsidRPr="00620047">
        <w:rPr>
          <w:rFonts w:cs="Arial"/>
        </w:rPr>
        <w:tab/>
        <w:t>de wijze waarop en de mate waarin de bodemkwaliteit wordt hersteld als bedoeld in het vijfde lid.</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De onderzoeken en rapporten, bedoeld in het eerste, tweede en derde lid, worden uitgevoerd onderscheidenlijk opgesteld door een persoon of een instelling die daartoe beschikt over een erkenning op grond van het Besluit bodemkwaliteit.</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Indien uit het rapport, bedoeld in het derde lid, blijkt dat de bodem als gevolg van de activiteiten in de inrichting is aangetast of verontreinigd, draagt degene die de inrichting drijft er zorg voor dat binnen zes maanden na toezending van dat rapport aan het bevoegd gezag de bodemkwaliteit is hersteld tot:</w:t>
      </w:r>
    </w:p>
    <w:p w:rsidR="00296032" w:rsidRPr="00620047" w:rsidRDefault="00296032">
      <w:pPr>
        <w:pStyle w:val="art2enivo"/>
        <w:rPr>
          <w:rFonts w:cs="Arial"/>
        </w:rPr>
      </w:pPr>
      <w:r w:rsidRPr="00620047">
        <w:rPr>
          <w:rFonts w:cs="Arial"/>
        </w:rPr>
        <w:t>a.</w:t>
      </w:r>
      <w:r w:rsidRPr="00620047">
        <w:rPr>
          <w:rFonts w:cs="Arial"/>
        </w:rPr>
        <w:tab/>
        <w:t>de situatie bij oprichting of verandering van de inrichting voor zover die situatie is vastgelegd in een rapport;</w:t>
      </w:r>
    </w:p>
    <w:p w:rsidR="00296032" w:rsidRPr="00620047" w:rsidRDefault="00296032">
      <w:pPr>
        <w:pStyle w:val="art2enivo"/>
        <w:rPr>
          <w:rFonts w:cs="Arial"/>
        </w:rPr>
      </w:pPr>
      <w:r w:rsidRPr="00620047">
        <w:rPr>
          <w:rFonts w:cs="Arial"/>
        </w:rPr>
        <w:t>b.</w:t>
      </w:r>
      <w:r w:rsidRPr="00620047">
        <w:rPr>
          <w:rFonts w:cs="Arial"/>
        </w:rPr>
        <w:tab/>
        <w:t>de achtergrondwaarden als bedoeld in het Besluit bodemkwaliteit indien er geen rapport als bedoeld in onderdeel a beschikbaar is.</w:t>
      </w:r>
    </w:p>
    <w:p w:rsidR="00296032" w:rsidRPr="00620047" w:rsidRDefault="00296032">
      <w:pPr>
        <w:pStyle w:val="art2enivo"/>
        <w:ind w:left="426" w:hanging="1"/>
      </w:pPr>
      <w:r w:rsidRPr="00620047">
        <w:t>Herstel vindt plaats voor zover dat met de beste beschikbare technieken redelijkerwijs haalbaar is.</w:t>
      </w:r>
    </w:p>
    <w:p w:rsidR="00296032" w:rsidRPr="00620047" w:rsidRDefault="00296032">
      <w:pPr>
        <w:pStyle w:val="art1enivo"/>
        <w:rPr>
          <w:rFonts w:cs="Arial"/>
        </w:rPr>
      </w:pPr>
      <w:r w:rsidRPr="00620047">
        <w:rPr>
          <w:rFonts w:cs="Arial"/>
          <w:bCs/>
        </w:rPr>
        <w:t>6.</w:t>
      </w:r>
      <w:r w:rsidRPr="00620047">
        <w:rPr>
          <w:rFonts w:cs="Arial"/>
          <w:bCs/>
        </w:rPr>
        <w:tab/>
      </w:r>
      <w:r w:rsidRPr="00620047">
        <w:rPr>
          <w:rFonts w:cs="Arial"/>
        </w:rPr>
        <w:t>Het herstel van de bodemkwaliteit als bedoeld in het vijfde lid geschiedt door een persoon of een instelling die beschikt over een erkenning op grond van het Besluit bodemkwaliteit.</w:t>
      </w:r>
    </w:p>
    <w:p w:rsidR="00296032" w:rsidRPr="00620047" w:rsidRDefault="00296032">
      <w:pPr>
        <w:pStyle w:val="art1enivo"/>
        <w:rPr>
          <w:rFonts w:cs="Arial"/>
        </w:rPr>
      </w:pPr>
      <w:r w:rsidRPr="00620047">
        <w:rPr>
          <w:rFonts w:cs="Arial"/>
          <w:bCs/>
        </w:rPr>
        <w:t>7.</w:t>
      </w:r>
      <w:r w:rsidRPr="00620047">
        <w:rPr>
          <w:rFonts w:cs="Arial"/>
          <w:bCs/>
        </w:rPr>
        <w:tab/>
      </w:r>
      <w:r w:rsidRPr="00620047">
        <w:rPr>
          <w:rFonts w:cs="Arial"/>
        </w:rPr>
        <w:t>Degene die de inrichting drijft meldt de aanvang en de afronding van de werkzaamheden, bedoeld in het vijfde lid, direct aan het bevoegd gezag.</w:t>
      </w:r>
    </w:p>
    <w:p w:rsidR="00296032" w:rsidRPr="00620047" w:rsidRDefault="00296032">
      <w:pPr>
        <w:pStyle w:val="art1enivo"/>
        <w:rPr>
          <w:rFonts w:cs="Arial"/>
        </w:rPr>
      </w:pPr>
      <w:r w:rsidRPr="00620047">
        <w:rPr>
          <w:rFonts w:cs="Arial"/>
          <w:bCs/>
        </w:rPr>
        <w:t>8.</w:t>
      </w:r>
      <w:r w:rsidRPr="00620047">
        <w:rPr>
          <w:rFonts w:cs="Arial"/>
          <w:bCs/>
        </w:rPr>
        <w:tab/>
      </w:r>
      <w:r w:rsidRPr="00620047">
        <w:rPr>
          <w:rFonts w:cs="Arial"/>
        </w:rPr>
        <w:t>De onderzoeken, bedoeld in het eerste tot en met derde lid, voldoen aan NEN 5740 en richten zich uitsluitend op de bodembedreigende stoffen die door de werkzaamheden ter plaatse een bedreiging voor de bodemkwaliteit vormen of vormden en op de plaatsen waar bodembedreigende activiteiten plaatsvinden, zullen plaatsvinden dan wel hebben plaatsgevonden.</w:t>
      </w:r>
    </w:p>
    <w:p w:rsidR="00296032" w:rsidRPr="00620047" w:rsidRDefault="00296032">
      <w:pPr>
        <w:pStyle w:val="art1enivo"/>
        <w:rPr>
          <w:rFonts w:cs="Arial"/>
        </w:rPr>
      </w:pPr>
      <w:r w:rsidRPr="00620047">
        <w:rPr>
          <w:rFonts w:cs="Arial"/>
          <w:bCs/>
        </w:rPr>
        <w:t>9.</w:t>
      </w:r>
      <w:r w:rsidRPr="00620047">
        <w:rPr>
          <w:rFonts w:cs="Arial"/>
          <w:bCs/>
        </w:rPr>
        <w:tab/>
      </w:r>
      <w:r w:rsidRPr="00620047">
        <w:rPr>
          <w:rFonts w:cs="Arial"/>
        </w:rPr>
        <w:t>Een aanwezige vloeistofdichte vloer of verharding wordt ten behoeve van het onderzoek, bedoeld in het eerste lid of tweede lid, niet doorboord of anderszins aangetast.</w:t>
      </w:r>
    </w:p>
    <w:p w:rsidR="00296032" w:rsidRDefault="00296032">
      <w:pPr>
        <w:pStyle w:val="art1enivo"/>
        <w:rPr>
          <w:rFonts w:cs="Arial"/>
        </w:rPr>
      </w:pPr>
      <w:r w:rsidRPr="00620047">
        <w:rPr>
          <w:rFonts w:cs="Arial"/>
        </w:rPr>
        <w:t>10.</w:t>
      </w:r>
      <w:r w:rsidRPr="00620047">
        <w:rPr>
          <w:rFonts w:cs="Arial"/>
        </w:rPr>
        <w:tab/>
        <w:t>Bij ministeriële regeling kunnen bodembedreigende activiteiten worden aangewezen waarop dit artikel geheel of gedeeltelijk niet van toepassing is.</w:t>
      </w:r>
    </w:p>
    <w:p w:rsidR="00802CA9" w:rsidRDefault="00802CA9" w:rsidP="00802CA9"/>
    <w:p w:rsidR="00802CA9" w:rsidRDefault="00802CA9" w:rsidP="00802CA9">
      <w:pPr>
        <w:pStyle w:val="paragraaf"/>
        <w:shd w:val="clear" w:color="auto" w:fill="D9D9D9" w:themeFill="background1" w:themeFillShade="D9"/>
      </w:pPr>
      <w:bookmarkStart w:id="23" w:name="_Toc431375544"/>
      <w:r>
        <w:t>§ 2.1.1. Bodembeschermende maatregelen</w:t>
      </w:r>
      <w:bookmarkEnd w:id="23"/>
    </w:p>
    <w:p w:rsidR="00802CA9" w:rsidRDefault="00802CA9" w:rsidP="00802CA9">
      <w:pPr>
        <w:pStyle w:val="artikelkop"/>
        <w:shd w:val="clear" w:color="auto" w:fill="D9D9D9" w:themeFill="background1" w:themeFillShade="D9"/>
      </w:pPr>
      <w:r>
        <w:t>Artikel 2.1</w:t>
      </w:r>
    </w:p>
    <w:p w:rsidR="00802CA9" w:rsidRDefault="00802CA9" w:rsidP="00802CA9">
      <w:pPr>
        <w:pStyle w:val="art1enivo"/>
        <w:shd w:val="clear" w:color="auto" w:fill="D9D9D9" w:themeFill="background1" w:themeFillShade="D9"/>
        <w:suppressAutoHyphens/>
        <w:rPr>
          <w:rFonts w:cs="Arial"/>
        </w:rPr>
      </w:pPr>
      <w:r>
        <w:rPr>
          <w:rFonts w:cs="Arial"/>
        </w:rPr>
        <w:t>1.</w:t>
      </w:r>
      <w:r>
        <w:rPr>
          <w:rFonts w:cs="Arial"/>
        </w:rPr>
        <w:tab/>
        <w:t>Een binnen de inrichting als bodembeschermende voorziening toegepaste vloeistofdichte vloer of verharding of geomembraanbaksysteem is overeenkomstig het daartoe krachtens het Besluit bodemkwaliteit aangewezen normdocument beoordeeld en goedgekeurd door een instelling, die daartoe beschikt over een erkenning op grond van dat besluit.</w:t>
      </w:r>
    </w:p>
    <w:p w:rsidR="00802CA9" w:rsidRDefault="00802CA9" w:rsidP="00802CA9">
      <w:pPr>
        <w:pStyle w:val="art1enivo"/>
        <w:shd w:val="clear" w:color="auto" w:fill="D9D9D9" w:themeFill="background1" w:themeFillShade="D9"/>
        <w:suppressAutoHyphens/>
        <w:rPr>
          <w:rFonts w:cs="Arial"/>
        </w:rPr>
      </w:pPr>
      <w:r>
        <w:rPr>
          <w:rFonts w:cs="Arial"/>
        </w:rPr>
        <w:t>2.</w:t>
      </w:r>
      <w:r>
        <w:rPr>
          <w:rFonts w:cs="Arial"/>
        </w:rPr>
        <w:tab/>
        <w:t>Het eerste lid is niet van toepassing op een vloeistofdichte vloer of verharding die niet inspecteerbaar is als bedoeld in AS 6700. Een dergelijke voorziening wordt eens per zes jaar beoordeeld en goedgekeurd overeenkomstig een door het bevoegd gezag goedgekeurde wijze. Het vijfde lid is daarop van overeenkomstige toepassing.</w:t>
      </w:r>
    </w:p>
    <w:p w:rsidR="00802CA9" w:rsidRDefault="00802CA9" w:rsidP="00802CA9">
      <w:pPr>
        <w:pStyle w:val="art1enivo"/>
        <w:shd w:val="clear" w:color="auto" w:fill="D9D9D9" w:themeFill="background1" w:themeFillShade="D9"/>
        <w:suppressAutoHyphens/>
        <w:rPr>
          <w:rFonts w:cs="Arial"/>
        </w:rPr>
      </w:pPr>
      <w:r>
        <w:rPr>
          <w:rFonts w:cs="Arial"/>
        </w:rPr>
        <w:t>3.</w:t>
      </w:r>
      <w:r>
        <w:rPr>
          <w:rFonts w:cs="Arial"/>
        </w:rPr>
        <w:tab/>
        <w:t>De eerste beoordeling en goedkeuring vindt in afwijking van het eerste lid, plaats binnen zes jaar na aanleg, indien de vloeistofdichte vloer of verharding, bedoeld in het eerste lid, is aangelegd overeenkomstig het daartoe krachtens het Besluit bodemkwaliteit aangewezen normdocument door een bedrijf dat daartoe beschikt over een erkenning op grond van dat besluit.</w:t>
      </w:r>
    </w:p>
    <w:p w:rsidR="00802CA9" w:rsidRDefault="00802CA9" w:rsidP="00802CA9">
      <w:pPr>
        <w:pStyle w:val="art1enivo"/>
        <w:shd w:val="clear" w:color="auto" w:fill="D9D9D9" w:themeFill="background1" w:themeFillShade="D9"/>
        <w:suppressAutoHyphens/>
        <w:rPr>
          <w:rFonts w:cs="Arial"/>
        </w:rPr>
      </w:pPr>
      <w:r>
        <w:rPr>
          <w:rFonts w:cs="Arial"/>
        </w:rPr>
        <w:t>4.</w:t>
      </w:r>
      <w:r>
        <w:rPr>
          <w:rFonts w:cs="Arial"/>
        </w:rPr>
        <w:tab/>
        <w:t>Een vloeistofdichte vloer of verharding of een geomembraanbaksysteem wordt ten minste eens per zes jaar beoordeeld en goedgekeurd overeenkomstig het eerste lid.</w:t>
      </w:r>
    </w:p>
    <w:p w:rsidR="00802CA9" w:rsidRDefault="00802CA9" w:rsidP="00802CA9">
      <w:pPr>
        <w:pStyle w:val="art1enivo"/>
        <w:shd w:val="clear" w:color="auto" w:fill="D9D9D9" w:themeFill="background1" w:themeFillShade="D9"/>
        <w:suppressAutoHyphens/>
        <w:rPr>
          <w:rFonts w:cs="Arial"/>
        </w:rPr>
      </w:pPr>
      <w:r>
        <w:rPr>
          <w:rFonts w:cs="Arial"/>
        </w:rPr>
        <w:t>5.</w:t>
      </w:r>
      <w:r>
        <w:rPr>
          <w:rFonts w:cs="Arial"/>
        </w:rPr>
        <w:tab/>
        <w:t>Degene die de inrichting drijft draagt zorg voor:</w:t>
      </w:r>
    </w:p>
    <w:p w:rsidR="00802CA9" w:rsidRDefault="00802CA9" w:rsidP="00802CA9">
      <w:pPr>
        <w:pStyle w:val="art2enivo"/>
        <w:shd w:val="clear" w:color="auto" w:fill="D9D9D9" w:themeFill="background1" w:themeFillShade="D9"/>
        <w:suppressAutoHyphens/>
        <w:rPr>
          <w:rFonts w:cs="Arial"/>
        </w:rPr>
      </w:pPr>
      <w:r>
        <w:rPr>
          <w:rFonts w:cs="Arial"/>
        </w:rPr>
        <w:t>a.</w:t>
      </w:r>
      <w:r>
        <w:rPr>
          <w:rFonts w:cs="Arial"/>
        </w:rPr>
        <w:tab/>
        <w:t>reparatie en regelmatig onderhoud van de vloeistofdichte vloer of verharding en geomembraanbaksysteem overeenkomstig paragraaf 3.3 van deel 3 van de NRB, en</w:t>
      </w:r>
    </w:p>
    <w:p w:rsidR="00802CA9" w:rsidRDefault="00802CA9" w:rsidP="00802CA9">
      <w:pPr>
        <w:pStyle w:val="art2enivo"/>
        <w:shd w:val="clear" w:color="auto" w:fill="D9D9D9" w:themeFill="background1" w:themeFillShade="D9"/>
        <w:suppressAutoHyphens/>
        <w:rPr>
          <w:rFonts w:cs="Arial"/>
        </w:rPr>
      </w:pPr>
      <w:r>
        <w:rPr>
          <w:rFonts w:cs="Arial"/>
        </w:rPr>
        <w:t>b.</w:t>
      </w:r>
      <w:r>
        <w:rPr>
          <w:rFonts w:cs="Arial"/>
        </w:rPr>
        <w:tab/>
        <w:t xml:space="preserve">een jaarlijkse controle van de bodembeschermende voorziening overeenkomstig bijlage 6 behorende bij AS 6700. </w:t>
      </w:r>
    </w:p>
    <w:p w:rsidR="00802CA9" w:rsidRDefault="00802CA9" w:rsidP="00802CA9">
      <w:pPr>
        <w:pStyle w:val="art1enivo"/>
        <w:shd w:val="clear" w:color="auto" w:fill="D9D9D9" w:themeFill="background1" w:themeFillShade="D9"/>
        <w:suppressAutoHyphens/>
        <w:rPr>
          <w:rFonts w:cs="Arial"/>
        </w:rPr>
      </w:pPr>
      <w:r>
        <w:rPr>
          <w:rFonts w:cs="Arial"/>
        </w:rPr>
        <w:t>6.</w:t>
      </w:r>
      <w:r>
        <w:rPr>
          <w:rFonts w:cs="Arial"/>
        </w:rPr>
        <w:tab/>
        <w:t>Een vloeistofdichte vloer of verharding of een geomembraanbaksysteem wordt opnieuw beoordeeld en goedgekeurd overeenkomstig het eerste lid, indien de reparatie, het regelmatig onderhoud of de controle, bedoeld in het vijfde lid, niet of niet overeenkomstig dat lid is uitgevoerd of indien een tijdens een controle geconstateerd gebrek niet is gerepareerd.</w:t>
      </w:r>
    </w:p>
    <w:p w:rsidR="00802CA9" w:rsidRDefault="00802CA9" w:rsidP="00802CA9">
      <w:pPr>
        <w:pStyle w:val="art1enivo"/>
        <w:shd w:val="clear" w:color="auto" w:fill="D9D9D9" w:themeFill="background1" w:themeFillShade="D9"/>
        <w:rPr>
          <w:rFonts w:eastAsiaTheme="minorEastAsia"/>
          <w:lang w:eastAsia="nl-NL"/>
        </w:rPr>
      </w:pPr>
      <w:r>
        <w:rPr>
          <w:rFonts w:eastAsiaTheme="minorEastAsia"/>
          <w:lang w:eastAsia="nl-NL"/>
        </w:rPr>
        <w:t>7.</w:t>
      </w:r>
      <w:r>
        <w:rPr>
          <w:rFonts w:eastAsiaTheme="minorEastAsia"/>
          <w:lang w:eastAsia="nl-NL"/>
        </w:rPr>
        <w:tab/>
        <w:t>Het eerste lid is niet van toepassing op een geomembraanbaksysteem dat voor 1 december 2001 is aangelegd en voldoet aan de volgende voorwaarden:</w:t>
      </w:r>
    </w:p>
    <w:p w:rsidR="00802CA9" w:rsidRDefault="00802CA9" w:rsidP="00802CA9">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toegepaste folie is productbestendig, is gemaakt van hoge dichtheid polyetheen (HDPE) of folie van een gelijkwaardige kwaliteit, heeft een dikte van ten minste 1 mm en is gecertificeerd op grond van BRL K537;</w:t>
      </w:r>
    </w:p>
    <w:p w:rsidR="00802CA9" w:rsidRDefault="00802CA9" w:rsidP="00802CA9">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voor het geomembraanbaksysteem is een legplan voorhanden met een aanduiding van de lasnaden en doorvoeren, een Rol Testdata rapport, lasrapporten en een lasproefrapport;</w:t>
      </w:r>
    </w:p>
    <w:p w:rsidR="00802CA9" w:rsidRDefault="00802CA9" w:rsidP="00802CA9">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iedere zes maanden vindt een visuele controle plaats van de verharding die zich boven het geomembraanbaksysteem bevindt; bij constatering van een morsing van een grote hoeveelheid vloeibare brandstoffen vindt binnen drie maanden een bemonstering plaats van de peilbuizen als bedoeld in artikel 2.2, vierde lid.</w:t>
      </w:r>
    </w:p>
    <w:p w:rsidR="00802CA9" w:rsidRDefault="00802CA9" w:rsidP="00802CA9">
      <w:pPr>
        <w:pStyle w:val="artikelkop"/>
        <w:shd w:val="clear" w:color="auto" w:fill="D9D9D9" w:themeFill="background1" w:themeFillShade="D9"/>
      </w:pPr>
      <w:r>
        <w:t>Artikel 2.2</w:t>
      </w:r>
    </w:p>
    <w:p w:rsidR="00802CA9" w:rsidRDefault="00802CA9" w:rsidP="00802CA9">
      <w:pPr>
        <w:pStyle w:val="art1enivo"/>
        <w:shd w:val="clear" w:color="auto" w:fill="D9D9D9" w:themeFill="background1" w:themeFillShade="D9"/>
        <w:suppressAutoHyphens/>
        <w:rPr>
          <w:rFonts w:cs="Arial"/>
        </w:rPr>
      </w:pPr>
      <w:r>
        <w:rPr>
          <w:rFonts w:cs="Arial"/>
        </w:rPr>
        <w:t>1.</w:t>
      </w:r>
      <w:r>
        <w:rPr>
          <w:rFonts w:cs="Arial"/>
        </w:rPr>
        <w:tab/>
        <w:t>Indien een geomembraanbaksysteem als bodembeschermende voorziening is toegepast, waarop op grond van artikel 6.2 het eerste lid van artikel 2.1 niet van toepassing is, worden twee grondwaterpeilbuizen geïnstalleerd overeenkomstig paragraaf 1.3 van bijlage 3 van deel 3 bij de NRB zodat bodemverontreiniging door vloeibare brandstoffen kan worden gesignaleerd.</w:t>
      </w:r>
    </w:p>
    <w:p w:rsidR="00802CA9" w:rsidRDefault="00802CA9" w:rsidP="00802CA9">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Indien stoffen als bedoeld in artikel 3.29 van het besluit worden opgeslagen in een ondergrondse opslagtank of betonnen constructie die geheel of gedeeltelijk ondergronds ligt, wordt per opslagtank of constructie ten minste één grondwaterpeilbuis geïnstalleerd overeenkomstig paragraaf 1.3 van bijlage 3 bij deel 3 van de NRB. Indien er meerdere opslagtanks of constructies zijn, wordt per groep van drie opslagtanks of constructies, die binnen tien meter van elkaar zijn gelegen, ten minste één grondwaterpeilbuis geïnstalleerd.</w:t>
      </w:r>
    </w:p>
    <w:p w:rsidR="00802CA9" w:rsidRDefault="00802CA9" w:rsidP="00802CA9">
      <w:pPr>
        <w:pStyle w:val="art1enivo"/>
        <w:shd w:val="clear" w:color="auto" w:fill="D9D9D9" w:themeFill="background1" w:themeFillShade="D9"/>
        <w:suppressAutoHyphens/>
        <w:rPr>
          <w:rFonts w:cs="Arial"/>
        </w:rPr>
      </w:pPr>
      <w:r>
        <w:rPr>
          <w:rFonts w:cs="Arial"/>
        </w:rPr>
        <w:t>3.</w:t>
      </w:r>
      <w:r>
        <w:rPr>
          <w:rFonts w:cs="Arial"/>
        </w:rPr>
        <w:tab/>
        <w:t>Het tweede lid is niet van toepassing op een ondergrondse opslagtank, die:</w:t>
      </w:r>
    </w:p>
    <w:p w:rsidR="00802CA9" w:rsidRDefault="00802CA9" w:rsidP="00802CA9">
      <w:pPr>
        <w:pStyle w:val="art2enivo"/>
        <w:shd w:val="clear" w:color="auto" w:fill="D9D9D9" w:themeFill="background1" w:themeFillShade="D9"/>
        <w:suppressAutoHyphens/>
        <w:rPr>
          <w:rFonts w:cs="Arial"/>
        </w:rPr>
      </w:pPr>
      <w:r>
        <w:rPr>
          <w:rFonts w:cs="Arial"/>
        </w:rPr>
        <w:t>a.</w:t>
      </w:r>
      <w:r>
        <w:rPr>
          <w:rFonts w:cs="Arial"/>
        </w:rPr>
        <w:tab/>
        <w:t>dubbelwandig is uitgevoerd met een systeem voor lekdetectie in de wand, of</w:t>
      </w:r>
    </w:p>
    <w:p w:rsidR="00802CA9" w:rsidRDefault="00802CA9" w:rsidP="00802CA9">
      <w:pPr>
        <w:pStyle w:val="art2enivo"/>
        <w:shd w:val="clear" w:color="auto" w:fill="D9D9D9" w:themeFill="background1" w:themeFillShade="D9"/>
        <w:suppressAutoHyphens/>
        <w:rPr>
          <w:rFonts w:cs="Arial"/>
          <w:szCs w:val="20"/>
        </w:rPr>
      </w:pPr>
      <w:r>
        <w:rPr>
          <w:rFonts w:cs="Arial"/>
          <w:szCs w:val="20"/>
        </w:rPr>
        <w:t>b.</w:t>
      </w:r>
      <w:r>
        <w:rPr>
          <w:rFonts w:cs="Arial"/>
          <w:szCs w:val="20"/>
        </w:rPr>
        <w:tab/>
        <w:t>in een afgedekte betonnen bak is geplaatst met een systeem voor lekdetectie in deze bak die zich onder de opslagtank bevindt.</w:t>
      </w:r>
    </w:p>
    <w:p w:rsidR="00802CA9" w:rsidRDefault="00802CA9" w:rsidP="00802CA9">
      <w:pPr>
        <w:pStyle w:val="artplatletter"/>
        <w:shd w:val="clear" w:color="auto" w:fill="D9D9D9" w:themeFill="background1" w:themeFillShade="D9"/>
        <w:suppressAutoHyphens/>
        <w:rPr>
          <w:rFonts w:cs="Arial"/>
        </w:rPr>
      </w:pPr>
      <w:r>
        <w:rPr>
          <w:rFonts w:cs="Arial"/>
        </w:rPr>
        <w:tab/>
        <w:t>Het systeem voor lekdetectie voldoet en wordt ten minste eenmaal per jaar beoordeeld en goedgekeurd overeenkomstig het daartoe krachtens het Besluit bodemkwaliteit aangewezen normdocument, door een persoon of instelling, die daartoe beschikt over een erkenning op grond van dat besluit.</w:t>
      </w:r>
    </w:p>
    <w:p w:rsidR="00802CA9" w:rsidRDefault="00802CA9" w:rsidP="00802CA9">
      <w:pPr>
        <w:pStyle w:val="art1enivo"/>
        <w:shd w:val="clear" w:color="auto" w:fill="D9D9D9" w:themeFill="background1" w:themeFillShade="D9"/>
        <w:suppressAutoHyphens/>
        <w:rPr>
          <w:rFonts w:cs="Arial"/>
        </w:rPr>
      </w:pPr>
      <w:r>
        <w:rPr>
          <w:rFonts w:cs="Arial"/>
        </w:rPr>
        <w:t>4.</w:t>
      </w:r>
      <w:r>
        <w:rPr>
          <w:rFonts w:cs="Arial"/>
        </w:rPr>
        <w:tab/>
        <w:t xml:space="preserve">De grondwaterpeilbuizen als bedoeld in het eerste en tweede lid, worden zo vaak als de omstandigheden daartoe aanleiding geven, doch ten minste eens per jaar bemonsterd overeenkomstig </w:t>
      </w:r>
      <w:r>
        <w:rPr>
          <w:rFonts w:cs="Arial"/>
          <w:szCs w:val="20"/>
        </w:rPr>
        <w:t>NEN</w:t>
      </w:r>
      <w:r>
        <w:rPr>
          <w:rFonts w:cs="Arial"/>
        </w:rPr>
        <w:t xml:space="preserve"> 5744. Bij bemonstering van grondwaterpeilbuizen bij een ondergrondse opslagtank met vloeibare brandstof of afgewerkte olie worden de monsters onderzocht op aanwezigheid van minerale oliecomponenten overeenkomstig NEN-EN-ISO 9377-2, vluchtige aromaten (BETX) volgens NEN-EN-ISO 15680</w:t>
      </w:r>
      <w:r>
        <w:rPr>
          <w:rFonts w:cs="Arial"/>
          <w:szCs w:val="18"/>
        </w:rPr>
        <w:t xml:space="preserve"> en, </w:t>
      </w:r>
      <w:r>
        <w:rPr>
          <w:rFonts w:cs="Arial"/>
        </w:rPr>
        <w:t>voor zover er sprake is van de opslag van lichte olie, tevens op MTBE en ETBE door een laboratorium, dat daartoe beschikt over een erkenning op grond van het Besluit bodemkwaliteit. Bij bemonstering van grondwaterpeilbuizen bij de opslag van pekel in een ondergrondse opslagtank of betonnen constructie die geheel of gedeeltelijk ondergronds ligt, worden de monsters op aanwezigheid van chloride onderzocht overeenkomstig NEN-EN-ISO 15682 door een laboratorium, dat daartoe beschikt over een erkenning op grond van het Besluit bodemkwaliteit.</w:t>
      </w:r>
    </w:p>
    <w:p w:rsidR="00802CA9" w:rsidRDefault="00802CA9" w:rsidP="00802CA9">
      <w:pPr>
        <w:pStyle w:val="art1enivo"/>
        <w:shd w:val="clear" w:color="auto" w:fill="D9D9D9" w:themeFill="background1" w:themeFillShade="D9"/>
        <w:suppressAutoHyphens/>
        <w:rPr>
          <w:rFonts w:cs="Arial"/>
        </w:rPr>
      </w:pPr>
      <w:r>
        <w:rPr>
          <w:rFonts w:cs="Arial"/>
        </w:rPr>
        <w:t>5.</w:t>
      </w:r>
      <w:r>
        <w:rPr>
          <w:rFonts w:cs="Arial"/>
        </w:rPr>
        <w:tab/>
        <w:t>De installatie van een grondwaterpeilbuis als bedoeld in het eerste en tweede lid, en de bemonstering als bedoeld in het vierde lid, vinden plaats door een bedrijf, dat daartoe beschikt over een erkenning op grond van het Besluit bodemkwaliteit.</w:t>
      </w:r>
    </w:p>
    <w:p w:rsidR="00802CA9" w:rsidRDefault="00802CA9" w:rsidP="00802CA9">
      <w:pPr>
        <w:pStyle w:val="art1enivo"/>
        <w:shd w:val="clear" w:color="auto" w:fill="D9D9D9" w:themeFill="background1" w:themeFillShade="D9"/>
        <w:suppressAutoHyphens/>
        <w:rPr>
          <w:rFonts w:cs="Arial"/>
        </w:rPr>
      </w:pPr>
      <w:r>
        <w:rPr>
          <w:rFonts w:cs="Arial"/>
        </w:rPr>
        <w:t>6.</w:t>
      </w:r>
      <w:r>
        <w:rPr>
          <w:rFonts w:cs="Arial"/>
        </w:rPr>
        <w:tab/>
        <w:t>Degene die de inrichting drijft, zendt de gegevens van de bemonstering en analyse van de grondwaterpeilbuizen ten aanzien van de stoffen MTBE en ETBE, bedoeld in het vierde lid, terstond door aan het bestuursorgaan, bedoeld in artikel 27, eerste lid, van de Wet bodembescherming, indien:</w:t>
      </w:r>
    </w:p>
    <w:p w:rsidR="00802CA9" w:rsidRDefault="00802CA9" w:rsidP="00802CA9">
      <w:pPr>
        <w:pStyle w:val="art2enivo"/>
        <w:shd w:val="clear" w:color="auto" w:fill="D9D9D9" w:themeFill="background1" w:themeFillShade="D9"/>
        <w:suppressAutoHyphens/>
        <w:rPr>
          <w:rFonts w:cs="Arial"/>
        </w:rPr>
      </w:pPr>
      <w:r>
        <w:rPr>
          <w:rFonts w:cs="Arial"/>
        </w:rPr>
        <w:t>a.</w:t>
      </w:r>
      <w:r>
        <w:rPr>
          <w:rFonts w:cs="Arial"/>
        </w:rPr>
        <w:tab/>
        <w:t>de geanalyseerde waarde van de MTBE- of ETBE-verontreiniging hoger is dan 1 microgram per liter, voor zover de inrichting is gelegen in een grondwaterbeschermingsgebied;</w:t>
      </w:r>
    </w:p>
    <w:p w:rsidR="00802CA9" w:rsidRDefault="00802CA9" w:rsidP="00802CA9">
      <w:pPr>
        <w:pStyle w:val="art2enivo"/>
        <w:shd w:val="clear" w:color="auto" w:fill="D9D9D9" w:themeFill="background1" w:themeFillShade="D9"/>
        <w:suppressAutoHyphens/>
        <w:rPr>
          <w:rFonts w:cs="Arial"/>
        </w:rPr>
      </w:pPr>
      <w:r>
        <w:rPr>
          <w:rFonts w:cs="Arial"/>
        </w:rPr>
        <w:t>b.</w:t>
      </w:r>
      <w:r>
        <w:rPr>
          <w:rFonts w:cs="Arial"/>
        </w:rPr>
        <w:tab/>
        <w:t>de geanalyseerde waarde van de MTBE- of ETBE-verontreiniging hoger is dan 15 microgram per liter, voor zover de inrichting is gelegen buiten een grondwaterbeschermingsgebied.</w:t>
      </w:r>
    </w:p>
    <w:p w:rsidR="00802CA9" w:rsidRDefault="00802CA9" w:rsidP="00802CA9">
      <w:pPr>
        <w:pStyle w:val="art1enivo"/>
        <w:shd w:val="clear" w:color="auto" w:fill="D9D9D9" w:themeFill="background1" w:themeFillShade="D9"/>
        <w:suppressAutoHyphens/>
        <w:rPr>
          <w:rFonts w:cs="Arial"/>
        </w:rPr>
      </w:pPr>
      <w:r>
        <w:rPr>
          <w:rFonts w:cs="Arial"/>
        </w:rPr>
        <w:t>7.</w:t>
      </w:r>
      <w:r>
        <w:rPr>
          <w:rFonts w:cs="Arial"/>
        </w:rPr>
        <w:tab/>
        <w:t>Het eerste tot en met het zesde lid, zijn niet van toepassing ten aanzien van inrichtingen waar de gemiddeld laagste grondwaterstand zich meer dan vijf meter beneden het maaiveld bevindt. Indien deze inrichting echter is gelegen in een grondwaterbeschermingsgebied is er een systeem voor lekdetectie aanwezig dat voldoet en dat ten minste eenmaal per jaar wordt beoordeeld en goedgekeurd overeenkomstig het daartoe krachtens het Besluit bodemkwaliteit aangewezen normdocument, door een persoon of instelling, die daartoe beschikt over een erkenning op grond van dat besluit.</w:t>
      </w:r>
    </w:p>
    <w:p w:rsidR="00802CA9" w:rsidRDefault="00802CA9" w:rsidP="00802CA9">
      <w:pPr>
        <w:pStyle w:val="artikelkop"/>
        <w:shd w:val="clear" w:color="auto" w:fill="D9D9D9" w:themeFill="background1" w:themeFillShade="D9"/>
      </w:pPr>
      <w:r>
        <w:t>Artikel 2.3</w:t>
      </w:r>
    </w:p>
    <w:p w:rsidR="00802CA9" w:rsidRDefault="00802CA9" w:rsidP="00802CA9">
      <w:pPr>
        <w:pStyle w:val="art1enivo"/>
        <w:shd w:val="clear" w:color="auto" w:fill="D9D9D9" w:themeFill="background1" w:themeFillShade="D9"/>
        <w:suppressAutoHyphens/>
        <w:rPr>
          <w:rFonts w:cs="Arial"/>
        </w:rPr>
      </w:pPr>
      <w:r>
        <w:rPr>
          <w:rFonts w:cs="Arial"/>
        </w:rPr>
        <w:t>1.</w:t>
      </w:r>
      <w:r>
        <w:rPr>
          <w:rFonts w:cs="Arial"/>
        </w:rPr>
        <w:tab/>
        <w:t>Dit artikel is slechts van toepassing indien binnen de inrichting een vloeistofkerende voorziening is toegepast als bodembeschermende voorziening, tenzij in deze regeling anders is bepaald.</w:t>
      </w:r>
    </w:p>
    <w:p w:rsidR="00802CA9" w:rsidRDefault="00802CA9" w:rsidP="00802CA9">
      <w:pPr>
        <w:pStyle w:val="art1enivo"/>
        <w:shd w:val="clear" w:color="auto" w:fill="D9D9D9" w:themeFill="background1" w:themeFillShade="D9"/>
        <w:suppressAutoHyphens/>
        <w:rPr>
          <w:rFonts w:cs="Arial"/>
        </w:rPr>
      </w:pPr>
      <w:r>
        <w:rPr>
          <w:rFonts w:cs="Arial"/>
        </w:rPr>
        <w:t>2.</w:t>
      </w:r>
      <w:r>
        <w:rPr>
          <w:rFonts w:cs="Arial"/>
        </w:rPr>
        <w:tab/>
        <w:t>De controle, het onderhoud en het beheer van bodembeschermende voorzieningen wordt in eenduidige bedrijfsinterne procedures en werkinstructies ter bescherming van de bodem vastgelegd.</w:t>
      </w:r>
    </w:p>
    <w:p w:rsidR="00802CA9" w:rsidRDefault="00802CA9" w:rsidP="00802CA9">
      <w:pPr>
        <w:pStyle w:val="art1enivo"/>
        <w:shd w:val="clear" w:color="auto" w:fill="D9D9D9" w:themeFill="background1" w:themeFillShade="D9"/>
        <w:suppressAutoHyphens/>
        <w:rPr>
          <w:rFonts w:cs="Arial"/>
        </w:rPr>
      </w:pPr>
      <w:r>
        <w:rPr>
          <w:rFonts w:cs="Arial"/>
        </w:rPr>
        <w:t>3.</w:t>
      </w:r>
      <w:r>
        <w:rPr>
          <w:rFonts w:cs="Arial"/>
        </w:rPr>
        <w:tab/>
        <w:t>In de bedrijfsinterne procedures en werkinstructies als bedoeld in het tweede lid is ten minste aangegeven op welke wijze:</w:t>
      </w:r>
    </w:p>
    <w:p w:rsidR="00802CA9" w:rsidRDefault="00802CA9" w:rsidP="00802CA9">
      <w:pPr>
        <w:pStyle w:val="art2enivo"/>
        <w:shd w:val="clear" w:color="auto" w:fill="D9D9D9" w:themeFill="background1" w:themeFillShade="D9"/>
        <w:suppressAutoHyphens/>
        <w:rPr>
          <w:rFonts w:cs="Arial"/>
        </w:rPr>
      </w:pPr>
      <w:r>
        <w:rPr>
          <w:rFonts w:cs="Arial"/>
        </w:rPr>
        <w:t>a.</w:t>
      </w:r>
      <w:r>
        <w:rPr>
          <w:rFonts w:cs="Arial"/>
        </w:rPr>
        <w:tab/>
        <w:t>de staat en goede werking van bodembeschermende voorzieningen, verpakkingen en apparatuur waarin vloeibare bodembedreigende stoffen worden opgeslagen of getransporteerd, wordt gecontroleerd;</w:t>
      </w:r>
    </w:p>
    <w:p w:rsidR="00802CA9" w:rsidRDefault="00802CA9" w:rsidP="00802CA9">
      <w:pPr>
        <w:pStyle w:val="art2enivo"/>
        <w:shd w:val="clear" w:color="auto" w:fill="D9D9D9" w:themeFill="background1" w:themeFillShade="D9"/>
        <w:suppressAutoHyphens/>
        <w:rPr>
          <w:rFonts w:cs="Arial"/>
        </w:rPr>
      </w:pPr>
      <w:r>
        <w:rPr>
          <w:rFonts w:cs="Arial"/>
        </w:rPr>
        <w:t>b.</w:t>
      </w:r>
      <w:r>
        <w:rPr>
          <w:rFonts w:cs="Arial"/>
        </w:rPr>
        <w:tab/>
        <w:t>er voor zorg wordt gedragen dat zo vaak als de omstandigheden daarom vragen inspecties op morsingen en lekkages plaatsvinden, en</w:t>
      </w:r>
    </w:p>
    <w:p w:rsidR="00802CA9" w:rsidRDefault="00802CA9" w:rsidP="00802CA9">
      <w:pPr>
        <w:pStyle w:val="art2enivo"/>
        <w:shd w:val="clear" w:color="auto" w:fill="D9D9D9" w:themeFill="background1" w:themeFillShade="D9"/>
        <w:suppressAutoHyphens/>
        <w:rPr>
          <w:rFonts w:cs="Arial"/>
        </w:rPr>
      </w:pPr>
      <w:r>
        <w:rPr>
          <w:rFonts w:cs="Arial"/>
        </w:rPr>
        <w:t>c.</w:t>
      </w:r>
      <w:r>
        <w:rPr>
          <w:rFonts w:cs="Arial"/>
        </w:rPr>
        <w:tab/>
        <w:t>is gewaarborgd dat gemorste of gelekte stoffen direct worden opgeruimd.</w:t>
      </w:r>
    </w:p>
    <w:p w:rsidR="00802CA9" w:rsidRDefault="00802CA9" w:rsidP="00802CA9">
      <w:pPr>
        <w:pStyle w:val="art1enivo"/>
        <w:shd w:val="clear" w:color="auto" w:fill="D9D9D9" w:themeFill="background1" w:themeFillShade="D9"/>
        <w:suppressAutoHyphens/>
        <w:rPr>
          <w:rFonts w:cs="Arial"/>
        </w:rPr>
      </w:pPr>
      <w:r>
        <w:rPr>
          <w:rFonts w:cs="Arial"/>
        </w:rPr>
        <w:t>4.</w:t>
      </w:r>
      <w:r>
        <w:rPr>
          <w:rFonts w:cs="Arial"/>
        </w:rPr>
        <w:tab/>
        <w:t>Degene die de inrichting drijft draagt er zorg voor dat de medewerkers die binnen de inrichting bodembedreigende activiteiten verrichten, op de hoogte zijn van de bedrijfsinterne procedures en werkinstructies als bedoeld in het tweede lid, dat deze worden nageleefd en binnen de inrichting zodanig aanwezig zijn dat een ieder daarvan op eenvoudige wijze kennis kan nemen.</w:t>
      </w:r>
    </w:p>
    <w:p w:rsidR="00802CA9" w:rsidRDefault="00802CA9" w:rsidP="00802CA9">
      <w:pPr>
        <w:pStyle w:val="art1enivo"/>
        <w:shd w:val="clear" w:color="auto" w:fill="D9D9D9" w:themeFill="background1" w:themeFillShade="D9"/>
        <w:suppressAutoHyphens/>
        <w:rPr>
          <w:rFonts w:cs="Arial"/>
        </w:rPr>
      </w:pPr>
      <w:r>
        <w:rPr>
          <w:rFonts w:cs="Arial"/>
        </w:rPr>
        <w:t>5.</w:t>
      </w:r>
      <w:r>
        <w:rPr>
          <w:rFonts w:cs="Arial"/>
        </w:rPr>
        <w:tab/>
        <w:t>De controle, het onderhoud en het beheer van bodembeschermende voorzieningen vinden zodanig plaats dat vrijgekomen stoffen zijn verwijderd voordat deze in de bodem kunnen geraken.</w:t>
      </w:r>
    </w:p>
    <w:p w:rsidR="00802CA9" w:rsidRDefault="00802CA9" w:rsidP="00802CA9">
      <w:pPr>
        <w:pStyle w:val="art1enivo"/>
        <w:shd w:val="clear" w:color="auto" w:fill="D9D9D9" w:themeFill="background1" w:themeFillShade="D9"/>
        <w:suppressAutoHyphens/>
        <w:rPr>
          <w:rFonts w:cs="Arial"/>
        </w:rPr>
      </w:pPr>
      <w:r>
        <w:rPr>
          <w:rFonts w:cs="Arial"/>
        </w:rPr>
        <w:t>6.</w:t>
      </w:r>
      <w:r>
        <w:rPr>
          <w:rFonts w:cs="Arial"/>
        </w:rPr>
        <w:tab/>
        <w:t>Morsingen en lekkages worden overeenkomstig de bedrijfsinterne procedures en werkinstructies als bedoeld in het tweede lid, verholpen en opgeruimd.</w:t>
      </w:r>
    </w:p>
    <w:p w:rsidR="00802CA9" w:rsidRDefault="00802CA9" w:rsidP="00802CA9">
      <w:pPr>
        <w:pStyle w:val="art1enivo"/>
        <w:shd w:val="clear" w:color="auto" w:fill="D9D9D9" w:themeFill="background1" w:themeFillShade="D9"/>
        <w:suppressAutoHyphens/>
        <w:rPr>
          <w:rFonts w:cs="Arial"/>
        </w:rPr>
      </w:pPr>
      <w:r>
        <w:rPr>
          <w:rFonts w:cs="Arial"/>
        </w:rPr>
        <w:t>7.</w:t>
      </w:r>
      <w:r>
        <w:rPr>
          <w:rFonts w:cs="Arial"/>
        </w:rPr>
        <w:tab/>
        <w:t>Degene die de inrichting drijft draagt er zorg voor dat de in het kader van de bedrijfsinterne procedures en werkinstructies noodzakelijke absorptiemiddelen en andere materialen en middelen ter bescherming van de bodem binnen de inrichting in voldoende mate aanwezig zijn en dat er voldoende, in het gebruik van deze middelen, geïnstrueerd personeel aanwezig is.</w:t>
      </w:r>
    </w:p>
    <w:p w:rsidR="00802CA9" w:rsidRDefault="00802CA9" w:rsidP="00802CA9">
      <w:pPr>
        <w:pStyle w:val="art1enivo"/>
        <w:shd w:val="clear" w:color="auto" w:fill="D9D9D9" w:themeFill="background1" w:themeFillShade="D9"/>
        <w:suppressAutoHyphens/>
        <w:rPr>
          <w:rFonts w:cs="Arial"/>
        </w:rPr>
      </w:pPr>
      <w:r>
        <w:rPr>
          <w:rFonts w:cs="Arial"/>
        </w:rPr>
        <w:t>8.</w:t>
      </w:r>
      <w:r>
        <w:rPr>
          <w:rFonts w:cs="Arial"/>
        </w:rPr>
        <w:tab/>
        <w:t>Bevindingen van controles van of onderhoud aan bodembeschermende voorzieningen, alsmede acties genomen na incidenten met bodembedreigende stoffen, die mogelijk hebben geleid tot een bodemverontreiniging, worden opgenomen in een logboek dat te allen tijde beschikbaar is voor het bevoegd gezag.</w:t>
      </w:r>
    </w:p>
    <w:p w:rsidR="00802CA9" w:rsidRDefault="00802CA9" w:rsidP="00802CA9">
      <w:pPr>
        <w:pStyle w:val="paragraaf"/>
        <w:shd w:val="clear" w:color="auto" w:fill="D9D9D9" w:themeFill="background1" w:themeFillShade="D9"/>
      </w:pPr>
      <w:bookmarkStart w:id="24" w:name="_Toc431375545"/>
      <w:r>
        <w:t xml:space="preserve">§ 2.1.2. </w:t>
      </w:r>
      <w:r w:rsidRPr="00D73001">
        <w:t>Bodembeschermende</w:t>
      </w:r>
      <w:r>
        <w:t xml:space="preserve"> voorzieningen</w:t>
      </w:r>
      <w:bookmarkEnd w:id="24"/>
    </w:p>
    <w:p w:rsidR="00802CA9" w:rsidRDefault="00802CA9" w:rsidP="00802CA9">
      <w:pPr>
        <w:pStyle w:val="artikelkop"/>
        <w:shd w:val="clear" w:color="auto" w:fill="D9D9D9" w:themeFill="background1" w:themeFillShade="D9"/>
      </w:pPr>
      <w:r>
        <w:t>Artikel 2.4</w:t>
      </w:r>
    </w:p>
    <w:p w:rsidR="00802CA9" w:rsidRDefault="00802CA9" w:rsidP="00802CA9">
      <w:pPr>
        <w:pStyle w:val="art1enivo"/>
        <w:shd w:val="clear" w:color="auto" w:fill="D9D9D9" w:themeFill="background1" w:themeFillShade="D9"/>
        <w:suppressAutoHyphens/>
        <w:rPr>
          <w:rFonts w:cs="Arial"/>
        </w:rPr>
      </w:pPr>
      <w:r>
        <w:rPr>
          <w:rFonts w:cs="Arial"/>
        </w:rPr>
        <w:t>1.</w:t>
      </w:r>
      <w:r>
        <w:rPr>
          <w:rFonts w:cs="Arial"/>
        </w:rPr>
        <w:tab/>
        <w:t>Een bodembeschermende voorziening is zodanig uitgevoerd dat:</w:t>
      </w:r>
    </w:p>
    <w:p w:rsidR="00802CA9" w:rsidRDefault="00802CA9" w:rsidP="00802CA9">
      <w:pPr>
        <w:pStyle w:val="art2enivo"/>
        <w:shd w:val="clear" w:color="auto" w:fill="D9D9D9" w:themeFill="background1" w:themeFillShade="D9"/>
        <w:suppressAutoHyphens/>
        <w:rPr>
          <w:rFonts w:cs="Arial"/>
        </w:rPr>
      </w:pPr>
      <w:r>
        <w:rPr>
          <w:rFonts w:cs="Arial"/>
        </w:rPr>
        <w:t>a.</w:t>
      </w:r>
      <w:r>
        <w:rPr>
          <w:rFonts w:cs="Arial"/>
        </w:rPr>
        <w:tab/>
        <w:t>gemorste of gelekte vloeibare bodembedreigende vloeistoffen effectief worden opgevangen en kunnen worden opgeruimd;</w:t>
      </w:r>
    </w:p>
    <w:p w:rsidR="00802CA9" w:rsidRDefault="00802CA9" w:rsidP="00802CA9">
      <w:pPr>
        <w:pStyle w:val="art2enivo"/>
        <w:shd w:val="clear" w:color="auto" w:fill="D9D9D9" w:themeFill="background1" w:themeFillShade="D9"/>
        <w:suppressAutoHyphens/>
        <w:rPr>
          <w:rFonts w:cs="Arial"/>
        </w:rPr>
      </w:pPr>
      <w:r>
        <w:rPr>
          <w:rFonts w:cs="Arial"/>
        </w:rPr>
        <w:t>b.</w:t>
      </w:r>
      <w:r>
        <w:rPr>
          <w:rFonts w:cs="Arial"/>
        </w:rPr>
        <w:tab/>
        <w:t>er geen hemelwater op of in terecht kan komen, tenzij het hemelwater regelmatig van of uit de voorziening wordt verwijderd.</w:t>
      </w:r>
    </w:p>
    <w:p w:rsidR="00802CA9" w:rsidRDefault="00802CA9" w:rsidP="00802CA9">
      <w:pPr>
        <w:pStyle w:val="art1enivo"/>
        <w:shd w:val="clear" w:color="auto" w:fill="D9D9D9" w:themeFill="background1" w:themeFillShade="D9"/>
        <w:suppressAutoHyphens/>
        <w:rPr>
          <w:rFonts w:cs="Arial"/>
        </w:rPr>
      </w:pPr>
      <w:r>
        <w:rPr>
          <w:rFonts w:cs="Arial"/>
        </w:rPr>
        <w:t>2.</w:t>
      </w:r>
      <w:r>
        <w:rPr>
          <w:rFonts w:cs="Arial"/>
        </w:rPr>
        <w:tab/>
        <w:t>Een bodembeschermende voorziening is bestand tegen de inwerking van de desbetreffende vloeibare bodembedreigende stoffen en de condities waaronder deze stoffen worden gebruikt of opgeslagen.</w:t>
      </w:r>
    </w:p>
    <w:p w:rsidR="00802CA9" w:rsidRDefault="00802CA9" w:rsidP="00802CA9">
      <w:pPr>
        <w:pStyle w:val="art1enivo"/>
        <w:shd w:val="clear" w:color="auto" w:fill="D9D9D9" w:themeFill="background1" w:themeFillShade="D9"/>
        <w:suppressAutoHyphens/>
        <w:rPr>
          <w:rFonts w:cs="Arial"/>
        </w:rPr>
      </w:pPr>
      <w:r>
        <w:rPr>
          <w:rFonts w:cs="Arial"/>
        </w:rPr>
        <w:t>3.</w:t>
      </w:r>
      <w:r>
        <w:rPr>
          <w:rFonts w:cs="Arial"/>
        </w:rPr>
        <w:tab/>
        <w:t>Een lekbak waarin vloeibare bodembedreigende stoffen in verpakking of in een opslagtank wordt opgeslagen, heeft een opvangcapaciteit van ten minste 110% van de inhoud van de grootste verpakkingseenheid of opslagtank, met dien verstande dat de opvangcapaciteit ten minste 10% is van de inhoud van alle opgeslagen stoffen.</w:t>
      </w:r>
    </w:p>
    <w:p w:rsidR="00802CA9" w:rsidRDefault="00802CA9" w:rsidP="00802CA9">
      <w:pPr>
        <w:pStyle w:val="paragraaf"/>
        <w:shd w:val="clear" w:color="auto" w:fill="D9D9D9" w:themeFill="background1" w:themeFillShade="D9"/>
      </w:pPr>
      <w:bookmarkStart w:id="25" w:name="_Toc431375546"/>
      <w:r>
        <w:t>§ 2.1.3. Aanvaardbaar bodemrisico</w:t>
      </w:r>
      <w:bookmarkEnd w:id="25"/>
    </w:p>
    <w:p w:rsidR="00802CA9" w:rsidRDefault="00802CA9" w:rsidP="00802CA9">
      <w:pPr>
        <w:pStyle w:val="artikelkop"/>
        <w:shd w:val="clear" w:color="auto" w:fill="D9D9D9" w:themeFill="background1" w:themeFillShade="D9"/>
      </w:pPr>
      <w:r>
        <w:t>Artikel 2.5</w:t>
      </w:r>
    </w:p>
    <w:p w:rsidR="00802CA9" w:rsidRDefault="00802CA9" w:rsidP="00802CA9">
      <w:pPr>
        <w:shd w:val="clear" w:color="auto" w:fill="D9D9D9" w:themeFill="background1" w:themeFillShade="D9"/>
        <w:suppressAutoHyphens/>
        <w:rPr>
          <w:rFonts w:cs="Arial"/>
        </w:rPr>
      </w:pPr>
      <w:r>
        <w:rPr>
          <w:rFonts w:cs="Arial"/>
        </w:rPr>
        <w:t>De bij deze regeling gestelde regels, die tot doel hebben te voldoen aan een verwaarloosbaar bodemrisico, zijn niet van toepassing op een bodembedreigende activiteit waarvoor het bevoegd gezag op grond van artikel 2.9a van het besluit met een maatwerkvoorschrift heeft bepaald dat een aanvaardbaar bodemrisico kan worden gerealiseerd.</w:t>
      </w:r>
    </w:p>
    <w:p w:rsidR="004F7995" w:rsidRDefault="004F7995" w:rsidP="004F7995">
      <w:pPr>
        <w:pStyle w:val="paragraaf"/>
        <w:shd w:val="clear" w:color="auto" w:fill="D9D9D9" w:themeFill="background1" w:themeFillShade="D9"/>
      </w:pPr>
      <w:bookmarkStart w:id="26" w:name="_Toc431375547"/>
      <w:r>
        <w:t>§ 2.1.4. Bewaren van documenten</w:t>
      </w:r>
      <w:bookmarkEnd w:id="26"/>
    </w:p>
    <w:p w:rsidR="004F7995" w:rsidRDefault="004F7995" w:rsidP="004F7995">
      <w:pPr>
        <w:pStyle w:val="artikelkop"/>
        <w:shd w:val="clear" w:color="auto" w:fill="D9D9D9" w:themeFill="background1" w:themeFillShade="D9"/>
      </w:pPr>
      <w:r>
        <w:t>Artikel 2.6</w:t>
      </w:r>
    </w:p>
    <w:p w:rsidR="004F7995" w:rsidRDefault="004F7995" w:rsidP="004F7995">
      <w:pPr>
        <w:pStyle w:val="art1enivo"/>
        <w:shd w:val="clear" w:color="auto" w:fill="D9D9D9" w:themeFill="background1" w:themeFillShade="D9"/>
        <w:suppressAutoHyphens/>
        <w:rPr>
          <w:rFonts w:cs="Arial"/>
        </w:rPr>
      </w:pPr>
      <w:r>
        <w:rPr>
          <w:rFonts w:cs="Arial"/>
        </w:rPr>
        <w:t>1.</w:t>
      </w:r>
      <w:r>
        <w:rPr>
          <w:rFonts w:cs="Arial"/>
        </w:rPr>
        <w:tab/>
        <w:t>Indien bij of krachtens het besluit verplichtingen gelden met betrekking tot:</w:t>
      </w:r>
    </w:p>
    <w:p w:rsidR="004F7995" w:rsidRDefault="004F7995" w:rsidP="004F7995">
      <w:pPr>
        <w:pStyle w:val="art2enivo"/>
        <w:shd w:val="clear" w:color="auto" w:fill="D9D9D9" w:themeFill="background1" w:themeFillShade="D9"/>
        <w:suppressAutoHyphens/>
        <w:rPr>
          <w:rFonts w:cs="Arial"/>
        </w:rPr>
      </w:pPr>
      <w:r>
        <w:rPr>
          <w:rFonts w:cs="Arial"/>
        </w:rPr>
        <w:t>a.</w:t>
      </w:r>
      <w:r>
        <w:rPr>
          <w:rFonts w:cs="Arial"/>
        </w:rPr>
        <w:tab/>
        <w:t>het uitvoeren van metingen, keuringen, controles of beoordelingen van of aan bodembeschermende voorzieningen, ondergrondse opslagtanks en daarbij behorende leidingen, appendages en kathodische bescherming, installaties of onderdelen van installaties, worden de resultaten daarvan ten minste tot aan het beschikbaar zijn van de resultaten van de eerstvolgende meting, keuring, controle of beoordeling maar ten minste gedurende drie jaar binnen de inrichting bewaard en ter inzage gehouden voor het bevoegd gezag of op een door het bevoegd gezag te stellen termijn beschikbaar gesteld;</w:t>
      </w:r>
    </w:p>
    <w:p w:rsidR="004F7995" w:rsidRDefault="004F7995" w:rsidP="004F7995">
      <w:pPr>
        <w:pStyle w:val="art2enivo"/>
        <w:shd w:val="clear" w:color="auto" w:fill="D9D9D9" w:themeFill="background1" w:themeFillShade="D9"/>
        <w:suppressAutoHyphens/>
        <w:rPr>
          <w:rFonts w:cs="Arial"/>
        </w:rPr>
      </w:pPr>
      <w:r>
        <w:rPr>
          <w:rFonts w:cs="Arial"/>
        </w:rPr>
        <w:t>b.</w:t>
      </w:r>
      <w:r>
        <w:rPr>
          <w:rFonts w:cs="Arial"/>
        </w:rPr>
        <w:tab/>
        <w:t>het aanleggen of installeren van bodembeschermende voorzieningen, ondergrondse opslagtanks en daarbij behorende leidingen, appendages en kathodische bescherming, installaties of onderdelen van installaties, worden de bewijzen van gecertificeerde aanleg en installatie binnen de inrichting bewaard en ter inzage gehouden voor het bevoegd gezag of op een door het bevoegd gezag te stellen termijn beschikbaar gesteld;</w:t>
      </w:r>
    </w:p>
    <w:p w:rsidR="004F7995" w:rsidRDefault="004F7995" w:rsidP="004F7995">
      <w:pPr>
        <w:pStyle w:val="art2enivo"/>
        <w:shd w:val="clear" w:color="auto" w:fill="D9D9D9" w:themeFill="background1" w:themeFillShade="D9"/>
        <w:suppressAutoHyphens/>
        <w:rPr>
          <w:rFonts w:cs="Arial"/>
        </w:rPr>
      </w:pPr>
      <w:r>
        <w:rPr>
          <w:rFonts w:cs="Arial"/>
        </w:rPr>
        <w:t>c.</w:t>
      </w:r>
      <w:r>
        <w:rPr>
          <w:rFonts w:cs="Arial"/>
        </w:rPr>
        <w:tab/>
        <w:t>het uitvoeren van bodem- en grondwateronderzoek, worden de resultaten van dat onderzoek binnen de inrichting bewaard en ter inzage gehouden voor het bevoegd gezag of op een door het bevoegd gezag te stellen termijn beschikbaar gesteld;</w:t>
      </w:r>
    </w:p>
    <w:p w:rsidR="004F7995" w:rsidRDefault="004F7995" w:rsidP="004F7995">
      <w:pPr>
        <w:pStyle w:val="art2enivo"/>
        <w:shd w:val="clear" w:color="auto" w:fill="D9D9D9" w:themeFill="background1" w:themeFillShade="D9"/>
        <w:suppressAutoHyphens/>
        <w:rPr>
          <w:rFonts w:cs="Arial"/>
        </w:rPr>
      </w:pPr>
      <w:r>
        <w:rPr>
          <w:rFonts w:cs="Arial"/>
        </w:rPr>
        <w:t>d.</w:t>
      </w:r>
      <w:r>
        <w:rPr>
          <w:rFonts w:cs="Arial"/>
        </w:rPr>
        <w:tab/>
        <w:t>het stellen van financiële zekerheid, wordt het schriftelijk bewijsstuk als bedoeld in artikel 2.25 en 2.26 van het besluit binnen de inrichting bewaard en ter inzage gehouden voor het bevoegd gezag of op een door het bevoegd gezag te stellen termijn beschikbaar gesteld.</w:t>
      </w:r>
    </w:p>
    <w:p w:rsidR="004F7995" w:rsidRDefault="004F7995" w:rsidP="004F7995">
      <w:pPr>
        <w:pStyle w:val="art1enivo"/>
        <w:shd w:val="clear" w:color="auto" w:fill="D9D9D9" w:themeFill="background1" w:themeFillShade="D9"/>
        <w:suppressAutoHyphens/>
        <w:rPr>
          <w:rFonts w:cs="Arial"/>
        </w:rPr>
      </w:pPr>
      <w:r>
        <w:rPr>
          <w:rFonts w:cs="Arial"/>
        </w:rPr>
        <w:t>2.</w:t>
      </w:r>
      <w:r>
        <w:rPr>
          <w:rFonts w:cs="Arial"/>
        </w:rPr>
        <w:tab/>
        <w:t>Voor de toepassing van het eerste lid wordt onder beschikbaar zijn en ter inzage houden mede verstaan: digitaal beschikbaar zijn en via elektronische weg ter inzage houden.</w:t>
      </w:r>
    </w:p>
    <w:p w:rsidR="00802CA9" w:rsidRDefault="00802CA9" w:rsidP="00802CA9"/>
    <w:p w:rsidR="004F7995" w:rsidRPr="00802CA9" w:rsidRDefault="004F7995" w:rsidP="00802CA9"/>
    <w:p w:rsidR="00296032" w:rsidRPr="00620047" w:rsidRDefault="00296032">
      <w:pPr>
        <w:pStyle w:val="afdeling"/>
        <w:rPr>
          <w:rFonts w:cs="Arial"/>
        </w:rPr>
      </w:pPr>
      <w:bookmarkStart w:id="27" w:name="_Toc431375548"/>
      <w:bookmarkStart w:id="28" w:name="_Toc277243180"/>
      <w:r w:rsidRPr="00620047">
        <w:rPr>
          <w:rFonts w:cs="Arial"/>
        </w:rPr>
        <w:t>Afdeling 2.5. Doelmatig beheer van afvalstoffen</w:t>
      </w:r>
      <w:bookmarkEnd w:id="27"/>
      <w:bookmarkEnd w:id="28"/>
    </w:p>
    <w:p w:rsidR="00296032" w:rsidRPr="00296032" w:rsidRDefault="00296032">
      <w:pPr>
        <w:pStyle w:val="artikelkop"/>
      </w:pPr>
      <w:r w:rsidRPr="00296032">
        <w:t>Artikel 2.11a</w:t>
      </w:r>
    </w:p>
    <w:p w:rsidR="00296032" w:rsidRPr="00620047" w:rsidRDefault="00296032">
      <w:pPr>
        <w:pStyle w:val="artplat"/>
      </w:pPr>
      <w:r w:rsidRPr="00620047">
        <w:t>Deze afdeling is van toepassing op degene die een inrichting type A of een inrichting type B drijft.</w:t>
      </w:r>
    </w:p>
    <w:p w:rsidR="00296032" w:rsidRPr="00296032" w:rsidRDefault="00296032">
      <w:pPr>
        <w:pStyle w:val="artikelkop"/>
        <w:rPr>
          <w:rFonts w:cs="Arial"/>
        </w:rPr>
      </w:pPr>
      <w:r w:rsidRPr="00296032">
        <w:rPr>
          <w:rFonts w:cs="Arial"/>
        </w:rPr>
        <w:t>Artikel 2.12</w:t>
      </w:r>
    </w:p>
    <w:p w:rsidR="00296032" w:rsidRPr="00620047" w:rsidRDefault="00296032">
      <w:pPr>
        <w:pStyle w:val="art1enivo"/>
      </w:pPr>
      <w:r w:rsidRPr="00620047">
        <w:t xml:space="preserve">1. </w:t>
      </w:r>
      <w:r w:rsidRPr="00620047">
        <w:tab/>
        <w:t>Onverminderd artikel 10.54a, eerste lid, van de Wet milieubeheer is het verboden voorafgaand aan het afvalstoffenbeheer gevaarlijke afvalstoffen te mengen, daaronder mede begrepen het verdunnen, met andere categorieën van afvalstoffen of met andere stoffen of materialen.</w:t>
      </w:r>
    </w:p>
    <w:p w:rsidR="00296032" w:rsidRPr="00620047" w:rsidRDefault="00296032">
      <w:pPr>
        <w:pStyle w:val="art1enivo"/>
      </w:pPr>
      <w:r w:rsidRPr="00620047">
        <w:t xml:space="preserve">2. </w:t>
      </w:r>
      <w:r w:rsidRPr="00620047">
        <w:tab/>
        <w:t>Het is verboden afvalstoffen, niet zijnde gevaarlijke afvalstoffen, die binnen de inrichting zijn ontstaan, te mengen met andere categorieën van afvalstoffen, indien het gescheiden houden en gescheiden afgeven redelijkerwijs kan worden gevergd.</w:t>
      </w:r>
    </w:p>
    <w:p w:rsidR="00296032" w:rsidRPr="00620047" w:rsidRDefault="00296032">
      <w:pPr>
        <w:pStyle w:val="art1enivo"/>
      </w:pPr>
      <w:r w:rsidRPr="00620047">
        <w:t>3.</w:t>
      </w:r>
      <w:r w:rsidRPr="00620047">
        <w:tab/>
        <w:t xml:space="preserve"> Het is verboden afvalstoffen, niet zijnde gevaarlijke afvalstoffen, afkomstig van buiten de inrichting, te mengen met andere categorieën van afvalstoffen.</w:t>
      </w:r>
    </w:p>
    <w:p w:rsidR="00296032" w:rsidRPr="00620047" w:rsidRDefault="00296032">
      <w:pPr>
        <w:pStyle w:val="art1enivo"/>
      </w:pPr>
      <w:r w:rsidRPr="00620047">
        <w:t xml:space="preserve">4. </w:t>
      </w:r>
      <w:r w:rsidRPr="00620047">
        <w:tab/>
        <w:t>Het eerste lid is niet van toepassing op het mengen van gevaarlijke afvalstoffen met afvalstoffen, niet zijnde gevaarlijke afvalstoffen, voor zover het mengen bij ministeriële regeling is toegestaan.</w:t>
      </w:r>
    </w:p>
    <w:p w:rsidR="00296032" w:rsidRPr="00620047" w:rsidRDefault="00296032">
      <w:pPr>
        <w:pStyle w:val="art1enivo"/>
      </w:pPr>
      <w:r w:rsidRPr="00620047">
        <w:t xml:space="preserve">5. </w:t>
      </w:r>
      <w:r w:rsidRPr="00620047">
        <w:tab/>
        <w:t>Bij ministeriële regeling worden, voor toepassing van dit artikel, categorieën van afvalstoffen aangewezen.</w:t>
      </w:r>
    </w:p>
    <w:p w:rsidR="00296032" w:rsidRPr="00296032" w:rsidRDefault="00296032" w:rsidP="00620047">
      <w:pPr>
        <w:pStyle w:val="artikelkop"/>
      </w:pPr>
      <w:r w:rsidRPr="00296032">
        <w:t>Artikel 2.13</w:t>
      </w:r>
    </w:p>
    <w:p w:rsidR="00296032" w:rsidRPr="00620047" w:rsidRDefault="00296032">
      <w:pPr>
        <w:rPr>
          <w:rFonts w:cs="Arial"/>
        </w:rPr>
      </w:pPr>
      <w:r w:rsidRPr="00620047">
        <w:rPr>
          <w:rFonts w:cs="Arial"/>
        </w:rPr>
        <w:t>Degene die de inrichting drijft verwijdert zo vaak als nodig etenswaren, verpakkingen, sport- of spelmaterialen, of andere materialen die uit de inrichting afkomstig zijn of voor de inrichting zijn bestemd binnen een straal van 25 meter van de inrichting.</w:t>
      </w:r>
    </w:p>
    <w:p w:rsidR="00296032" w:rsidRPr="00296032" w:rsidRDefault="00296032">
      <w:pPr>
        <w:pStyle w:val="artikelkop"/>
        <w:rPr>
          <w:rFonts w:cs="Arial"/>
        </w:rPr>
      </w:pPr>
      <w:r w:rsidRPr="00296032">
        <w:rPr>
          <w:rFonts w:cs="Arial"/>
        </w:rPr>
        <w:t>Artikel 2.14</w:t>
      </w:r>
    </w:p>
    <w:p w:rsidR="00296032" w:rsidRPr="00620047" w:rsidRDefault="00296032">
      <w:pPr>
        <w:rPr>
          <w:rFonts w:cs="Arial"/>
        </w:rPr>
      </w:pPr>
      <w:r w:rsidRPr="00620047">
        <w:rPr>
          <w:rFonts w:cs="Arial"/>
        </w:rPr>
        <w:t>Indien binnen een inrichting een afvalstof zijnde metaal, hout, kunststof, textiel, steenachtige materialen of gips als grondstof wordt ingezet voor het vervaardigen, samenstellen of repareren van producten of onderdelen daarvan bestaande uit metaal, hout, kunststof, textiel, steenachtige materialen of gips en de eigenschappen van de afvalstof afwijken van de gangbare grondstof kan het bevoegd gezag maatwerkvoorschriften stellen om nadelige gevolgen voor het milieu die kunnen ontstaan door het afwijken van de eigenschappen, te voorkomen of voor zover dat niet mogelijk is te beperken.</w:t>
      </w:r>
    </w:p>
    <w:p w:rsidR="00296032" w:rsidRPr="00296032" w:rsidRDefault="00296032">
      <w:pPr>
        <w:pStyle w:val="artikelkop"/>
        <w:rPr>
          <w:rFonts w:cs="Arial"/>
        </w:rPr>
      </w:pPr>
      <w:r w:rsidRPr="00296032">
        <w:rPr>
          <w:rFonts w:cs="Arial"/>
        </w:rPr>
        <w:t>Artikel 2.14a</w:t>
      </w:r>
    </w:p>
    <w:p w:rsidR="00296032" w:rsidRPr="00620047" w:rsidRDefault="00296032">
      <w:pPr>
        <w:pStyle w:val="art1enivo"/>
        <w:rPr>
          <w:rFonts w:cs="Arial"/>
        </w:rPr>
      </w:pPr>
      <w:r w:rsidRPr="00620047">
        <w:rPr>
          <w:rFonts w:cs="Arial"/>
        </w:rPr>
        <w:t>1.</w:t>
      </w:r>
      <w:r w:rsidRPr="00620047">
        <w:rPr>
          <w:rFonts w:cs="Arial"/>
        </w:rPr>
        <w:tab/>
        <w:t>Het is verboden afvalstoffen te verbranden.</w:t>
      </w:r>
    </w:p>
    <w:p w:rsidR="00296032" w:rsidRPr="00620047" w:rsidRDefault="00296032">
      <w:pPr>
        <w:pStyle w:val="art1enivo"/>
        <w:rPr>
          <w:rFonts w:cs="Arial"/>
        </w:rPr>
      </w:pPr>
      <w:r w:rsidRPr="00620047">
        <w:rPr>
          <w:rFonts w:cs="Arial"/>
        </w:rPr>
        <w:t>2.</w:t>
      </w:r>
      <w:r w:rsidRPr="00620047">
        <w:rPr>
          <w:rFonts w:cs="Arial"/>
        </w:rPr>
        <w:tab/>
        <w:t>Het is verboden afvalstoffen op of in de bodem te brengen met het doel ze daar te laten.</w:t>
      </w:r>
    </w:p>
    <w:p w:rsidR="00296032" w:rsidRPr="00620047" w:rsidRDefault="00296032">
      <w:pPr>
        <w:pStyle w:val="art1enivo"/>
        <w:rPr>
          <w:rFonts w:cs="Arial"/>
        </w:rPr>
      </w:pPr>
      <w:r w:rsidRPr="00620047">
        <w:rPr>
          <w:rFonts w:cs="Arial"/>
        </w:rPr>
        <w:t>3.</w:t>
      </w:r>
      <w:r w:rsidRPr="00620047">
        <w:rPr>
          <w:rFonts w:cs="Arial"/>
        </w:rPr>
        <w:tab/>
        <w:t>Het tweede lid geldt niet voor het toepassen van bouwstoffen en het toepassen van grond of baggerspecie, waarop het Besluit bodemkwaliteit van toepassing is.</w:t>
      </w:r>
    </w:p>
    <w:p w:rsidR="00296032" w:rsidRPr="00620047" w:rsidRDefault="00296032">
      <w:pPr>
        <w:pStyle w:val="art1enivo"/>
        <w:rPr>
          <w:rFonts w:cs="Arial"/>
        </w:rPr>
      </w:pPr>
      <w:r w:rsidRPr="00620047">
        <w:rPr>
          <w:rFonts w:cs="Arial"/>
        </w:rPr>
        <w:t>4.</w:t>
      </w:r>
      <w:r w:rsidRPr="00620047">
        <w:rPr>
          <w:rFonts w:cs="Arial"/>
        </w:rPr>
        <w:tab/>
        <w:t>Het tweede lid geldt niet voor het lozen op of in de bodem.</w:t>
      </w:r>
    </w:p>
    <w:p w:rsidR="00296032" w:rsidRPr="00620047" w:rsidRDefault="00296032">
      <w:pPr>
        <w:pStyle w:val="art1enivo"/>
        <w:rPr>
          <w:rFonts w:cs="Arial"/>
        </w:rPr>
      </w:pPr>
      <w:r w:rsidRPr="00620047">
        <w:rPr>
          <w:rFonts w:cs="Arial"/>
        </w:rPr>
        <w:t>5.</w:t>
      </w:r>
      <w:r w:rsidRPr="00620047">
        <w:rPr>
          <w:rFonts w:cs="Arial"/>
        </w:rPr>
        <w:tab/>
        <w:t>Het is verboden afvalstoffen voorafgaand aan nuttige toepassing langer dan drie jaren op te slaan.</w:t>
      </w:r>
    </w:p>
    <w:p w:rsidR="00296032" w:rsidRPr="00620047" w:rsidRDefault="00296032">
      <w:pPr>
        <w:pStyle w:val="art1enivo"/>
        <w:rPr>
          <w:rFonts w:cs="Arial"/>
        </w:rPr>
      </w:pPr>
      <w:r w:rsidRPr="00620047">
        <w:rPr>
          <w:rFonts w:cs="Arial"/>
        </w:rPr>
        <w:t>6.</w:t>
      </w:r>
      <w:r w:rsidRPr="00620047">
        <w:rPr>
          <w:rFonts w:cs="Arial"/>
        </w:rPr>
        <w:tab/>
        <w:t>Het is verboden afvalstoffen voorafgaand aan verwijdering langer dan een jaar op te slaan.</w:t>
      </w:r>
    </w:p>
    <w:p w:rsidR="00296032" w:rsidRPr="00620047" w:rsidRDefault="00296032">
      <w:pPr>
        <w:pStyle w:val="art1enivo"/>
        <w:rPr>
          <w:rFonts w:cs="Arial"/>
        </w:rPr>
      </w:pPr>
      <w:r w:rsidRPr="00620047">
        <w:rPr>
          <w:rFonts w:cs="Arial"/>
        </w:rPr>
        <w:t>7.</w:t>
      </w:r>
      <w:r w:rsidRPr="00620047">
        <w:rPr>
          <w:rFonts w:cs="Arial"/>
        </w:rPr>
        <w:tab/>
        <w:t>Uiterlijk binnen acht weken na de beëindiging van de inrichting worden de daarin aanwezige afvalstoffen uit de inrichting afgevoerd.</w:t>
      </w:r>
    </w:p>
    <w:p w:rsidR="00296032" w:rsidRPr="00620047" w:rsidRDefault="00296032">
      <w:pPr>
        <w:pStyle w:val="art1enivo"/>
      </w:pPr>
      <w:r w:rsidRPr="00620047">
        <w:t>8.</w:t>
      </w:r>
      <w:r w:rsidRPr="00620047">
        <w:tab/>
        <w:t>Het is verboden afvalstoffen te verdichten, tenzij:</w:t>
      </w:r>
    </w:p>
    <w:p w:rsidR="00296032" w:rsidRPr="00620047" w:rsidRDefault="00296032">
      <w:pPr>
        <w:pStyle w:val="art2enivo"/>
      </w:pPr>
      <w:r w:rsidRPr="00620047">
        <w:t>a.</w:t>
      </w:r>
      <w:r w:rsidRPr="00620047">
        <w:tab/>
        <w:t>het geen gevaarlijke afvalstof betreft, en</w:t>
      </w:r>
    </w:p>
    <w:p w:rsidR="00296032" w:rsidRPr="00620047" w:rsidRDefault="00296032">
      <w:pPr>
        <w:pStyle w:val="art2enivo"/>
      </w:pPr>
      <w:r w:rsidRPr="00620047">
        <w:t>b.</w:t>
      </w:r>
      <w:r w:rsidRPr="00620047">
        <w:tab/>
        <w:t>het verdichten geen belemmering vormt voor de nascheiding of recycling.</w:t>
      </w:r>
    </w:p>
    <w:p w:rsidR="00296032" w:rsidRPr="00296032" w:rsidRDefault="00296032">
      <w:pPr>
        <w:pStyle w:val="artikelkop"/>
      </w:pPr>
      <w:r w:rsidRPr="00296032">
        <w:t>Artikel 2.14b</w:t>
      </w:r>
    </w:p>
    <w:p w:rsidR="00296032" w:rsidRPr="00620047" w:rsidRDefault="00296032">
      <w:pPr>
        <w:pStyle w:val="art1enivo"/>
        <w:rPr>
          <w:rFonts w:cs="Arial"/>
        </w:rPr>
      </w:pPr>
      <w:r w:rsidRPr="00620047">
        <w:rPr>
          <w:rFonts w:cs="Arial"/>
        </w:rPr>
        <w:t>1.</w:t>
      </w:r>
      <w:r w:rsidRPr="00620047">
        <w:rPr>
          <w:rFonts w:cs="Arial"/>
        </w:rPr>
        <w:tab/>
        <w:t>Indien binnen een inrichting afvalstoffen worden op- of overgeslagen of verwerkt die worden ingezameld bij of afgegeven door een andere persoon dan degene die de inrichting drijft, is binnen de inrichting een actuele beschrijving aanwezig van de procedures van acceptatie en controle van de ontvangen afvalstoffen, die nodig zijn voor een doelmatig beheer van die afvalstoffen.</w:t>
      </w:r>
    </w:p>
    <w:p w:rsidR="00296032" w:rsidRPr="00620047" w:rsidRDefault="00296032">
      <w:pPr>
        <w:pStyle w:val="art1enivo"/>
        <w:rPr>
          <w:rFonts w:cs="Arial"/>
        </w:rPr>
      </w:pPr>
      <w:r w:rsidRPr="00620047">
        <w:rPr>
          <w:rFonts w:cs="Arial"/>
        </w:rPr>
        <w:t>2.</w:t>
      </w:r>
      <w:r w:rsidRPr="00620047">
        <w:rPr>
          <w:rFonts w:cs="Arial"/>
        </w:rPr>
        <w:tab/>
        <w:t>De beschrijving, bedoeld in het eerste lid, onderscheidt groepen van afvalstoffen waarvoor vanuit het oogpunt van doelmatig beheer van afvalstoffen verschillende procedures worden gehanteerd en omvat per onderscheiden groep van afvalstoffen in ieder geval de volgende elementen:</w:t>
      </w:r>
    </w:p>
    <w:p w:rsidR="00296032" w:rsidRPr="00620047" w:rsidRDefault="00296032">
      <w:pPr>
        <w:pStyle w:val="art2enivo"/>
        <w:rPr>
          <w:rFonts w:cs="Arial"/>
        </w:rPr>
      </w:pPr>
      <w:r w:rsidRPr="00620047">
        <w:rPr>
          <w:rFonts w:cs="Arial"/>
        </w:rPr>
        <w:t>a.</w:t>
      </w:r>
      <w:r w:rsidRPr="00620047">
        <w:rPr>
          <w:rFonts w:cs="Arial"/>
        </w:rPr>
        <w:tab/>
        <w:t>het type ontdoener waarvan afvalstoffen worden aangenomen, voor zover dit gevolgen heeft voor de acceptatie en controle;</w:t>
      </w:r>
    </w:p>
    <w:p w:rsidR="00296032" w:rsidRPr="00620047" w:rsidRDefault="00296032">
      <w:pPr>
        <w:pStyle w:val="art2enivo"/>
        <w:rPr>
          <w:rFonts w:cs="Arial"/>
        </w:rPr>
      </w:pPr>
      <w:r w:rsidRPr="00620047">
        <w:rPr>
          <w:rFonts w:cs="Arial"/>
        </w:rPr>
        <w:t>b.</w:t>
      </w:r>
      <w:r w:rsidRPr="00620047">
        <w:rPr>
          <w:rFonts w:cs="Arial"/>
        </w:rPr>
        <w:tab/>
        <w:t>de eisen die degene die de inrichting drijft, stelt aan de manier waarop de afvalstoffen worden aangeboden;</w:t>
      </w:r>
    </w:p>
    <w:p w:rsidR="00296032" w:rsidRPr="00620047" w:rsidRDefault="00296032">
      <w:pPr>
        <w:pStyle w:val="art2enivo"/>
        <w:rPr>
          <w:rFonts w:cs="Arial"/>
        </w:rPr>
      </w:pPr>
      <w:r w:rsidRPr="00620047">
        <w:rPr>
          <w:rFonts w:cs="Arial"/>
        </w:rPr>
        <w:t>c.</w:t>
      </w:r>
      <w:r w:rsidRPr="00620047">
        <w:rPr>
          <w:rFonts w:cs="Arial"/>
        </w:rPr>
        <w:tab/>
        <w:t>de manier waarop de afvalstoffen worden gecontroleerd bij ontvangst, en</w:t>
      </w:r>
    </w:p>
    <w:p w:rsidR="00296032" w:rsidRPr="00620047" w:rsidRDefault="00296032">
      <w:pPr>
        <w:pStyle w:val="art2enivo"/>
        <w:rPr>
          <w:rFonts w:cs="Arial"/>
        </w:rPr>
      </w:pPr>
      <w:r w:rsidRPr="00620047">
        <w:rPr>
          <w:rFonts w:cs="Arial"/>
        </w:rPr>
        <w:t>d.</w:t>
      </w:r>
      <w:r w:rsidRPr="00620047">
        <w:rPr>
          <w:rFonts w:cs="Arial"/>
        </w:rPr>
        <w:tab/>
        <w:t>de manier waarop de afvalstoffen die op een milieuhygiënisch relevante manier afwijken van wat gangbaar is voor de categorie, worden behandeld.</w:t>
      </w:r>
    </w:p>
    <w:p w:rsidR="00296032" w:rsidRPr="00620047" w:rsidRDefault="00296032">
      <w:pPr>
        <w:pStyle w:val="art1enivo"/>
        <w:rPr>
          <w:rFonts w:cs="Arial"/>
        </w:rPr>
      </w:pPr>
      <w:r w:rsidRPr="00620047">
        <w:rPr>
          <w:rFonts w:cs="Arial"/>
        </w:rPr>
        <w:t>3.</w:t>
      </w:r>
      <w:r w:rsidRPr="00620047">
        <w:rPr>
          <w:rFonts w:cs="Arial"/>
        </w:rPr>
        <w:tab/>
        <w:t>Degene die de inrichting drijft draagt er zorg voor dat:</w:t>
      </w:r>
    </w:p>
    <w:p w:rsidR="00296032" w:rsidRPr="00620047" w:rsidRDefault="00296032">
      <w:pPr>
        <w:pStyle w:val="art2enivo"/>
        <w:rPr>
          <w:rFonts w:cs="Arial"/>
        </w:rPr>
      </w:pPr>
      <w:r w:rsidRPr="00620047">
        <w:rPr>
          <w:rFonts w:cs="Arial"/>
        </w:rPr>
        <w:t>a.</w:t>
      </w:r>
      <w:r w:rsidRPr="00620047">
        <w:rPr>
          <w:rFonts w:cs="Arial"/>
        </w:rPr>
        <w:tab/>
        <w:t>de procedures van acceptatie en controle, bedoeld in het eerste lid, binnen de inrichting in acht worden genomen, en</w:t>
      </w:r>
    </w:p>
    <w:p w:rsidR="00296032" w:rsidRPr="00620047" w:rsidRDefault="00296032">
      <w:pPr>
        <w:pStyle w:val="art2enivo"/>
        <w:rPr>
          <w:rFonts w:cs="Arial"/>
        </w:rPr>
      </w:pPr>
      <w:r w:rsidRPr="00620047">
        <w:rPr>
          <w:rFonts w:cs="Arial"/>
        </w:rPr>
        <w:t>b.</w:t>
      </w:r>
      <w:r w:rsidRPr="00620047">
        <w:rPr>
          <w:rFonts w:cs="Arial"/>
        </w:rPr>
        <w:tab/>
        <w:t>de afvalstoffen binnen de inrichting uitsluitend worden ingenomen voor zover die procedures worden nageleefd.</w:t>
      </w:r>
    </w:p>
    <w:p w:rsidR="00296032" w:rsidRDefault="00296032">
      <w:pPr>
        <w:pStyle w:val="art1enivo"/>
        <w:rPr>
          <w:rFonts w:cs="Arial"/>
        </w:rPr>
      </w:pPr>
      <w:r w:rsidRPr="00620047">
        <w:rPr>
          <w:rFonts w:cs="Arial"/>
        </w:rPr>
        <w:t>4.</w:t>
      </w:r>
      <w:r w:rsidRPr="00620047">
        <w:rPr>
          <w:rFonts w:cs="Arial"/>
        </w:rPr>
        <w:tab/>
        <w:t>Het bevoegd gezag kan in het belang van het doelmatig beheer van afvalstoffen bij maatwerkvoorschrift eisen stellen aan de invulling van de procedures, bedoeld in het eerste lid.</w:t>
      </w:r>
    </w:p>
    <w:p w:rsidR="004F7995" w:rsidRDefault="004F7995" w:rsidP="004F7995"/>
    <w:p w:rsidR="0073795F" w:rsidRDefault="0073795F" w:rsidP="0073795F">
      <w:pPr>
        <w:pStyle w:val="artikelkop"/>
        <w:shd w:val="clear" w:color="auto" w:fill="D9D9D9" w:themeFill="background1" w:themeFillShade="D9"/>
        <w:rPr>
          <w:rFonts w:eastAsiaTheme="minorEastAsia"/>
          <w:lang w:eastAsia="nl-NL"/>
        </w:rPr>
      </w:pPr>
      <w:r>
        <w:rPr>
          <w:rFonts w:eastAsiaTheme="minorEastAsia"/>
          <w:lang w:eastAsia="nl-NL"/>
        </w:rPr>
        <w:t xml:space="preserve">Artikel 2.9 </w:t>
      </w:r>
    </w:p>
    <w:p w:rsidR="0073795F" w:rsidRDefault="0073795F" w:rsidP="0073795F">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categorieën van afvalstoffen, bedoeld in artikel 10.54a van de wet, zijn de categorieën in bijlage 11, ongeacht het type inrichting.</w:t>
      </w:r>
    </w:p>
    <w:p w:rsidR="0073795F" w:rsidRDefault="0073795F" w:rsidP="0073795F">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categorieën van afvalstoffen, bedoeld in artikel 2.12, vijfde lid, van het besluit, zijn de categorieën in bijlage 11.</w:t>
      </w:r>
    </w:p>
    <w:p w:rsidR="0073795F" w:rsidRDefault="0073795F" w:rsidP="0073795F">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Onverminderd het tweede lid worden verschillende soorten afvalwater waarvan het lozen bij of krachtens het besluit op dezelfde wijze is toegestaan, gerekend tot dezelfde categorie.</w:t>
      </w:r>
    </w:p>
    <w:p w:rsidR="0073795F" w:rsidRDefault="0073795F" w:rsidP="0073795F">
      <w:pPr>
        <w:pStyle w:val="art1enivo"/>
        <w:shd w:val="clear" w:color="auto" w:fill="D9D9D9" w:themeFill="background1" w:themeFillShade="D9"/>
      </w:pPr>
      <w:r>
        <w:rPr>
          <w:rFonts w:eastAsiaTheme="minorEastAsia"/>
          <w:lang w:eastAsia="nl-NL"/>
        </w:rPr>
        <w:t>4.</w:t>
      </w:r>
      <w:r>
        <w:rPr>
          <w:rFonts w:eastAsiaTheme="minorEastAsia"/>
          <w:lang w:eastAsia="nl-NL"/>
        </w:rPr>
        <w:tab/>
        <w:t>Het mengen van gevaarlijke afvalstoffen met niet gevaarlijke afvalstoffen, bedoeld in artikel 2.12, vierde lid, van het besluit is toegestaan indien en voor zover de afvalstoffen behoren tot twee categorieën die in bijlage 11 zijn aangeduid met hetzelfde nummer, daarbij onderscheiden met de aanduiding A en B.</w:t>
      </w:r>
    </w:p>
    <w:p w:rsidR="004F7995" w:rsidRDefault="004F7995" w:rsidP="004F7995">
      <w:pPr>
        <w:shd w:val="clear" w:color="auto" w:fill="D9D9D9" w:themeFill="background1" w:themeFillShade="D9"/>
      </w:pPr>
    </w:p>
    <w:p w:rsidR="004F7995" w:rsidRPr="004F7995" w:rsidRDefault="004F7995" w:rsidP="004F7995"/>
    <w:p w:rsidR="00296032" w:rsidRPr="00620047" w:rsidRDefault="00296032">
      <w:pPr>
        <w:pStyle w:val="afdeling"/>
        <w:rPr>
          <w:rFonts w:cs="Arial"/>
        </w:rPr>
      </w:pPr>
      <w:bookmarkStart w:id="29" w:name="_Toc277243181"/>
      <w:bookmarkStart w:id="30" w:name="_Toc431375549"/>
      <w:r w:rsidRPr="00620047">
        <w:rPr>
          <w:rFonts w:cs="Arial"/>
        </w:rPr>
        <w:t>Afdeling 2.6. Energiebesparing</w:t>
      </w:r>
      <w:bookmarkEnd w:id="29"/>
      <w:bookmarkEnd w:id="30"/>
    </w:p>
    <w:p w:rsidR="00296032" w:rsidRPr="00296032" w:rsidRDefault="00296032">
      <w:pPr>
        <w:pStyle w:val="artikelkop"/>
        <w:rPr>
          <w:rFonts w:cs="Arial"/>
        </w:rPr>
      </w:pPr>
      <w:r w:rsidRPr="00296032">
        <w:rPr>
          <w:rFonts w:cs="Arial"/>
        </w:rPr>
        <w:t>Artikel 2.14c</w:t>
      </w:r>
    </w:p>
    <w:p w:rsidR="00296032" w:rsidRPr="00620047" w:rsidRDefault="00296032">
      <w:pPr>
        <w:pStyle w:val="artplat"/>
      </w:pPr>
      <w:r w:rsidRPr="00620047">
        <w:t>Deze afdeling is van toepassing op degene die een inrichting type A of een inrichting type B drijft.</w:t>
      </w:r>
    </w:p>
    <w:p w:rsidR="00296032" w:rsidRPr="00296032" w:rsidRDefault="00296032">
      <w:pPr>
        <w:pStyle w:val="artikelkop"/>
        <w:rPr>
          <w:rFonts w:cs="Arial"/>
        </w:rPr>
      </w:pPr>
      <w:r w:rsidRPr="00296032">
        <w:rPr>
          <w:rFonts w:cs="Arial"/>
        </w:rPr>
        <w:t>Artikel 2.15</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de inrichting drijft neemt alle energiebesparende maatregelen met een terugverdientijd van vijf jaar of minder.</w:t>
      </w:r>
    </w:p>
    <w:p w:rsidR="00296032" w:rsidRPr="00620047" w:rsidRDefault="00296032">
      <w:pPr>
        <w:pStyle w:val="art1enivo"/>
      </w:pPr>
      <w:r w:rsidRPr="00620047">
        <w:t>2.</w:t>
      </w:r>
      <w:r w:rsidRPr="00620047">
        <w:tab/>
        <w:t>Het bevoegd gezag kan bij maatwerkvoorschrift een gefaseerde uitvoering van de verplichting, bedoeld in het eerste lid, toestaan waarbij rekening wordt gehouden met de bedrijfseconomische omstandigheden van de inrichting. Hierbij stelt het bevoegd gezag per maatregel een redelijke termijn vast waarbinnen die maatregel moet zijn uitgevoerd.</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Indien aannemelijk is dat niet wordt voldaan aan het eerste lid, kan het bevoegd gezag degene die de inrichting drijft waarvan het energieverbruik in enig kalenderjaar groter is dan 200.000 kilowatt uur aan elektriciteit of groter is dan 75.000 kubieke meter aardgasequivalenten aan brandstoffen, verplichten om binnen een door het bevoegd gezag te bepalen termijn, onderzoek te verrichten of te laten verrichten waaruit blijkt of aan het eerste lid wordt voldaan.</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Indien uit het onderzoek, bedoeld in het derde lid, blijkt dat niet wordt voldaan aan het eerste lid, neemt degene die de inrichting drijft de in het eerste lid bedoelde maatregelen binnen een door het bevoegd gezag te bepalen redelijke termijn.</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Het eerste lid is niet van toepassing indien het energiegebruik in de inrichting in enig kalenderjaar kleiner is dan 50.000 kilowatt uur aan elektriciteit en kleiner is dan 25.000 kubieke meter aardgasequivalenten aan brandstoffen.</w:t>
      </w:r>
    </w:p>
    <w:p w:rsidR="00296032" w:rsidRPr="00620047" w:rsidRDefault="00296032">
      <w:pPr>
        <w:pStyle w:val="art1enivo"/>
        <w:rPr>
          <w:rFonts w:cs="Arial"/>
        </w:rPr>
      </w:pPr>
      <w:r w:rsidRPr="00620047">
        <w:rPr>
          <w:rFonts w:cs="Arial"/>
        </w:rPr>
        <w:t>6.</w:t>
      </w:r>
      <w:r w:rsidRPr="00620047">
        <w:rPr>
          <w:rFonts w:cs="Arial"/>
        </w:rPr>
        <w:tab/>
        <w:t>Het eerste lid is niet van toepassing op een inrichting waarop de verboden, bedoeld in artikel 16.5 van de wet, betrekking hebben en op een inrichting als bedoeld in artikel 15.51, eerste lid, van de wet.</w:t>
      </w:r>
      <w:bookmarkStart w:id="31" w:name="_Toc277243182"/>
    </w:p>
    <w:p w:rsidR="0073795F" w:rsidRDefault="0073795F" w:rsidP="0073795F">
      <w:pPr>
        <w:pStyle w:val="artikelkop"/>
        <w:shd w:val="clear" w:color="auto" w:fill="D9D9D9" w:themeFill="background1" w:themeFillShade="D9"/>
        <w:rPr>
          <w:rFonts w:eastAsiaTheme="minorEastAsia"/>
          <w:lang w:eastAsia="nl-NL"/>
        </w:rPr>
      </w:pPr>
      <w:r>
        <w:rPr>
          <w:rFonts w:eastAsiaTheme="minorEastAsia"/>
          <w:lang w:eastAsia="nl-NL"/>
        </w:rPr>
        <w:t xml:space="preserve">Artikel 2.16 </w:t>
      </w:r>
    </w:p>
    <w:p w:rsidR="0073795F" w:rsidRPr="0073795F" w:rsidRDefault="0073795F" w:rsidP="0073795F">
      <w:pPr>
        <w:pStyle w:val="artplat"/>
        <w:shd w:val="clear" w:color="auto" w:fill="D9D9D9" w:themeFill="background1" w:themeFillShade="D9"/>
        <w:rPr>
          <w:rFonts w:eastAsiaTheme="minorEastAsia"/>
          <w:lang w:eastAsia="nl-NL"/>
        </w:rPr>
      </w:pPr>
      <w:r>
        <w:rPr>
          <w:rFonts w:eastAsiaTheme="minorEastAsia"/>
          <w:lang w:eastAsia="nl-NL"/>
        </w:rPr>
        <w:t>Aan artikel 2.15, eerste lid, van het besluit wordt, voor de in bijlage 10 aangewezen typen van energiebesparende maatregelen en aangewezen activiteiten, door degene die de inrichting drijft in ieder geval voldaan indien alle maatregelen per aangewezen type en per aangewezen activiteit zijn getroffen voor de bedrijfstak waartoe de inrichting behoort.</w:t>
      </w:r>
    </w:p>
    <w:p w:rsidR="00296032" w:rsidRPr="00620047" w:rsidRDefault="00296032">
      <w:pPr>
        <w:pStyle w:val="afdeling"/>
        <w:rPr>
          <w:rFonts w:cs="Arial"/>
        </w:rPr>
      </w:pPr>
      <w:bookmarkStart w:id="32" w:name="_Toc431375550"/>
      <w:r w:rsidRPr="00620047">
        <w:rPr>
          <w:rFonts w:cs="Arial"/>
        </w:rPr>
        <w:t>Afdeling 2.7</w:t>
      </w:r>
      <w:r w:rsidRPr="004F7995">
        <w:rPr>
          <w:rFonts w:cs="Arial"/>
        </w:rPr>
        <w:t>. Verkeer en vervoer</w:t>
      </w:r>
      <w:bookmarkEnd w:id="31"/>
      <w:bookmarkEnd w:id="32"/>
    </w:p>
    <w:p w:rsidR="00296032" w:rsidRPr="00296032" w:rsidRDefault="00296032">
      <w:pPr>
        <w:pStyle w:val="artikelkop"/>
        <w:rPr>
          <w:rFonts w:cs="Arial"/>
        </w:rPr>
      </w:pPr>
      <w:r w:rsidRPr="00296032">
        <w:rPr>
          <w:rFonts w:cs="Arial"/>
        </w:rPr>
        <w:t>Artikel 2.15a</w:t>
      </w:r>
    </w:p>
    <w:p w:rsidR="00296032" w:rsidRPr="00620047" w:rsidRDefault="00296032">
      <w:pPr>
        <w:pStyle w:val="artplat"/>
      </w:pPr>
      <w:r w:rsidRPr="00620047">
        <w:t>Deze afdeling is van toepassing op degene die een inrichting type A of een inrichting type B drijft.</w:t>
      </w:r>
    </w:p>
    <w:p w:rsidR="00296032" w:rsidRPr="00296032" w:rsidRDefault="00296032">
      <w:pPr>
        <w:pStyle w:val="artikelkop"/>
        <w:rPr>
          <w:rFonts w:cs="Arial"/>
        </w:rPr>
      </w:pPr>
      <w:r w:rsidRPr="00296032">
        <w:rPr>
          <w:rFonts w:cs="Arial"/>
        </w:rPr>
        <w:t>Artikel 2.16 [Treedt in werking op een nader te bepalen tijdstip</w:t>
      </w:r>
      <w:r w:rsidRPr="00296032">
        <w:rPr>
          <w:rFonts w:cs="Arial"/>
          <w:bCs/>
          <w:szCs w:val="20"/>
        </w:rPr>
        <w:t>]</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een inrichting drijft, treft ten aanzien van het vervoer van de eigen werknemers van en naar de inrichting de in de ministeriële regeling genoemde maatregelen, waarbij kan worden bepaald dat maatregelen worden getroffen die tezamen ten minste het op grond van die ministeriële regeling benodigde aantal punten behalen.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Indien in de inrichting meer dan 500 werknemers werkzaam zijn kan het bevoegd gezag degene die de inrichting drijft verplichten om binnen een door het bevoegd gezag te bepalen termijn onderzoek naar personenvervoer te verrichten of te laten verrichten waaruit blijkt welke aanvullende maatregelen kunnen worden toegepast. Het bevoegd gezag kan naar aanleiding van dat onderzoek bij maatwerkvoorschrift aanvullende maatregelen voorschrijven.</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bevoegd gezag kan in afwijking van het eerste lid een lager aantal punten dan het in de ministeriële regeling vastgestelde puntenaantal vaststellen indien degene die de inrichting drijft aantoont dat het gezien de aard en ligging van de inrichting op geen enkele manier mogelijk is om het puntenaantal zoals opgenomen in de ministeriële regeling te bereiken.</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eerste lid is niet van toepassing indien er in de inrichting minder dan 50 werknemers werkzaam zijn.</w:t>
      </w:r>
    </w:p>
    <w:p w:rsidR="00296032" w:rsidRPr="00296032" w:rsidRDefault="00296032">
      <w:pPr>
        <w:pStyle w:val="artikelkop"/>
      </w:pPr>
      <w:r w:rsidRPr="00296032">
        <w:t>Artikel 2.16a</w:t>
      </w:r>
    </w:p>
    <w:p w:rsidR="00296032" w:rsidRDefault="00296032">
      <w:pPr>
        <w:pStyle w:val="artplat"/>
      </w:pPr>
      <w:r w:rsidRPr="00620047">
        <w:t>Tot het tijdstip waarop artikel 2.16 in werking treedt, is artikel 2.1, vierde lid, van toepassing op het vervoer van de eigen werknemers van en naar de inrichting.</w:t>
      </w:r>
    </w:p>
    <w:p w:rsidR="004F7995" w:rsidRDefault="004F7995">
      <w:pPr>
        <w:pStyle w:val="artplat"/>
      </w:pPr>
    </w:p>
    <w:p w:rsidR="004F7995" w:rsidRPr="00F41CD6" w:rsidRDefault="004F7995" w:rsidP="004F7995">
      <w:pPr>
        <w:pStyle w:val="afdeling"/>
        <w:shd w:val="clear" w:color="auto" w:fill="D9D9D9" w:themeFill="background1" w:themeFillShade="D9"/>
      </w:pPr>
      <w:bookmarkStart w:id="33" w:name="_Toc431375551"/>
      <w:r w:rsidRPr="00F41CD6">
        <w:t>Afdeling 2.2. Verkeer en vervoer [Treedt in werking op een nader te bepalen tijdstip]</w:t>
      </w:r>
      <w:bookmarkEnd w:id="33"/>
    </w:p>
    <w:p w:rsidR="004F7995" w:rsidRDefault="004F7995" w:rsidP="004F7995">
      <w:pPr>
        <w:pStyle w:val="artikelkop"/>
        <w:shd w:val="clear" w:color="auto" w:fill="D9D9D9" w:themeFill="background1" w:themeFillShade="D9"/>
      </w:pPr>
      <w:r>
        <w:t>Artikel 2.7 [Treedt in werking op een nader te bepalen tijdstip]</w:t>
      </w:r>
    </w:p>
    <w:p w:rsidR="004F7995" w:rsidRDefault="004F7995" w:rsidP="004F7995">
      <w:pPr>
        <w:pStyle w:val="art1enivo"/>
        <w:shd w:val="clear" w:color="auto" w:fill="D9D9D9" w:themeFill="background1" w:themeFillShade="D9"/>
        <w:suppressAutoHyphens/>
        <w:rPr>
          <w:rFonts w:cs="Arial"/>
        </w:rPr>
      </w:pPr>
      <w:r>
        <w:rPr>
          <w:rFonts w:cs="Arial"/>
        </w:rPr>
        <w:t>1.</w:t>
      </w:r>
      <w:r>
        <w:rPr>
          <w:rFonts w:cs="Arial"/>
        </w:rPr>
        <w:tab/>
        <w:t>Degene die een inrichting drijft waar meer dan 50 werknemers werkzaam zijn, treft ten aanzien van het vervoer van de eigen werknemers van en naar de inrichting de volgende maatregelen:</w:t>
      </w:r>
    </w:p>
    <w:p w:rsidR="004F7995" w:rsidRDefault="004F7995" w:rsidP="004F7995">
      <w:pPr>
        <w:pStyle w:val="art2enivo"/>
        <w:shd w:val="clear" w:color="auto" w:fill="D9D9D9" w:themeFill="background1" w:themeFillShade="D9"/>
        <w:suppressAutoHyphens/>
        <w:rPr>
          <w:rFonts w:cs="Arial"/>
        </w:rPr>
      </w:pPr>
      <w:r>
        <w:rPr>
          <w:rFonts w:cs="Arial"/>
        </w:rPr>
        <w:t>a.</w:t>
      </w:r>
      <w:r>
        <w:rPr>
          <w:rFonts w:cs="Arial"/>
        </w:rPr>
        <w:tab/>
        <w:t>in de interne en externe communicatie wordt de bereikbaarheid per openbaar vervoer, fiets en andere alternatieven minimaal gelijkwaardig aan de bereikbaarheid per auto behandeld; en</w:t>
      </w:r>
    </w:p>
    <w:p w:rsidR="004F7995" w:rsidRDefault="004F7995" w:rsidP="004F7995">
      <w:pPr>
        <w:pStyle w:val="art2enivo"/>
        <w:shd w:val="clear" w:color="auto" w:fill="D9D9D9" w:themeFill="background1" w:themeFillShade="D9"/>
        <w:suppressAutoHyphens/>
        <w:rPr>
          <w:rFonts w:cs="Arial"/>
        </w:rPr>
      </w:pPr>
      <w:r>
        <w:rPr>
          <w:rFonts w:cs="Arial"/>
        </w:rPr>
        <w:t>b.</w:t>
      </w:r>
      <w:r>
        <w:rPr>
          <w:rFonts w:cs="Arial"/>
        </w:rPr>
        <w:tab/>
        <w:t>de in bijlage 1 opgenomen maatregelen tot het aantal punten dat op grond van tabel 2.8 voor de inrichting van toepassing.</w:t>
      </w:r>
    </w:p>
    <w:p w:rsidR="004F7995" w:rsidRDefault="004F7995" w:rsidP="004F7995">
      <w:pPr>
        <w:pStyle w:val="art1enivo"/>
        <w:shd w:val="clear" w:color="auto" w:fill="D9D9D9" w:themeFill="background1" w:themeFillShade="D9"/>
        <w:suppressAutoHyphens/>
        <w:rPr>
          <w:rFonts w:cs="Arial"/>
        </w:rPr>
      </w:pPr>
      <w:r>
        <w:rPr>
          <w:rFonts w:cs="Arial"/>
        </w:rPr>
        <w:t>2.</w:t>
      </w:r>
      <w:r>
        <w:rPr>
          <w:rFonts w:cs="Arial"/>
        </w:rPr>
        <w:tab/>
        <w:t>Het eerste lid, onderdeel b, is niet van toepassing indien degene die de inrichting drijft kan aantonen dat ten aanzien van het vervoer van de eigen werknemers van en naar de inrichting 9 van de 10 werknemers niet met de auto naar de inrichting komen.</w:t>
      </w:r>
    </w:p>
    <w:p w:rsidR="004F7995" w:rsidRDefault="004F7995" w:rsidP="004F7995">
      <w:pPr>
        <w:pStyle w:val="artikelkop"/>
        <w:shd w:val="clear" w:color="auto" w:fill="D9D9D9" w:themeFill="background1" w:themeFillShade="D9"/>
      </w:pPr>
      <w:r>
        <w:t>Artikel 2.8 [Treedt in werking op een nader te bepalen tijdstip]</w:t>
      </w:r>
    </w:p>
    <w:p w:rsidR="004F7995" w:rsidRDefault="004F7995" w:rsidP="004F7995">
      <w:pPr>
        <w:shd w:val="clear" w:color="auto" w:fill="D9D9D9" w:themeFill="background1" w:themeFillShade="D9"/>
        <w:suppressAutoHyphens/>
        <w:rPr>
          <w:rFonts w:cs="Arial"/>
        </w:rPr>
      </w:pPr>
      <w:r>
        <w:rPr>
          <w:rFonts w:cs="Arial"/>
        </w:rPr>
        <w:t>Voor de toepassing van tabel 2.8 worden de volgende gemeenten als een normaal regime aangemerkt:</w:t>
      </w:r>
    </w:p>
    <w:p w:rsidR="004F7995" w:rsidRDefault="004F7995" w:rsidP="004F7995">
      <w:pPr>
        <w:shd w:val="clear" w:color="auto" w:fill="D9D9D9" w:themeFill="background1" w:themeFillShade="D9"/>
        <w:suppressAutoHyphens/>
        <w:rPr>
          <w:rFonts w:cs="Arial"/>
        </w:rPr>
      </w:pPr>
      <w:r>
        <w:rPr>
          <w:rFonts w:cs="Arial"/>
        </w:rPr>
        <w:t>Alkmaar, Almelo, Almere, Alphen aan den Rijn, Amersfoort, Amstelveen, Amsterdam, Apeldoorn, Arnhem, Assen, Bergen op Zoom, Breda, Capelle aan den IJssel, Delft, Deventer, Diemen, Doetinchem, Dordrecht, Ede, Eindhoven, Emmen, Enschede, Goes, Gorinchem, Gouda, 's-Gravenhage, Groningen, Haarlem, Haarlemmermeer, Heemstede, Heerhugowaard, Heerlen, Helmond, Hengelo, 's-Hertogenbosch, Hilversum, Hoorn, Houten, Leeuwarden, Leiden, Leiderdorp, Leidschendam-Voorburg, Maastricht, Nieuwegein, Nijmegen, Oegstgeest, Oss, Papendrecht, Roermond, Roosendaal, Rotterdam, Rijswijk, Schiedam, Sittard-Geleen, Sliedrecht, Tilburg, Utrecht, Veenendaal, Veghel, Velsen, Venlo, Vlaardingen, Waddinxveen, Westland, Woerden, Zaanstad, Zeist, Zoetermeer, Zoeterwoude, Zwijndrecht en Zwolle.</w:t>
      </w:r>
    </w:p>
    <w:p w:rsidR="004F7995" w:rsidRDefault="004F7995" w:rsidP="004F7995">
      <w:pPr>
        <w:pStyle w:val="tabelkop"/>
        <w:shd w:val="clear" w:color="auto" w:fill="D9D9D9" w:themeFill="background1" w:themeFillShade="D9"/>
        <w:suppressAutoHyphens/>
        <w:ind w:hanging="426"/>
        <w:rPr>
          <w:rFonts w:cs="Arial"/>
          <w:bCs/>
        </w:rPr>
      </w:pPr>
      <w:r>
        <w:rPr>
          <w:rFonts w:cs="Arial"/>
          <w:bCs/>
        </w:rPr>
        <w:t xml:space="preserve">Tabel 2.8 </w:t>
      </w:r>
    </w:p>
    <w:tbl>
      <w:tblPr>
        <w:tblStyle w:val="Tabelraster"/>
        <w:tblW w:w="6201" w:type="dxa"/>
        <w:tblInd w:w="0" w:type="dxa"/>
        <w:tblLook w:val="04A0" w:firstRow="1" w:lastRow="0" w:firstColumn="1" w:lastColumn="0" w:noHBand="0" w:noVBand="1"/>
      </w:tblPr>
      <w:tblGrid>
        <w:gridCol w:w="2941"/>
        <w:gridCol w:w="1630"/>
        <w:gridCol w:w="1630"/>
      </w:tblGrid>
      <w:tr w:rsidR="004F7995" w:rsidTr="004178A7">
        <w:trPr>
          <w:cnfStyle w:val="100000000000" w:firstRow="1" w:lastRow="0" w:firstColumn="0" w:lastColumn="0" w:oddVBand="0" w:evenVBand="0" w:oddHBand="0" w:evenHBand="0" w:firstRowFirstColumn="0" w:firstRowLastColumn="0" w:lastRowFirstColumn="0" w:lastRowLastColumn="0"/>
        </w:trPr>
        <w:tc>
          <w:tcPr>
            <w:tcW w:w="29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b w:val="0"/>
              </w:rPr>
            </w:pPr>
            <w:r>
              <w:rPr>
                <w:rFonts w:cs="Arial"/>
                <w:szCs w:val="20"/>
              </w:rPr>
              <w:t xml:space="preserve"> </w:t>
            </w:r>
          </w:p>
        </w:tc>
        <w:tc>
          <w:tcPr>
            <w:tcW w:w="16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Normaal regime</w:t>
            </w:r>
          </w:p>
        </w:tc>
        <w:tc>
          <w:tcPr>
            <w:tcW w:w="16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b w:val="0"/>
              </w:rPr>
            </w:pPr>
            <w:r>
              <w:rPr>
                <w:rFonts w:cs="Arial"/>
              </w:rPr>
              <w:t>Licht regime</w:t>
            </w:r>
          </w:p>
        </w:tc>
      </w:tr>
      <w:tr w:rsidR="004F7995" w:rsidTr="004178A7">
        <w:tc>
          <w:tcPr>
            <w:tcW w:w="29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0 - 49 werknemers</w:t>
            </w:r>
          </w:p>
        </w:tc>
        <w:tc>
          <w:tcPr>
            <w:tcW w:w="16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nvt</w:t>
            </w:r>
          </w:p>
        </w:tc>
        <w:tc>
          <w:tcPr>
            <w:tcW w:w="16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nvt</w:t>
            </w:r>
          </w:p>
        </w:tc>
      </w:tr>
      <w:tr w:rsidR="004F7995" w:rsidTr="004178A7">
        <w:tc>
          <w:tcPr>
            <w:tcW w:w="29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50 - 100 werknemers</w:t>
            </w:r>
          </w:p>
        </w:tc>
        <w:tc>
          <w:tcPr>
            <w:tcW w:w="16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35 punten</w:t>
            </w:r>
          </w:p>
        </w:tc>
        <w:tc>
          <w:tcPr>
            <w:tcW w:w="16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25 punten</w:t>
            </w:r>
          </w:p>
        </w:tc>
      </w:tr>
      <w:tr w:rsidR="004F7995" w:rsidTr="004178A7">
        <w:tc>
          <w:tcPr>
            <w:tcW w:w="29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101 - 500 werknemers</w:t>
            </w:r>
          </w:p>
        </w:tc>
        <w:tc>
          <w:tcPr>
            <w:tcW w:w="16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45 punten</w:t>
            </w:r>
          </w:p>
        </w:tc>
        <w:tc>
          <w:tcPr>
            <w:tcW w:w="16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35 punten</w:t>
            </w:r>
          </w:p>
        </w:tc>
      </w:tr>
      <w:tr w:rsidR="004F7995" w:rsidTr="004178A7">
        <w:tc>
          <w:tcPr>
            <w:tcW w:w="29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meer dan 500 werknemers</w:t>
            </w:r>
          </w:p>
        </w:tc>
        <w:tc>
          <w:tcPr>
            <w:tcW w:w="16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45 punten</w:t>
            </w:r>
          </w:p>
        </w:tc>
        <w:tc>
          <w:tcPr>
            <w:tcW w:w="16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35 punten</w:t>
            </w:r>
          </w:p>
        </w:tc>
      </w:tr>
    </w:tbl>
    <w:p w:rsidR="004F7995" w:rsidRPr="00620047" w:rsidRDefault="004F7995">
      <w:pPr>
        <w:pStyle w:val="artplat"/>
      </w:pPr>
    </w:p>
    <w:p w:rsidR="00296032" w:rsidRPr="00620047" w:rsidRDefault="00296032">
      <w:pPr>
        <w:pStyle w:val="afdeling"/>
        <w:rPr>
          <w:rFonts w:cs="Arial"/>
        </w:rPr>
      </w:pPr>
      <w:bookmarkStart w:id="34" w:name="_Toc277243183"/>
      <w:bookmarkStart w:id="35" w:name="_Toc431375552"/>
      <w:r w:rsidRPr="00620047">
        <w:rPr>
          <w:rFonts w:cs="Arial"/>
        </w:rPr>
        <w:t>Afdeling 2.8. Geluidhinder</w:t>
      </w:r>
      <w:bookmarkEnd w:id="34"/>
      <w:bookmarkEnd w:id="35"/>
    </w:p>
    <w:p w:rsidR="00296032" w:rsidRPr="00296032" w:rsidRDefault="00296032">
      <w:pPr>
        <w:pStyle w:val="artikelkop"/>
        <w:rPr>
          <w:rFonts w:cs="Arial"/>
        </w:rPr>
      </w:pPr>
      <w:r w:rsidRPr="00296032">
        <w:rPr>
          <w:rFonts w:cs="Arial"/>
        </w:rPr>
        <w:t>Artikel 2.16b</w:t>
      </w:r>
    </w:p>
    <w:p w:rsidR="00296032" w:rsidRPr="00620047" w:rsidRDefault="00296032">
      <w:pPr>
        <w:pStyle w:val="artplat"/>
      </w:pPr>
      <w:r w:rsidRPr="00620047">
        <w:t>Deze afdeling is van toepassing op degene die een inrichting type A of een inrichting type B drijft.</w:t>
      </w:r>
    </w:p>
    <w:p w:rsidR="00296032" w:rsidRPr="00296032" w:rsidRDefault="00296032">
      <w:pPr>
        <w:pStyle w:val="artikelkop"/>
        <w:rPr>
          <w:rFonts w:cs="Arial"/>
        </w:rPr>
      </w:pPr>
      <w:r w:rsidRPr="00296032">
        <w:rPr>
          <w:rFonts w:cs="Arial"/>
        </w:rPr>
        <w:t>Artikel 2.17</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Voor het langtijdgemiddelde beoordelingsniveau (L</w:t>
      </w:r>
      <w:r w:rsidRPr="00620047">
        <w:rPr>
          <w:rFonts w:cs="Arial"/>
          <w:vertAlign w:val="subscript"/>
        </w:rPr>
        <w:t>Ar,LT</w:t>
      </w:r>
      <w:r w:rsidRPr="00620047">
        <w:rPr>
          <w:rFonts w:cs="Arial"/>
        </w:rPr>
        <w:t>) en het maximaal geluidsniveau L</w:t>
      </w:r>
      <w:r w:rsidRPr="00620047">
        <w:rPr>
          <w:rFonts w:cs="Arial"/>
          <w:vertAlign w:val="subscript"/>
        </w:rPr>
        <w:t>Amax</w:t>
      </w:r>
      <w:r w:rsidRPr="00620047">
        <w:rPr>
          <w:rFonts w:cs="Arial"/>
        </w:rPr>
        <w:t>, veroorzaakt door de in de inrichting aanwezige installaties en toestellen, alsmede door de in de inrichting verrichte werkzaamheden en activiteiten en laad- en losactiviteiten ten behoeve van en in de onmiddellijke nabijheid van de inrichting, geldt dat:</w:t>
      </w:r>
    </w:p>
    <w:p w:rsidR="00296032" w:rsidRPr="00620047" w:rsidRDefault="00296032">
      <w:pPr>
        <w:pStyle w:val="art2enivo"/>
        <w:rPr>
          <w:rFonts w:cs="Arial"/>
        </w:rPr>
      </w:pPr>
      <w:r w:rsidRPr="00620047">
        <w:rPr>
          <w:rFonts w:cs="Arial"/>
        </w:rPr>
        <w:t>a.</w:t>
      </w:r>
      <w:r w:rsidRPr="00620047">
        <w:rPr>
          <w:rFonts w:cs="Arial"/>
        </w:rPr>
        <w:tab/>
        <w:t>de niveaus op de in tabel 2.17a genoemde plaatsen en tijdstippen niet meer bedragen dan de in die tabel aangegeven waarden;</w:t>
      </w:r>
    </w:p>
    <w:p w:rsidR="00296032" w:rsidRPr="00620047" w:rsidRDefault="00296032">
      <w:pPr>
        <w:pStyle w:val="tabelkop"/>
        <w:ind w:firstLine="426"/>
        <w:rPr>
          <w:rFonts w:cs="Arial"/>
        </w:rPr>
      </w:pPr>
      <w:r w:rsidRPr="00620047">
        <w:rPr>
          <w:rFonts w:cs="Arial"/>
        </w:rPr>
        <w:t>Tabel 2.17a</w:t>
      </w:r>
    </w:p>
    <w:tbl>
      <w:tblPr>
        <w:tblW w:w="8505"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685"/>
        <w:gridCol w:w="1606"/>
        <w:gridCol w:w="1607"/>
        <w:gridCol w:w="1607"/>
      </w:tblGrid>
      <w:tr w:rsidR="00296032" w:rsidRPr="00620047">
        <w:trPr>
          <w:cantSplit/>
          <w:tblHeader/>
        </w:trPr>
        <w:tc>
          <w:tcPr>
            <w:tcW w:w="3685"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96032" w:rsidRPr="00620047" w:rsidRDefault="00296032">
            <w:pPr>
              <w:spacing w:before="40" w:after="40"/>
              <w:rPr>
                <w:rFonts w:cs="Arial"/>
                <w:b/>
                <w:sz w:val="16"/>
                <w:szCs w:val="16"/>
              </w:rPr>
            </w:pPr>
          </w:p>
        </w:tc>
        <w:tc>
          <w:tcPr>
            <w:tcW w:w="1606"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07:00-19:00 uur </w:t>
            </w:r>
          </w:p>
        </w:tc>
        <w:tc>
          <w:tcPr>
            <w:tcW w:w="1607"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19:00-23:00 uur </w:t>
            </w:r>
          </w:p>
        </w:tc>
        <w:tc>
          <w:tcPr>
            <w:tcW w:w="1607"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23:00-07:00 uur </w:t>
            </w:r>
          </w:p>
        </w:tc>
      </w:tr>
      <w:tr w:rsidR="00296032" w:rsidRPr="00620047">
        <w:trPr>
          <w:cantSplit/>
          <w:tblHeader/>
        </w:trPr>
        <w:tc>
          <w:tcPr>
            <w:tcW w:w="368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Ar,LT</w:t>
            </w:r>
            <w:r w:rsidRPr="00620047">
              <w:rPr>
                <w:rFonts w:cs="Arial"/>
              </w:rPr>
              <w:t xml:space="preserve"> op de gevel van gevoelige gebouwen </w:t>
            </w:r>
          </w:p>
        </w:tc>
        <w:tc>
          <w:tcPr>
            <w:tcW w:w="160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50 dB(A) </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45 dB(A) </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40 dB(A) </w:t>
            </w:r>
          </w:p>
        </w:tc>
      </w:tr>
      <w:tr w:rsidR="00296032" w:rsidRPr="00620047">
        <w:trPr>
          <w:cantSplit/>
          <w:tblHeader/>
        </w:trPr>
        <w:tc>
          <w:tcPr>
            <w:tcW w:w="368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 xml:space="preserve">Ar,LT </w:t>
            </w:r>
            <w:r w:rsidRPr="00620047">
              <w:rPr>
                <w:rFonts w:cs="Arial"/>
              </w:rPr>
              <w:t xml:space="preserve">in in- en aanpandige gevoelige gebouwen </w:t>
            </w:r>
          </w:p>
        </w:tc>
        <w:tc>
          <w:tcPr>
            <w:tcW w:w="160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35 dB(A) </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30 dB(A) </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25 dB(A) </w:t>
            </w:r>
          </w:p>
        </w:tc>
      </w:tr>
      <w:tr w:rsidR="00296032" w:rsidRPr="00620047">
        <w:trPr>
          <w:cantSplit/>
          <w:tblHeader/>
        </w:trPr>
        <w:tc>
          <w:tcPr>
            <w:tcW w:w="368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Amax</w:t>
            </w:r>
            <w:r w:rsidRPr="00620047">
              <w:rPr>
                <w:rFonts w:cs="Arial"/>
              </w:rPr>
              <w:t xml:space="preserve"> op de gevel van gevoelige gebouwen </w:t>
            </w:r>
          </w:p>
        </w:tc>
        <w:tc>
          <w:tcPr>
            <w:tcW w:w="160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70 dB(A) </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65 dB(A) </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60 dB(A) </w:t>
            </w:r>
          </w:p>
        </w:tc>
      </w:tr>
      <w:tr w:rsidR="00296032" w:rsidRPr="00620047">
        <w:trPr>
          <w:cantSplit/>
          <w:tblHeader/>
        </w:trPr>
        <w:tc>
          <w:tcPr>
            <w:tcW w:w="368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Amax</w:t>
            </w:r>
            <w:r w:rsidRPr="00620047">
              <w:rPr>
                <w:rFonts w:cs="Arial"/>
              </w:rPr>
              <w:t xml:space="preserve"> in in- en aanpandige gevoelige gebouwen </w:t>
            </w:r>
          </w:p>
        </w:tc>
        <w:tc>
          <w:tcPr>
            <w:tcW w:w="160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55 dB(A) </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50 dB(A) </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45 dB(A) </w:t>
            </w:r>
          </w:p>
        </w:tc>
      </w:tr>
    </w:tbl>
    <w:p w:rsidR="00296032" w:rsidRPr="00620047" w:rsidRDefault="00296032">
      <w:pPr>
        <w:pStyle w:val="art2enivo"/>
        <w:rPr>
          <w:rFonts w:cs="Arial"/>
        </w:rPr>
      </w:pPr>
    </w:p>
    <w:p w:rsidR="00296032" w:rsidRPr="00620047" w:rsidRDefault="00296032">
      <w:pPr>
        <w:pStyle w:val="art2enivo"/>
        <w:rPr>
          <w:rFonts w:cs="Arial"/>
        </w:rPr>
      </w:pPr>
      <w:r w:rsidRPr="00620047">
        <w:rPr>
          <w:rFonts w:cs="Arial"/>
        </w:rPr>
        <w:t>b.</w:t>
      </w:r>
      <w:r w:rsidRPr="00620047">
        <w:rPr>
          <w:rFonts w:cs="Arial"/>
        </w:rPr>
        <w:tab/>
        <w:t>de in de periode tussen 07.00 en 19.00 uur in tabel 2.17a opgenomen maximale geluidsniveaus L</w:t>
      </w:r>
      <w:r w:rsidRPr="00620047">
        <w:rPr>
          <w:rFonts w:cs="Arial"/>
          <w:vertAlign w:val="subscript"/>
        </w:rPr>
        <w:t>Amax</w:t>
      </w:r>
      <w:r w:rsidRPr="00620047">
        <w:rPr>
          <w:rFonts w:cs="Arial"/>
        </w:rPr>
        <w:t xml:space="preserve"> niet van toepassing zijn op laad- en losactiviteiten;</w:t>
      </w:r>
    </w:p>
    <w:p w:rsidR="00296032" w:rsidRPr="00620047" w:rsidRDefault="00296032">
      <w:pPr>
        <w:pStyle w:val="art2enivo"/>
        <w:rPr>
          <w:rFonts w:cs="Arial"/>
        </w:rPr>
      </w:pPr>
      <w:r w:rsidRPr="00620047">
        <w:rPr>
          <w:rFonts w:cs="Arial"/>
        </w:rPr>
        <w:t>c.</w:t>
      </w:r>
      <w:r w:rsidRPr="00620047">
        <w:rPr>
          <w:rFonts w:cs="Arial"/>
        </w:rPr>
        <w:tab/>
        <w:t>de in tabel 2.17a aangegeven waarden binnen in- of aanpandige gevoelige gebouwen niet gelden indien de gebruiker van deze gevoelige gebouwen geen toestemming geeft voor het in redelijkheid uitvoeren of doen uitvoeren van geluidsmetingen;</w:t>
      </w:r>
    </w:p>
    <w:p w:rsidR="00296032" w:rsidRPr="00620047" w:rsidRDefault="00296032">
      <w:pPr>
        <w:pStyle w:val="art2enivo"/>
        <w:rPr>
          <w:rFonts w:cs="Arial"/>
        </w:rPr>
      </w:pPr>
      <w:r w:rsidRPr="00620047">
        <w:rPr>
          <w:rFonts w:cs="Arial"/>
        </w:rPr>
        <w:t>d.</w:t>
      </w:r>
      <w:r w:rsidRPr="00620047">
        <w:rPr>
          <w:rFonts w:cs="Arial"/>
        </w:rPr>
        <w:tab/>
        <w:t>de in tabel 2.17a aangegeven waarden op de gevel ook gelden bij gevoelige terreinen op de grens van het terrein, met dien verstande dat de waarden in geval van ligplaatsen, bestemd om te worden ingenomen door een woonschip als bedoeld in artikel 1.2, derde lid, onderdeel b, van het Besluit geluidhinder, slechts gelden voor zover deze ligplaatsen als zodanig zijn bestemd op of na 1 juli 2012 en niet daarvoor in een gemeentelijke verordening waren aangewezen om door een woonschip te worden ingenomen;</w:t>
      </w:r>
    </w:p>
    <w:p w:rsidR="00296032" w:rsidRPr="00620047" w:rsidRDefault="00296032">
      <w:pPr>
        <w:pStyle w:val="art2enivo"/>
        <w:rPr>
          <w:rFonts w:cs="Arial"/>
        </w:rPr>
      </w:pPr>
      <w:r w:rsidRPr="00620047">
        <w:rPr>
          <w:rFonts w:cs="Arial"/>
        </w:rPr>
        <w:t xml:space="preserve">e. </w:t>
      </w:r>
      <w:r w:rsidRPr="00620047">
        <w:rPr>
          <w:rFonts w:cs="Arial"/>
        </w:rPr>
        <w:tab/>
        <w:t>de in tabel 2.17a aangegeven waarden op de gevel, vermeerderd met 5 dB(A), ook gelden op de grens van het terrein in geval van ligplaatsen, bestemd om te worden ingenomen door een woonschip als bedoeld in artikel 1.2, derde lid, onderdeel b, van het Besluit geluidhinder, voor zover deze ligplaatsen:</w:t>
      </w:r>
    </w:p>
    <w:p w:rsidR="00296032" w:rsidRPr="00620047" w:rsidRDefault="00296032">
      <w:pPr>
        <w:pStyle w:val="art3enivo"/>
      </w:pPr>
      <w:r w:rsidRPr="00620047">
        <w:t>1°.</w:t>
      </w:r>
      <w:r w:rsidRPr="00620047">
        <w:tab/>
        <w:t>als zodanig zijn bestemd voor 1 juli 2012, of</w:t>
      </w:r>
    </w:p>
    <w:p w:rsidR="00296032" w:rsidRPr="00620047" w:rsidRDefault="00296032">
      <w:pPr>
        <w:pStyle w:val="art3enivo"/>
      </w:pPr>
      <w:r w:rsidRPr="00620047">
        <w:t>2°.</w:t>
      </w:r>
      <w:r w:rsidRPr="00620047">
        <w:tab/>
        <w:t>voor 1 juli 2012 in een gemeentelijke verordening waren aangewezen om door een woonschip te worden ingenomen en voor 1 juli 2022 als zodanig zijn bestemd;</w:t>
      </w:r>
    </w:p>
    <w:p w:rsidR="00296032" w:rsidRPr="00620047" w:rsidRDefault="00296032">
      <w:pPr>
        <w:pStyle w:val="art2enivo"/>
        <w:rPr>
          <w:rFonts w:cs="Arial"/>
        </w:rPr>
      </w:pPr>
      <w:r w:rsidRPr="00620047">
        <w:rPr>
          <w:rFonts w:cs="Arial"/>
        </w:rPr>
        <w:t>f.</w:t>
      </w:r>
      <w:r w:rsidRPr="00620047">
        <w:rPr>
          <w:rFonts w:cs="Arial"/>
        </w:rPr>
        <w:tab/>
        <w:t>de waarden in in- en aanpandige gevoelige gebouwen slechts gelden in geluidsgevoelige ruimten en verblijfsruimten; en</w:t>
      </w:r>
    </w:p>
    <w:p w:rsidR="00296032" w:rsidRPr="00620047" w:rsidRDefault="00296032">
      <w:pPr>
        <w:pStyle w:val="art2enivo"/>
        <w:rPr>
          <w:rFonts w:cs="Arial"/>
        </w:rPr>
      </w:pPr>
      <w:r w:rsidRPr="00620047">
        <w:rPr>
          <w:rFonts w:cs="Arial"/>
        </w:rPr>
        <w:t>g.</w:t>
      </w:r>
      <w:r w:rsidRPr="00620047">
        <w:rPr>
          <w:rFonts w:cs="Arial"/>
        </w:rPr>
        <w:tab/>
        <w:t>de in tabel 2.17a aangegeven waarden niet gelden op gevoelige objecten die zijn gelegen op een gezoneerd industrieterrein.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Indien de inrichting is gelegen op een gezoneerd industrieterrein gelden de waarden van het langtijdgemiddelde beoordelingsniveau (LAr,LT) uit tabel 2.17a ook op een afstand van 50 meter vanaf de grens van de inrichting.</w:t>
      </w:r>
      <w:r w:rsidRPr="00620047">
        <w:rPr>
          <w:rFonts w:cs="Arial"/>
          <w:bCs/>
        </w:rPr>
        <w:t>3.</w:t>
      </w:r>
      <w:r w:rsidRPr="00620047">
        <w:rPr>
          <w:rFonts w:cs="Arial"/>
          <w:bCs/>
        </w:rPr>
        <w:tab/>
      </w:r>
      <w:r w:rsidRPr="00620047">
        <w:rPr>
          <w:rFonts w:cs="Arial"/>
        </w:rPr>
        <w:t>In afwijking van het eerste lid geldt voor een inrichting die is gelegen op een bedrijventerrein, dat:</w:t>
      </w:r>
    </w:p>
    <w:p w:rsidR="00296032" w:rsidRPr="00620047" w:rsidRDefault="00296032">
      <w:pPr>
        <w:pStyle w:val="art2enivo"/>
        <w:rPr>
          <w:rFonts w:cs="Arial"/>
        </w:rPr>
      </w:pPr>
      <w:r w:rsidRPr="00620047">
        <w:rPr>
          <w:rFonts w:cs="Arial"/>
        </w:rPr>
        <w:t>a.</w:t>
      </w:r>
      <w:r w:rsidRPr="00620047">
        <w:rPr>
          <w:rFonts w:cs="Arial"/>
        </w:rPr>
        <w:tab/>
        <w:t>het langtijdgemiddelde beoordelingsniveau (L</w:t>
      </w:r>
      <w:r w:rsidRPr="00620047">
        <w:rPr>
          <w:rFonts w:cs="Arial"/>
          <w:vertAlign w:val="subscript"/>
        </w:rPr>
        <w:t>Ar,LT</w:t>
      </w:r>
      <w:r w:rsidRPr="00620047">
        <w:rPr>
          <w:rFonts w:cs="Arial"/>
        </w:rPr>
        <w:t>) en het maximaal geluidsniveau (L</w:t>
      </w:r>
      <w:r w:rsidRPr="00620047">
        <w:rPr>
          <w:rFonts w:cs="Arial"/>
          <w:vertAlign w:val="subscript"/>
        </w:rPr>
        <w:t>Amax</w:t>
      </w:r>
      <w:r w:rsidRPr="00620047">
        <w:rPr>
          <w:rFonts w:cs="Arial"/>
        </w:rPr>
        <w:t>) op de in tabel 2.17c genoemde plaatsen en tijdstippen niet meer bedragen dan de in die tabel aangegeven waarden;</w:t>
      </w:r>
    </w:p>
    <w:p w:rsidR="00296032" w:rsidRPr="00620047" w:rsidRDefault="00296032">
      <w:pPr>
        <w:pStyle w:val="art2enivo"/>
        <w:rPr>
          <w:rFonts w:cs="Arial"/>
        </w:rPr>
      </w:pPr>
      <w:r w:rsidRPr="00620047">
        <w:rPr>
          <w:rFonts w:cs="Arial"/>
        </w:rPr>
        <w:t>b.</w:t>
      </w:r>
      <w:r w:rsidRPr="00620047">
        <w:rPr>
          <w:rFonts w:cs="Arial"/>
        </w:rPr>
        <w:tab/>
        <w:t>de in de periode tussen 07:00 uur en 19:00 uur in tabel 2.17c opgenomen maximale geluidsniveaus (L</w:t>
      </w:r>
      <w:r w:rsidRPr="00620047">
        <w:rPr>
          <w:rFonts w:cs="Arial"/>
          <w:vertAlign w:val="subscript"/>
        </w:rPr>
        <w:t>Amax</w:t>
      </w:r>
      <w:r w:rsidRPr="00620047">
        <w:rPr>
          <w:rFonts w:cs="Arial"/>
        </w:rPr>
        <w:t>) niet van toepassing zijn op laad- en losactiviteiten;</w:t>
      </w:r>
    </w:p>
    <w:p w:rsidR="00296032" w:rsidRPr="00620047" w:rsidRDefault="00296032">
      <w:pPr>
        <w:pStyle w:val="art2enivo"/>
        <w:rPr>
          <w:rFonts w:cs="Arial"/>
        </w:rPr>
      </w:pPr>
      <w:r w:rsidRPr="00620047">
        <w:rPr>
          <w:rFonts w:cs="Arial"/>
        </w:rPr>
        <w:t>c.</w:t>
      </w:r>
      <w:r w:rsidRPr="00620047">
        <w:rPr>
          <w:rFonts w:cs="Arial"/>
        </w:rPr>
        <w:tab/>
        <w:t>de in tabel 2.17c aangeven waarden binnen in- of aanpandige gevoelige gebouwen niet van toepassing zijn, indien de gebruiker van deze gevoelige gebouwen geen toestemming geeft voor het in redelijkheid uitvoeren of doen uitvoeren van geluidsmetingen;</w:t>
      </w:r>
    </w:p>
    <w:p w:rsidR="00296032" w:rsidRPr="00620047" w:rsidRDefault="00296032">
      <w:pPr>
        <w:pStyle w:val="art2enivo"/>
        <w:rPr>
          <w:rFonts w:cs="Arial"/>
        </w:rPr>
      </w:pPr>
      <w:r w:rsidRPr="00620047">
        <w:rPr>
          <w:rFonts w:cs="Arial"/>
        </w:rPr>
        <w:t>d.</w:t>
      </w:r>
      <w:r w:rsidRPr="00620047">
        <w:rPr>
          <w:rFonts w:cs="Arial"/>
        </w:rPr>
        <w:tab/>
        <w:t>de in tabel 2.17c aangegeven waarden op de gevel ook van toepassing zijn bij gevoelige terreinen op de grens van het terrein;</w:t>
      </w:r>
    </w:p>
    <w:p w:rsidR="00296032" w:rsidRPr="00620047" w:rsidRDefault="00296032">
      <w:pPr>
        <w:pStyle w:val="art2enivo"/>
        <w:rPr>
          <w:rFonts w:cs="Arial"/>
        </w:rPr>
      </w:pPr>
      <w:r w:rsidRPr="00620047">
        <w:rPr>
          <w:rFonts w:cs="Arial"/>
        </w:rPr>
        <w:t>e.</w:t>
      </w:r>
      <w:r w:rsidRPr="00620047">
        <w:rPr>
          <w:rFonts w:cs="Arial"/>
        </w:rPr>
        <w:tab/>
        <w:t>de waarden in in- en aanpandige gevoelige gebouwen slechts gelden in geluidsgevoelige ruimten en verblijfsruimten, en</w:t>
      </w:r>
    </w:p>
    <w:p w:rsidR="00296032" w:rsidRPr="00620047" w:rsidRDefault="00296032">
      <w:pPr>
        <w:pStyle w:val="art2enivo"/>
        <w:rPr>
          <w:rFonts w:cs="Arial"/>
        </w:rPr>
      </w:pPr>
      <w:r w:rsidRPr="00620047">
        <w:rPr>
          <w:rFonts w:cs="Arial"/>
        </w:rPr>
        <w:t>f.</w:t>
      </w:r>
      <w:r w:rsidRPr="00620047">
        <w:rPr>
          <w:rFonts w:cs="Arial"/>
        </w:rPr>
        <w:tab/>
        <w:t>de in tabel 2.17c aangegeven waarden gelden niet op gevoelige objecten die zijn gelegen op een gezoneerd industrieterrein.</w:t>
      </w:r>
    </w:p>
    <w:p w:rsidR="00296032" w:rsidRPr="00620047" w:rsidRDefault="00296032">
      <w:pPr>
        <w:pStyle w:val="tabelkop"/>
        <w:ind w:firstLine="426"/>
        <w:rPr>
          <w:rFonts w:cs="Arial"/>
        </w:rPr>
      </w:pPr>
      <w:r w:rsidRPr="00620047">
        <w:rPr>
          <w:rFonts w:cs="Arial"/>
        </w:rPr>
        <w:t>Tabel 2.17c</w:t>
      </w:r>
    </w:p>
    <w:tbl>
      <w:tblPr>
        <w:tblW w:w="8505"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827"/>
        <w:gridCol w:w="1559"/>
        <w:gridCol w:w="1559"/>
        <w:gridCol w:w="1560"/>
      </w:tblGrid>
      <w:tr w:rsidR="00296032" w:rsidRPr="00620047">
        <w:trPr>
          <w:cantSplit/>
          <w:tblHeader/>
        </w:trPr>
        <w:tc>
          <w:tcPr>
            <w:tcW w:w="3827"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96032" w:rsidRPr="00620047" w:rsidRDefault="00296032">
            <w:pPr>
              <w:spacing w:before="40" w:after="40"/>
              <w:rPr>
                <w:rFonts w:cs="Arial"/>
                <w:b/>
                <w:sz w:val="16"/>
                <w:szCs w:val="16"/>
              </w:rPr>
            </w:pPr>
          </w:p>
        </w:tc>
        <w:tc>
          <w:tcPr>
            <w:tcW w:w="1559"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07.00-19.00 uur </w:t>
            </w:r>
          </w:p>
        </w:tc>
        <w:tc>
          <w:tcPr>
            <w:tcW w:w="1559"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19.00-23.00 uur </w:t>
            </w:r>
          </w:p>
        </w:tc>
        <w:tc>
          <w:tcPr>
            <w:tcW w:w="1560"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23.00-07.00 uur </w:t>
            </w:r>
          </w:p>
        </w:tc>
      </w:tr>
      <w:tr w:rsidR="00296032" w:rsidRPr="00620047">
        <w:trPr>
          <w:cantSplit/>
          <w:tblHeader/>
        </w:trPr>
        <w:tc>
          <w:tcPr>
            <w:tcW w:w="382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Ar,LT</w:t>
            </w:r>
            <w:r w:rsidRPr="00620047">
              <w:rPr>
                <w:rFonts w:cs="Arial"/>
              </w:rPr>
              <w:t xml:space="preserve"> op de gevel van gevoelige gebouwen op het bedrijventerrein </w:t>
            </w:r>
          </w:p>
        </w:tc>
        <w:tc>
          <w:tcPr>
            <w:tcW w:w="15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55 dB(A) </w:t>
            </w:r>
          </w:p>
        </w:tc>
        <w:tc>
          <w:tcPr>
            <w:tcW w:w="15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50 dB(A) </w:t>
            </w:r>
          </w:p>
        </w:tc>
        <w:tc>
          <w:tcPr>
            <w:tcW w:w="156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45 dB(A) </w:t>
            </w:r>
          </w:p>
        </w:tc>
      </w:tr>
      <w:tr w:rsidR="00296032" w:rsidRPr="00620047">
        <w:trPr>
          <w:cantSplit/>
          <w:tblHeader/>
        </w:trPr>
        <w:tc>
          <w:tcPr>
            <w:tcW w:w="382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 xml:space="preserve">Ar,LT </w:t>
            </w:r>
            <w:r w:rsidRPr="00620047">
              <w:rPr>
                <w:rFonts w:cs="Arial"/>
              </w:rPr>
              <w:t xml:space="preserve">in in- en aanpandige gevoelige gebouwen op het bedrijventerrein </w:t>
            </w:r>
          </w:p>
        </w:tc>
        <w:tc>
          <w:tcPr>
            <w:tcW w:w="15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35 dB(A) </w:t>
            </w:r>
          </w:p>
        </w:tc>
        <w:tc>
          <w:tcPr>
            <w:tcW w:w="15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30 dB(A) </w:t>
            </w:r>
          </w:p>
        </w:tc>
        <w:tc>
          <w:tcPr>
            <w:tcW w:w="156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25 dB(A) </w:t>
            </w:r>
          </w:p>
        </w:tc>
      </w:tr>
      <w:tr w:rsidR="00296032" w:rsidRPr="00620047">
        <w:trPr>
          <w:cantSplit/>
          <w:tblHeader/>
        </w:trPr>
        <w:tc>
          <w:tcPr>
            <w:tcW w:w="382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 xml:space="preserve">Amax </w:t>
            </w:r>
            <w:r w:rsidRPr="00620047">
              <w:rPr>
                <w:rFonts w:cs="Arial"/>
              </w:rPr>
              <w:t xml:space="preserve">op de gevel van gevoelige gebouwen op het bedrijventerrein </w:t>
            </w:r>
          </w:p>
        </w:tc>
        <w:tc>
          <w:tcPr>
            <w:tcW w:w="15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75 dB(A) </w:t>
            </w:r>
          </w:p>
        </w:tc>
        <w:tc>
          <w:tcPr>
            <w:tcW w:w="15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70 dB(A) </w:t>
            </w:r>
          </w:p>
        </w:tc>
        <w:tc>
          <w:tcPr>
            <w:tcW w:w="156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65 dB(A) </w:t>
            </w:r>
          </w:p>
        </w:tc>
      </w:tr>
      <w:tr w:rsidR="00296032" w:rsidRPr="00620047">
        <w:trPr>
          <w:cantSplit/>
          <w:tblHeader/>
        </w:trPr>
        <w:tc>
          <w:tcPr>
            <w:tcW w:w="382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 xml:space="preserve">Amax </w:t>
            </w:r>
            <w:r w:rsidRPr="00620047">
              <w:rPr>
                <w:rFonts w:cs="Arial"/>
              </w:rPr>
              <w:t xml:space="preserve">in in- en aanpandige gevoelige gebouwen op het bedrijventerrein </w:t>
            </w:r>
          </w:p>
        </w:tc>
        <w:tc>
          <w:tcPr>
            <w:tcW w:w="15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55 dB(A) </w:t>
            </w:r>
          </w:p>
        </w:tc>
        <w:tc>
          <w:tcPr>
            <w:tcW w:w="155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50 dB(A) </w:t>
            </w:r>
          </w:p>
        </w:tc>
        <w:tc>
          <w:tcPr>
            <w:tcW w:w="156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45 dB(A) </w:t>
            </w:r>
          </w:p>
        </w:tc>
      </w:tr>
    </w:tbl>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In afwijking van het eerste en het tweede lid, geldt voor het langtijdgemiddeld beoordelingsniveau (L</w:t>
      </w:r>
      <w:r w:rsidRPr="00620047">
        <w:rPr>
          <w:rFonts w:cs="Arial"/>
          <w:vertAlign w:val="subscript"/>
        </w:rPr>
        <w:t>Ar,LT</w:t>
      </w:r>
      <w:r w:rsidRPr="00620047">
        <w:rPr>
          <w:rFonts w:cs="Arial"/>
        </w:rPr>
        <w:t>) en het maximaal geluidsniveau (L</w:t>
      </w:r>
      <w:r w:rsidRPr="00620047">
        <w:rPr>
          <w:rFonts w:cs="Arial"/>
          <w:vertAlign w:val="subscript"/>
        </w:rPr>
        <w:t>Amax</w:t>
      </w:r>
      <w:r w:rsidRPr="00620047">
        <w:rPr>
          <w:rFonts w:cs="Arial"/>
        </w:rPr>
        <w:t>, bij een inrichting die uitsluitend of in hoofdzaak bestemd is voor openbare verkoop van vloeibare brandstoffen, mengsmering of aardgas aan derden voor motorvoertuigen voor het wegverkeer, dat:</w:t>
      </w:r>
    </w:p>
    <w:p w:rsidR="00296032" w:rsidRPr="00620047" w:rsidRDefault="00296032">
      <w:pPr>
        <w:pStyle w:val="art2enivo"/>
        <w:rPr>
          <w:rFonts w:cs="Arial"/>
        </w:rPr>
      </w:pPr>
      <w:r w:rsidRPr="00620047">
        <w:rPr>
          <w:rFonts w:cs="Arial"/>
        </w:rPr>
        <w:t>a.</w:t>
      </w:r>
      <w:r w:rsidRPr="00620047">
        <w:rPr>
          <w:rFonts w:cs="Arial"/>
        </w:rPr>
        <w:tab/>
        <w:t>de geluidsniveaus op de in tabel 2.17d genoemde plaatsen en tijdstippen niet meer bedragen dan de in die tabel aangegeven waarden;</w:t>
      </w:r>
    </w:p>
    <w:p w:rsidR="00296032" w:rsidRPr="00620047" w:rsidRDefault="00296032">
      <w:pPr>
        <w:pStyle w:val="art2enivo"/>
        <w:rPr>
          <w:rFonts w:cs="Arial"/>
        </w:rPr>
      </w:pPr>
      <w:r w:rsidRPr="00620047">
        <w:rPr>
          <w:rFonts w:cs="Arial"/>
        </w:rPr>
        <w:t>b.</w:t>
      </w:r>
      <w:r w:rsidRPr="00620047">
        <w:rPr>
          <w:rFonts w:cs="Arial"/>
        </w:rPr>
        <w:tab/>
        <w:t>de in de periode tussen 07.00 en 21.00 uur in tabel 2.17d opgenomen maximale geluidsniveaus L</w:t>
      </w:r>
      <w:r w:rsidRPr="00620047">
        <w:rPr>
          <w:rFonts w:cs="Arial"/>
          <w:vertAlign w:val="subscript"/>
        </w:rPr>
        <w:t>Amax</w:t>
      </w:r>
      <w:r w:rsidRPr="00620047">
        <w:rPr>
          <w:rFonts w:cs="Arial"/>
        </w:rPr>
        <w:t xml:space="preserve"> niet van toepassing zijn op laad- en losactiviteiten;</w:t>
      </w:r>
    </w:p>
    <w:p w:rsidR="00296032" w:rsidRPr="00620047" w:rsidRDefault="00296032">
      <w:pPr>
        <w:pStyle w:val="tabelkop"/>
        <w:ind w:firstLine="426"/>
        <w:rPr>
          <w:rFonts w:cs="Arial"/>
        </w:rPr>
      </w:pPr>
      <w:r w:rsidRPr="00620047">
        <w:rPr>
          <w:rFonts w:cs="Arial"/>
        </w:rPr>
        <w:t>Tabel 2.17d</w:t>
      </w:r>
    </w:p>
    <w:tbl>
      <w:tblPr>
        <w:tblW w:w="7427"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827"/>
        <w:gridCol w:w="1800"/>
        <w:gridCol w:w="1800"/>
      </w:tblGrid>
      <w:tr w:rsidR="00296032" w:rsidRPr="00620047">
        <w:trPr>
          <w:cantSplit/>
          <w:tblHeader/>
        </w:trPr>
        <w:tc>
          <w:tcPr>
            <w:tcW w:w="3827"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96032" w:rsidRPr="00620047" w:rsidRDefault="00296032">
            <w:pPr>
              <w:spacing w:before="40" w:after="40"/>
              <w:rPr>
                <w:rFonts w:cs="Arial"/>
                <w:b/>
                <w:sz w:val="16"/>
                <w:szCs w:val="16"/>
              </w:rPr>
            </w:pPr>
          </w:p>
        </w:tc>
        <w:tc>
          <w:tcPr>
            <w:tcW w:w="1800"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07:00-21:00 uur </w:t>
            </w:r>
          </w:p>
        </w:tc>
        <w:tc>
          <w:tcPr>
            <w:tcW w:w="1800"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21:00-07:00 uur </w:t>
            </w:r>
          </w:p>
        </w:tc>
      </w:tr>
      <w:tr w:rsidR="00296032" w:rsidRPr="00620047">
        <w:trPr>
          <w:cantSplit/>
          <w:tblHeader/>
        </w:trPr>
        <w:tc>
          <w:tcPr>
            <w:tcW w:w="382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 xml:space="preserve">Ar,LT </w:t>
            </w:r>
            <w:r w:rsidRPr="00620047">
              <w:rPr>
                <w:rFonts w:cs="Arial"/>
              </w:rPr>
              <w:t xml:space="preserve">op de gevel van gevoelige gebouwen </w:t>
            </w:r>
          </w:p>
        </w:tc>
        <w:tc>
          <w:tcPr>
            <w:tcW w:w="18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50 dB(A) </w:t>
            </w:r>
          </w:p>
        </w:tc>
        <w:tc>
          <w:tcPr>
            <w:tcW w:w="18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40 dB(A) </w:t>
            </w:r>
          </w:p>
        </w:tc>
      </w:tr>
      <w:tr w:rsidR="00296032" w:rsidRPr="00620047">
        <w:trPr>
          <w:cantSplit/>
          <w:tblHeader/>
        </w:trPr>
        <w:tc>
          <w:tcPr>
            <w:tcW w:w="382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 xml:space="preserve">Amax </w:t>
            </w:r>
            <w:r w:rsidRPr="00620047">
              <w:rPr>
                <w:rFonts w:cs="Arial"/>
              </w:rPr>
              <w:t xml:space="preserve">op de gevel van gevoelige gebouwen </w:t>
            </w:r>
          </w:p>
        </w:tc>
        <w:tc>
          <w:tcPr>
            <w:tcW w:w="18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70 dB(A) </w:t>
            </w:r>
          </w:p>
        </w:tc>
        <w:tc>
          <w:tcPr>
            <w:tcW w:w="18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60 dB(A) </w:t>
            </w:r>
          </w:p>
        </w:tc>
      </w:tr>
    </w:tbl>
    <w:p w:rsidR="00296032" w:rsidRPr="00620047" w:rsidRDefault="00296032">
      <w:pPr>
        <w:pStyle w:val="art2enivo"/>
        <w:rPr>
          <w:rFonts w:cs="Arial"/>
        </w:rPr>
      </w:pPr>
    </w:p>
    <w:p w:rsidR="00296032" w:rsidRPr="00620047" w:rsidRDefault="00296032" w:rsidP="003203F6">
      <w:pPr>
        <w:pStyle w:val="art2enivo"/>
      </w:pPr>
      <w:r w:rsidRPr="00620047">
        <w:rPr>
          <w:rFonts w:cs="Arial"/>
        </w:rPr>
        <w:t xml:space="preserve">c. </w:t>
      </w:r>
      <w:r w:rsidRPr="00620047">
        <w:rPr>
          <w:rFonts w:cs="Arial"/>
        </w:rPr>
        <w:tab/>
        <w:t>de in tabel 2.17d aangegeven waarden op de gevel ook gelden bij gevoelige terreinen op de grens van het terrein, met dien verstande dat de waarden in geval van ligplaatsen, bestemd om te worden ingenomen door een woonschip als bedoeld in artikel 1.2, derde lid, onderdeel b, van het Besluit geluidhinder, slechts gelden voor zover deze ligplaatsen als zodanig zijn bestemd op of na 1 juli 2012 en niet daarvoor in een gemeentelijke verordening waren aangewezen om door een woonschip te worden ingenomen;</w:t>
      </w:r>
    </w:p>
    <w:p w:rsidR="00296032" w:rsidRDefault="003203F6">
      <w:pPr>
        <w:pStyle w:val="art2enivo"/>
        <w:rPr>
          <w:rFonts w:cs="Arial"/>
        </w:rPr>
      </w:pPr>
      <w:r>
        <w:rPr>
          <w:rFonts w:cs="Arial"/>
        </w:rPr>
        <w:t>d</w:t>
      </w:r>
      <w:r w:rsidR="00296032" w:rsidRPr="00620047">
        <w:rPr>
          <w:rFonts w:cs="Arial"/>
        </w:rPr>
        <w:t xml:space="preserve">. </w:t>
      </w:r>
      <w:r w:rsidR="00296032" w:rsidRPr="00620047">
        <w:rPr>
          <w:rFonts w:cs="Arial"/>
        </w:rPr>
        <w:tab/>
        <w:t>indien de inrichting is gelegen op een gezoneerd industrieterrein de waarden van het langtijdgemiddelde beoordelingsniveau (LAr,LT) uit tabel 2.17d ook gelden op een afstand van 50 meter vanaf de grens van de inrichting, en</w:t>
      </w:r>
    </w:p>
    <w:p w:rsidR="008071FF" w:rsidRPr="00620047" w:rsidRDefault="008071FF">
      <w:pPr>
        <w:pStyle w:val="art2enivo"/>
        <w:rPr>
          <w:rFonts w:cs="Arial"/>
        </w:rPr>
      </w:pPr>
      <w:r w:rsidRPr="008071FF">
        <w:rPr>
          <w:rFonts w:cs="Arial"/>
        </w:rPr>
        <w:t>e.</w:t>
      </w:r>
      <w:r w:rsidRPr="008071FF">
        <w:rPr>
          <w:rFonts w:cs="Arial"/>
        </w:rPr>
        <w:tab/>
        <w:t>indien de inrichting is gelegen op een gezoneerd industrieterrein en binnen een afstand van 50 meter geen gevoelige objecten, anders dan gevoelige objecten gelegen op het gezoneerde industrieterrein zijn gelegen, de waarden van het langtijdgemiddelde beoordelingsniveau (LAr,LT) uit tabel 2.17d gelden op een afstand van 50 meter vanaf de grens van de inrichting; en</w:t>
      </w:r>
    </w:p>
    <w:p w:rsidR="00296032" w:rsidRPr="00620047" w:rsidRDefault="00296032">
      <w:pPr>
        <w:pStyle w:val="art2enivo"/>
        <w:rPr>
          <w:rFonts w:cs="Arial"/>
        </w:rPr>
      </w:pPr>
      <w:r w:rsidRPr="00620047">
        <w:rPr>
          <w:rFonts w:cs="Arial"/>
        </w:rPr>
        <w:t>f.</w:t>
      </w:r>
      <w:r w:rsidRPr="00620047">
        <w:rPr>
          <w:rFonts w:cs="Arial"/>
        </w:rPr>
        <w:tab/>
        <w:t>de in tabel 2.17d aangegeven waarden niet gelden op gevoelige objecten die zijn gelegen op een gezoneerd industrieterrein.</w:t>
      </w:r>
    </w:p>
    <w:p w:rsidR="00296032" w:rsidRPr="00620047" w:rsidRDefault="00296032">
      <w:pPr>
        <w:pStyle w:val="art1enivo"/>
        <w:rPr>
          <w:rFonts w:cs="Arial"/>
        </w:rPr>
      </w:pPr>
      <w:r w:rsidRPr="00620047">
        <w:rPr>
          <w:rFonts w:cs="Arial"/>
        </w:rPr>
        <w:t>5.</w:t>
      </w:r>
      <w:r w:rsidRPr="00620047">
        <w:rPr>
          <w:rFonts w:cs="Arial"/>
        </w:rPr>
        <w:tab/>
        <w:t xml:space="preserve"> In afwijking van het eerste, tweede en derde lid geldt voor een inrichting waar uitsluitend of in hoofdzaak agrarische activiteiten dan wel activiteiten die daarmee verband houden worden verricht, niet zijnde een glastuinbouwbedrijf dat is gelegen in een glastuinbouwgebied, dat:</w:t>
      </w:r>
    </w:p>
    <w:p w:rsidR="00296032" w:rsidRPr="00620047" w:rsidRDefault="00296032">
      <w:pPr>
        <w:pStyle w:val="art2enivo"/>
        <w:rPr>
          <w:rFonts w:cs="Arial"/>
        </w:rPr>
      </w:pPr>
      <w:r w:rsidRPr="00620047">
        <w:rPr>
          <w:rFonts w:cs="Arial"/>
        </w:rPr>
        <w:t>a.</w:t>
      </w:r>
      <w:r w:rsidRPr="00620047">
        <w:rPr>
          <w:rFonts w:cs="Arial"/>
        </w:rPr>
        <w:tab/>
        <w:t>voor het langtijdgemiddeld beoordelingsniveau (L</w:t>
      </w:r>
      <w:r w:rsidRPr="00620047">
        <w:rPr>
          <w:rFonts w:cs="Arial"/>
          <w:vertAlign w:val="subscript"/>
        </w:rPr>
        <w:t>Ar,LT</w:t>
      </w:r>
      <w:r w:rsidRPr="00620047">
        <w:rPr>
          <w:rFonts w:cs="Arial"/>
        </w:rPr>
        <w:t>), veroorzaakt door de vast opgestelde installaties en toestellen, de niveaus op de plaatsen en tijdstippen, genoemd in tabel 2.17e, niet meer bedragen dan de in die tabel aangegeven waarden;</w:t>
      </w:r>
    </w:p>
    <w:p w:rsidR="00296032" w:rsidRPr="00620047" w:rsidRDefault="00296032">
      <w:pPr>
        <w:pStyle w:val="tabelkop"/>
        <w:ind w:firstLine="426"/>
        <w:rPr>
          <w:rFonts w:cs="Arial"/>
        </w:rPr>
      </w:pPr>
      <w:r w:rsidRPr="00620047">
        <w:rPr>
          <w:rFonts w:cs="Arial"/>
        </w:rPr>
        <w:t xml:space="preserve">Tabel 2.17e </w:t>
      </w:r>
    </w:p>
    <w:tbl>
      <w:tblPr>
        <w:tblW w:w="8396" w:type="dxa"/>
        <w:tblInd w:w="496" w:type="dxa"/>
        <w:tblCellMar>
          <w:top w:w="70" w:type="dxa"/>
          <w:left w:w="70" w:type="dxa"/>
          <w:bottom w:w="70" w:type="dxa"/>
          <w:right w:w="70" w:type="dxa"/>
        </w:tblCellMar>
        <w:tblLook w:val="04A0" w:firstRow="1" w:lastRow="0" w:firstColumn="1" w:lastColumn="0" w:noHBand="0" w:noVBand="1"/>
      </w:tblPr>
      <w:tblGrid>
        <w:gridCol w:w="3827"/>
        <w:gridCol w:w="1523"/>
        <w:gridCol w:w="1523"/>
        <w:gridCol w:w="1523"/>
      </w:tblGrid>
      <w:tr w:rsidR="00296032" w:rsidRPr="00620047">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96032" w:rsidRPr="00620047" w:rsidRDefault="00296032">
            <w:pPr>
              <w:spacing w:line="260" w:lineRule="exact"/>
              <w:rPr>
                <w:rFonts w:cs="Arial"/>
                <w:b/>
                <w:sz w:val="18"/>
                <w:szCs w:val="18"/>
              </w:rPr>
            </w:pP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06.00-19.00 uur </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19.00-22.00 uur </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22.00-06.00 uur </w:t>
            </w:r>
          </w:p>
        </w:tc>
      </w:tr>
      <w:tr w:rsidR="00296032" w:rsidRPr="00620047">
        <w:tc>
          <w:tcPr>
            <w:tcW w:w="3827"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b/>
                <w:szCs w:val="18"/>
              </w:rPr>
            </w:pPr>
            <w:r w:rsidRPr="00620047">
              <w:rPr>
                <w:rFonts w:cs="Arial"/>
                <w:b/>
              </w:rPr>
              <w:t xml:space="preserve"> L</w:t>
            </w:r>
            <w:r w:rsidRPr="00620047">
              <w:rPr>
                <w:rFonts w:cs="Arial"/>
                <w:b/>
                <w:vertAlign w:val="subscript"/>
              </w:rPr>
              <w:t>Ar,LT</w:t>
            </w:r>
            <w:r w:rsidRPr="00620047">
              <w:rPr>
                <w:rStyle w:val="tabelkopChar"/>
                <w:b w:val="0"/>
              </w:rPr>
              <w:t xml:space="preserve"> op de gevel van gevoelige gebouwen </w:t>
            </w:r>
          </w:p>
        </w:tc>
        <w:tc>
          <w:tcPr>
            <w:tcW w:w="1523"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45 dB(A) </w:t>
            </w:r>
          </w:p>
        </w:tc>
        <w:tc>
          <w:tcPr>
            <w:tcW w:w="1523"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40 dB(A) </w:t>
            </w:r>
          </w:p>
        </w:tc>
        <w:tc>
          <w:tcPr>
            <w:tcW w:w="1523"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35 dB(A) </w:t>
            </w:r>
          </w:p>
        </w:tc>
      </w:tr>
      <w:tr w:rsidR="00296032" w:rsidRPr="00620047">
        <w:tc>
          <w:tcPr>
            <w:tcW w:w="3827"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b/>
                <w:szCs w:val="18"/>
              </w:rPr>
            </w:pPr>
            <w:r w:rsidRPr="00620047">
              <w:rPr>
                <w:rFonts w:cs="Arial"/>
                <w:b/>
              </w:rPr>
              <w:t xml:space="preserve"> L</w:t>
            </w:r>
            <w:r w:rsidRPr="00620047">
              <w:rPr>
                <w:rFonts w:cs="Arial"/>
                <w:b/>
                <w:vertAlign w:val="subscript"/>
              </w:rPr>
              <w:t>Ar,LT</w:t>
            </w:r>
            <w:r w:rsidRPr="00620047">
              <w:rPr>
                <w:rStyle w:val="tabelkopChar"/>
                <w:b w:val="0"/>
              </w:rPr>
              <w:t xml:space="preserve"> in in- en aanpandige gevoelige gebouwen </w:t>
            </w:r>
          </w:p>
        </w:tc>
        <w:tc>
          <w:tcPr>
            <w:tcW w:w="1523"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35 dB(A) </w:t>
            </w:r>
          </w:p>
        </w:tc>
        <w:tc>
          <w:tcPr>
            <w:tcW w:w="1523"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30 dB(A) </w:t>
            </w:r>
          </w:p>
        </w:tc>
        <w:tc>
          <w:tcPr>
            <w:tcW w:w="1523"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25 dB(A) </w:t>
            </w:r>
          </w:p>
        </w:tc>
      </w:tr>
    </w:tbl>
    <w:p w:rsidR="00296032" w:rsidRPr="00620047" w:rsidRDefault="00296032">
      <w:pPr>
        <w:pStyle w:val="Tabeltekst"/>
        <w:rPr>
          <w:rFonts w:cs="Arial"/>
        </w:rPr>
      </w:pPr>
    </w:p>
    <w:p w:rsidR="00296032" w:rsidRPr="00620047" w:rsidRDefault="00296032">
      <w:pPr>
        <w:pStyle w:val="art2enivo"/>
        <w:rPr>
          <w:rFonts w:cs="Arial"/>
        </w:rPr>
      </w:pPr>
      <w:r w:rsidRPr="00620047">
        <w:rPr>
          <w:rFonts w:cs="Arial"/>
        </w:rPr>
        <w:t>b.</w:t>
      </w:r>
      <w:r w:rsidRPr="00620047">
        <w:rPr>
          <w:rFonts w:cs="Arial"/>
        </w:rPr>
        <w:tab/>
        <w:t>voor het maximaal geluidsniveau (L</w:t>
      </w:r>
      <w:r w:rsidRPr="00620047">
        <w:rPr>
          <w:rFonts w:cs="Arial"/>
          <w:vertAlign w:val="subscript"/>
        </w:rPr>
        <w:t>amax</w:t>
      </w:r>
      <w:r w:rsidRPr="00620047">
        <w:rPr>
          <w:rFonts w:cs="Arial"/>
        </w:rPr>
        <w:t>), veroorzaakt door de in de inrichting aanwezige installaties en toestellen, alsmede door de in de inrichting verrichte werkzaamheden en activiteiten en laad- en losactiviteiten ten behoeve van en in de onmiddellijke nabijheid van de inrichting, de niveaus op de plaatsen en tijdstippen, genoemd in tabel 2.17f, niet meer bedragen dan de in die tabel aangegeven waarden;</w:t>
      </w:r>
    </w:p>
    <w:p w:rsidR="00296032" w:rsidRPr="00620047" w:rsidRDefault="00296032">
      <w:pPr>
        <w:pStyle w:val="tabelkop"/>
        <w:ind w:firstLine="426"/>
        <w:rPr>
          <w:rFonts w:cs="Arial"/>
        </w:rPr>
      </w:pPr>
      <w:r w:rsidRPr="00620047">
        <w:rPr>
          <w:rFonts w:cs="Arial"/>
        </w:rPr>
        <w:t xml:space="preserve">Tabel </w:t>
      </w:r>
      <w:smartTag w:uri="urn:schemas-microsoft-com:office:smarttags" w:element="metricconverter">
        <w:smartTagPr>
          <w:attr w:name="ProductID" w:val="2.17f"/>
        </w:smartTagPr>
        <w:r w:rsidRPr="00620047">
          <w:rPr>
            <w:rFonts w:cs="Arial"/>
          </w:rPr>
          <w:t>2.17f</w:t>
        </w:r>
      </w:smartTag>
      <w:r w:rsidRPr="00620047">
        <w:rPr>
          <w:rFonts w:cs="Arial"/>
        </w:rPr>
        <w:t xml:space="preserve"> </w:t>
      </w:r>
    </w:p>
    <w:tbl>
      <w:tblPr>
        <w:tblW w:w="8363" w:type="dxa"/>
        <w:tblInd w:w="496" w:type="dxa"/>
        <w:tblCellMar>
          <w:top w:w="70" w:type="dxa"/>
          <w:left w:w="70" w:type="dxa"/>
          <w:bottom w:w="70" w:type="dxa"/>
          <w:right w:w="70" w:type="dxa"/>
        </w:tblCellMar>
        <w:tblLook w:val="04A0" w:firstRow="1" w:lastRow="0" w:firstColumn="1" w:lastColumn="0" w:noHBand="0" w:noVBand="1"/>
      </w:tblPr>
      <w:tblGrid>
        <w:gridCol w:w="3827"/>
        <w:gridCol w:w="1512"/>
        <w:gridCol w:w="1512"/>
        <w:gridCol w:w="1512"/>
      </w:tblGrid>
      <w:tr w:rsidR="00296032" w:rsidRPr="00620047">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96032" w:rsidRPr="00620047" w:rsidRDefault="00296032">
            <w:pPr>
              <w:spacing w:line="260" w:lineRule="exact"/>
              <w:rPr>
                <w:rFonts w:cs="Arial"/>
                <w:b/>
                <w:sz w:val="18"/>
                <w:szCs w:val="18"/>
              </w:rPr>
            </w:pPr>
          </w:p>
        </w:tc>
        <w:tc>
          <w:tcPr>
            <w:tcW w:w="1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06.00-19.00 uur </w:t>
            </w:r>
          </w:p>
        </w:tc>
        <w:tc>
          <w:tcPr>
            <w:tcW w:w="1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19.00-22.00 uur </w:t>
            </w:r>
          </w:p>
        </w:tc>
        <w:tc>
          <w:tcPr>
            <w:tcW w:w="1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22.00-06.00 uur </w:t>
            </w:r>
          </w:p>
        </w:tc>
      </w:tr>
      <w:tr w:rsidR="00296032" w:rsidRPr="00620047">
        <w:tc>
          <w:tcPr>
            <w:tcW w:w="3827"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b/>
                <w:szCs w:val="18"/>
              </w:rPr>
            </w:pPr>
            <w:r w:rsidRPr="00620047">
              <w:rPr>
                <w:rFonts w:cs="Arial"/>
                <w:b/>
              </w:rPr>
              <w:t>L</w:t>
            </w:r>
            <w:r w:rsidRPr="00620047">
              <w:rPr>
                <w:rFonts w:cs="Arial"/>
                <w:b/>
                <w:vertAlign w:val="subscript"/>
              </w:rPr>
              <w:t>Amax</w:t>
            </w:r>
            <w:r w:rsidRPr="00620047">
              <w:rPr>
                <w:rStyle w:val="tabelkopChar"/>
                <w:b w:val="0"/>
              </w:rPr>
              <w:t xml:space="preserve"> op de gevel van gevoelige gebouwen</w:t>
            </w:r>
          </w:p>
        </w:tc>
        <w:tc>
          <w:tcPr>
            <w:tcW w:w="1512"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70 dB(A) </w:t>
            </w:r>
          </w:p>
        </w:tc>
        <w:tc>
          <w:tcPr>
            <w:tcW w:w="1512"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65 dB(A) </w:t>
            </w:r>
          </w:p>
        </w:tc>
        <w:tc>
          <w:tcPr>
            <w:tcW w:w="1512"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60 dB(A) </w:t>
            </w:r>
          </w:p>
        </w:tc>
      </w:tr>
      <w:tr w:rsidR="00296032" w:rsidRPr="00620047">
        <w:tc>
          <w:tcPr>
            <w:tcW w:w="3827"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b/>
                <w:szCs w:val="18"/>
              </w:rPr>
            </w:pPr>
            <w:r w:rsidRPr="00620047">
              <w:rPr>
                <w:rFonts w:cs="Arial"/>
                <w:b/>
              </w:rPr>
              <w:t xml:space="preserve"> L</w:t>
            </w:r>
            <w:r w:rsidRPr="00620047">
              <w:rPr>
                <w:rFonts w:cs="Arial"/>
                <w:b/>
                <w:vertAlign w:val="subscript"/>
              </w:rPr>
              <w:t>Amax</w:t>
            </w:r>
            <w:r w:rsidRPr="00620047">
              <w:rPr>
                <w:rStyle w:val="tabelkopChar"/>
                <w:b w:val="0"/>
              </w:rPr>
              <w:t xml:space="preserve"> in in- en aanpandige gevoelige gebouwen</w:t>
            </w:r>
          </w:p>
        </w:tc>
        <w:tc>
          <w:tcPr>
            <w:tcW w:w="1512"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55 dB(A) </w:t>
            </w:r>
          </w:p>
        </w:tc>
        <w:tc>
          <w:tcPr>
            <w:tcW w:w="1512"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50 dB(A) </w:t>
            </w:r>
          </w:p>
        </w:tc>
        <w:tc>
          <w:tcPr>
            <w:tcW w:w="1512" w:type="dxa"/>
            <w:tcBorders>
              <w:top w:val="single" w:sz="4" w:space="0" w:color="auto"/>
              <w:left w:val="single" w:sz="4" w:space="0" w:color="auto"/>
              <w:bottom w:val="single" w:sz="4" w:space="0" w:color="auto"/>
              <w:right w:val="single" w:sz="4" w:space="0" w:color="auto"/>
            </w:tcBorders>
            <w:hideMark/>
          </w:tcPr>
          <w:p w:rsidR="00296032" w:rsidRPr="00620047" w:rsidRDefault="00296032">
            <w:pPr>
              <w:pStyle w:val="Tabeltekst"/>
              <w:rPr>
                <w:rFonts w:cs="Arial"/>
              </w:rPr>
            </w:pPr>
            <w:r w:rsidRPr="00620047">
              <w:rPr>
                <w:rFonts w:cs="Arial"/>
              </w:rPr>
              <w:t xml:space="preserve">45 dB(A) </w:t>
            </w:r>
          </w:p>
        </w:tc>
      </w:tr>
    </w:tbl>
    <w:p w:rsidR="00296032" w:rsidRPr="00620047" w:rsidRDefault="00296032">
      <w:pPr>
        <w:pStyle w:val="Tabeltekst"/>
        <w:rPr>
          <w:rFonts w:cs="Arial"/>
        </w:rPr>
      </w:pPr>
    </w:p>
    <w:p w:rsidR="00296032" w:rsidRPr="00620047" w:rsidRDefault="00296032">
      <w:pPr>
        <w:pStyle w:val="art2enivo"/>
        <w:rPr>
          <w:rFonts w:cs="Arial"/>
        </w:rPr>
      </w:pPr>
      <w:r w:rsidRPr="00620047">
        <w:rPr>
          <w:rFonts w:cs="Arial"/>
        </w:rPr>
        <w:t>c.</w:t>
      </w:r>
      <w:r w:rsidRPr="00620047">
        <w:rPr>
          <w:rFonts w:cs="Arial"/>
        </w:rPr>
        <w:tab/>
        <w:t xml:space="preserve">de in de periode tussen 06.00 uur en 19.00 uur in tabel </w:t>
      </w:r>
      <w:smartTag w:uri="urn:schemas-microsoft-com:office:smarttags" w:element="metricconverter">
        <w:smartTagPr>
          <w:attr w:name="ProductID" w:val="2.17f"/>
        </w:smartTagPr>
        <w:r w:rsidRPr="00620047">
          <w:rPr>
            <w:rFonts w:cs="Arial"/>
          </w:rPr>
          <w:t>2.17f</w:t>
        </w:r>
      </w:smartTag>
      <w:r w:rsidRPr="00620047">
        <w:rPr>
          <w:rFonts w:cs="Arial"/>
        </w:rPr>
        <w:t xml:space="preserve"> opgenomen waarden niet van toepassing zijn op laad- en losactiviteiten, alsmede op het in en uit de inrichting rijden van landbouwtractoren of motorrijtuigen met beperkte snelheid;</w:t>
      </w:r>
    </w:p>
    <w:p w:rsidR="00296032" w:rsidRPr="00620047" w:rsidRDefault="00296032">
      <w:pPr>
        <w:pStyle w:val="art2enivo"/>
        <w:rPr>
          <w:rFonts w:cs="Arial"/>
        </w:rPr>
      </w:pPr>
      <w:r w:rsidRPr="00620047">
        <w:rPr>
          <w:rFonts w:cs="Arial"/>
        </w:rPr>
        <w:t>d.</w:t>
      </w:r>
      <w:r w:rsidRPr="00620047">
        <w:rPr>
          <w:rFonts w:cs="Arial"/>
        </w:rPr>
        <w:tab/>
        <w:t xml:space="preserve"> de in tabel 2.17e en </w:t>
      </w:r>
      <w:smartTag w:uri="urn:schemas-microsoft-com:office:smarttags" w:element="metricconverter">
        <w:smartTagPr>
          <w:attr w:name="ProductID" w:val="2.17f"/>
        </w:smartTagPr>
        <w:r w:rsidRPr="00620047">
          <w:rPr>
            <w:rFonts w:cs="Arial"/>
          </w:rPr>
          <w:t>2.17f</w:t>
        </w:r>
      </w:smartTag>
      <w:r w:rsidRPr="00620047">
        <w:rPr>
          <w:rFonts w:cs="Arial"/>
        </w:rPr>
        <w:t xml:space="preserve"> aangegeven waarden binnen in- of aanpandige gevoelige gebouwen niet gelden indien de gebruiker van deze gevoelige gebouwen geen toestemming geeft voor het in redelijkheid uitvoeren of doen uitvoeren van geluidmetingen;</w:t>
      </w:r>
    </w:p>
    <w:p w:rsidR="00296032" w:rsidRPr="00620047" w:rsidRDefault="00296032">
      <w:pPr>
        <w:pStyle w:val="art2enivo"/>
        <w:rPr>
          <w:rFonts w:cs="Arial"/>
        </w:rPr>
      </w:pPr>
      <w:r w:rsidRPr="00620047">
        <w:rPr>
          <w:rFonts w:cs="Arial"/>
        </w:rPr>
        <w:t xml:space="preserve">e. </w:t>
      </w:r>
      <w:r w:rsidRPr="00620047">
        <w:rPr>
          <w:rFonts w:cs="Arial"/>
        </w:rPr>
        <w:tab/>
        <w:t>de in tabel 2.17e en 2.17f aangegeven waarden op de gevel ook gelden bij gevoelige terreinen op de grens van het terrein, met dien verstande dat de waarden in geval van ligplaatsen, bestemd om te worden ingenomen door een woonschip als bedoeld in artikel 1.2, derde lid, onderdeel b, van het Besluit geluidhinder, slechts gelden voor zover deze ligplaatsen als zodanig zijn bestemd op of na 1 juli 2012 en niet daarvoor in een gemeentelijke verordening waren aangewezen om door een woonschip te worden ingenomen;</w:t>
      </w:r>
    </w:p>
    <w:p w:rsidR="00296032" w:rsidRPr="00620047" w:rsidRDefault="00296032">
      <w:pPr>
        <w:pStyle w:val="art2enivo"/>
        <w:rPr>
          <w:rFonts w:cs="Arial"/>
        </w:rPr>
      </w:pPr>
      <w:r w:rsidRPr="00620047">
        <w:rPr>
          <w:rFonts w:cs="Arial"/>
        </w:rPr>
        <w:t xml:space="preserve">f. </w:t>
      </w:r>
      <w:r w:rsidRPr="00620047">
        <w:rPr>
          <w:rFonts w:cs="Arial"/>
        </w:rPr>
        <w:tab/>
        <w:t>de in tabel 2.17e en 2.17f aangegeven waarden op de gevel, vermeerderd met 5 dB(A), ook gelden op de grens van het terrein in geval van ligplaatsen, bestemd om te worden ingenomen door een woonschip als bedoeld in artikel 1.2, derde lid, onderdeel b, van het Besluit geluidhinder, voor zover deze ligplaatsen:</w:t>
      </w:r>
    </w:p>
    <w:p w:rsidR="00296032" w:rsidRPr="00620047" w:rsidRDefault="00296032">
      <w:pPr>
        <w:pStyle w:val="art3enivo"/>
      </w:pPr>
      <w:r w:rsidRPr="00620047">
        <w:t>1°.</w:t>
      </w:r>
      <w:r w:rsidRPr="00620047">
        <w:tab/>
        <w:t>als zodanig zijn bestemd voor 1 juli 2012, of</w:t>
      </w:r>
    </w:p>
    <w:p w:rsidR="00296032" w:rsidRPr="00620047" w:rsidRDefault="00296032">
      <w:pPr>
        <w:pStyle w:val="art3enivo"/>
      </w:pPr>
      <w:r w:rsidRPr="00620047">
        <w:t>2°.</w:t>
      </w:r>
      <w:r w:rsidRPr="00620047">
        <w:tab/>
        <w:t>voor 1 juli 2012 in een gemeentelijke verordening waren aangewezen om door een woonschip te worden ingenomen en voor 1 juli 2022 als zodanig zijn bestemd;</w:t>
      </w:r>
    </w:p>
    <w:p w:rsidR="00296032" w:rsidRPr="00620047" w:rsidRDefault="00296032">
      <w:pPr>
        <w:pStyle w:val="art2enivo"/>
        <w:rPr>
          <w:rFonts w:cs="Arial"/>
        </w:rPr>
      </w:pPr>
      <w:r w:rsidRPr="00620047">
        <w:rPr>
          <w:rFonts w:cs="Arial"/>
        </w:rPr>
        <w:t>g.</w:t>
      </w:r>
      <w:r w:rsidRPr="00620047">
        <w:rPr>
          <w:rFonts w:cs="Arial"/>
        </w:rPr>
        <w:tab/>
        <w:t>de waarden binnen in- en aanpandige gevoelige gebouwen slechts gelden in geluidsgevoelige ruimten en verblijfsruimten, en</w:t>
      </w:r>
    </w:p>
    <w:p w:rsidR="00296032" w:rsidRPr="00620047" w:rsidRDefault="00296032">
      <w:pPr>
        <w:pStyle w:val="art2enivo"/>
        <w:rPr>
          <w:rFonts w:cs="Arial"/>
        </w:rPr>
      </w:pPr>
      <w:r w:rsidRPr="00620047">
        <w:rPr>
          <w:rFonts w:cs="Arial"/>
        </w:rPr>
        <w:t>h.</w:t>
      </w:r>
      <w:r w:rsidRPr="00620047">
        <w:rPr>
          <w:rFonts w:cs="Arial"/>
        </w:rPr>
        <w:tab/>
        <w:t xml:space="preserve">de in tabel 2.17e en </w:t>
      </w:r>
      <w:smartTag w:uri="urn:schemas-microsoft-com:office:smarttags" w:element="metricconverter">
        <w:smartTagPr>
          <w:attr w:name="ProductID" w:val="2.17f"/>
        </w:smartTagPr>
        <w:r w:rsidRPr="00620047">
          <w:rPr>
            <w:rFonts w:cs="Arial"/>
          </w:rPr>
          <w:t>2.17f</w:t>
        </w:r>
      </w:smartTag>
      <w:r w:rsidRPr="00620047">
        <w:rPr>
          <w:rFonts w:cs="Arial"/>
        </w:rPr>
        <w:t xml:space="preserve"> aangegeven waarden niet gelden op gevoelige objecten die zijn gelegen op een gezoneerd industrieterrein.</w:t>
      </w:r>
    </w:p>
    <w:p w:rsidR="00296032" w:rsidRPr="00620047" w:rsidRDefault="00296032">
      <w:pPr>
        <w:pStyle w:val="art1enivo"/>
        <w:rPr>
          <w:rFonts w:cs="Arial"/>
        </w:rPr>
      </w:pPr>
      <w:r w:rsidRPr="00620047">
        <w:rPr>
          <w:rFonts w:cs="Arial"/>
        </w:rPr>
        <w:t>6.</w:t>
      </w:r>
      <w:r w:rsidRPr="00620047">
        <w:rPr>
          <w:rFonts w:cs="Arial"/>
        </w:rPr>
        <w:tab/>
        <w:t>In afwijking van het eerste, tweede en derde lid geldt voor een glastuinbouwbedrijf binnen een glastuinbouwgebied dat:</w:t>
      </w:r>
    </w:p>
    <w:p w:rsidR="00296032" w:rsidRPr="00620047" w:rsidRDefault="00296032">
      <w:pPr>
        <w:pStyle w:val="art2enivo"/>
        <w:rPr>
          <w:rFonts w:cs="Arial"/>
        </w:rPr>
      </w:pPr>
      <w:r w:rsidRPr="00620047">
        <w:rPr>
          <w:rFonts w:cs="Arial"/>
        </w:rPr>
        <w:t>a.</w:t>
      </w:r>
      <w:r w:rsidRPr="00620047">
        <w:rPr>
          <w:rFonts w:cs="Arial"/>
        </w:rPr>
        <w:tab/>
        <w:t>voor het langtijdgemiddelde beoordelingsniveau (L</w:t>
      </w:r>
      <w:r w:rsidRPr="00620047">
        <w:rPr>
          <w:rFonts w:cs="Arial"/>
          <w:vertAlign w:val="subscript"/>
        </w:rPr>
        <w:t>Ar,LT</w:t>
      </w:r>
      <w:r w:rsidRPr="00620047">
        <w:rPr>
          <w:rFonts w:cs="Arial"/>
        </w:rPr>
        <w:t>) en het maximaal geluidsniveau (L</w:t>
      </w:r>
      <w:r w:rsidRPr="00620047">
        <w:rPr>
          <w:rFonts w:cs="Arial"/>
          <w:vertAlign w:val="subscript"/>
        </w:rPr>
        <w:t>Amax</w:t>
      </w:r>
      <w:r w:rsidRPr="00620047">
        <w:rPr>
          <w:rFonts w:cs="Arial"/>
        </w:rPr>
        <w:t>), veroorzaakt door de in de inrichting aanwezige installaties en toestellen, alsmede door de in de inrichting verrichte werkzaamheden en activiteiten en laad- en losactiviteiten ten behoeve van en in de onmiddellijke nabijheid van de inrichting, de niveaus op de in tabel 2.17g genoemde plaatsen en tijdstippen niet meer bedragen dan de in die tabel aangegeven waarden;</w:t>
      </w:r>
    </w:p>
    <w:p w:rsidR="00296032" w:rsidRPr="00620047" w:rsidRDefault="00296032">
      <w:pPr>
        <w:pStyle w:val="art2enivo"/>
        <w:rPr>
          <w:rFonts w:cs="Arial"/>
        </w:rPr>
      </w:pPr>
      <w:r w:rsidRPr="00620047">
        <w:rPr>
          <w:rFonts w:cs="Arial"/>
        </w:rPr>
        <w:t>b.</w:t>
      </w:r>
      <w:r w:rsidRPr="00620047">
        <w:rPr>
          <w:rFonts w:cs="Arial"/>
        </w:rPr>
        <w:tab/>
        <w:t>de in de periode tussen 06.00 uur en 19.00 uur in tabel 2.17g opgenomen maximale geluidsniveaus (L</w:t>
      </w:r>
      <w:r w:rsidRPr="00620047">
        <w:rPr>
          <w:rFonts w:cs="Arial"/>
          <w:vertAlign w:val="subscript"/>
        </w:rPr>
        <w:t>Amax</w:t>
      </w:r>
      <w:r w:rsidRPr="00620047">
        <w:rPr>
          <w:rFonts w:cs="Arial"/>
        </w:rPr>
        <w:t>) niet van toepassing zijn op laad- en losactiviteiten;</w:t>
      </w:r>
    </w:p>
    <w:p w:rsidR="002313EE" w:rsidRPr="00620047" w:rsidRDefault="002313EE" w:rsidP="002313EE">
      <w:pPr>
        <w:pStyle w:val="tabelkop"/>
        <w:ind w:firstLine="426"/>
        <w:rPr>
          <w:rFonts w:cs="Arial"/>
        </w:rPr>
      </w:pPr>
      <w:r w:rsidRPr="00620047">
        <w:rPr>
          <w:rFonts w:cs="Arial"/>
        </w:rPr>
        <w:t>Tabel 2.17g</w:t>
      </w:r>
    </w:p>
    <w:tbl>
      <w:tblPr>
        <w:tblW w:w="8222" w:type="dxa"/>
        <w:tblInd w:w="637" w:type="dxa"/>
        <w:tblCellMar>
          <w:top w:w="70" w:type="dxa"/>
          <w:left w:w="70" w:type="dxa"/>
          <w:bottom w:w="70" w:type="dxa"/>
          <w:right w:w="70" w:type="dxa"/>
        </w:tblCellMar>
        <w:tblLook w:val="04A0" w:firstRow="1" w:lastRow="0" w:firstColumn="1" w:lastColumn="0" w:noHBand="0" w:noVBand="1"/>
      </w:tblPr>
      <w:tblGrid>
        <w:gridCol w:w="3686"/>
        <w:gridCol w:w="1512"/>
        <w:gridCol w:w="1512"/>
        <w:gridCol w:w="1512"/>
      </w:tblGrid>
      <w:tr w:rsidR="002313EE" w:rsidRPr="00620047" w:rsidTr="00E22802">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13EE" w:rsidRPr="00620047" w:rsidRDefault="002313EE" w:rsidP="00E22802">
            <w:pPr>
              <w:pStyle w:val="Tabeltekst"/>
              <w:rPr>
                <w:rFonts w:cs="Arial"/>
                <w:b/>
                <w:szCs w:val="18"/>
              </w:rPr>
            </w:pPr>
            <w:r w:rsidRPr="00620047">
              <w:rPr>
                <w:rFonts w:cs="Arial"/>
                <w:b/>
                <w:szCs w:val="18"/>
              </w:rPr>
              <w:t xml:space="preserve"> </w:t>
            </w:r>
          </w:p>
        </w:tc>
        <w:tc>
          <w:tcPr>
            <w:tcW w:w="1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13EE" w:rsidRPr="00620047" w:rsidRDefault="002313EE" w:rsidP="00E22802">
            <w:pPr>
              <w:pStyle w:val="Tabeltekst"/>
              <w:rPr>
                <w:rFonts w:cs="Arial"/>
                <w:b/>
              </w:rPr>
            </w:pPr>
            <w:r w:rsidRPr="00620047">
              <w:rPr>
                <w:rFonts w:cs="Arial"/>
                <w:b/>
              </w:rPr>
              <w:t xml:space="preserve">06:00-19:00 uur </w:t>
            </w:r>
          </w:p>
        </w:tc>
        <w:tc>
          <w:tcPr>
            <w:tcW w:w="1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13EE" w:rsidRPr="00620047" w:rsidRDefault="002313EE" w:rsidP="00E22802">
            <w:pPr>
              <w:pStyle w:val="Tabeltekst"/>
              <w:rPr>
                <w:rFonts w:cs="Arial"/>
                <w:b/>
              </w:rPr>
            </w:pPr>
            <w:r w:rsidRPr="00620047">
              <w:rPr>
                <w:rFonts w:cs="Arial"/>
                <w:b/>
              </w:rPr>
              <w:t xml:space="preserve">19:00-22:00 uur </w:t>
            </w:r>
          </w:p>
        </w:tc>
        <w:tc>
          <w:tcPr>
            <w:tcW w:w="1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13EE" w:rsidRPr="00620047" w:rsidRDefault="002313EE" w:rsidP="00E22802">
            <w:pPr>
              <w:pStyle w:val="Tabeltekst"/>
              <w:rPr>
                <w:rFonts w:cs="Arial"/>
                <w:b/>
              </w:rPr>
            </w:pPr>
            <w:r w:rsidRPr="00620047">
              <w:rPr>
                <w:rFonts w:cs="Arial"/>
                <w:b/>
              </w:rPr>
              <w:t xml:space="preserve">22:00-06:00 uur </w:t>
            </w:r>
          </w:p>
        </w:tc>
      </w:tr>
      <w:tr w:rsidR="002313EE" w:rsidRPr="00620047" w:rsidTr="00E22802">
        <w:tc>
          <w:tcPr>
            <w:tcW w:w="3686"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b/>
                <w:szCs w:val="18"/>
              </w:rPr>
            </w:pPr>
            <w:r w:rsidRPr="00620047">
              <w:rPr>
                <w:rFonts w:cs="Arial"/>
              </w:rPr>
              <w:t xml:space="preserve"> L</w:t>
            </w:r>
            <w:r w:rsidRPr="00620047">
              <w:rPr>
                <w:rFonts w:cs="Arial"/>
                <w:vertAlign w:val="subscript"/>
              </w:rPr>
              <w:t>Ar,LT</w:t>
            </w:r>
            <w:r w:rsidRPr="00620047">
              <w:rPr>
                <w:rStyle w:val="tabelkopChar"/>
                <w:b w:val="0"/>
              </w:rPr>
              <w:t xml:space="preserve"> op de gevel van gevoelige gebouwen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50 dB(A)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45 dB(A)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40 dB(A) </w:t>
            </w:r>
          </w:p>
        </w:tc>
      </w:tr>
      <w:tr w:rsidR="002313EE" w:rsidRPr="00620047" w:rsidTr="00E22802">
        <w:tc>
          <w:tcPr>
            <w:tcW w:w="3686"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b/>
                <w:szCs w:val="18"/>
              </w:rPr>
            </w:pPr>
            <w:r w:rsidRPr="00620047">
              <w:rPr>
                <w:rFonts w:cs="Arial"/>
              </w:rPr>
              <w:t xml:space="preserve"> L</w:t>
            </w:r>
            <w:r w:rsidRPr="00620047">
              <w:rPr>
                <w:rFonts w:cs="Arial"/>
                <w:vertAlign w:val="subscript"/>
              </w:rPr>
              <w:t>Ar,LT</w:t>
            </w:r>
            <w:r w:rsidRPr="00620047">
              <w:rPr>
                <w:rStyle w:val="tabelkopChar"/>
                <w:b w:val="0"/>
              </w:rPr>
              <w:t xml:space="preserve"> in in- en aanpandige gevoelige gebouwen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35 dB(A)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30 dB(A)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25 dB(A) </w:t>
            </w:r>
          </w:p>
        </w:tc>
      </w:tr>
      <w:tr w:rsidR="002313EE" w:rsidRPr="00620047" w:rsidTr="00E22802">
        <w:tc>
          <w:tcPr>
            <w:tcW w:w="3686"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b/>
                <w:szCs w:val="18"/>
              </w:rPr>
            </w:pPr>
            <w:r w:rsidRPr="00620047">
              <w:rPr>
                <w:rFonts w:cs="Arial"/>
              </w:rPr>
              <w:t xml:space="preserve"> L</w:t>
            </w:r>
            <w:r w:rsidRPr="00620047">
              <w:rPr>
                <w:rFonts w:cs="Arial"/>
                <w:vertAlign w:val="subscript"/>
              </w:rPr>
              <w:t>Amax</w:t>
            </w:r>
            <w:r w:rsidRPr="00620047">
              <w:rPr>
                <w:rStyle w:val="tabelkopChar"/>
                <w:b w:val="0"/>
              </w:rPr>
              <w:t xml:space="preserve"> op de gevel van gevoelige gebouwen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70 dB(A)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65 dB(A)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60 dB(A) </w:t>
            </w:r>
          </w:p>
        </w:tc>
      </w:tr>
      <w:tr w:rsidR="002313EE" w:rsidRPr="00620047" w:rsidTr="00E22802">
        <w:tc>
          <w:tcPr>
            <w:tcW w:w="3686"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b/>
                <w:szCs w:val="18"/>
              </w:rPr>
            </w:pPr>
            <w:r w:rsidRPr="00620047">
              <w:rPr>
                <w:rFonts w:cs="Arial"/>
              </w:rPr>
              <w:t xml:space="preserve"> L</w:t>
            </w:r>
            <w:r w:rsidRPr="00620047">
              <w:rPr>
                <w:rFonts w:cs="Arial"/>
                <w:vertAlign w:val="subscript"/>
              </w:rPr>
              <w:t>Amax</w:t>
            </w:r>
            <w:r w:rsidRPr="00620047">
              <w:rPr>
                <w:rStyle w:val="tabelkopChar"/>
                <w:b w:val="0"/>
              </w:rPr>
              <w:t xml:space="preserve"> in in- en aanpandige gevoelige gebouwen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55 dB(A)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50 dB(A) </w:t>
            </w:r>
          </w:p>
        </w:tc>
        <w:tc>
          <w:tcPr>
            <w:tcW w:w="1512" w:type="dxa"/>
            <w:tcBorders>
              <w:top w:val="single" w:sz="4" w:space="0" w:color="auto"/>
              <w:left w:val="single" w:sz="4" w:space="0" w:color="auto"/>
              <w:bottom w:val="single" w:sz="4" w:space="0" w:color="auto"/>
              <w:right w:val="single" w:sz="4" w:space="0" w:color="auto"/>
            </w:tcBorders>
            <w:hideMark/>
          </w:tcPr>
          <w:p w:rsidR="002313EE" w:rsidRPr="00620047" w:rsidRDefault="002313EE" w:rsidP="00E22802">
            <w:pPr>
              <w:pStyle w:val="Tabeltekst"/>
              <w:rPr>
                <w:rFonts w:cs="Arial"/>
              </w:rPr>
            </w:pPr>
            <w:r w:rsidRPr="00620047">
              <w:rPr>
                <w:rFonts w:cs="Arial"/>
              </w:rPr>
              <w:t xml:space="preserve">45 dB(A) </w:t>
            </w:r>
          </w:p>
        </w:tc>
      </w:tr>
    </w:tbl>
    <w:p w:rsidR="002313EE" w:rsidRDefault="002313EE" w:rsidP="002313EE">
      <w:pPr>
        <w:pStyle w:val="art2enivo"/>
        <w:ind w:left="0" w:firstLine="0"/>
        <w:rPr>
          <w:rFonts w:cs="Arial"/>
        </w:rPr>
      </w:pPr>
    </w:p>
    <w:p w:rsidR="00296032" w:rsidRPr="00620047" w:rsidRDefault="00296032">
      <w:pPr>
        <w:pStyle w:val="art2enivo"/>
        <w:rPr>
          <w:rFonts w:cs="Arial"/>
        </w:rPr>
      </w:pPr>
      <w:r w:rsidRPr="00620047">
        <w:rPr>
          <w:rFonts w:cs="Arial"/>
        </w:rPr>
        <w:t>c.</w:t>
      </w:r>
      <w:r w:rsidRPr="00620047">
        <w:rPr>
          <w:rFonts w:cs="Arial"/>
        </w:rPr>
        <w:tab/>
        <w:t xml:space="preserve"> de in tabel 2.17g aangegeven waarden binnen in- of aanpandige gevoelige gebouwen niet gelden indien de gebruiker van deze gevoelige gebouwen geen toestemming geeft voor het in redelijkheid uitvoeren of doen uitvoeren van geluidsmetingen;</w:t>
      </w:r>
    </w:p>
    <w:p w:rsidR="00296032" w:rsidRPr="00620047" w:rsidRDefault="00296032">
      <w:pPr>
        <w:pStyle w:val="art2enivo"/>
        <w:rPr>
          <w:rFonts w:cs="Arial"/>
        </w:rPr>
      </w:pPr>
      <w:r w:rsidRPr="00620047">
        <w:rPr>
          <w:rFonts w:cs="Arial"/>
        </w:rPr>
        <w:t xml:space="preserve">d. </w:t>
      </w:r>
      <w:r w:rsidRPr="00620047">
        <w:rPr>
          <w:rFonts w:cs="Arial"/>
        </w:rPr>
        <w:tab/>
        <w:t>de in tabel 2.17g aangegeven waarden op de gevel ook gelden bij gevoelige terreinen op de grens van het terrein, met dien verstande dat de waarden in geval van ligplaatsen, bestemd om te worden ingenomen door een woonschip als bedoeld in artikel 1.2, derde lid, onderdeel b, van het Besluit geluidhinder, slechts gelden voor zover deze ligplaatsen als zodanig zijn bestemd op of na 1 juli 2012 en niet daarvoor in een gemeentelijke verordening waren aangewezen om door een woonschip te worden ingenomen;</w:t>
      </w:r>
    </w:p>
    <w:p w:rsidR="00296032" w:rsidRPr="00620047" w:rsidRDefault="00296032">
      <w:pPr>
        <w:pStyle w:val="art2enivo"/>
        <w:rPr>
          <w:rFonts w:cs="Arial"/>
        </w:rPr>
      </w:pPr>
      <w:r w:rsidRPr="00620047">
        <w:rPr>
          <w:rFonts w:cs="Arial"/>
        </w:rPr>
        <w:t xml:space="preserve">e. </w:t>
      </w:r>
      <w:r w:rsidRPr="00620047">
        <w:rPr>
          <w:rFonts w:cs="Arial"/>
        </w:rPr>
        <w:tab/>
        <w:t>de in tabel 2.17g aangegeven waarden op de gevel, vermeerderd met 5 dB(A), ook gelden op de grens van het terrein in geval van ligplaatsen, bestemd om te worden ingenomen door een woonschip als bedoeld in artikel 1.2, derde lid, onderdeel b, van het Besluit geluidhinder, voor zover deze ligplaatsen:</w:t>
      </w:r>
    </w:p>
    <w:p w:rsidR="00296032" w:rsidRPr="00620047" w:rsidRDefault="00296032">
      <w:pPr>
        <w:pStyle w:val="art3enivo"/>
      </w:pPr>
      <w:r w:rsidRPr="00620047">
        <w:t>1°.</w:t>
      </w:r>
      <w:r w:rsidRPr="00620047">
        <w:tab/>
        <w:t>als zodanig zijn bestemd voor 1 juli 2012, of</w:t>
      </w:r>
    </w:p>
    <w:p w:rsidR="00296032" w:rsidRPr="00620047" w:rsidRDefault="00296032">
      <w:pPr>
        <w:pStyle w:val="art3enivo"/>
      </w:pPr>
      <w:r w:rsidRPr="00620047">
        <w:t>2°.</w:t>
      </w:r>
      <w:r w:rsidRPr="00620047">
        <w:tab/>
        <w:t>voor 1 juli 2012 in een gemeentelijke verordening waren aangewezen om door een woonschip te worden ingenomen en voor 1 juli 2022 als zodanig zijn bestemd;</w:t>
      </w:r>
    </w:p>
    <w:p w:rsidR="00296032" w:rsidRPr="00620047" w:rsidRDefault="00296032">
      <w:pPr>
        <w:pStyle w:val="art2enivo"/>
        <w:rPr>
          <w:rFonts w:cs="Arial"/>
        </w:rPr>
      </w:pPr>
      <w:r w:rsidRPr="00620047">
        <w:rPr>
          <w:rFonts w:cs="Arial"/>
        </w:rPr>
        <w:t>f.</w:t>
      </w:r>
      <w:r w:rsidRPr="00620047">
        <w:rPr>
          <w:rFonts w:cs="Arial"/>
        </w:rPr>
        <w:tab/>
        <w:t>de waarden binnen in- en aanpandige gevoelige gebouwen slechts gelden in geluidsgevoelige ruimten en verblijfsruimten, en</w:t>
      </w:r>
    </w:p>
    <w:p w:rsidR="00296032" w:rsidRPr="00620047" w:rsidRDefault="00296032">
      <w:pPr>
        <w:pStyle w:val="art2enivo"/>
        <w:rPr>
          <w:rFonts w:cs="Arial"/>
        </w:rPr>
      </w:pPr>
      <w:r w:rsidRPr="00620047">
        <w:rPr>
          <w:rFonts w:cs="Arial"/>
        </w:rPr>
        <w:t>g.</w:t>
      </w:r>
      <w:r w:rsidRPr="00620047">
        <w:rPr>
          <w:rFonts w:cs="Arial"/>
        </w:rPr>
        <w:tab/>
        <w:t>de in tabel 2.17g aangegeven waarden niet gelden op gevoelige objecten die zijn gelegen op een gezoneerd industrieterrein.</w:t>
      </w:r>
    </w:p>
    <w:p w:rsidR="00296032" w:rsidRPr="00620047" w:rsidRDefault="00296032">
      <w:pPr>
        <w:pStyle w:val="art1enivo"/>
        <w:rPr>
          <w:rFonts w:cs="Arial"/>
        </w:rPr>
      </w:pPr>
      <w:r w:rsidRPr="00620047">
        <w:rPr>
          <w:rFonts w:cs="Arial"/>
        </w:rPr>
        <w:t>7.</w:t>
      </w:r>
      <w:r w:rsidRPr="00620047">
        <w:rPr>
          <w:rFonts w:cs="Arial"/>
        </w:rPr>
        <w:tab/>
        <w:t xml:space="preserve"> De waarden van het langtijdgemiddelde beoordelingsniveau (L</w:t>
      </w:r>
      <w:r w:rsidRPr="00620047">
        <w:rPr>
          <w:rFonts w:cs="Arial"/>
          <w:vertAlign w:val="subscript"/>
        </w:rPr>
        <w:t>Ar,LT</w:t>
      </w:r>
      <w:r w:rsidRPr="00620047">
        <w:rPr>
          <w:rFonts w:cs="Arial"/>
        </w:rPr>
        <w:t>) op de gevel van gevoelige gebouwen in de tabellen 2.17e en 2.17g zijn niet van toepassing op inrichtingen die zijn gelegen in een gebied waarvoor bij of krachtens een gemeentelijke verordening regels zijn gesteld. In een dergelijk gebied bedraagt het langtijdgemiddeld beoordelingsniveau (L</w:t>
      </w:r>
      <w:r w:rsidRPr="00620047">
        <w:rPr>
          <w:rFonts w:cs="Arial"/>
          <w:vertAlign w:val="subscript"/>
        </w:rPr>
        <w:t>Ar,LT</w:t>
      </w:r>
      <w:r w:rsidRPr="00620047">
        <w:rPr>
          <w:rFonts w:cs="Arial"/>
        </w:rPr>
        <w:t>) niet meer dan de waarden die zijn opgenomen in die gemeentelijke verordening.</w:t>
      </w:r>
    </w:p>
    <w:p w:rsidR="00296032" w:rsidRPr="00620047" w:rsidRDefault="00296032">
      <w:pPr>
        <w:pStyle w:val="art1enivo"/>
        <w:rPr>
          <w:rFonts w:cs="Arial"/>
        </w:rPr>
      </w:pPr>
      <w:r w:rsidRPr="00620047">
        <w:rPr>
          <w:rFonts w:cs="Arial"/>
        </w:rPr>
        <w:t>8.</w:t>
      </w:r>
      <w:r w:rsidRPr="00620047">
        <w:rPr>
          <w:rFonts w:cs="Arial"/>
        </w:rPr>
        <w:tab/>
        <w:t>Voor inrichtingen in een gebied als bedoeld in het zevende lid, bedragen de in de verordening vastgelegde waarden ten hoogste 5 dB(A) meer of minder dan de waarden in tabel 2.17e en voor inrichtingen als bedoeld in het zesde lid, bedragen de in de verordening vastgelegde waarden ten hoogste 5 dB(A) meer of minder dan de waarden in tabel 2.17g.</w:t>
      </w:r>
    </w:p>
    <w:p w:rsidR="00296032" w:rsidRPr="00620047" w:rsidRDefault="00296032">
      <w:pPr>
        <w:pStyle w:val="art1enivo"/>
        <w:rPr>
          <w:rFonts w:cs="Arial"/>
        </w:rPr>
      </w:pPr>
      <w:r w:rsidRPr="00620047">
        <w:rPr>
          <w:rFonts w:cs="Arial"/>
        </w:rPr>
        <w:t>9.</w:t>
      </w:r>
      <w:r w:rsidRPr="00620047">
        <w:rPr>
          <w:rFonts w:cs="Arial"/>
        </w:rPr>
        <w:tab/>
        <w:t xml:space="preserve">Bij vaststelling van de </w:t>
      </w:r>
      <w:r w:rsidRPr="00620047">
        <w:rPr>
          <w:rFonts w:cs="Arial"/>
          <w:szCs w:val="18"/>
        </w:rPr>
        <w:t>waarden</w:t>
      </w:r>
      <w:r w:rsidRPr="00620047">
        <w:rPr>
          <w:rFonts w:cs="Arial"/>
        </w:rPr>
        <w:t>, bedoeld in het zevende lid, wordt in ieder geval rekening gehouden met het in het gebied heersende referentieniveau. Indien voor inrichtingen als bedoeld in het zesde lid, waarden worden vastgelegd die hoger zijn dan de waarden in tabel 2.17g, wordt daarmee het in het gebied heersende referentieniveau niet overschreden.</w:t>
      </w:r>
    </w:p>
    <w:p w:rsidR="00296032" w:rsidRPr="00296032" w:rsidRDefault="00296032">
      <w:pPr>
        <w:pStyle w:val="artikelkop"/>
      </w:pPr>
      <w:r w:rsidRPr="00296032">
        <w:t xml:space="preserve">Artikel 2.17a </w:t>
      </w:r>
    </w:p>
    <w:p w:rsidR="00296032" w:rsidRPr="00620047" w:rsidRDefault="00296032">
      <w:pPr>
        <w:pStyle w:val="art1enivo"/>
      </w:pPr>
      <w:r w:rsidRPr="00620047">
        <w:t>1.</w:t>
      </w:r>
      <w:r w:rsidRPr="00620047">
        <w:tab/>
        <w:t>De waarden op de gevel van gevoelige gebouwen en op de grens van gevoelige terreinen in tabel 2.17a onderscheidenlijk 2.17g worden met 5 dB(A) verhoogd indien tot het van toepassing worden van artikel 2.17 op een inrichting, op grond van een voorschrift als bedoeld in het derde lid van dat artikel hogere waarden golden.</w:t>
      </w:r>
    </w:p>
    <w:p w:rsidR="00296032" w:rsidRPr="00620047" w:rsidRDefault="00296032">
      <w:pPr>
        <w:pStyle w:val="art1enivo"/>
      </w:pPr>
      <w:r w:rsidRPr="00620047">
        <w:t>2.</w:t>
      </w:r>
      <w:r w:rsidRPr="00620047">
        <w:tab/>
        <w:t>Indien in een milieuvergunning die in werking en onherroepelijk was op het tijdstip genoemd in het op de inrichting van toepassing geweest zijnde voorschrift, genoemd in artikel 2.17a, derde lid, lagere waarden dan de waarden, bedoeld in artikel 2.17, eerste lid, waren vastgesteld, zijn die lagere waarden van toepassing.</w:t>
      </w:r>
    </w:p>
    <w:p w:rsidR="00296032" w:rsidRPr="00620047" w:rsidRDefault="00296032">
      <w:pPr>
        <w:pStyle w:val="art1enivo"/>
      </w:pPr>
      <w:r w:rsidRPr="00620047">
        <w:t>3.</w:t>
      </w:r>
      <w:r w:rsidRPr="00620047">
        <w:tab/>
        <w:t>De voorschriften, bedoeld in artikel 2.17, eerste en tweede lid zijn: voorschrift 1.1.3 van de bijlage van het Besluit opslag- en transportbedrijven milieubeheer, voorschrift 1.1.5 van bijlage 2 van het Besluit detailhandel- en ambachtsbedrijven milieubeheer, voorschrift 1.1.7 van de bijlage van het Besluit horeca-, sport- en recreatie-inrichtingen milieubeheer, voorschrift 1.1.3 van de bijlage van het Besluit bouw- en houtbedrijven milieubeheer, voorschrift 1.1.5 van de bijlage van het Besluit woon- en verblijfsgebouwen milieubeheer, voorschrift 1.1.3 van bijlage 2 van het Besluit voorzieningen- en installaties milieubeheer, voorschrift 1.1.3 van bijlage 1 van het Besluit textielreinigingsbedrijven milieubeheer, voorschrift 1.1.3 van de bijlage van het Besluit inrichtingen voor motorvoertuigen milieubeheer, voorschrift 3.2 van bijlage 2 van het Besluit tankstations milieubeheer, voorschrift 4.2.1 van bijlage 1 van het Besluit tandartspraktijken milieubeheer en voorschrift 1.1.3 van bijlage 2 van het Besluit glastuinbouw.</w:t>
      </w:r>
    </w:p>
    <w:p w:rsidR="00296032" w:rsidRPr="00620047" w:rsidRDefault="00296032">
      <w:pPr>
        <w:pStyle w:val="art1enivo"/>
      </w:pPr>
      <w:r w:rsidRPr="00620047">
        <w:t>4.</w:t>
      </w:r>
      <w:r w:rsidRPr="00620047">
        <w:tab/>
      </w:r>
      <w:r w:rsidR="005D073A" w:rsidRPr="005D073A">
        <w:t>[Vervallen.]</w:t>
      </w:r>
    </w:p>
    <w:p w:rsidR="00296032" w:rsidRPr="00620047" w:rsidRDefault="00296032">
      <w:pPr>
        <w:pStyle w:val="art1enivo"/>
      </w:pPr>
      <w:r w:rsidRPr="00620047">
        <w:t>5.</w:t>
      </w:r>
      <w:r w:rsidRPr="00620047">
        <w:tab/>
        <w:t>Een gemeentelijke verordening als bedoeld in voorschrift 1.1.2 van de bijlage bij het Besluit landbouw milieubeheer, zoals dat luidde tot 1 januari 2013, berust met ingang va</w:t>
      </w:r>
      <w:r w:rsidR="00620047">
        <w:t>n die datum op artikel 2.17, ze</w:t>
      </w:r>
      <w:r w:rsidRPr="00620047">
        <w:t>vende lid.</w:t>
      </w:r>
    </w:p>
    <w:p w:rsidR="00296032" w:rsidRPr="00620047" w:rsidRDefault="00296032">
      <w:pPr>
        <w:pStyle w:val="art1enivo"/>
      </w:pPr>
      <w:r w:rsidRPr="00620047">
        <w:t>6.</w:t>
      </w:r>
      <w:r w:rsidRPr="00620047">
        <w:tab/>
        <w:t>Voor inrichtingen waarop tot 1 januari 2008 het Besluit horeca-, sport- en recreatie-inrichtingen milieubeheer, het Besluit detailhandel en ambachtsbedrijven milieubeheer of het Besluit woon- en verblijfsgebouwen milieubeheer van toepassing was, zijn de waarden uit artikel 2.17 niet van toepassing op de gevel van onderscheidenlijk in een dienst- of bedrijfswoning dan wel een woning die deel uitmaakt van een inrichting.</w:t>
      </w:r>
    </w:p>
    <w:p w:rsidR="00296032" w:rsidRPr="00296032" w:rsidRDefault="00296032">
      <w:pPr>
        <w:pStyle w:val="artikelkop"/>
        <w:rPr>
          <w:rFonts w:cs="Arial"/>
        </w:rPr>
      </w:pPr>
      <w:r w:rsidRPr="00296032">
        <w:rPr>
          <w:rFonts w:cs="Arial"/>
        </w:rPr>
        <w:t>Artikel 2.18</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bepalen van de geluidsniveaus, bedoeld in de artikelen 2.17, 2.17a, 2.19, 2.19a dan wel 2.20, blijft buiten beschouwing:</w:t>
      </w:r>
    </w:p>
    <w:p w:rsidR="00296032" w:rsidRPr="00620047" w:rsidRDefault="00296032">
      <w:pPr>
        <w:pStyle w:val="art2enivo"/>
        <w:rPr>
          <w:rFonts w:cs="Arial"/>
        </w:rPr>
      </w:pPr>
      <w:r w:rsidRPr="00620047">
        <w:rPr>
          <w:rFonts w:cs="Arial"/>
        </w:rPr>
        <w:t>a.</w:t>
      </w:r>
      <w:r w:rsidRPr="00620047">
        <w:rPr>
          <w:rFonts w:cs="Arial"/>
        </w:rPr>
        <w:tab/>
        <w:t>het stemgeluid van personen op een onverwarmd en onoverdekt terrein, dat onderdeel is van de inrichting, tenzij dit terrein kan worden aangemerkt als een binnenterrein;</w:t>
      </w:r>
    </w:p>
    <w:p w:rsidR="00296032" w:rsidRPr="00620047" w:rsidRDefault="00296032">
      <w:pPr>
        <w:pStyle w:val="art2enivo"/>
        <w:rPr>
          <w:rFonts w:cs="Arial"/>
        </w:rPr>
      </w:pPr>
      <w:r w:rsidRPr="00620047">
        <w:rPr>
          <w:rFonts w:cs="Arial"/>
        </w:rPr>
        <w:t>b.</w:t>
      </w:r>
      <w:r w:rsidRPr="00620047">
        <w:rPr>
          <w:rFonts w:cs="Arial"/>
        </w:rPr>
        <w:tab/>
        <w:t>het stemgeluid van bezoekers op het open terrein van een inrichting voor sport- of recreatieactiviteiten;</w:t>
      </w:r>
    </w:p>
    <w:p w:rsidR="00296032" w:rsidRPr="00620047" w:rsidRDefault="00296032">
      <w:pPr>
        <w:pStyle w:val="art2enivo"/>
        <w:rPr>
          <w:rFonts w:cs="Arial"/>
        </w:rPr>
      </w:pPr>
      <w:r w:rsidRPr="00620047">
        <w:rPr>
          <w:rFonts w:cs="Arial"/>
        </w:rPr>
        <w:t>c.</w:t>
      </w:r>
      <w:r w:rsidRPr="00620047">
        <w:rPr>
          <w:rFonts w:cs="Arial"/>
        </w:rPr>
        <w:tab/>
        <w:t>het geluid ten behoeve van het oproepen tot het belijden van godsdienst of levensovertuiging of het bijwonen van godsdienstige of levensbeschouwelijke bijeenkomsten en lijkplechtigheden, alsmede geluid in verband met het houden van deze bijeenkomsten of plechtigheden;</w:t>
      </w:r>
    </w:p>
    <w:p w:rsidR="00296032" w:rsidRPr="00620047" w:rsidRDefault="00296032">
      <w:pPr>
        <w:pStyle w:val="art2enivo"/>
        <w:rPr>
          <w:rFonts w:cs="Arial"/>
        </w:rPr>
      </w:pPr>
      <w:r w:rsidRPr="00620047">
        <w:rPr>
          <w:rFonts w:cs="Arial"/>
        </w:rPr>
        <w:t>d.</w:t>
      </w:r>
      <w:r w:rsidRPr="00620047">
        <w:rPr>
          <w:rFonts w:cs="Arial"/>
        </w:rPr>
        <w:tab/>
        <w:t>het geluid van het traditioneel ten gehore brengen van muziek tijdens het hijsen en strijken van de nationale vlag bij zonsopkomst en zonsondergang op militaire inrichtingen;</w:t>
      </w:r>
    </w:p>
    <w:p w:rsidR="00296032" w:rsidRPr="00620047" w:rsidRDefault="00296032">
      <w:pPr>
        <w:pStyle w:val="art2enivo"/>
        <w:rPr>
          <w:rFonts w:cs="Arial"/>
        </w:rPr>
      </w:pPr>
      <w:r w:rsidRPr="00620047">
        <w:rPr>
          <w:rFonts w:cs="Arial"/>
        </w:rPr>
        <w:t>e.</w:t>
      </w:r>
      <w:r w:rsidRPr="00620047">
        <w:rPr>
          <w:rFonts w:cs="Arial"/>
        </w:rPr>
        <w:tab/>
        <w:t>het ten gehore brengen van muziek vanwege het oefenen door militaire muziekcorpsen in de buitenlucht gedurende de dagperiode met een maximum van twee uren per week op militaire inrichtingen;</w:t>
      </w:r>
    </w:p>
    <w:p w:rsidR="00296032" w:rsidRPr="00620047" w:rsidRDefault="00296032">
      <w:pPr>
        <w:pStyle w:val="art2enivo"/>
        <w:rPr>
          <w:rFonts w:cs="Arial"/>
        </w:rPr>
      </w:pPr>
      <w:r w:rsidRPr="00620047">
        <w:rPr>
          <w:rFonts w:cs="Arial"/>
        </w:rPr>
        <w:t>f.</w:t>
      </w:r>
      <w:r w:rsidRPr="00620047">
        <w:rPr>
          <w:rFonts w:cs="Arial"/>
        </w:rPr>
        <w:tab/>
        <w:t>het ten gehore brengen van onversterkte muziek tenzij en voor zover daarvoor bij gemeentelijke verordening regels zijn gesteld;</w:t>
      </w:r>
    </w:p>
    <w:p w:rsidR="00296032" w:rsidRPr="00620047" w:rsidRDefault="00296032">
      <w:pPr>
        <w:pStyle w:val="art2enivo"/>
        <w:rPr>
          <w:rFonts w:cs="Arial"/>
        </w:rPr>
      </w:pPr>
      <w:r w:rsidRPr="00620047">
        <w:rPr>
          <w:rFonts w:cs="Arial"/>
        </w:rPr>
        <w:t>g.</w:t>
      </w:r>
      <w:r w:rsidRPr="00620047">
        <w:rPr>
          <w:rFonts w:cs="Arial"/>
        </w:rPr>
        <w:tab/>
        <w:t>het traditioneel schieten, bedoeld in paragraaf 3.7.2, tenzij en voor zover daarvoor bij gemeentelijke verordening regels zijn gesteld;</w:t>
      </w:r>
    </w:p>
    <w:p w:rsidR="00296032" w:rsidRPr="00620047" w:rsidRDefault="00296032">
      <w:pPr>
        <w:pStyle w:val="art2enivo"/>
        <w:rPr>
          <w:rFonts w:cs="Arial"/>
        </w:rPr>
      </w:pPr>
      <w:r w:rsidRPr="00620047">
        <w:rPr>
          <w:rFonts w:cs="Arial"/>
        </w:rPr>
        <w:t>h.</w:t>
      </w:r>
      <w:r w:rsidRPr="00620047">
        <w:rPr>
          <w:rFonts w:cs="Arial"/>
        </w:rPr>
        <w:tab/>
        <w:t>het stemgeluid van kinderen op een onverwarmd of onoverdekt terrein dat onderdeel is van een inrichting voor primair onderwijs, in de periode vanaf een uur voor aanvang van het onderwijs tot een uur na beëindiging van het onderwijs;</w:t>
      </w:r>
    </w:p>
    <w:p w:rsidR="00296032" w:rsidRPr="00620047" w:rsidRDefault="00296032">
      <w:pPr>
        <w:pStyle w:val="art2enivo"/>
        <w:rPr>
          <w:rFonts w:cs="Arial"/>
        </w:rPr>
      </w:pPr>
      <w:r w:rsidRPr="00620047">
        <w:rPr>
          <w:rFonts w:cs="Arial"/>
        </w:rPr>
        <w:t>i.</w:t>
      </w:r>
      <w:r w:rsidRPr="00620047">
        <w:rPr>
          <w:rFonts w:cs="Arial"/>
        </w:rPr>
        <w:tab/>
        <w:t>het stemgeluid van kinderen op een onverwarmd of onoverdekt terrein dat onderdeel is van een instelling voor kinderopvang.</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het bepalen van de geluidsniveaus, bedoeld in artikel 2.17, 2.17a dan wel 2.20, wordt voor muziekgeluid geen bedrijfsduurcorrectie toegepast.</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 xml:space="preserve">Bij het bepalen van het maximaal geluidsniveau </w:t>
      </w:r>
      <w:r w:rsidR="00DF0DC2">
        <w:rPr>
          <w:rFonts w:cs="Arial"/>
        </w:rPr>
        <w:t>(</w:t>
      </w:r>
      <w:r w:rsidRPr="00620047">
        <w:rPr>
          <w:rFonts w:cs="Arial"/>
        </w:rPr>
        <w:t>L</w:t>
      </w:r>
      <w:r w:rsidRPr="00620047">
        <w:rPr>
          <w:rFonts w:cs="Arial"/>
          <w:vertAlign w:val="subscript"/>
        </w:rPr>
        <w:t>Amax</w:t>
      </w:r>
      <w:r w:rsidR="00DF0DC2">
        <w:rPr>
          <w:rFonts w:cs="Arial"/>
        </w:rPr>
        <w:t>)</w:t>
      </w:r>
      <w:r w:rsidRPr="00620047">
        <w:rPr>
          <w:rFonts w:cs="Arial"/>
        </w:rPr>
        <w:t>, bedoeld in artikel 2.17, 2.17a dan wel 2.20, blijft buiten beschouwing het geluid als gevolg van:</w:t>
      </w:r>
    </w:p>
    <w:p w:rsidR="00296032" w:rsidRPr="00620047" w:rsidRDefault="00296032">
      <w:pPr>
        <w:pStyle w:val="art2enivo"/>
        <w:rPr>
          <w:rFonts w:cs="Arial"/>
        </w:rPr>
      </w:pPr>
      <w:r w:rsidRPr="00620047">
        <w:rPr>
          <w:rFonts w:cs="Arial"/>
        </w:rPr>
        <w:t>a.</w:t>
      </w:r>
      <w:r w:rsidRPr="00620047">
        <w:rPr>
          <w:rFonts w:cs="Arial"/>
        </w:rPr>
        <w:tab/>
        <w:t>het komen en gaan van bezoekers bij inrichtingen waar uitsluitend of in hoofdzaak horeca-, sport- en recreatieactiviteiten plaatsvinden;</w:t>
      </w:r>
    </w:p>
    <w:p w:rsidR="00296032" w:rsidRPr="00620047" w:rsidRDefault="00296032">
      <w:pPr>
        <w:pStyle w:val="art2enivo"/>
        <w:rPr>
          <w:rFonts w:cs="Arial"/>
        </w:rPr>
      </w:pPr>
      <w:r w:rsidRPr="00620047">
        <w:rPr>
          <w:rFonts w:cs="Arial"/>
        </w:rPr>
        <w:t>b.</w:t>
      </w:r>
      <w:r w:rsidRPr="00620047">
        <w:rPr>
          <w:rFonts w:cs="Arial"/>
        </w:rPr>
        <w:tab/>
        <w:t>het verrichten in de open lucht van sportactiviteiten of activiteiten die hiermee in nauw verband staan;</w:t>
      </w:r>
    </w:p>
    <w:p w:rsidR="00296032" w:rsidRPr="00620047" w:rsidRDefault="00296032">
      <w:pPr>
        <w:pStyle w:val="art2enivo"/>
        <w:rPr>
          <w:rFonts w:cs="Arial"/>
        </w:rPr>
      </w:pPr>
      <w:r w:rsidRPr="00620047">
        <w:rPr>
          <w:rFonts w:cs="Arial"/>
        </w:rPr>
        <w:t>c.</w:t>
      </w:r>
      <w:r w:rsidRPr="00620047">
        <w:rPr>
          <w:rFonts w:cs="Arial"/>
        </w:rPr>
        <w:tab/>
        <w:t>laad- en losactiviteiten in de periode tussen 19.00 uur en 06.00 uur ten behoeve van de aan- en afvoer van producten bij inrichtingen als bedoeld in artikel 2.17, vijfde en zesde lid, voor zover dat ten hoogste een keer in de genoemde periode plaatsvindt;</w:t>
      </w:r>
    </w:p>
    <w:p w:rsidR="00296032" w:rsidRPr="00620047" w:rsidRDefault="00296032">
      <w:pPr>
        <w:pStyle w:val="art2enivo"/>
        <w:rPr>
          <w:rFonts w:cs="Arial"/>
        </w:rPr>
      </w:pPr>
      <w:r w:rsidRPr="00620047">
        <w:rPr>
          <w:rFonts w:cs="Arial"/>
        </w:rPr>
        <w:t>d.</w:t>
      </w:r>
      <w:r w:rsidRPr="00620047">
        <w:rPr>
          <w:rFonts w:cs="Arial"/>
        </w:rPr>
        <w:tab/>
        <w:t>het verrichten van activiteiten in de periode tussen 19.00 uur en 6.00 uur ten behoeve van het wassen van kasdekken bij inrichtingen als bedoeld in artikel 2.17, vijfde en zesde lid.</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De maximale geluidsniveaus L</w:t>
      </w:r>
      <w:r w:rsidRPr="00620047">
        <w:rPr>
          <w:rFonts w:cs="Arial"/>
          <w:vertAlign w:val="subscript"/>
        </w:rPr>
        <w:t>Amax</w:t>
      </w:r>
      <w:r w:rsidRPr="00620047">
        <w:rPr>
          <w:rFonts w:cs="Arial"/>
        </w:rPr>
        <w:t>, bedoeld in artikel 2.17, 2.17a dan wel 2.20 zijn tussen 23.00 en 7.00 uur niet van toepassing ten aanzien van aandrijfgeluid van motorvoertuigen bij laad- en losactiviteiten indien:</w:t>
      </w:r>
    </w:p>
    <w:p w:rsidR="00296032" w:rsidRPr="00620047" w:rsidRDefault="00296032">
      <w:pPr>
        <w:pStyle w:val="art2enivo"/>
        <w:rPr>
          <w:rFonts w:cs="Arial"/>
        </w:rPr>
      </w:pPr>
      <w:r w:rsidRPr="00620047">
        <w:rPr>
          <w:rFonts w:cs="Arial"/>
        </w:rPr>
        <w:t>a.</w:t>
      </w:r>
      <w:r w:rsidRPr="00620047">
        <w:rPr>
          <w:rFonts w:cs="Arial"/>
        </w:rPr>
        <w:tab/>
        <w:t>degene die de inrichting drijft aantoont dat het voor de betreffende inrichting in die periode geldende maximale geluidsniveau (L</w:t>
      </w:r>
      <w:r w:rsidRPr="00620047">
        <w:rPr>
          <w:rFonts w:cs="Arial"/>
          <w:vertAlign w:val="subscript"/>
        </w:rPr>
        <w:t>Amax</w:t>
      </w:r>
      <w:r w:rsidRPr="00620047">
        <w:rPr>
          <w:rFonts w:cs="Arial"/>
        </w:rPr>
        <w:t>), niet te bereiken is door het treffen van maatregelen; en</w:t>
      </w:r>
    </w:p>
    <w:p w:rsidR="00296032" w:rsidRPr="00620047" w:rsidRDefault="00296032">
      <w:pPr>
        <w:pStyle w:val="art2enivo"/>
        <w:rPr>
          <w:rFonts w:cs="Arial"/>
        </w:rPr>
      </w:pPr>
      <w:r w:rsidRPr="00620047">
        <w:rPr>
          <w:rFonts w:cs="Arial"/>
        </w:rPr>
        <w:t>b.</w:t>
      </w:r>
      <w:r w:rsidRPr="00620047">
        <w:rPr>
          <w:rFonts w:cs="Arial"/>
        </w:rPr>
        <w:tab/>
        <w:t>het niveau van het aandrijfgeluid op een afstand van 7,5 meter van het motorvoertuig niet hoger is van 65dB(A).</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Bij gemeentelijke verordening kunnen ten behoeve van het voorkomen van geluidhinder regels worden gesteld met betrekking tot:</w:t>
      </w:r>
    </w:p>
    <w:p w:rsidR="00296032" w:rsidRPr="00620047" w:rsidRDefault="00296032">
      <w:pPr>
        <w:pStyle w:val="art2enivo"/>
        <w:rPr>
          <w:rFonts w:cs="Arial"/>
        </w:rPr>
      </w:pPr>
      <w:r w:rsidRPr="00620047">
        <w:rPr>
          <w:rFonts w:cs="Arial"/>
        </w:rPr>
        <w:t>a.</w:t>
      </w:r>
      <w:r w:rsidRPr="00620047">
        <w:rPr>
          <w:rFonts w:cs="Arial"/>
        </w:rPr>
        <w:tab/>
        <w:t>het ten gehore brengen van onversterkte muziek, en</w:t>
      </w:r>
    </w:p>
    <w:p w:rsidR="00296032" w:rsidRPr="00620047" w:rsidRDefault="00296032">
      <w:pPr>
        <w:pStyle w:val="art2enivo"/>
        <w:rPr>
          <w:rFonts w:cs="Arial"/>
        </w:rPr>
      </w:pPr>
      <w:r w:rsidRPr="00620047">
        <w:rPr>
          <w:rFonts w:cs="Arial"/>
        </w:rPr>
        <w:t>b.</w:t>
      </w:r>
      <w:r w:rsidRPr="00620047">
        <w:rPr>
          <w:rFonts w:cs="Arial"/>
        </w:rPr>
        <w:tab/>
        <w:t>het traditioneel schieten, bedoeld in paragraaf 3.7.2.</w:t>
      </w:r>
    </w:p>
    <w:p w:rsidR="00296032" w:rsidRPr="00620047" w:rsidRDefault="00296032">
      <w:pPr>
        <w:pStyle w:val="art1enivo"/>
        <w:rPr>
          <w:rFonts w:cs="Arial"/>
        </w:rPr>
      </w:pPr>
      <w:r w:rsidRPr="00620047">
        <w:rPr>
          <w:rFonts w:cs="Arial"/>
        </w:rPr>
        <w:t>6.</w:t>
      </w:r>
      <w:r w:rsidRPr="00620047">
        <w:rPr>
          <w:rFonts w:cs="Arial"/>
        </w:rPr>
        <w:tab/>
        <w:t>Bij het bepalen van het langtijdgemiddelde beoordelingsniveau (L</w:t>
      </w:r>
      <w:r w:rsidRPr="00620047">
        <w:rPr>
          <w:rFonts w:cs="Arial"/>
          <w:vertAlign w:val="subscript"/>
        </w:rPr>
        <w:t>Ar,LT</w:t>
      </w:r>
      <w:r w:rsidRPr="00620047">
        <w:rPr>
          <w:rFonts w:cs="Arial"/>
        </w:rPr>
        <w:t>) blijft het geluid veroorzaakt door het stomen van grond met een installatie van derden buiten beschouwing.</w:t>
      </w:r>
    </w:p>
    <w:p w:rsidR="00296032" w:rsidRPr="00620047" w:rsidRDefault="00296032">
      <w:pPr>
        <w:pStyle w:val="art1enivo"/>
        <w:rPr>
          <w:rFonts w:cs="Arial"/>
        </w:rPr>
      </w:pPr>
      <w:r w:rsidRPr="00620047">
        <w:rPr>
          <w:rFonts w:cs="Arial"/>
        </w:rPr>
        <w:t>7.</w:t>
      </w:r>
      <w:r w:rsidRPr="00620047">
        <w:rPr>
          <w:rFonts w:cs="Arial"/>
        </w:rPr>
        <w:tab/>
        <w:t>Degene die een inrichting drijft, waar het stomen van grond plaatsvindt met een installatie van derden, treft maatregelen of voorzieningen die betrekking hebben op:</w:t>
      </w:r>
    </w:p>
    <w:p w:rsidR="00296032" w:rsidRPr="00620047" w:rsidRDefault="00296032">
      <w:pPr>
        <w:pStyle w:val="art2enivo"/>
        <w:rPr>
          <w:rFonts w:cs="Arial"/>
        </w:rPr>
      </w:pPr>
      <w:r w:rsidRPr="00620047">
        <w:rPr>
          <w:rFonts w:cs="Arial"/>
        </w:rPr>
        <w:t>a.</w:t>
      </w:r>
      <w:r w:rsidRPr="00620047">
        <w:rPr>
          <w:rFonts w:cs="Arial"/>
        </w:rPr>
        <w:tab/>
        <w:t>de periode waarin het grondstomen plaatsvindt;</w:t>
      </w:r>
    </w:p>
    <w:p w:rsidR="00296032" w:rsidRPr="00620047" w:rsidRDefault="00296032">
      <w:pPr>
        <w:pStyle w:val="art2enivo"/>
        <w:rPr>
          <w:rFonts w:cs="Arial"/>
        </w:rPr>
      </w:pPr>
      <w:r w:rsidRPr="00620047">
        <w:rPr>
          <w:rFonts w:cs="Arial"/>
        </w:rPr>
        <w:t>b.</w:t>
      </w:r>
      <w:r w:rsidRPr="00620047">
        <w:rPr>
          <w:rFonts w:cs="Arial"/>
        </w:rPr>
        <w:tab/>
        <w:t>de locatie waar de installatie wordt opgesteld, en</w:t>
      </w:r>
    </w:p>
    <w:p w:rsidR="00296032" w:rsidRPr="00620047" w:rsidRDefault="00296032">
      <w:pPr>
        <w:pStyle w:val="art2enivo"/>
        <w:rPr>
          <w:rFonts w:cs="Arial"/>
        </w:rPr>
      </w:pPr>
      <w:r w:rsidRPr="00620047">
        <w:rPr>
          <w:rFonts w:cs="Arial"/>
        </w:rPr>
        <w:t>c.</w:t>
      </w:r>
      <w:r w:rsidRPr="00620047">
        <w:rPr>
          <w:rFonts w:cs="Arial"/>
        </w:rPr>
        <w:tab/>
        <w:t>het aanbrengen van geluidreducerende voorzieningen binnen de inrichting.</w:t>
      </w:r>
    </w:p>
    <w:p w:rsidR="00296032" w:rsidRPr="00620047" w:rsidRDefault="00296032">
      <w:pPr>
        <w:pStyle w:val="art1enivo"/>
        <w:rPr>
          <w:rFonts w:cs="Arial"/>
        </w:rPr>
      </w:pPr>
      <w:r w:rsidRPr="00620047">
        <w:rPr>
          <w:rFonts w:cs="Arial"/>
        </w:rPr>
        <w:t>8.</w:t>
      </w:r>
      <w:r w:rsidRPr="00620047">
        <w:rPr>
          <w:rFonts w:cs="Arial"/>
        </w:rPr>
        <w:tab/>
        <w:t>Het bevoegd gezag kan ten behoeve van het voorkomen van geluidhinder dan wel voor zover dat niet mogelijk is het tot een aanvaardbaar niveau beperken daarvan, bij maatwerkvoorschrift eisen stellen aan de maatregelen of voorzieningen, bedoeld in het zevende lid.</w:t>
      </w:r>
    </w:p>
    <w:p w:rsidR="00296032" w:rsidRPr="00620047" w:rsidRDefault="00296032">
      <w:pPr>
        <w:pStyle w:val="art1enivo"/>
      </w:pPr>
      <w:r w:rsidRPr="00620047">
        <w:rPr>
          <w:rStyle w:val="lidnr"/>
        </w:rPr>
        <w:t>9.</w:t>
      </w:r>
      <w:r w:rsidRPr="00620047">
        <w:t xml:space="preserve"> </w:t>
      </w:r>
      <w:r w:rsidRPr="00620047">
        <w:tab/>
        <w:t xml:space="preserve">Voor inrichtingen waarop tot 1 januari 2008, het Besluit horeca-, sport- en recreatie-inrichtingen milieubeheer van toepassing was, en waarvoor voor muziekgeluid een bedrijfsduurcorrectie werd toegepast, kan het bevoegd gezag bij maatwerkvoorschrift bepalen dat het tweede lid niet van toepassing is voor de toetsing van geluidsniveaus tussen 23.00 en 07.00 uur. </w:t>
      </w:r>
    </w:p>
    <w:p w:rsidR="00296032" w:rsidRPr="00620047" w:rsidRDefault="00296032">
      <w:pPr>
        <w:pStyle w:val="art1enivo"/>
      </w:pPr>
      <w:r w:rsidRPr="00620047">
        <w:rPr>
          <w:rStyle w:val="lidnr"/>
        </w:rPr>
        <w:t>10.</w:t>
      </w:r>
      <w:r w:rsidRPr="00620047">
        <w:t xml:space="preserve"> </w:t>
      </w:r>
      <w:r w:rsidRPr="00620047">
        <w:tab/>
        <w:t xml:space="preserve">Indien op grond van het maatwerkvoorschrift, bedoeld in het negende lid, een bedrijfsduurcorrectie wordt toegepast, is het door de inrichting veroorzaakte geluidsniveau gedurende de bedrijfstijd tussen 23.00 en 07.00 uur niet hoger dan op grond van artikel 2.17 is toegestaan tussen 19.00 en 23.00 uur. </w:t>
      </w:r>
    </w:p>
    <w:p w:rsidR="00296032" w:rsidRPr="00620047" w:rsidRDefault="00296032"/>
    <w:p w:rsidR="00296032" w:rsidRPr="00296032" w:rsidRDefault="00296032">
      <w:pPr>
        <w:pStyle w:val="artikelkop"/>
        <w:rPr>
          <w:rFonts w:cs="Arial"/>
        </w:rPr>
      </w:pPr>
      <w:r w:rsidRPr="00296032">
        <w:rPr>
          <w:rFonts w:cs="Arial"/>
        </w:rPr>
        <w:t>Artikel 2.19 [Treedt in werking op een nader te bepalen tijdstip]</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gemeentelijke verordening kunnen voorwaarden worden vastgesteld op grond waarvan krachtens de verordening gebieden worden aangewezen waarin de in de verordening opgenomen geluidsnormen gelden die afwijken van de waarden, bedoeld in artikel 2.17 indien de in dat artikel genoemde waarden gelet op de aard van de gebieden niet passend zijn.</w:t>
      </w:r>
      <w:r w:rsidRPr="00620047">
        <w:rPr>
          <w:rFonts w:cs="Arial"/>
        </w:rPr>
        <w:br/>
        <w:t>Alvorens een gebied wordt aangewezen worden de gevolgen hiervan voor de in die gebieden gelegen inrichtingen, de bewoners van die gebieden en andere belanghebbenden in kaart gebracht.</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 een gebied als bedoeld in het eerste lid bedragen de waarden binnen een geluidsgevoelige ruimte of een verblijfsruimte voor zover deze niet zijn gelegen op een gezoneerd industrieterrein, op de volgende tijdstippen niet meer dan de in tabel 2.19 aangegeven waarden:</w:t>
      </w:r>
    </w:p>
    <w:p w:rsidR="00296032" w:rsidRPr="00620047" w:rsidRDefault="00296032">
      <w:pPr>
        <w:pStyle w:val="tabelkop"/>
        <w:ind w:firstLine="426"/>
        <w:rPr>
          <w:rFonts w:cs="Arial"/>
        </w:rPr>
      </w:pPr>
      <w:r w:rsidRPr="00620047">
        <w:rPr>
          <w:rFonts w:cs="Arial"/>
        </w:rPr>
        <w:t>Tabel 2.19</w:t>
      </w:r>
    </w:p>
    <w:tbl>
      <w:tblPr>
        <w:tblW w:w="8363"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110"/>
        <w:gridCol w:w="1751"/>
        <w:gridCol w:w="1751"/>
        <w:gridCol w:w="1751"/>
      </w:tblGrid>
      <w:tr w:rsidR="00296032" w:rsidRPr="00620047">
        <w:trPr>
          <w:cantSplit/>
          <w:tblHeader/>
        </w:trPr>
        <w:tc>
          <w:tcPr>
            <w:tcW w:w="3110"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296032" w:rsidRPr="00620047" w:rsidRDefault="00296032">
            <w:pPr>
              <w:spacing w:before="40" w:after="40"/>
              <w:rPr>
                <w:rFonts w:cs="Arial"/>
                <w:b/>
                <w:sz w:val="16"/>
                <w:szCs w:val="16"/>
              </w:rPr>
            </w:pPr>
          </w:p>
        </w:tc>
        <w:tc>
          <w:tcPr>
            <w:tcW w:w="1751"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07.00-19.00 uur </w:t>
            </w:r>
          </w:p>
        </w:tc>
        <w:tc>
          <w:tcPr>
            <w:tcW w:w="1751"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19.00-23.00 uur </w:t>
            </w:r>
          </w:p>
        </w:tc>
        <w:tc>
          <w:tcPr>
            <w:tcW w:w="1751"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pStyle w:val="Tabeltekst"/>
              <w:rPr>
                <w:rFonts w:cs="Arial"/>
                <w:b/>
              </w:rPr>
            </w:pPr>
            <w:r w:rsidRPr="00620047">
              <w:rPr>
                <w:rFonts w:cs="Arial"/>
                <w:b/>
              </w:rPr>
              <w:t xml:space="preserve">23.00-07.00 uur </w:t>
            </w:r>
          </w:p>
        </w:tc>
      </w:tr>
      <w:tr w:rsidR="00296032" w:rsidRPr="00620047">
        <w:trPr>
          <w:cantSplit/>
          <w:tblHeader/>
        </w:trPr>
        <w:tc>
          <w:tcPr>
            <w:tcW w:w="311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Ar,LT</w:t>
            </w:r>
          </w:p>
        </w:tc>
        <w:tc>
          <w:tcPr>
            <w:tcW w:w="175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35 dB(A) </w:t>
            </w:r>
          </w:p>
        </w:tc>
        <w:tc>
          <w:tcPr>
            <w:tcW w:w="175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30 dB(A) </w:t>
            </w:r>
          </w:p>
        </w:tc>
        <w:tc>
          <w:tcPr>
            <w:tcW w:w="175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25 dB(A) </w:t>
            </w:r>
          </w:p>
        </w:tc>
      </w:tr>
      <w:tr w:rsidR="00296032" w:rsidRPr="00620047">
        <w:trPr>
          <w:cantSplit/>
          <w:tblHeader/>
        </w:trPr>
        <w:tc>
          <w:tcPr>
            <w:tcW w:w="311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w:t>
            </w:r>
            <w:r w:rsidRPr="00620047">
              <w:rPr>
                <w:rFonts w:cs="Arial"/>
                <w:vertAlign w:val="subscript"/>
              </w:rPr>
              <w:t>Amax</w:t>
            </w:r>
          </w:p>
        </w:tc>
        <w:tc>
          <w:tcPr>
            <w:tcW w:w="175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55 dB(A) </w:t>
            </w:r>
          </w:p>
        </w:tc>
        <w:tc>
          <w:tcPr>
            <w:tcW w:w="175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50 dB(A) </w:t>
            </w:r>
          </w:p>
        </w:tc>
        <w:tc>
          <w:tcPr>
            <w:tcW w:w="175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45 dB(A) </w:t>
            </w:r>
          </w:p>
        </w:tc>
      </w:tr>
    </w:tbl>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Bij het bepalen van het maximaal geluidsniveau (L</w:t>
      </w:r>
      <w:r w:rsidRPr="00620047">
        <w:rPr>
          <w:rFonts w:cs="Arial"/>
          <w:vertAlign w:val="subscript"/>
        </w:rPr>
        <w:t>Amax</w:t>
      </w:r>
      <w:r w:rsidRPr="00620047">
        <w:rPr>
          <w:rFonts w:cs="Arial"/>
        </w:rPr>
        <w:t>), bedoeld in het tweede lid, blijft buiten beschouwing het geluid als gevolg van:</w:t>
      </w:r>
    </w:p>
    <w:p w:rsidR="00296032" w:rsidRPr="00620047" w:rsidRDefault="00296032">
      <w:pPr>
        <w:pStyle w:val="art2enivo"/>
        <w:rPr>
          <w:rFonts w:cs="Arial"/>
        </w:rPr>
      </w:pPr>
      <w:r w:rsidRPr="00620047">
        <w:rPr>
          <w:rFonts w:cs="Arial"/>
        </w:rPr>
        <w:t>a.</w:t>
      </w:r>
      <w:r w:rsidRPr="00620047">
        <w:rPr>
          <w:rFonts w:cs="Arial"/>
        </w:rPr>
        <w:tab/>
        <w:t>het komen en gaan van bezoekers bij inrichtingen waar uitsluitend of in hoofdzaak horeca-, sport- en recreatieactiviteiten plaatsvinden;</w:t>
      </w:r>
    </w:p>
    <w:p w:rsidR="00296032" w:rsidRPr="00620047" w:rsidRDefault="00296032">
      <w:pPr>
        <w:pStyle w:val="art2enivo"/>
        <w:rPr>
          <w:rFonts w:cs="Arial"/>
        </w:rPr>
      </w:pPr>
      <w:r w:rsidRPr="00620047">
        <w:rPr>
          <w:rFonts w:cs="Arial"/>
        </w:rPr>
        <w:t>b.</w:t>
      </w:r>
      <w:r w:rsidRPr="00620047">
        <w:rPr>
          <w:rFonts w:cs="Arial"/>
        </w:rPr>
        <w:tab/>
        <w:t>het verrichten in de open lucht van sportactiviteiten of activiteiten die hiermee in nauw verband staan.</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De in het tweede lid genoemde waarden gelden niet indien de gebruiker van deze gevoelige gebouwen geen toestemming geeft voor het in redelijkheid uitvoeren of doen uitvoeren van geluidsmetingen.</w:t>
      </w:r>
    </w:p>
    <w:p w:rsidR="00296032" w:rsidRPr="00F91BA9" w:rsidRDefault="00296032" w:rsidP="00F91BA9">
      <w:pPr>
        <w:pStyle w:val="art1enivo"/>
        <w:rPr>
          <w:rFonts w:cs="Arial"/>
        </w:rPr>
      </w:pPr>
      <w:r w:rsidRPr="00620047">
        <w:rPr>
          <w:rFonts w:cs="Arial"/>
          <w:bCs/>
        </w:rPr>
        <w:t>5.</w:t>
      </w:r>
      <w:r w:rsidRPr="00620047">
        <w:rPr>
          <w:rFonts w:cs="Arial"/>
          <w:bCs/>
        </w:rPr>
        <w:tab/>
      </w:r>
      <w:r w:rsidRPr="00620047">
        <w:rPr>
          <w:rFonts w:cs="Arial"/>
        </w:rPr>
        <w:t>In een verordening als bedoeld in het eerste lid kan worden bepaald dat het bevoegd gezag ten aanzien van een gebied dat krachtens de verordening is aangewezen overeenkomstig artikel 2.20 maatwerkvoorschriften kan stellen.</w:t>
      </w:r>
    </w:p>
    <w:p w:rsidR="00296032" w:rsidRPr="00296032" w:rsidRDefault="00296032">
      <w:pPr>
        <w:pStyle w:val="artikelkop"/>
      </w:pPr>
      <w:r w:rsidRPr="00296032">
        <w:t xml:space="preserve">Artikel 2.19a </w:t>
      </w:r>
    </w:p>
    <w:p w:rsidR="00296032" w:rsidRPr="00620047" w:rsidRDefault="00296032">
      <w:pPr>
        <w:pStyle w:val="art1enivo"/>
      </w:pPr>
      <w:r w:rsidRPr="00620047">
        <w:t xml:space="preserve">1. </w:t>
      </w:r>
      <w:r w:rsidRPr="00620047">
        <w:tab/>
        <w:t>Tot de inwerkingtreding van artikel 2.19 zijn het tweede tot en met vierde lid van toepassing.</w:t>
      </w:r>
    </w:p>
    <w:p w:rsidR="00296032" w:rsidRPr="00620047" w:rsidRDefault="00296032">
      <w:pPr>
        <w:pStyle w:val="art1enivo"/>
      </w:pPr>
      <w:r w:rsidRPr="00620047">
        <w:t xml:space="preserve">2. </w:t>
      </w:r>
      <w:r w:rsidRPr="00620047">
        <w:tab/>
        <w:t>Artikel 2.17 is niet van toepassing op inrichtingen die zijn gelegen in een concentratiegebied voor horeca-inrichtingen of in een concentratiegebied voor detailhandel en ambachtsbedrijven, dat bij of krachtens een verordening als zodanig is aangewezen.</w:t>
      </w:r>
    </w:p>
    <w:p w:rsidR="00296032" w:rsidRPr="00620047" w:rsidRDefault="00296032">
      <w:pPr>
        <w:pStyle w:val="art1enivo"/>
      </w:pPr>
      <w:r w:rsidRPr="00620047">
        <w:t xml:space="preserve">3. </w:t>
      </w:r>
      <w:r w:rsidRPr="00620047">
        <w:tab/>
        <w:t>In een gebied als bedoeld in het tweede lid bedraagt het langtijdgemiddeld beoordelingsniveau, veroorzaakt door de in de inrichting aanwezige installaties en toestellen, alsmede door de in de inrichting verrichte werkzaamheden en activiteiten, in ieder geval niet meer:</w:t>
      </w:r>
    </w:p>
    <w:p w:rsidR="00296032" w:rsidRPr="00620047" w:rsidRDefault="00296032">
      <w:pPr>
        <w:pStyle w:val="art2enivo"/>
      </w:pPr>
      <w:r w:rsidRPr="00620047">
        <w:t xml:space="preserve">a. </w:t>
      </w:r>
      <w:r w:rsidRPr="00620047">
        <w:tab/>
        <w:t>dan de in tabel 2.17 bedoelde waarden op de gevel of, als dat hoger is, het in dat gebied heersende referentieniveau;</w:t>
      </w:r>
    </w:p>
    <w:p w:rsidR="00296032" w:rsidRPr="00620047" w:rsidRDefault="00296032">
      <w:pPr>
        <w:pStyle w:val="art2enivo"/>
      </w:pPr>
      <w:r w:rsidRPr="00620047">
        <w:t>b.</w:t>
      </w:r>
      <w:r w:rsidRPr="00620047">
        <w:tab/>
        <w:t>dan de in tabel 2.19a aangegeven waarden binnen gevoelige gebouwen.</w:t>
      </w:r>
    </w:p>
    <w:p w:rsidR="00296032" w:rsidRPr="00620047" w:rsidRDefault="00296032">
      <w:pPr>
        <w:pStyle w:val="tabelkop"/>
        <w:rPr>
          <w:b w:val="0"/>
        </w:rPr>
      </w:pPr>
    </w:p>
    <w:p w:rsidR="00296032" w:rsidRPr="00620047" w:rsidRDefault="00296032">
      <w:pPr>
        <w:pStyle w:val="tabelkop"/>
      </w:pPr>
      <w:r w:rsidRPr="00620047">
        <w:t>Tabel 2.19a</w:t>
      </w:r>
    </w:p>
    <w:tbl>
      <w:tblPr>
        <w:tblStyle w:val="Tabelraster"/>
        <w:tblW w:w="0" w:type="auto"/>
        <w:tblInd w:w="0" w:type="dxa"/>
        <w:tblLook w:val="04A0" w:firstRow="1" w:lastRow="0" w:firstColumn="1" w:lastColumn="0" w:noHBand="0" w:noVBand="1"/>
      </w:tblPr>
      <w:tblGrid>
        <w:gridCol w:w="3077"/>
        <w:gridCol w:w="2036"/>
        <w:gridCol w:w="2036"/>
        <w:gridCol w:w="2036"/>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311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w:t>
            </w:r>
          </w:p>
        </w:tc>
        <w:tc>
          <w:tcPr>
            <w:tcW w:w="20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07.00-19.00 uur </w:t>
            </w:r>
          </w:p>
        </w:tc>
        <w:tc>
          <w:tcPr>
            <w:tcW w:w="20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19.00-23.00 uur </w:t>
            </w:r>
          </w:p>
        </w:tc>
        <w:tc>
          <w:tcPr>
            <w:tcW w:w="20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23.00-07.00 uur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311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Langtijdgemiddeld beoordelingsniveau (LAr,LT) </w:t>
            </w:r>
          </w:p>
        </w:tc>
        <w:tc>
          <w:tcPr>
            <w:tcW w:w="20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35 dB(A) </w:t>
            </w:r>
          </w:p>
        </w:tc>
        <w:tc>
          <w:tcPr>
            <w:tcW w:w="20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30 dB(A) </w:t>
            </w:r>
          </w:p>
        </w:tc>
        <w:tc>
          <w:tcPr>
            <w:tcW w:w="20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25 dB(A)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311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 Maximaal geluidsniveau </w:t>
            </w:r>
          </w:p>
        </w:tc>
        <w:tc>
          <w:tcPr>
            <w:tcW w:w="20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55 dB(A) </w:t>
            </w:r>
          </w:p>
        </w:tc>
        <w:tc>
          <w:tcPr>
            <w:tcW w:w="20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50 dB(A) </w:t>
            </w:r>
          </w:p>
        </w:tc>
        <w:tc>
          <w:tcPr>
            <w:tcW w:w="207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 xml:space="preserve">45 dB(A) </w:t>
            </w:r>
          </w:p>
        </w:tc>
      </w:tr>
    </w:tbl>
    <w:p w:rsidR="00296032" w:rsidRPr="00620047" w:rsidRDefault="00296032">
      <w:pPr>
        <w:widowControl w:val="0"/>
        <w:autoSpaceDE w:val="0"/>
        <w:autoSpaceDN w:val="0"/>
        <w:adjustRightInd w:val="0"/>
        <w:rPr>
          <w:rFonts w:cs="Arial"/>
          <w:szCs w:val="20"/>
        </w:rPr>
      </w:pPr>
    </w:p>
    <w:p w:rsidR="00296032" w:rsidRPr="00620047" w:rsidRDefault="00296032">
      <w:pPr>
        <w:pStyle w:val="art1enivo"/>
      </w:pPr>
      <w:r w:rsidRPr="00620047">
        <w:t xml:space="preserve">4. </w:t>
      </w:r>
      <w:r w:rsidRPr="00620047">
        <w:rPr>
          <w:b/>
        </w:rPr>
        <w:tab/>
      </w:r>
      <w:r w:rsidRPr="00620047">
        <w:t>Voor inrichtingen waarop tot 1 januari 2008 het Besluit horeca-, sport- en recreatie-inrichtingen milieubeheer, het Besluit detailhandel en ambachtsbedrijven milieubeheer of het Besluit woon- en verblijfsgebouwen milieubeheer van toepassing was, zijn de waarden uit dit artikel niet van toepassing op de gevel van onderscheidenlijk een dienst- of bedrijfswoning dan wel een woning die deel uitmaakt van een inrichting.</w:t>
      </w:r>
    </w:p>
    <w:p w:rsidR="00296032" w:rsidRPr="00296032" w:rsidRDefault="00296032">
      <w:pPr>
        <w:pStyle w:val="artikelkop"/>
        <w:rPr>
          <w:rFonts w:cs="Arial"/>
        </w:rPr>
      </w:pPr>
      <w:r w:rsidRPr="00296032">
        <w:rPr>
          <w:rFonts w:cs="Arial"/>
        </w:rPr>
        <w:t>Artikel 2.20</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In afwijking van de waarden, bedoeld in de artikelen 2.17, 2.17a, 2.19 dan wel 2.19a, kan het bevoegd gezag bij maatwerkvoorschrift andere waarden voor het langtijdgemiddeld beoordelingsniveau (L</w:t>
      </w:r>
      <w:r w:rsidRPr="00620047">
        <w:rPr>
          <w:rFonts w:cs="Arial"/>
          <w:vertAlign w:val="subscript"/>
        </w:rPr>
        <w:t>Ar,LT</w:t>
      </w:r>
      <w:r w:rsidRPr="00620047">
        <w:rPr>
          <w:rFonts w:cs="Arial"/>
        </w:rPr>
        <w:t>) en het maximaal geluidsniveau L</w:t>
      </w:r>
      <w:r w:rsidRPr="00620047">
        <w:rPr>
          <w:rFonts w:cs="Arial"/>
          <w:vertAlign w:val="subscript"/>
        </w:rPr>
        <w:t>Amax</w:t>
      </w:r>
      <w:r w:rsidRPr="00620047">
        <w:rPr>
          <w:rFonts w:cs="Arial"/>
        </w:rPr>
        <w:t xml:space="preserve"> vaststellen.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bevoegd gezag kan slechts hogere waarden vaststellen dan de waarden, bedoeld in de artikelen 2.17</w:t>
      </w:r>
      <w:r w:rsidR="00283E91">
        <w:rPr>
          <w:rFonts w:cs="Arial"/>
        </w:rPr>
        <w:t>, 2.17a, 2.19</w:t>
      </w:r>
      <w:r w:rsidRPr="00620047">
        <w:rPr>
          <w:rFonts w:cs="Arial"/>
        </w:rPr>
        <w:t xml:space="preserve"> dan wel 2.19</w:t>
      </w:r>
      <w:r w:rsidR="00283E91">
        <w:rPr>
          <w:rFonts w:cs="Arial"/>
        </w:rPr>
        <w:t>a</w:t>
      </w:r>
      <w:r w:rsidRPr="00620047">
        <w:rPr>
          <w:rFonts w:cs="Arial"/>
        </w:rPr>
        <w:t>, indien binnen geluidsgevoelige ruimten dan wel verblijfsruimten van gevoelige gebouwen, die zijn gelegen binnen de akoestische invloedssfeer van de inrichting, een etmaalwaarde van maximaal 35 dB(A) wordt gewaarborgd.</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De in het tweede lid bedoelde etmaalwaarde is niet van toepassing indien de gebruiker van deze gevoelige gebouwen geen toestemming geeft voor het in redelijkheid uitvoeren of doen uitvoeren van geluidsmetingen.</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bevoegd gezag kan maatwerkvoorschriften stellen over de plaats waar de waarden, bedoeld in de artikelen 2.17</w:t>
      </w:r>
      <w:r w:rsidR="00CA00E3">
        <w:rPr>
          <w:rFonts w:cs="Arial"/>
        </w:rPr>
        <w:t>, 2.17a, 2.19</w:t>
      </w:r>
      <w:r w:rsidRPr="00620047">
        <w:rPr>
          <w:rFonts w:cs="Arial"/>
        </w:rPr>
        <w:t xml:space="preserve"> dan wel 2.19</w:t>
      </w:r>
      <w:r w:rsidR="00CA00E3">
        <w:rPr>
          <w:rFonts w:cs="Arial"/>
        </w:rPr>
        <w:t>a</w:t>
      </w:r>
      <w:r w:rsidRPr="00620047">
        <w:rPr>
          <w:rFonts w:cs="Arial"/>
        </w:rPr>
        <w:t>, voor een inrichting gelden.</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Het bevoegd gezag kan bij maatwerkvoorschrift bepalen welke technische voorzieningen in de inrichting worden aangebracht en welke gedragsregels in acht worden genomen teneinde aan geldende geluidsnormen te voldoen.</w:t>
      </w:r>
    </w:p>
    <w:p w:rsidR="00296032" w:rsidRPr="00620047" w:rsidRDefault="00296032">
      <w:pPr>
        <w:pStyle w:val="art1enivo"/>
        <w:rPr>
          <w:rFonts w:cs="Arial"/>
        </w:rPr>
      </w:pPr>
      <w:r w:rsidRPr="00620047">
        <w:rPr>
          <w:rFonts w:cs="Arial"/>
          <w:bCs/>
        </w:rPr>
        <w:t>6.</w:t>
      </w:r>
      <w:r w:rsidRPr="00620047">
        <w:rPr>
          <w:rFonts w:cs="Arial"/>
          <w:bCs/>
        </w:rPr>
        <w:tab/>
      </w:r>
      <w:r w:rsidRPr="00620047">
        <w:rPr>
          <w:rFonts w:cs="Arial"/>
        </w:rPr>
        <w:t>In afwijking van de waarden, bedoeld in de artikelen 2.17</w:t>
      </w:r>
      <w:r w:rsidR="00CA00E3">
        <w:rPr>
          <w:rFonts w:cs="Arial"/>
        </w:rPr>
        <w:t>, 2.17a, 2.19</w:t>
      </w:r>
      <w:r w:rsidRPr="00620047">
        <w:rPr>
          <w:rFonts w:cs="Arial"/>
        </w:rPr>
        <w:t xml:space="preserve"> dan wel 2.19</w:t>
      </w:r>
      <w:r w:rsidR="00CA00E3">
        <w:rPr>
          <w:rFonts w:cs="Arial"/>
        </w:rPr>
        <w:t>a</w:t>
      </w:r>
      <w:r w:rsidRPr="00620047">
        <w:rPr>
          <w:rFonts w:cs="Arial"/>
        </w:rPr>
        <w:t xml:space="preserve"> kan het bevoegd gezag bij maatwerkvoorschrift voor bepaalde activiteiten in een inrichting, anders dan festiviteiten als bedoeld in artikel 2.21, andere waarden voor het langtijdgemiddeld beoordelingsniveau (L</w:t>
      </w:r>
      <w:r w:rsidRPr="00620047">
        <w:rPr>
          <w:rFonts w:cs="Arial"/>
          <w:vertAlign w:val="subscript"/>
        </w:rPr>
        <w:t>Ar,LT</w:t>
      </w:r>
      <w:r w:rsidRPr="00620047">
        <w:rPr>
          <w:rFonts w:cs="Arial"/>
        </w:rPr>
        <w:t>) en het maximaal geluidsniveau L</w:t>
      </w:r>
      <w:r w:rsidRPr="00620047">
        <w:rPr>
          <w:rFonts w:cs="Arial"/>
          <w:vertAlign w:val="subscript"/>
        </w:rPr>
        <w:t>Amax</w:t>
      </w:r>
      <w:r w:rsidRPr="00620047">
        <w:rPr>
          <w:rFonts w:cs="Arial"/>
        </w:rPr>
        <w:t xml:space="preserve"> vaststellen. Het bevoegd gezag kan daarbij voorschriften vaststellen met betrekking tot de duur van de activiteiten, het treffen van maatregelen, de tijdstippen waarop de activiteiten plaatsvinden of het vooraf melden per keer dat de activiteit plaatsvindt.</w:t>
      </w:r>
    </w:p>
    <w:p w:rsidR="00296032" w:rsidRPr="00620047" w:rsidRDefault="00296032">
      <w:pPr>
        <w:pStyle w:val="art1enivo"/>
      </w:pPr>
      <w:r w:rsidRPr="00620047">
        <w:t>7.</w:t>
      </w:r>
      <w:r w:rsidRPr="00620047">
        <w:tab/>
        <w:t>Het bevoegd gezag kan bij maatwerkvoorschrift bepalen welke technische voorzieningen worden aangebracht en welke gedragsregels in acht worden genomen ter beperking van het geluid als gevolg van werkzaamheden en activiteiten bij een inrichting als bedoeld in artikel 2.17, vijfde lid.</w:t>
      </w:r>
    </w:p>
    <w:p w:rsidR="00296032" w:rsidRPr="00620047" w:rsidRDefault="00296032">
      <w:pPr>
        <w:pStyle w:val="art1enivo"/>
      </w:pPr>
      <w:r w:rsidRPr="00620047">
        <w:t xml:space="preserve">8. </w:t>
      </w:r>
      <w:r w:rsidRPr="00620047">
        <w:tab/>
        <w:t>De etmaalwaarde die het bevoegd gezag vaststelt op grond van het eerste lid, is niet lager dan 40 dB(A) voor een inrichting:</w:t>
      </w:r>
    </w:p>
    <w:p w:rsidR="00296032" w:rsidRPr="00620047" w:rsidRDefault="00296032">
      <w:pPr>
        <w:pStyle w:val="art2enivo"/>
      </w:pPr>
      <w:r w:rsidRPr="00620047">
        <w:t xml:space="preserve">a. </w:t>
      </w:r>
      <w:r w:rsidRPr="00620047">
        <w:tab/>
        <w:t xml:space="preserve">waarop tot het van toepassing worden van dit artikel op die inrichting, het Besluit opslag- en transportbedrijven milieubeheer, het Besluit detailhandel- en ambachtsbedrijven milieubeheer, het Besluit horeca-, sport- en recreatie-inrichtingen milieubeheer, het Besluit bouw- en houtbedrijven milieubeheer, het Besluit woon- en verblijfsgebouwen milieubeheer, het Besluit textielreinigingsbedrijven milieubeheer, het Besluit jachthavens milieubeheer, het Besluit motorvoertuigen milieubeheer of het Besluit glastuinbouw van toepassing was, en </w:t>
      </w:r>
    </w:p>
    <w:p w:rsidR="00296032" w:rsidRPr="00620047" w:rsidRDefault="00296032">
      <w:pPr>
        <w:pStyle w:val="art2enivo"/>
      </w:pPr>
      <w:r w:rsidRPr="00620047">
        <w:t xml:space="preserve">b. </w:t>
      </w:r>
      <w:r w:rsidRPr="00620047">
        <w:tab/>
        <w:t>die voor de inwerkingtreding van het in onderdeel a genoemde besluit dat van toepassing was, is opgericht.</w:t>
      </w:r>
    </w:p>
    <w:p w:rsidR="00296032" w:rsidRPr="00620047" w:rsidRDefault="00296032">
      <w:pPr>
        <w:pStyle w:val="art1enivo"/>
      </w:pPr>
      <w:r w:rsidRPr="00620047">
        <w:t xml:space="preserve">9. </w:t>
      </w:r>
      <w:r w:rsidRPr="00620047">
        <w:tab/>
        <w:t>De etmaalwaarde die het bevoegd gezag vaststelt op grond van het eerste lid is niet lager dan 40 dB(A) voor een inrichting waarop tot 1 januari 2008 het Besluit tankstations milieubeheer of het Besluit tandartspraktijken milieubeheer van toepassing was.</w:t>
      </w:r>
    </w:p>
    <w:p w:rsidR="00296032" w:rsidRPr="00296032" w:rsidRDefault="00296032">
      <w:pPr>
        <w:pStyle w:val="artikelkop"/>
        <w:rPr>
          <w:rFonts w:cs="Arial"/>
        </w:rPr>
      </w:pPr>
      <w:r w:rsidRPr="00296032">
        <w:rPr>
          <w:rFonts w:cs="Arial"/>
        </w:rPr>
        <w:t>Artikel 2.21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 waarden bedoeld in de artikelen 2.17, 2.17a, 2.19, 2.19a dan wel 2.20 zijn voor zover de naleving van deze normen redelijkerwijs niet kan worden gevergd, niet van toepassing op dagen of dagdelen in verband met de viering van:</w:t>
      </w:r>
    </w:p>
    <w:p w:rsidR="00296032" w:rsidRPr="00620047" w:rsidRDefault="00296032">
      <w:pPr>
        <w:pStyle w:val="art2enivo"/>
        <w:rPr>
          <w:rFonts w:cs="Arial"/>
        </w:rPr>
      </w:pPr>
      <w:r w:rsidRPr="00620047">
        <w:rPr>
          <w:rFonts w:cs="Arial"/>
        </w:rPr>
        <w:t>a.</w:t>
      </w:r>
      <w:r w:rsidRPr="00620047">
        <w:rPr>
          <w:rFonts w:cs="Arial"/>
        </w:rPr>
        <w:tab/>
        <w:t>festiviteiten die bij of krachtens een gemeentelijke verordening zijn aangewezen, in de gebieden in de gemeente waarvoor de verordening geldt;</w:t>
      </w:r>
    </w:p>
    <w:p w:rsidR="00296032" w:rsidRPr="00620047" w:rsidRDefault="00296032">
      <w:pPr>
        <w:pStyle w:val="art2enivo"/>
        <w:rPr>
          <w:rFonts w:cs="Arial"/>
        </w:rPr>
      </w:pPr>
      <w:r w:rsidRPr="00620047">
        <w:rPr>
          <w:rFonts w:cs="Arial"/>
        </w:rPr>
        <w:t>b.</w:t>
      </w:r>
      <w:r w:rsidRPr="00620047">
        <w:rPr>
          <w:rFonts w:cs="Arial"/>
        </w:rPr>
        <w:tab/>
        <w:t>andere festiviteiten die plaatsvinden in de inrichting, waarbij het aantal bij of krachtens een gemeentelijke verordening aan te wijzen dagen of dagdelen per gebied of categorie van inrichtingen kan verschillen en niet meer mag bedragen dan twaalf per kalenderjaar.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of krachtens gemeentelijke verordening kunnen voorwaarden worden verbonden aan de festiviteiten ter voorkoming of beperking van geluidhinder.</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Een festiviteit als bedoeld in het eerste lid die maximaal een etmaal duurt, maar die zowel voor als na 00.00 uur plaatsvindt, wordt beschouwd als plaatshebbende op één dag.</w:t>
      </w:r>
    </w:p>
    <w:p w:rsidR="00296032" w:rsidRPr="00296032" w:rsidRDefault="00296032">
      <w:pPr>
        <w:pStyle w:val="artikelkop"/>
        <w:rPr>
          <w:rFonts w:cs="Arial"/>
        </w:rPr>
      </w:pPr>
      <w:r w:rsidRPr="00296032">
        <w:rPr>
          <w:rFonts w:cs="Arial"/>
        </w:rPr>
        <w:t>Artikel 2.22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bepalen van het maximaal geluidsniveau L</w:t>
      </w:r>
      <w:r w:rsidRPr="00620047">
        <w:rPr>
          <w:rFonts w:cs="Arial"/>
          <w:vertAlign w:val="subscript"/>
        </w:rPr>
        <w:t>Amax</w:t>
      </w:r>
      <w:r w:rsidRPr="00620047">
        <w:rPr>
          <w:rFonts w:cs="Arial"/>
        </w:rPr>
        <w:t xml:space="preserve">, bedoeld in de artikelen 2.17, 2.17a, 2.19, 2.19a dan wel 2.20, blijft buiten beschouwing het geluid als gevolg van het uitrukken van motorvoertuigen ten behoeve van ongevallenbestrijding, </w:t>
      </w:r>
      <w:r w:rsidRPr="00620047">
        <w:t xml:space="preserve">spoedeisende medische hulpverlening, </w:t>
      </w:r>
      <w:r w:rsidRPr="00620047">
        <w:rPr>
          <w:rFonts w:cs="Arial"/>
        </w:rPr>
        <w:t>brandbestrijding en gladheidbestrijding en het vrijmaken van de weg na een ongeval.</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bevoegd gezag kan maatwerkvoorschriften stellen met betrekking tot het treffen van technische en organisatorische maatregelen ten aanzien van het uitrukken van motorvoertuigen ten behoeve van ongevallenbestrijding, spoedeisende medische hulpverlening, brandbestrijding en gladheidbestrijding en het vrijmaken van de weg na een ongeval, indien dat bijzonder is aangewezen in het belang van het milieu.</w:t>
      </w:r>
    </w:p>
    <w:p w:rsidR="00296032" w:rsidRPr="00620047" w:rsidRDefault="00296032">
      <w:pPr>
        <w:pStyle w:val="afdeling"/>
        <w:rPr>
          <w:rFonts w:cs="Arial"/>
        </w:rPr>
      </w:pPr>
      <w:bookmarkStart w:id="36" w:name="_Toc277243184"/>
      <w:bookmarkStart w:id="37" w:name="_Toc431375553"/>
      <w:r w:rsidRPr="00620047">
        <w:rPr>
          <w:rFonts w:cs="Arial"/>
        </w:rPr>
        <w:t>Afdeling 2.9. Trillinghinder</w:t>
      </w:r>
      <w:bookmarkEnd w:id="36"/>
      <w:bookmarkEnd w:id="37"/>
    </w:p>
    <w:p w:rsidR="00296032" w:rsidRPr="00296032" w:rsidRDefault="00296032">
      <w:pPr>
        <w:pStyle w:val="artikelkop"/>
        <w:rPr>
          <w:rFonts w:cs="Arial"/>
        </w:rPr>
      </w:pPr>
      <w:r w:rsidRPr="00296032">
        <w:rPr>
          <w:rFonts w:cs="Arial"/>
        </w:rPr>
        <w:t>Artikel 2.22a</w:t>
      </w:r>
    </w:p>
    <w:p w:rsidR="00296032" w:rsidRPr="00620047" w:rsidRDefault="00296032">
      <w:pPr>
        <w:pStyle w:val="artplat"/>
      </w:pPr>
      <w:r w:rsidRPr="00620047">
        <w:t>Deze afdeling is van toepassing op degene die een inrichting type A of een inrichting type B drijft.</w:t>
      </w:r>
    </w:p>
    <w:p w:rsidR="00296032" w:rsidRPr="00296032" w:rsidRDefault="00296032">
      <w:pPr>
        <w:pStyle w:val="artikelkop"/>
        <w:rPr>
          <w:rFonts w:cs="Arial"/>
        </w:rPr>
      </w:pPr>
      <w:r w:rsidRPr="00296032">
        <w:rPr>
          <w:rFonts w:cs="Arial"/>
        </w:rPr>
        <w:t>Artikel 2.23</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Trillingen, veroorzaakt door de tot de inrichting behorende installaties of toestellen alsmede de tot de inrichting toe te rekenen werkzaamheden of andere activiteiten, bedragen in geluidsgevoelige ruimten en verblijfsruimten, met uitzondering van geluidsgevoelige ruimten en verblijfsruimten gelegen op een gezoneerd industrieterrein, niet meer dan de trillingsterkte, genoemd in tabel 2 van de Meet- en beoordelingsrichtlijn deel B "Hinder voor personen in gebouwen" van de Stichting Bouwresearch Rotterdam, voor de gebouwfunctie wonen.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De waarden gelden niet indien de gebruiker van de geluidsgevoelige ruimten of verblijfsruimten geen toestemming geeft voor het in redelijkheid uitvoeren of doen uitvoeren van trillingmetingen.</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bevoegd gezag kan bij maatwerkvoorschrift het eerste lid niet van toepassing verklaren en een andere trillingsterkte toelaten. Deze trillingsterkte is niet lager dan de streefwaarden die zijn gedefinieerd voor de gebouwfunctie wonen in de Meet- en beoordelingsrichtlijn deel B "Hinder voor personen in gebouwen" van de Stichting Bouwresearch Rotterdam.</w:t>
      </w:r>
    </w:p>
    <w:p w:rsidR="00296032" w:rsidRPr="00620047" w:rsidRDefault="00296032">
      <w:pPr>
        <w:pStyle w:val="afdeling"/>
        <w:rPr>
          <w:rFonts w:cs="Arial"/>
        </w:rPr>
      </w:pPr>
      <w:bookmarkStart w:id="38" w:name="_Toc277243185"/>
      <w:bookmarkStart w:id="39" w:name="_Toc431375554"/>
      <w:r w:rsidRPr="00620047">
        <w:rPr>
          <w:rFonts w:cs="Arial"/>
        </w:rPr>
        <w:t>Afdeling 2.10. Financiële zekerheid</w:t>
      </w:r>
      <w:bookmarkEnd w:id="38"/>
      <w:bookmarkEnd w:id="39"/>
    </w:p>
    <w:p w:rsidR="00296032" w:rsidRPr="00296032" w:rsidRDefault="00296032">
      <w:pPr>
        <w:pStyle w:val="artikelkop"/>
        <w:rPr>
          <w:rFonts w:cs="Arial"/>
        </w:rPr>
      </w:pPr>
      <w:r w:rsidRPr="00296032">
        <w:rPr>
          <w:rFonts w:cs="Arial"/>
        </w:rPr>
        <w:t>Artikel 2.23a</w:t>
      </w:r>
    </w:p>
    <w:p w:rsidR="00296032" w:rsidRPr="00620047" w:rsidRDefault="00296032">
      <w:pPr>
        <w:pStyle w:val="artplat"/>
      </w:pPr>
      <w:r w:rsidRPr="00620047">
        <w:t>Deze afdeling is van toepassing op degene die een inrichting type B of een inrichting type C drijft, voor zover binnen de inrichting vloeibare brandstof of afgewerkte olie in een ondergrondse opslagtank waarop artikel 3.29, eerste lid, van toepassing is wordt opgeslagen.</w:t>
      </w:r>
    </w:p>
    <w:p w:rsidR="00296032" w:rsidRPr="00296032" w:rsidRDefault="00296032">
      <w:pPr>
        <w:pStyle w:val="artikelkop"/>
        <w:rPr>
          <w:rFonts w:cs="Arial"/>
        </w:rPr>
      </w:pPr>
      <w:r w:rsidRPr="00296032">
        <w:rPr>
          <w:rFonts w:cs="Arial"/>
        </w:rPr>
        <w:t>Artikel 2.24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een inrichting drijft waarin vloeibare brandstof of afgewerkte olie in een ondergrondse tank wordt opgeslagen stelt door verzekering of anderszins financiële zekerheid ter dekking van de aansprakelijkheid die voortvloeit uit verontreiniging van de bodem als gevolg van dat opslaan of het drijven van het tankstation. De eerste volzin is niet van toepassing op het Rijk.</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 xml:space="preserve">De zekerheid bedraagt </w:t>
      </w:r>
      <w:r w:rsidR="00CA00E3" w:rsidRPr="00CA00E3">
        <w:rPr>
          <w:rFonts w:cs="Arial"/>
        </w:rPr>
        <w:t>€</w:t>
      </w:r>
      <w:r w:rsidRPr="00620047">
        <w:rPr>
          <w:rFonts w:cs="Arial"/>
        </w:rPr>
        <w:t xml:space="preserve"> 225.000 per ondergrondse tank. Bij meer dan zes ondergrondse tanks bedraagt de zekerheid in totaal </w:t>
      </w:r>
      <w:r w:rsidR="00CA00E3" w:rsidRPr="00CA00E3">
        <w:rPr>
          <w:rFonts w:cs="Arial"/>
        </w:rPr>
        <w:t>€</w:t>
      </w:r>
      <w:r w:rsidRPr="00620047">
        <w:rPr>
          <w:rFonts w:cs="Arial"/>
        </w:rPr>
        <w:t xml:space="preserve"> 1.361.340,65.</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De zekerheid wordt in stand gehouden vanaf het tijdstip waarop het opslaan aanvangt tot vier weken na toezending van een rapport als bedoeld in artikel 2.11, derde lid, aan het bevoegd gezag.</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Indien uit een rapport als bedoeld in artikel 2.11, derde lid, blijkt dat de bodem met vloeibare brandstof of met afgewerkte olie is verontreinigd, wordt, in afwijking van het derde lid, de financiële zekerheid in stand gehouden tot het tijdstip waarop gedeputeerde staten aan degene die opslaat of een tankstation voor het wegverkeer drijft, schriftelijk hebben verklaard dat de door hen nodig geachte maatregelen zijn genomen. Degene die opslaat of een tankstation voor het wegverkeer drijft, kan gedeputeerde staten schriftelijk verzoeken om een verklaring als bedoeld in de eerste volzin. Gedeputeerde staten beslissen op het verzoek uiterlijk vier weken nadat het verzoek is verzonden.</w:t>
      </w:r>
    </w:p>
    <w:p w:rsidR="00296032" w:rsidRPr="00296032" w:rsidRDefault="00296032">
      <w:pPr>
        <w:pStyle w:val="artikelkop"/>
        <w:rPr>
          <w:rFonts w:cs="Arial"/>
        </w:rPr>
      </w:pPr>
      <w:r w:rsidRPr="00296032">
        <w:rPr>
          <w:rFonts w:cs="Arial"/>
        </w:rPr>
        <w:t>Artikel 2.25</w:t>
      </w:r>
    </w:p>
    <w:p w:rsidR="00296032" w:rsidRPr="00620047" w:rsidRDefault="00296032">
      <w:pPr>
        <w:pStyle w:val="artplat"/>
        <w:rPr>
          <w:rFonts w:cs="Arial"/>
        </w:rPr>
      </w:pPr>
      <w:r w:rsidRPr="00620047">
        <w:rPr>
          <w:rFonts w:cs="Arial"/>
        </w:rPr>
        <w:t>Degene die een inrichting drijft waarin vloeibare brandstof of afgewerkte olie in een ondergrondse tank wordt opgeslagen, legt binnen acht weken nadat hij met deze activiteit is aangevangen aan het bevoegd gezag schriftelijk bewijsstukken over, waaruit blijkt dat:</w:t>
      </w:r>
    </w:p>
    <w:p w:rsidR="00296032" w:rsidRPr="00620047" w:rsidRDefault="00296032">
      <w:pPr>
        <w:pStyle w:val="artplatletter"/>
        <w:rPr>
          <w:rFonts w:cs="Arial"/>
        </w:rPr>
      </w:pPr>
      <w:r w:rsidRPr="00620047">
        <w:rPr>
          <w:rFonts w:cs="Arial"/>
        </w:rPr>
        <w:t>a.</w:t>
      </w:r>
      <w:r w:rsidRPr="00620047">
        <w:rPr>
          <w:rFonts w:cs="Arial"/>
        </w:rPr>
        <w:tab/>
        <w:t>wordt voldaan aan artikel 2.24, eerste en tweede lid;</w:t>
      </w:r>
    </w:p>
    <w:p w:rsidR="00296032" w:rsidRPr="00620047" w:rsidRDefault="00296032">
      <w:pPr>
        <w:pStyle w:val="artplatletter"/>
        <w:rPr>
          <w:rFonts w:cs="Arial"/>
        </w:rPr>
      </w:pPr>
      <w:r w:rsidRPr="00620047">
        <w:rPr>
          <w:rFonts w:cs="Arial"/>
        </w:rPr>
        <w:t>b.</w:t>
      </w:r>
      <w:r w:rsidRPr="00620047">
        <w:rPr>
          <w:rFonts w:cs="Arial"/>
        </w:rPr>
        <w:tab/>
        <w:t>voor zover sprake is van het drijven van een tankstation voor het wegverkeer kan worden voldaan aan artikel 2.24, vierde lid;</w:t>
      </w:r>
    </w:p>
    <w:p w:rsidR="00296032" w:rsidRPr="00620047" w:rsidRDefault="00296032">
      <w:pPr>
        <w:pStyle w:val="artplatletter"/>
        <w:rPr>
          <w:rFonts w:cs="Arial"/>
        </w:rPr>
      </w:pPr>
      <w:r w:rsidRPr="00620047">
        <w:rPr>
          <w:rFonts w:cs="Arial"/>
        </w:rPr>
        <w:t>c.</w:t>
      </w:r>
      <w:r w:rsidRPr="00620047">
        <w:rPr>
          <w:rFonts w:cs="Arial"/>
        </w:rPr>
        <w:tab/>
        <w:t>degene die contractueel instaat voor de financiële dekking van de aansprakelijkheid, bedoeld in artikel 2.24, eerste lid, voor zover sprake is van het drijven van een tankstation voor het wegverkeer, het bevoegd gezag zo spoedig mogelijk schriftelijk in kennis zal stellen van het tijdstip waarop die zekerheid is of zal komen te vervallen, alsmede van de opneming van uitsluitingen en andere fundamentele wijzigingen in de afgesloten overeenkomst die de gestelde zekerheid inperken; en</w:t>
      </w:r>
    </w:p>
    <w:p w:rsidR="00296032" w:rsidRPr="00620047" w:rsidRDefault="00296032">
      <w:pPr>
        <w:pStyle w:val="artplatletter"/>
        <w:rPr>
          <w:rFonts w:cs="Arial"/>
        </w:rPr>
      </w:pPr>
      <w:r w:rsidRPr="00620047">
        <w:rPr>
          <w:rFonts w:cs="Arial"/>
        </w:rPr>
        <w:t>d.</w:t>
      </w:r>
      <w:r w:rsidRPr="00620047">
        <w:rPr>
          <w:rFonts w:cs="Arial"/>
        </w:rPr>
        <w:tab/>
        <w:t>de persoon, bedoeld in onderdeel b, tot een jaar na de in dat onderdeel bedoelde schriftelijke kennisgeving garant staat voor herstel of vergoeding van schade die is ontstaan tijdens de looptijd van de financiële zekerheid</w:t>
      </w:r>
    </w:p>
    <w:p w:rsidR="00296032" w:rsidRPr="00296032" w:rsidRDefault="00296032">
      <w:pPr>
        <w:pStyle w:val="artikelkop"/>
        <w:rPr>
          <w:rFonts w:cs="Arial"/>
        </w:rPr>
      </w:pPr>
      <w:r w:rsidRPr="00296032">
        <w:rPr>
          <w:rFonts w:cs="Arial"/>
        </w:rPr>
        <w:t>Artikel 2.26</w:t>
      </w:r>
    </w:p>
    <w:p w:rsidR="00296032" w:rsidRPr="00620047" w:rsidRDefault="00296032">
      <w:pPr>
        <w:pStyle w:val="artplat"/>
        <w:rPr>
          <w:rFonts w:cs="Arial"/>
        </w:rPr>
      </w:pPr>
      <w:r w:rsidRPr="00620047">
        <w:rPr>
          <w:rFonts w:cs="Arial"/>
        </w:rPr>
        <w:t>Degene die een tankstation voor het wegverkeer drijft, draagt er zorg voor dat de vorm van de financiële zekerheid en de hoedanigheid van degene die contractueel instaat voor de financiële dekking van de aansprakelijkheid, bedoeld in artikel 2.24, eerste lid, niet wordt gewijzigd dan nadat aan het bevoegd gezag een schriftelijk bewijsstuk is overgelegd, waaruit blijkt dat de gewijzigde financiële zekerheid voldoet aan artikel 2.24.</w:t>
      </w:r>
    </w:p>
    <w:p w:rsidR="00296032" w:rsidRPr="00296032" w:rsidRDefault="00296032">
      <w:pPr>
        <w:pStyle w:val="artikelkop"/>
        <w:rPr>
          <w:rFonts w:cs="Arial"/>
        </w:rPr>
      </w:pPr>
      <w:r w:rsidRPr="00296032">
        <w:rPr>
          <w:rFonts w:cs="Arial"/>
        </w:rPr>
        <w:t>Artikel 2.27</w:t>
      </w:r>
    </w:p>
    <w:p w:rsidR="00296032" w:rsidRPr="00620047" w:rsidRDefault="00296032">
      <w:pPr>
        <w:pStyle w:val="artplat"/>
        <w:rPr>
          <w:rFonts w:cs="Arial"/>
        </w:rPr>
      </w:pPr>
      <w:r w:rsidRPr="00620047">
        <w:rPr>
          <w:rFonts w:cs="Arial"/>
        </w:rPr>
        <w:t>Burgemeester en wethouders van de gemeenten Amsterdam, 's-Gravenhage, Rotterdam en Utrecht, van gemeenten die zijn aangewezen krachtens artikel 88, negende lid, van de Wet bodembescherming, en een regionaal openbaar bestuur als bedoeld in de Kaderwet bestuur in verandering, treden voor de toepassing van artikel 2.24, vierde lid, in de plaats van gedeputeerde staten. Een regionaal openbaar lichaam als bedoeld in de vorige volzin treedt slechts in de plaats van gedeputeerde staten, indien de in dit artikel bedoelde bevoegdheden bij die algemene maatregel van bestuur zijn overgedragen.</w:t>
      </w:r>
    </w:p>
    <w:p w:rsidR="00296032" w:rsidRPr="00620047" w:rsidRDefault="00296032">
      <w:pPr>
        <w:pStyle w:val="afdeling"/>
        <w:rPr>
          <w:rFonts w:cs="Arial"/>
        </w:rPr>
      </w:pPr>
      <w:bookmarkStart w:id="40" w:name="_Toc431375555"/>
      <w:r w:rsidRPr="00620047">
        <w:rPr>
          <w:rFonts w:cs="Arial"/>
        </w:rPr>
        <w:t>Afdeling 2.11.</w:t>
      </w:r>
      <w:r w:rsidRPr="00620047">
        <w:rPr>
          <w:rFonts w:cs="Arial"/>
        </w:rPr>
        <w:tab/>
        <w:t>Oplosmiddelen</w:t>
      </w:r>
      <w:bookmarkEnd w:id="40"/>
    </w:p>
    <w:p w:rsidR="00296032" w:rsidRPr="00296032" w:rsidRDefault="00296032">
      <w:pPr>
        <w:pStyle w:val="artikelkop"/>
      </w:pPr>
      <w:r w:rsidRPr="00296032">
        <w:t>Artikel 2.27a</w:t>
      </w:r>
    </w:p>
    <w:p w:rsidR="00296032" w:rsidRPr="00620047" w:rsidRDefault="00296032">
      <w:pPr>
        <w:pStyle w:val="artplat"/>
      </w:pPr>
      <w:r w:rsidRPr="00620047">
        <w:t>Deze afdeling is van toepassing op degene die een inrichting type A, een inrichting type B, of een inrichting type C drijft.</w:t>
      </w:r>
    </w:p>
    <w:p w:rsidR="00296032" w:rsidRPr="00296032" w:rsidRDefault="00296032">
      <w:pPr>
        <w:pStyle w:val="artikelkop"/>
        <w:rPr>
          <w:rFonts w:cs="Arial"/>
        </w:rPr>
      </w:pPr>
      <w:r w:rsidRPr="00296032">
        <w:rPr>
          <w:rFonts w:cs="Arial"/>
        </w:rPr>
        <w:t>Artikel 2.28</w:t>
      </w:r>
    </w:p>
    <w:p w:rsidR="00296032" w:rsidRPr="00620047" w:rsidRDefault="00296032">
      <w:pPr>
        <w:pStyle w:val="artplat"/>
        <w:rPr>
          <w:rFonts w:cs="Arial"/>
        </w:rPr>
      </w:pPr>
      <w:r w:rsidRPr="00620047">
        <w:rPr>
          <w:rFonts w:cs="Arial"/>
        </w:rPr>
        <w:t>Deze afdeling is van toepassing op oplosmiddeleninstallaties die een of meer van de in tabel 2.28a of tabel 2.28b vermelde drempelwaarden bereiken.</w:t>
      </w:r>
    </w:p>
    <w:p w:rsidR="00296032" w:rsidRPr="00620047" w:rsidRDefault="00296032">
      <w:pPr>
        <w:pStyle w:val="tabelkop"/>
        <w:rPr>
          <w:rFonts w:cs="Arial"/>
        </w:rPr>
      </w:pPr>
      <w:r w:rsidRPr="00620047">
        <w:rPr>
          <w:rFonts w:cs="Arial"/>
        </w:rPr>
        <w:t>Tabel 2.28a</w:t>
      </w:r>
    </w:p>
    <w:tbl>
      <w:tblPr>
        <w:tblStyle w:val="Tabelraster"/>
        <w:tblW w:w="0" w:type="auto"/>
        <w:tblInd w:w="0" w:type="dxa"/>
        <w:tblLayout w:type="fixed"/>
        <w:tblLook w:val="04A0" w:firstRow="1" w:lastRow="0" w:firstColumn="1" w:lastColumn="0" w:noHBand="0" w:noVBand="1"/>
      </w:tblPr>
      <w:tblGrid>
        <w:gridCol w:w="341"/>
        <w:gridCol w:w="1386"/>
        <w:gridCol w:w="1200"/>
        <w:gridCol w:w="1564"/>
        <w:gridCol w:w="1547"/>
        <w:gridCol w:w="1371"/>
        <w:gridCol w:w="1776"/>
      </w:tblGrid>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jc w:val="center"/>
              <w:rPr>
                <w:rFonts w:cs="Arial"/>
                <w:bCs/>
                <w:szCs w:val="18"/>
                <w:lang w:eastAsia="nl-NL"/>
              </w:rPr>
            </w:pPr>
            <w:r w:rsidRPr="00620047">
              <w:rPr>
                <w:rFonts w:cs="Arial"/>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Cs/>
                <w:szCs w:val="18"/>
                <w:lang w:eastAsia="nl-NL"/>
              </w:rPr>
            </w:pPr>
            <w:r w:rsidRPr="00620047">
              <w:rPr>
                <w:rFonts w:cs="Arial"/>
                <w:bCs/>
                <w:szCs w:val="18"/>
                <w:lang w:eastAsia="nl-NL"/>
              </w:rPr>
              <w:t xml:space="preserve">Activiteit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sidP="0027376F">
            <w:pPr>
              <w:spacing w:before="100" w:beforeAutospacing="1" w:after="100" w:afterAutospacing="1" w:line="240" w:lineRule="auto"/>
              <w:jc w:val="center"/>
              <w:rPr>
                <w:rFonts w:cs="Arial"/>
                <w:bCs/>
                <w:szCs w:val="18"/>
                <w:lang w:eastAsia="nl-NL"/>
              </w:rPr>
            </w:pPr>
            <w:r w:rsidRPr="00620047">
              <w:rPr>
                <w:rFonts w:cs="Arial"/>
                <w:bCs/>
                <w:szCs w:val="18"/>
                <w:lang w:eastAsia="nl-NL"/>
              </w:rPr>
              <w:t xml:space="preserve">Drempelwaarde (voor oplosmiddelenverbruik in ton/jaar)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Cs/>
                <w:szCs w:val="18"/>
                <w:lang w:eastAsia="nl-NL"/>
              </w:rPr>
            </w:pPr>
            <w:r w:rsidRPr="00620047">
              <w:rPr>
                <w:rFonts w:cs="Arial"/>
                <w:bCs/>
                <w:szCs w:val="18"/>
                <w:lang w:eastAsia="nl-NL"/>
              </w:rPr>
              <w:t>Emissiegrenswaarde (mg C/Nm</w:t>
            </w:r>
            <w:r w:rsidRPr="00620047">
              <w:rPr>
                <w:rFonts w:cs="Arial"/>
                <w:bCs/>
                <w:szCs w:val="18"/>
                <w:vertAlign w:val="superscript"/>
                <w:lang w:eastAsia="nl-NL"/>
              </w:rPr>
              <w:t>3</w:t>
            </w:r>
            <w:r w:rsidRPr="00620047">
              <w:rPr>
                <w:rFonts w:cs="Arial"/>
                <w:bCs/>
                <w:szCs w:val="18"/>
                <w:lang w:eastAsia="nl-NL"/>
              </w:rPr>
              <w:t xml:space="preserve">)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sidP="0027376F">
            <w:pPr>
              <w:spacing w:before="100" w:beforeAutospacing="1" w:after="100" w:afterAutospacing="1" w:line="240" w:lineRule="auto"/>
              <w:jc w:val="center"/>
              <w:rPr>
                <w:rFonts w:cs="Arial"/>
                <w:bCs/>
                <w:szCs w:val="18"/>
                <w:lang w:eastAsia="nl-NL"/>
              </w:rPr>
            </w:pPr>
            <w:r w:rsidRPr="00620047">
              <w:rPr>
                <w:rFonts w:cs="Arial"/>
                <w:bCs/>
                <w:szCs w:val="18"/>
                <w:lang w:eastAsia="nl-NL"/>
              </w:rPr>
              <w:t xml:space="preserve">Diffuse-emissiegrenswaarde (percentage oplosmiddeleninput)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sidP="0027376F">
            <w:pPr>
              <w:spacing w:before="100" w:beforeAutospacing="1" w:after="100" w:afterAutospacing="1" w:line="240" w:lineRule="auto"/>
              <w:jc w:val="center"/>
              <w:rPr>
                <w:rFonts w:cs="Arial"/>
                <w:bCs/>
                <w:szCs w:val="18"/>
                <w:lang w:eastAsia="nl-NL"/>
              </w:rPr>
            </w:pPr>
            <w:r w:rsidRPr="00620047">
              <w:rPr>
                <w:rFonts w:cs="Arial"/>
                <w:bCs/>
                <w:szCs w:val="18"/>
                <w:lang w:eastAsia="nl-NL"/>
              </w:rPr>
              <w:t xml:space="preserve">Totale emissiegrenswaarde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Cs/>
                <w:szCs w:val="18"/>
                <w:lang w:eastAsia="nl-NL"/>
              </w:rPr>
            </w:pPr>
            <w:r w:rsidRPr="00620047">
              <w:rPr>
                <w:rFonts w:cs="Arial"/>
                <w:bCs/>
                <w:szCs w:val="18"/>
                <w:lang w:eastAsia="nl-NL"/>
              </w:rPr>
              <w:t xml:space="preserve">Bijzondere bepalingen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In deze tabel wordt onder bestaande oplosmiddeleninstallatie verstaan: oplosmiddeleninstallatie die op 1 april 2002 in werking was. De in deze tabel vermelde emissiegrenswaarden, diffuse-emissiegrenswaarden en totale emissiegrenswaarden worden gemeten bij een temperatuur van 273,15 K en een druk van 101,3 kPa.</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1407"/>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w:t>
            </w:r>
          </w:p>
          <w:p w:rsidR="00296032" w:rsidRPr="00620047" w:rsidRDefault="00296032">
            <w:pPr>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Heatsetrotatie-offsetdruk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&gt;15</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&gt;25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100</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20</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30% (</w:t>
            </w:r>
            <w:r w:rsidRPr="00620047">
              <w:rPr>
                <w:rFonts w:cs="Arial"/>
                <w:b w:val="0"/>
                <w:szCs w:val="18"/>
                <w:vertAlign w:val="superscript"/>
                <w:lang w:eastAsia="nl-NL"/>
              </w:rPr>
              <w:t>1</w:t>
            </w:r>
            <w:r w:rsidRPr="00620047">
              <w:rPr>
                <w:rFonts w:cs="Arial"/>
                <w:b w:val="0"/>
                <w:szCs w:val="18"/>
                <w:lang w:eastAsia="nl-NL"/>
              </w:rPr>
              <w:t>)</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30% (</w:t>
            </w:r>
            <w:r w:rsidRPr="00620047">
              <w:rPr>
                <w:rFonts w:cs="Arial"/>
                <w:b w:val="0"/>
                <w:szCs w:val="18"/>
                <w:vertAlign w:val="superscript"/>
                <w:lang w:eastAsia="nl-NL"/>
              </w:rPr>
              <w:t>1</w:t>
            </w:r>
            <w:r w:rsidRPr="00620047">
              <w:rPr>
                <w:rFonts w:cs="Arial"/>
                <w:b w:val="0"/>
                <w:szCs w:val="18"/>
                <w:lang w:eastAsia="nl-NL"/>
              </w:rPr>
              <w:t xml:space="preserve">)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1</w:t>
            </w:r>
            <w:r w:rsidRPr="00620047">
              <w:rPr>
                <w:rFonts w:cs="Arial"/>
                <w:b w:val="0"/>
                <w:szCs w:val="18"/>
                <w:lang w:eastAsia="nl-NL"/>
              </w:rPr>
              <w:t>) Resten oplosmiddelen in eindproduct worden niet als onderdeel van de diffuse emissie beschouwd.</w:t>
            </w:r>
            <w:r w:rsidR="00244F18">
              <w:rPr>
                <w:rFonts w:cs="Arial"/>
                <w:b w:val="0"/>
                <w:szCs w:val="18"/>
                <w:lang w:eastAsia="nl-NL"/>
              </w:rPr>
              <w:t xml:space="preserve">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2</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Illustratiediepdruk</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&gt;25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75</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 (</w:t>
            </w:r>
            <w:r w:rsidRPr="00620047">
              <w:rPr>
                <w:rFonts w:cs="Arial"/>
                <w:b w:val="0"/>
                <w:szCs w:val="18"/>
                <w:vertAlign w:val="superscript"/>
                <w:lang w:eastAsia="nl-NL"/>
              </w:rPr>
              <w:t>1</w:t>
            </w:r>
            <w:r w:rsidRPr="00620047">
              <w:rPr>
                <w:rFonts w:cs="Arial"/>
                <w:b w:val="0"/>
                <w:szCs w:val="18"/>
                <w:lang w:eastAsia="nl-NL"/>
              </w:rPr>
              <w:t xml:space="preserve">)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1</w:t>
            </w:r>
            <w:r w:rsidRPr="00620047">
              <w:rPr>
                <w:rFonts w:cs="Arial"/>
                <w:b w:val="0"/>
                <w:szCs w:val="18"/>
                <w:lang w:eastAsia="nl-NL"/>
              </w:rPr>
              <w:t xml:space="preserve">) Diffuse-emissiegrenswaarde voor een bestaande oplosmiddeleninstallatie: 15%.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1656"/>
          <w:tblHeader/>
        </w:trPr>
        <w:tc>
          <w:tcPr>
            <w:tcW w:w="341" w:type="dxa"/>
            <w:vMerge w:val="restart"/>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3</w:t>
            </w:r>
          </w:p>
          <w:p w:rsidR="00296032" w:rsidRPr="00620047" w:rsidRDefault="00296032">
            <w:pPr>
              <w:spacing w:line="240" w:lineRule="auto"/>
              <w:jc w:val="center"/>
              <w:rPr>
                <w:rFonts w:cs="Arial"/>
                <w:b w:val="0"/>
                <w:bCs/>
                <w:szCs w:val="18"/>
                <w:lang w:eastAsia="nl-NL"/>
              </w:rPr>
            </w:pPr>
          </w:p>
          <w:p w:rsidR="00296032" w:rsidRPr="00620047" w:rsidRDefault="00296032">
            <w:pPr>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Andere rotatiediepdruk, flexografie, rotatiezeefdruk, lamineer- of lakeenheden, rotatiezeefdruk op textiel/karton</w:t>
            </w:r>
            <w:r w:rsidR="00244F18">
              <w:rPr>
                <w:rFonts w:cs="Arial"/>
                <w:b w:val="0"/>
                <w:szCs w:val="18"/>
                <w:lang w:eastAsia="nl-NL"/>
              </w:rPr>
              <w:t xml:space="preserve">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&gt;15</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&gt;25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100</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100</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25%</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20%</w:t>
            </w:r>
          </w:p>
        </w:tc>
        <w:tc>
          <w:tcPr>
            <w:tcW w:w="1371"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776" w:type="dxa"/>
            <w:vMerge w:val="restart"/>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Cs/>
                <w:szCs w:val="18"/>
                <w:lang w:eastAsia="nl-NL"/>
              </w:rPr>
            </w:pP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Rotatiezeefdruk op textiel/karton</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&gt;30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100</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20%</w:t>
            </w:r>
          </w:p>
        </w:tc>
        <w:tc>
          <w:tcPr>
            <w:tcW w:w="137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2302"/>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4</w:t>
            </w:r>
          </w:p>
          <w:p w:rsidR="00296032" w:rsidRPr="00620047" w:rsidRDefault="00296032">
            <w:pPr>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Oppervlaktereiniging (</w:t>
            </w:r>
            <w:r w:rsidRPr="00620047">
              <w:rPr>
                <w:rFonts w:cs="Arial"/>
                <w:b w:val="0"/>
                <w:szCs w:val="18"/>
                <w:vertAlign w:val="superscript"/>
                <w:lang w:eastAsia="nl-NL"/>
              </w:rPr>
              <w:t>2</w:t>
            </w:r>
            <w:r w:rsidRPr="00620047">
              <w:rPr>
                <w:rFonts w:cs="Arial"/>
                <w:b w:val="0"/>
                <w:szCs w:val="18"/>
                <w:lang w:eastAsia="nl-NL"/>
              </w:rPr>
              <w:t xml:space="preserve">)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szCs w:val="18"/>
                <w:lang w:eastAsia="nl-NL"/>
              </w:rPr>
            </w:pPr>
            <w:r w:rsidRPr="00620047">
              <w:rPr>
                <w:rFonts w:cs="Arial"/>
                <w:b w:val="0"/>
                <w:szCs w:val="18"/>
                <w:lang w:eastAsia="nl-NL"/>
              </w:rPr>
              <w:t>&gt;1</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&gt;5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20 (</w:t>
            </w:r>
            <w:r w:rsidRPr="00620047">
              <w:rPr>
                <w:rFonts w:cs="Arial"/>
                <w:b w:val="0"/>
                <w:szCs w:val="18"/>
                <w:vertAlign w:val="superscript"/>
                <w:lang w:eastAsia="nl-NL"/>
              </w:rPr>
              <w:t>1</w:t>
            </w:r>
            <w:r w:rsidRPr="00620047">
              <w:rPr>
                <w:rFonts w:cs="Arial"/>
                <w:b w:val="0"/>
                <w:szCs w:val="18"/>
                <w:lang w:eastAsia="nl-NL"/>
              </w:rPr>
              <w:t>)</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20 (</w:t>
            </w:r>
            <w:r w:rsidRPr="00620047">
              <w:rPr>
                <w:rFonts w:cs="Arial"/>
                <w:b w:val="0"/>
                <w:szCs w:val="18"/>
                <w:vertAlign w:val="superscript"/>
                <w:lang w:eastAsia="nl-NL"/>
              </w:rPr>
              <w:t>1</w:t>
            </w:r>
            <w:r w:rsidRPr="00620047">
              <w:rPr>
                <w:rFonts w:cs="Arial"/>
                <w:b w:val="0"/>
                <w:szCs w:val="18"/>
                <w:lang w:eastAsia="nl-NL"/>
              </w:rPr>
              <w:t xml:space="preserve">)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szCs w:val="18"/>
                <w:lang w:eastAsia="nl-NL"/>
              </w:rPr>
            </w:pPr>
            <w:r w:rsidRPr="00620047">
              <w:rPr>
                <w:rFonts w:cs="Arial"/>
                <w:b w:val="0"/>
                <w:szCs w:val="18"/>
                <w:lang w:eastAsia="nl-NL"/>
              </w:rPr>
              <w:t>15%</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10%</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1</w:t>
            </w:r>
            <w:r w:rsidRPr="00620047">
              <w:rPr>
                <w:rFonts w:cs="Arial"/>
                <w:b w:val="0"/>
                <w:szCs w:val="18"/>
                <w:lang w:eastAsia="nl-NL"/>
              </w:rPr>
              <w:t>) Emissiegrenswaarde in massa van de verbindingen in mg/Nm</w:t>
            </w:r>
            <w:r w:rsidRPr="00620047">
              <w:rPr>
                <w:rFonts w:cs="Arial"/>
                <w:b w:val="0"/>
                <w:szCs w:val="18"/>
                <w:vertAlign w:val="superscript"/>
                <w:lang w:eastAsia="nl-NL"/>
              </w:rPr>
              <w:t>3</w:t>
            </w:r>
            <w:r w:rsidRPr="00620047">
              <w:rPr>
                <w:rFonts w:cs="Arial"/>
                <w:b w:val="0"/>
                <w:szCs w:val="18"/>
                <w:lang w:eastAsia="nl-NL"/>
              </w:rPr>
              <w:t xml:space="preserve"> en niet in totale massa koolstof.</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2</w:t>
            </w:r>
            <w:r w:rsidRPr="00620047">
              <w:rPr>
                <w:rFonts w:cs="Arial"/>
                <w:b w:val="0"/>
                <w:szCs w:val="18"/>
                <w:lang w:eastAsia="nl-NL"/>
              </w:rPr>
              <w:t xml:space="preserve">) Met de in artikel 2.30, eerste en derde lid, vermelde stoffen.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4306"/>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5</w:t>
            </w:r>
          </w:p>
          <w:p w:rsidR="00296032" w:rsidRPr="00620047" w:rsidRDefault="00296032">
            <w:pPr>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Overige oppervlaktereiniging</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&gt;2</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&gt;10</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75 (</w:t>
            </w:r>
            <w:r w:rsidRPr="00620047">
              <w:rPr>
                <w:rFonts w:cs="Arial"/>
                <w:b w:val="0"/>
                <w:szCs w:val="18"/>
                <w:vertAlign w:val="superscript"/>
                <w:lang w:eastAsia="nl-NL"/>
              </w:rPr>
              <w:t>1</w:t>
            </w:r>
            <w:r w:rsidRPr="00620047">
              <w:rPr>
                <w:rFonts w:cs="Arial"/>
                <w:b w:val="0"/>
                <w:szCs w:val="18"/>
                <w:lang w:eastAsia="nl-NL"/>
              </w:rPr>
              <w:t>)</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75 (</w:t>
            </w:r>
            <w:r w:rsidRPr="00620047">
              <w:rPr>
                <w:rFonts w:cs="Arial"/>
                <w:b w:val="0"/>
                <w:szCs w:val="18"/>
                <w:vertAlign w:val="superscript"/>
                <w:lang w:eastAsia="nl-NL"/>
              </w:rPr>
              <w:t>1</w:t>
            </w:r>
            <w:r w:rsidRPr="00620047">
              <w:rPr>
                <w:rFonts w:cs="Arial"/>
                <w:b w:val="0"/>
                <w:szCs w:val="18"/>
                <w:lang w:eastAsia="nl-NL"/>
              </w:rPr>
              <w:t xml:space="preserve">)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20% (</w:t>
            </w:r>
            <w:r w:rsidRPr="00620047">
              <w:rPr>
                <w:rFonts w:cs="Arial"/>
                <w:b w:val="0"/>
                <w:szCs w:val="18"/>
                <w:vertAlign w:val="superscript"/>
                <w:lang w:eastAsia="nl-NL"/>
              </w:rPr>
              <w:t>1</w:t>
            </w:r>
            <w:r w:rsidRPr="00620047">
              <w:rPr>
                <w:rFonts w:cs="Arial"/>
                <w:b w:val="0"/>
                <w:szCs w:val="18"/>
                <w:lang w:eastAsia="nl-NL"/>
              </w:rPr>
              <w:t>)</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15% (</w:t>
            </w:r>
            <w:r w:rsidRPr="00620047">
              <w:rPr>
                <w:rFonts w:cs="Arial"/>
                <w:b w:val="0"/>
                <w:szCs w:val="18"/>
                <w:vertAlign w:val="superscript"/>
                <w:lang w:eastAsia="nl-NL"/>
              </w:rPr>
              <w:t>1</w:t>
            </w:r>
            <w:r w:rsidRPr="00620047">
              <w:rPr>
                <w:rFonts w:cs="Arial"/>
                <w:b w:val="0"/>
                <w:szCs w:val="18"/>
                <w:lang w:eastAsia="nl-NL"/>
              </w:rPr>
              <w:t xml:space="preserve">)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 Wanneer wordt aangetoond dat het gemiddelde gehalte aan organische oplosmiddelen van al het in een oplosmiddeleninstallatie gebruikte reinigingsmateriaal niet hoger ligt dan 30 gewichtsprocenten, gelden deze waarden niet voor die oplosmiddeleninstallatie.</w:t>
            </w:r>
            <w:r w:rsidR="00244F18">
              <w:rPr>
                <w:rFonts w:cs="Arial"/>
                <w:b w:val="0"/>
                <w:szCs w:val="18"/>
                <w:lang w:eastAsia="nl-NL"/>
              </w:rPr>
              <w:t xml:space="preserve">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6</w:t>
            </w:r>
          </w:p>
          <w:p w:rsidR="00296032" w:rsidRPr="00620047" w:rsidRDefault="00296032">
            <w:pPr>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Coating van voertuigen</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&lt;15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50 (</w:t>
            </w:r>
            <w:r w:rsidRPr="00620047">
              <w:rPr>
                <w:rFonts w:cs="Arial"/>
                <w:b w:val="0"/>
                <w:szCs w:val="18"/>
                <w:vertAlign w:val="superscript"/>
                <w:lang w:eastAsia="nl-NL"/>
              </w:rPr>
              <w:t>1</w:t>
            </w:r>
            <w:r w:rsidRPr="00620047">
              <w:rPr>
                <w:rFonts w:cs="Arial"/>
                <w:b w:val="0"/>
                <w:szCs w:val="18"/>
                <w:lang w:eastAsia="nl-NL"/>
              </w:rPr>
              <w:t xml:space="preserve">)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25%</w:t>
            </w:r>
          </w:p>
        </w:tc>
        <w:tc>
          <w:tcPr>
            <w:tcW w:w="1371"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776"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1</w:t>
            </w:r>
            <w:r w:rsidRPr="00620047">
              <w:rPr>
                <w:rFonts w:cs="Arial"/>
                <w:b w:val="0"/>
                <w:szCs w:val="18"/>
                <w:lang w:eastAsia="nl-NL"/>
              </w:rPr>
              <w:t xml:space="preserve">) Naleving moet worden aangetoond op basis van metingen om de 15 minuten.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Cs/>
                <w:szCs w:val="18"/>
                <w:lang w:eastAsia="nl-NL"/>
              </w:rPr>
            </w:pP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Overspuiten van voertuigen</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&gt;0,5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50 (</w:t>
            </w:r>
            <w:r w:rsidRPr="00620047">
              <w:rPr>
                <w:rFonts w:cs="Arial"/>
                <w:b w:val="0"/>
                <w:szCs w:val="18"/>
                <w:vertAlign w:val="superscript"/>
                <w:lang w:eastAsia="nl-NL"/>
              </w:rPr>
              <w:t>1</w:t>
            </w:r>
            <w:r w:rsidRPr="00620047">
              <w:rPr>
                <w:rFonts w:cs="Arial"/>
                <w:b w:val="0"/>
                <w:szCs w:val="18"/>
                <w:lang w:eastAsia="nl-NL"/>
              </w:rPr>
              <w:t xml:space="preserve">)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25%</w:t>
            </w:r>
          </w:p>
        </w:tc>
        <w:tc>
          <w:tcPr>
            <w:tcW w:w="137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3436"/>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7</w:t>
            </w:r>
          </w:p>
          <w:p w:rsidR="00296032" w:rsidRPr="00620047" w:rsidRDefault="00296032">
            <w:pPr>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Bandlakken</w:t>
            </w:r>
          </w:p>
          <w:p w:rsidR="00296032" w:rsidRPr="00620047" w:rsidRDefault="00296032">
            <w:pPr>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&gt;25</w:t>
            </w:r>
          </w:p>
          <w:p w:rsidR="00296032" w:rsidRPr="00620047" w:rsidRDefault="00296032">
            <w:pPr>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50 (</w:t>
            </w:r>
            <w:r w:rsidRPr="00620047">
              <w:rPr>
                <w:rFonts w:cs="Arial"/>
                <w:b w:val="0"/>
                <w:szCs w:val="18"/>
                <w:vertAlign w:val="superscript"/>
                <w:lang w:eastAsia="nl-NL"/>
              </w:rPr>
              <w:t>1</w:t>
            </w:r>
            <w:r w:rsidRPr="00620047">
              <w:rPr>
                <w:rFonts w:cs="Arial"/>
                <w:b w:val="0"/>
                <w:szCs w:val="18"/>
                <w:lang w:eastAsia="nl-NL"/>
              </w:rPr>
              <w:t>)</w:t>
            </w:r>
          </w:p>
          <w:p w:rsidR="00296032" w:rsidRPr="00620047" w:rsidRDefault="00296032">
            <w:pPr>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 (</w:t>
            </w:r>
            <w:r w:rsidRPr="00620047">
              <w:rPr>
                <w:rFonts w:cs="Arial"/>
                <w:b w:val="0"/>
                <w:szCs w:val="18"/>
                <w:vertAlign w:val="superscript"/>
                <w:lang w:eastAsia="nl-NL"/>
              </w:rPr>
              <w:t>2</w:t>
            </w:r>
            <w:r w:rsidRPr="00620047">
              <w:rPr>
                <w:rFonts w:cs="Arial"/>
                <w:b w:val="0"/>
                <w:szCs w:val="18"/>
                <w:lang w:eastAsia="nl-NL"/>
              </w:rPr>
              <w:t>)</w:t>
            </w:r>
          </w:p>
          <w:p w:rsidR="00296032" w:rsidRPr="00620047" w:rsidRDefault="00296032">
            <w:pPr>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(1) Voor oplosmiddeleninstallaties die technieken gebruiken waarbij oplosmiddelenhergebruik mogelijk is, geldt een emissiegrenswaarde van 150.</w:t>
            </w:r>
          </w:p>
          <w:p w:rsidR="00296032" w:rsidRPr="00620047" w:rsidRDefault="00296032">
            <w:pPr>
              <w:pStyle w:val="Tabeltekst"/>
            </w:pPr>
            <w:r w:rsidRPr="00620047">
              <w:rPr>
                <w:b w:val="0"/>
              </w:rPr>
              <w:t>(2) Diffuse-emissiegrenswaarde voor een bestaande oplosmiddeleninstallatie: 10%</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10386"/>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8</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Andere coatingprocessen, waaronder metaal-, kunststof-, textiel-(</w:t>
            </w:r>
            <w:r w:rsidRPr="00620047">
              <w:rPr>
                <w:rFonts w:cs="Arial"/>
                <w:b w:val="0"/>
                <w:szCs w:val="18"/>
                <w:vertAlign w:val="superscript"/>
                <w:lang w:eastAsia="nl-NL"/>
              </w:rPr>
              <w:t>5</w:t>
            </w:r>
            <w:r w:rsidRPr="00620047">
              <w:rPr>
                <w:rFonts w:cs="Arial"/>
                <w:b w:val="0"/>
                <w:szCs w:val="18"/>
                <w:lang w:eastAsia="nl-NL"/>
              </w:rPr>
              <w:t>), film- en papiercoating </w:t>
            </w:r>
          </w:p>
        </w:tc>
        <w:tc>
          <w:tcPr>
            <w:tcW w:w="1200"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&gt;5</w:t>
            </w:r>
          </w:p>
          <w:p w:rsidR="00296032" w:rsidRPr="00620047" w:rsidRDefault="00296032">
            <w:pPr>
              <w:spacing w:line="240" w:lineRule="auto"/>
              <w:rPr>
                <w:rFonts w:cs="Arial"/>
                <w:b w:val="0"/>
                <w:szCs w:val="18"/>
                <w:lang w:eastAsia="nl-NL"/>
              </w:rPr>
            </w:pPr>
          </w:p>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&gt;15 </w:t>
            </w:r>
          </w:p>
        </w:tc>
        <w:tc>
          <w:tcPr>
            <w:tcW w:w="1564"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100 (</w:t>
            </w:r>
            <w:r w:rsidRPr="00620047">
              <w:rPr>
                <w:rFonts w:cs="Arial"/>
                <w:b w:val="0"/>
                <w:szCs w:val="18"/>
                <w:vertAlign w:val="superscript"/>
                <w:lang w:eastAsia="nl-NL"/>
              </w:rPr>
              <w:t>1</w:t>
            </w:r>
            <w:r w:rsidRPr="00620047">
              <w:rPr>
                <w:rFonts w:cs="Arial"/>
                <w:b w:val="0"/>
                <w:szCs w:val="18"/>
                <w:lang w:eastAsia="nl-NL"/>
              </w:rPr>
              <w:t>) (</w:t>
            </w:r>
            <w:r w:rsidRPr="00620047">
              <w:rPr>
                <w:rFonts w:cs="Arial"/>
                <w:b w:val="0"/>
                <w:szCs w:val="18"/>
                <w:vertAlign w:val="superscript"/>
                <w:lang w:eastAsia="nl-NL"/>
              </w:rPr>
              <w:t>4</w:t>
            </w:r>
            <w:r w:rsidRPr="00620047">
              <w:rPr>
                <w:rFonts w:cs="Arial"/>
                <w:b w:val="0"/>
                <w:szCs w:val="18"/>
                <w:lang w:eastAsia="nl-NL"/>
              </w:rPr>
              <w:t>)</w:t>
            </w:r>
          </w:p>
          <w:p w:rsidR="00296032" w:rsidRPr="00620047" w:rsidRDefault="00296032">
            <w:pPr>
              <w:spacing w:line="240" w:lineRule="auto"/>
              <w:rPr>
                <w:rFonts w:cs="Arial"/>
                <w:b w:val="0"/>
                <w:szCs w:val="18"/>
                <w:lang w:eastAsia="nl-NL"/>
              </w:rPr>
            </w:pPr>
          </w:p>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50/75 (</w:t>
            </w:r>
            <w:r w:rsidRPr="00620047">
              <w:rPr>
                <w:rFonts w:cs="Arial"/>
                <w:b w:val="0"/>
                <w:szCs w:val="18"/>
                <w:vertAlign w:val="superscript"/>
                <w:lang w:eastAsia="nl-NL"/>
              </w:rPr>
              <w:t>2</w:t>
            </w:r>
            <w:r w:rsidRPr="00620047">
              <w:rPr>
                <w:rFonts w:cs="Arial"/>
                <w:b w:val="0"/>
                <w:szCs w:val="18"/>
                <w:lang w:eastAsia="nl-NL"/>
              </w:rPr>
              <w:t>) (</w:t>
            </w:r>
            <w:r w:rsidRPr="00620047">
              <w:rPr>
                <w:rFonts w:cs="Arial"/>
                <w:b w:val="0"/>
                <w:szCs w:val="18"/>
                <w:vertAlign w:val="superscript"/>
                <w:lang w:eastAsia="nl-NL"/>
              </w:rPr>
              <w:t>3</w:t>
            </w:r>
            <w:r w:rsidRPr="00620047">
              <w:rPr>
                <w:rFonts w:cs="Arial"/>
                <w:b w:val="0"/>
                <w:szCs w:val="18"/>
                <w:lang w:eastAsia="nl-NL"/>
              </w:rPr>
              <w:t>)(</w:t>
            </w:r>
            <w:r w:rsidRPr="00620047">
              <w:rPr>
                <w:rFonts w:cs="Arial"/>
                <w:b w:val="0"/>
                <w:szCs w:val="18"/>
                <w:vertAlign w:val="superscript"/>
                <w:lang w:eastAsia="nl-NL"/>
              </w:rPr>
              <w:t>4</w:t>
            </w:r>
            <w:r w:rsidRPr="00620047">
              <w:rPr>
                <w:rFonts w:cs="Arial"/>
                <w:b w:val="0"/>
                <w:szCs w:val="18"/>
                <w:lang w:eastAsia="nl-NL"/>
              </w:rPr>
              <w:t>)</w:t>
            </w:r>
            <w:r w:rsidR="00244F18">
              <w:rPr>
                <w:rFonts w:cs="Arial"/>
                <w:b w:val="0"/>
                <w:szCs w:val="18"/>
                <w:lang w:eastAsia="nl-NL"/>
              </w:rPr>
              <w:t xml:space="preserve"> </w:t>
            </w:r>
          </w:p>
        </w:tc>
        <w:tc>
          <w:tcPr>
            <w:tcW w:w="1547"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25% (</w:t>
            </w:r>
            <w:r w:rsidRPr="00620047">
              <w:rPr>
                <w:rFonts w:cs="Arial"/>
                <w:b w:val="0"/>
                <w:szCs w:val="18"/>
                <w:vertAlign w:val="superscript"/>
                <w:lang w:eastAsia="nl-NL"/>
              </w:rPr>
              <w:t>4</w:t>
            </w:r>
            <w:r w:rsidRPr="00620047">
              <w:rPr>
                <w:rFonts w:cs="Arial"/>
                <w:b w:val="0"/>
                <w:szCs w:val="18"/>
                <w:lang w:eastAsia="nl-NL"/>
              </w:rPr>
              <w:t>)</w:t>
            </w:r>
          </w:p>
          <w:p w:rsidR="00296032" w:rsidRPr="00620047" w:rsidRDefault="00296032">
            <w:pPr>
              <w:spacing w:line="240" w:lineRule="auto"/>
              <w:rPr>
                <w:rFonts w:cs="Arial"/>
                <w:b w:val="0"/>
                <w:szCs w:val="18"/>
                <w:lang w:eastAsia="nl-NL"/>
              </w:rPr>
            </w:pPr>
          </w:p>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20% (</w:t>
            </w:r>
            <w:r w:rsidRPr="00620047">
              <w:rPr>
                <w:rFonts w:cs="Arial"/>
                <w:b w:val="0"/>
                <w:szCs w:val="18"/>
                <w:vertAlign w:val="superscript"/>
                <w:lang w:eastAsia="nl-NL"/>
              </w:rPr>
              <w:t>4</w:t>
            </w:r>
            <w:r w:rsidRPr="00620047">
              <w:rPr>
                <w:rFonts w:cs="Arial"/>
                <w:b w:val="0"/>
                <w:szCs w:val="18"/>
                <w:lang w:eastAsia="nl-NL"/>
              </w:rPr>
              <w:t>)</w:t>
            </w:r>
            <w:r w:rsidR="00244F18">
              <w:rPr>
                <w:rFonts w:cs="Arial"/>
                <w:b w:val="0"/>
                <w:szCs w:val="18"/>
                <w:lang w:eastAsia="nl-NL"/>
              </w:rPr>
              <w:t xml:space="preserve">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tcPr>
          <w:p w:rsidR="00296032" w:rsidRPr="00620047" w:rsidRDefault="00296032">
            <w:pPr>
              <w:pStyle w:val="Tabeltekst"/>
            </w:pPr>
            <w:r w:rsidRPr="00620047">
              <w:rPr>
                <w:b w:val="0"/>
              </w:rPr>
              <w:t>(</w:t>
            </w:r>
            <w:r w:rsidRPr="00620047">
              <w:rPr>
                <w:b w:val="0"/>
                <w:vertAlign w:val="superscript"/>
              </w:rPr>
              <w:t>1</w:t>
            </w:r>
            <w:r w:rsidRPr="00620047">
              <w:rPr>
                <w:b w:val="0"/>
              </w:rPr>
              <w:t>) Deze emissiegrenswaarde geldt voor coating- en droogprocessen waarbij de vrijkomende vluchtige organische stoffen beheerst worden afgevangen en uitgestoten.</w:t>
            </w:r>
          </w:p>
          <w:p w:rsidR="00296032" w:rsidRPr="00620047" w:rsidRDefault="00296032">
            <w:pPr>
              <w:pStyle w:val="Tabeltekst"/>
            </w:pPr>
          </w:p>
          <w:p w:rsidR="00296032" w:rsidRPr="00620047" w:rsidRDefault="00296032">
            <w:pPr>
              <w:pStyle w:val="Tabeltekst"/>
              <w:rPr>
                <w:b w:val="0"/>
              </w:rPr>
            </w:pPr>
            <w:r w:rsidRPr="00620047">
              <w:rPr>
                <w:b w:val="0"/>
              </w:rPr>
              <w:t>(</w:t>
            </w:r>
            <w:r w:rsidRPr="00620047">
              <w:rPr>
                <w:b w:val="0"/>
                <w:vertAlign w:val="superscript"/>
              </w:rPr>
              <w:t>2</w:t>
            </w:r>
            <w:r w:rsidRPr="00620047">
              <w:rPr>
                <w:b w:val="0"/>
              </w:rPr>
              <w:t>) De eerste emissiegrenswaarde geldt voor droogprocessen, de tweede voor coatingprocessen.</w:t>
            </w:r>
          </w:p>
          <w:p w:rsidR="00296032" w:rsidRPr="00620047" w:rsidRDefault="00296032">
            <w:pPr>
              <w:pStyle w:val="Tabeltekst"/>
              <w:rPr>
                <w:b w:val="0"/>
              </w:rPr>
            </w:pPr>
          </w:p>
          <w:p w:rsidR="00296032" w:rsidRPr="00620047" w:rsidRDefault="00296032">
            <w:pPr>
              <w:pStyle w:val="Tabeltekst"/>
              <w:rPr>
                <w:b w:val="0"/>
              </w:rPr>
            </w:pPr>
            <w:r w:rsidRPr="00620047">
              <w:rPr>
                <w:b w:val="0"/>
              </w:rPr>
              <w:t>(</w:t>
            </w:r>
            <w:r w:rsidRPr="00620047">
              <w:rPr>
                <w:b w:val="0"/>
                <w:vertAlign w:val="superscript"/>
              </w:rPr>
              <w:t>3</w:t>
            </w:r>
            <w:r w:rsidRPr="00620047">
              <w:rPr>
                <w:b w:val="0"/>
              </w:rPr>
              <w:t>) Voor oplosmiddeleninstallaties die genitrogeneerde oplosmiddelen gebruiken met technieken waarbij oplosmiddelenhergebruik mogelijk is, geldt een gecombineerde grenswaarde voor coating- en droogproces van 150.</w:t>
            </w:r>
          </w:p>
          <w:p w:rsidR="00296032" w:rsidRPr="00620047" w:rsidRDefault="00296032">
            <w:pPr>
              <w:pStyle w:val="Tabeltekst"/>
              <w:rPr>
                <w:b w:val="0"/>
              </w:rPr>
            </w:pPr>
          </w:p>
          <w:p w:rsidR="00296032" w:rsidRPr="00620047" w:rsidRDefault="00296032">
            <w:pPr>
              <w:pStyle w:val="Tabeltekst"/>
              <w:rPr>
                <w:b w:val="0"/>
              </w:rPr>
            </w:pPr>
            <w:r w:rsidRPr="00620047">
              <w:rPr>
                <w:b w:val="0"/>
              </w:rPr>
              <w:t>(</w:t>
            </w:r>
            <w:r w:rsidRPr="00620047">
              <w:rPr>
                <w:b w:val="0"/>
                <w:vertAlign w:val="superscript"/>
              </w:rPr>
              <w:t>4</w:t>
            </w:r>
            <w:r w:rsidRPr="00620047">
              <w:rPr>
                <w:b w:val="0"/>
              </w:rPr>
              <w:t>) Voor coatingwerk waarbij de vrijkomende vluchtige organische stoffen niet beheerst kunnen worden afgevangen en afgestoten (zoals in de scheepsbouw, en bij schilderen van vliegtuigrompen) kan overeenkomstig artikel 2.29, vijfde lid, van deze waarden worden afgeweken.</w:t>
            </w:r>
          </w:p>
          <w:p w:rsidR="00296032" w:rsidRPr="00620047" w:rsidRDefault="00296032">
            <w:pPr>
              <w:pStyle w:val="Tabeltekst"/>
              <w:rPr>
                <w:b w:val="0"/>
              </w:rPr>
            </w:pPr>
          </w:p>
          <w:p w:rsidR="00296032" w:rsidRPr="00620047" w:rsidRDefault="00296032">
            <w:pPr>
              <w:pStyle w:val="Tabeltekst"/>
              <w:rPr>
                <w:b w:val="0"/>
              </w:rPr>
            </w:pPr>
            <w:r w:rsidRPr="00620047">
              <w:rPr>
                <w:b w:val="0"/>
              </w:rPr>
              <w:t>(</w:t>
            </w:r>
            <w:r w:rsidRPr="00620047">
              <w:rPr>
                <w:b w:val="0"/>
                <w:vertAlign w:val="superscript"/>
              </w:rPr>
              <w:t>5</w:t>
            </w:r>
            <w:r w:rsidRPr="00620047">
              <w:rPr>
                <w:b w:val="0"/>
              </w:rPr>
              <w:t xml:space="preserve">) Rotatiezeefdruk op textiel valt onder activiteit nr. 3.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2194"/>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9</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Coating van wikkeldraad</w:t>
            </w:r>
          </w:p>
          <w:p w:rsidR="00296032" w:rsidRPr="00620047" w:rsidRDefault="00296032">
            <w:pPr>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&gt;5</w:t>
            </w:r>
          </w:p>
          <w:p w:rsidR="00296032" w:rsidRPr="00620047" w:rsidRDefault="00296032">
            <w:pPr>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 g/kg (</w:t>
            </w:r>
            <w:r w:rsidRPr="00620047">
              <w:rPr>
                <w:rFonts w:cs="Arial"/>
                <w:b w:val="0"/>
                <w:szCs w:val="18"/>
                <w:vertAlign w:val="superscript"/>
                <w:lang w:eastAsia="nl-NL"/>
              </w:rPr>
              <w:t>1</w:t>
            </w:r>
            <w:r w:rsidRPr="00620047">
              <w:rPr>
                <w:rFonts w:cs="Arial"/>
                <w:b w:val="0"/>
                <w:szCs w:val="18"/>
                <w:lang w:eastAsia="nl-NL"/>
              </w:rPr>
              <w:t>)</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5 g/kg (</w:t>
            </w:r>
            <w:r w:rsidRPr="00620047">
              <w:rPr>
                <w:rFonts w:cs="Arial"/>
                <w:b w:val="0"/>
                <w:szCs w:val="18"/>
                <w:vertAlign w:val="superscript"/>
                <w:lang w:eastAsia="nl-NL"/>
              </w:rPr>
              <w:t>2</w:t>
            </w:r>
            <w:r w:rsidRPr="00620047">
              <w:rPr>
                <w:rFonts w:cs="Arial"/>
                <w:b w:val="0"/>
                <w:szCs w:val="18"/>
                <w:lang w:eastAsia="nl-NL"/>
              </w:rPr>
              <w:t xml:space="preserve">) </w:t>
            </w:r>
          </w:p>
        </w:tc>
        <w:tc>
          <w:tcPr>
            <w:tcW w:w="1776" w:type="dxa"/>
            <w:tcBorders>
              <w:top w:val="single" w:sz="4" w:space="0" w:color="7F7F7F"/>
              <w:left w:val="single" w:sz="4" w:space="0" w:color="7F7F7F"/>
              <w:bottom w:val="single" w:sz="4" w:space="0" w:color="7F7F7F"/>
              <w:right w:val="single" w:sz="4" w:space="0" w:color="7F7F7F"/>
            </w:tcBorders>
          </w:tcPr>
          <w:p w:rsidR="00296032" w:rsidRPr="00620047" w:rsidRDefault="00296032">
            <w:pPr>
              <w:pStyle w:val="Tabeltekst"/>
            </w:pPr>
            <w:r w:rsidRPr="00620047">
              <w:rPr>
                <w:b w:val="0"/>
              </w:rPr>
              <w:t>(1) Geldt voor oplosmiddeleninstallaties met een gemiddelde draaddiameter ≤ 0,1 mm.</w:t>
            </w:r>
          </w:p>
          <w:p w:rsidR="00296032" w:rsidRPr="00620047" w:rsidRDefault="00296032">
            <w:pPr>
              <w:pStyle w:val="Tabeltekst"/>
            </w:pPr>
          </w:p>
          <w:p w:rsidR="00296032" w:rsidRPr="00620047" w:rsidRDefault="00296032">
            <w:pPr>
              <w:pStyle w:val="Tabeltekst"/>
              <w:rPr>
                <w:b w:val="0"/>
              </w:rPr>
            </w:pPr>
            <w:r w:rsidRPr="00620047">
              <w:rPr>
                <w:b w:val="0"/>
              </w:rPr>
              <w:t>(2) Geldt voor alle andere oplosmiddeleninstallaties.</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3022"/>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10</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Coating van hout</w:t>
            </w:r>
          </w:p>
          <w:p w:rsidR="00296032" w:rsidRPr="00620047" w:rsidRDefault="00296032">
            <w:pPr>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&gt;15</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&gt;25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100 (</w:t>
            </w:r>
            <w:r w:rsidRPr="00620047">
              <w:rPr>
                <w:rFonts w:cs="Arial"/>
                <w:b w:val="0"/>
                <w:szCs w:val="18"/>
                <w:vertAlign w:val="superscript"/>
                <w:lang w:eastAsia="nl-NL"/>
              </w:rPr>
              <w:t>1</w:t>
            </w:r>
            <w:r w:rsidRPr="00620047">
              <w:rPr>
                <w:rFonts w:cs="Arial"/>
                <w:b w:val="0"/>
                <w:szCs w:val="18"/>
                <w:lang w:eastAsia="nl-NL"/>
              </w:rPr>
              <w:t>)</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50/75 (</w:t>
            </w:r>
            <w:r w:rsidRPr="00620047">
              <w:rPr>
                <w:rFonts w:cs="Arial"/>
                <w:b w:val="0"/>
                <w:szCs w:val="18"/>
                <w:vertAlign w:val="superscript"/>
                <w:lang w:eastAsia="nl-NL"/>
              </w:rPr>
              <w:t>2</w:t>
            </w:r>
            <w:r w:rsidRPr="00620047">
              <w:rPr>
                <w:rFonts w:cs="Arial"/>
                <w:b w:val="0"/>
                <w:szCs w:val="18"/>
                <w:lang w:eastAsia="nl-NL"/>
              </w:rPr>
              <w:t xml:space="preserve">)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25%</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20%</w:t>
            </w:r>
          </w:p>
        </w:tc>
        <w:tc>
          <w:tcPr>
            <w:tcW w:w="137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tcPr>
          <w:p w:rsidR="00296032" w:rsidRPr="00620047" w:rsidRDefault="00296032">
            <w:pPr>
              <w:pStyle w:val="Tabeltekst"/>
            </w:pPr>
            <w:r w:rsidRPr="00620047">
              <w:rPr>
                <w:b w:val="0"/>
              </w:rPr>
              <w:t>(</w:t>
            </w:r>
            <w:r w:rsidRPr="00620047">
              <w:rPr>
                <w:b w:val="0"/>
                <w:vertAlign w:val="superscript"/>
              </w:rPr>
              <w:t>1</w:t>
            </w:r>
            <w:r w:rsidRPr="00620047">
              <w:rPr>
                <w:b w:val="0"/>
              </w:rPr>
              <w:t>) Deze emissiegrenswaarde geldt voor coating- en droogprocessen waarbij de vrijkomende vluchtige organische stoffen beheerst worden afgevangen en uitgestoten.</w:t>
            </w:r>
          </w:p>
          <w:p w:rsidR="00296032" w:rsidRPr="00620047" w:rsidRDefault="00296032">
            <w:pPr>
              <w:pStyle w:val="Tabeltekst"/>
            </w:pPr>
          </w:p>
          <w:p w:rsidR="00296032" w:rsidRPr="00620047" w:rsidRDefault="00296032">
            <w:pPr>
              <w:pStyle w:val="Tabeltekst"/>
              <w:rPr>
                <w:b w:val="0"/>
              </w:rPr>
            </w:pPr>
            <w:r w:rsidRPr="00620047">
              <w:rPr>
                <w:b w:val="0"/>
              </w:rPr>
              <w:t>(</w:t>
            </w:r>
            <w:r w:rsidRPr="00620047">
              <w:rPr>
                <w:b w:val="0"/>
                <w:vertAlign w:val="superscript"/>
              </w:rPr>
              <w:t>2</w:t>
            </w:r>
            <w:r w:rsidRPr="00620047">
              <w:rPr>
                <w:b w:val="0"/>
              </w:rPr>
              <w:t xml:space="preserve">) De eerste waarde geldt voor droogprocessen, de tweede voor coatingprocessen.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2194"/>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11</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Chemisch reinigen</w:t>
            </w:r>
          </w:p>
          <w:p w:rsidR="00296032" w:rsidRPr="00620047" w:rsidRDefault="00296032">
            <w:pPr>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20 g/kg (</w:t>
            </w:r>
            <w:r w:rsidRPr="00620047">
              <w:rPr>
                <w:rFonts w:cs="Arial"/>
                <w:b w:val="0"/>
                <w:szCs w:val="18"/>
                <w:vertAlign w:val="superscript"/>
                <w:lang w:eastAsia="nl-NL"/>
              </w:rPr>
              <w:t>1</w:t>
            </w:r>
            <w:r w:rsidRPr="00620047">
              <w:rPr>
                <w:rFonts w:cs="Arial"/>
                <w:b w:val="0"/>
                <w:szCs w:val="18"/>
                <w:lang w:eastAsia="nl-NL"/>
              </w:rPr>
              <w:t>) (</w:t>
            </w:r>
            <w:r w:rsidRPr="00620047">
              <w:rPr>
                <w:rFonts w:cs="Arial"/>
                <w:b w:val="0"/>
                <w:szCs w:val="18"/>
                <w:vertAlign w:val="superscript"/>
                <w:lang w:eastAsia="nl-NL"/>
              </w:rPr>
              <w:t>2</w:t>
            </w:r>
            <w:r w:rsidRPr="00620047">
              <w:rPr>
                <w:rFonts w:cs="Arial"/>
                <w:b w:val="0"/>
                <w:szCs w:val="18"/>
                <w:lang w:eastAsia="nl-NL"/>
              </w:rPr>
              <w:t>)</w:t>
            </w:r>
          </w:p>
          <w:p w:rsidR="00296032" w:rsidRPr="00620047" w:rsidRDefault="00296032">
            <w:pPr>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tcPr>
          <w:p w:rsidR="00296032" w:rsidRPr="00620047" w:rsidRDefault="00296032">
            <w:pPr>
              <w:pStyle w:val="Tabeltekst"/>
            </w:pPr>
            <w:r w:rsidRPr="00620047">
              <w:rPr>
                <w:b w:val="0"/>
              </w:rPr>
              <w:t>(</w:t>
            </w:r>
            <w:r w:rsidRPr="00620047">
              <w:rPr>
                <w:b w:val="0"/>
                <w:vertAlign w:val="superscript"/>
              </w:rPr>
              <w:t>1</w:t>
            </w:r>
            <w:r w:rsidRPr="00620047">
              <w:rPr>
                <w:b w:val="0"/>
              </w:rPr>
              <w:t>) Uitgedrukt in massa uitgestoten oplosmiddel per kilogram gereinigd en gedroogd product.</w:t>
            </w:r>
          </w:p>
          <w:p w:rsidR="00296032" w:rsidRPr="00620047" w:rsidRDefault="00296032">
            <w:pPr>
              <w:pStyle w:val="Tabeltekst"/>
            </w:pPr>
          </w:p>
          <w:p w:rsidR="00296032" w:rsidRPr="00620047" w:rsidRDefault="00296032">
            <w:pPr>
              <w:pStyle w:val="Tabeltekst"/>
              <w:rPr>
                <w:b w:val="0"/>
              </w:rPr>
            </w:pPr>
            <w:r w:rsidRPr="00620047">
              <w:rPr>
                <w:b w:val="0"/>
              </w:rPr>
              <w:t>(</w:t>
            </w:r>
            <w:r w:rsidRPr="00620047">
              <w:rPr>
                <w:b w:val="0"/>
                <w:vertAlign w:val="superscript"/>
              </w:rPr>
              <w:t>2</w:t>
            </w:r>
            <w:r w:rsidRPr="00620047">
              <w:rPr>
                <w:b w:val="0"/>
              </w:rPr>
              <w:t xml:space="preserve">) De in artikel 2.30, tweede lid, vermelde emissiegrenswaarde geldt niet voor deze sector.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12</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Impregneren van hout</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&gt;25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100 (</w:t>
            </w:r>
            <w:r w:rsidRPr="00620047">
              <w:rPr>
                <w:rFonts w:cs="Arial"/>
                <w:b w:val="0"/>
                <w:szCs w:val="18"/>
                <w:vertAlign w:val="superscript"/>
                <w:lang w:eastAsia="nl-NL"/>
              </w:rPr>
              <w:t>1</w:t>
            </w:r>
            <w:r w:rsidRPr="00620047">
              <w:rPr>
                <w:rFonts w:cs="Arial"/>
                <w:b w:val="0"/>
                <w:szCs w:val="18"/>
                <w:lang w:eastAsia="nl-NL"/>
              </w:rPr>
              <w:t xml:space="preserve">)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45%</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11 kg/m</w:t>
            </w:r>
            <w:r w:rsidRPr="00620047">
              <w:rPr>
                <w:rFonts w:cs="Arial"/>
                <w:b w:val="0"/>
                <w:szCs w:val="18"/>
                <w:vertAlign w:val="superscript"/>
                <w:lang w:eastAsia="nl-NL"/>
              </w:rPr>
              <w:t>3</w:t>
            </w:r>
            <w:r w:rsidRPr="00620047">
              <w:rPr>
                <w:rFonts w:cs="Arial"/>
                <w:b w:val="0"/>
                <w:szCs w:val="18"/>
                <w:lang w:eastAsia="nl-NL"/>
              </w:rPr>
              <w:t xml:space="preserve">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1</w:t>
            </w:r>
            <w:r w:rsidRPr="00620047">
              <w:rPr>
                <w:rFonts w:cs="Arial"/>
                <w:b w:val="0"/>
                <w:szCs w:val="18"/>
                <w:lang w:eastAsia="nl-NL"/>
              </w:rPr>
              <w:t xml:space="preserve">) De emissiegrenswaarde geldt niet voor impregneren met creosoot.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3640"/>
          <w:tblHeader/>
        </w:trPr>
        <w:tc>
          <w:tcPr>
            <w:tcW w:w="34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13</w:t>
            </w:r>
          </w:p>
          <w:p w:rsidR="00296032" w:rsidRPr="00620047" w:rsidRDefault="00296032">
            <w:pPr>
              <w:spacing w:line="240" w:lineRule="auto"/>
              <w:jc w:val="center"/>
              <w:rPr>
                <w:rFonts w:cs="Arial"/>
                <w:b w:val="0"/>
                <w:bCs/>
                <w:szCs w:val="18"/>
                <w:lang w:eastAsia="nl-NL"/>
              </w:rPr>
            </w:pPr>
          </w:p>
          <w:p w:rsidR="00296032" w:rsidRPr="00620047" w:rsidRDefault="00296032">
            <w:pPr>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Coating van leer</w:t>
            </w:r>
          </w:p>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&gt;10</w:t>
            </w:r>
          </w:p>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 25</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&gt; 10 (</w:t>
            </w:r>
            <w:r w:rsidRPr="00620047">
              <w:rPr>
                <w:rFonts w:cs="Arial"/>
                <w:b w:val="0"/>
                <w:szCs w:val="18"/>
                <w:vertAlign w:val="superscript"/>
                <w:lang w:eastAsia="nl-NL"/>
              </w:rPr>
              <w:t>1</w:t>
            </w:r>
            <w:r w:rsidRPr="00620047">
              <w:rPr>
                <w:rFonts w:cs="Arial"/>
                <w:b w:val="0"/>
                <w:szCs w:val="18"/>
                <w:lang w:eastAsia="nl-NL"/>
              </w:rPr>
              <w:t xml:space="preserve">)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85 g/m</w:t>
            </w:r>
            <w:r w:rsidRPr="00620047">
              <w:rPr>
                <w:rFonts w:cs="Arial"/>
                <w:b w:val="0"/>
                <w:szCs w:val="18"/>
                <w:vertAlign w:val="superscript"/>
                <w:lang w:eastAsia="nl-NL"/>
              </w:rPr>
              <w:t>2</w:t>
            </w:r>
          </w:p>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75 g/m</w:t>
            </w:r>
            <w:r w:rsidRPr="00620047">
              <w:rPr>
                <w:rFonts w:cs="Arial"/>
                <w:b w:val="0"/>
                <w:szCs w:val="18"/>
                <w:vertAlign w:val="superscript"/>
                <w:lang w:eastAsia="nl-NL"/>
              </w:rPr>
              <w:t>2</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150 g/m</w:t>
            </w:r>
            <w:r w:rsidRPr="00620047">
              <w:rPr>
                <w:rFonts w:cs="Arial"/>
                <w:b w:val="0"/>
                <w:szCs w:val="18"/>
                <w:vertAlign w:val="superscript"/>
                <w:lang w:eastAsia="nl-NL"/>
              </w:rPr>
              <w:t>2</w:t>
            </w:r>
            <w:r w:rsidRPr="00620047">
              <w:rPr>
                <w:rFonts w:cs="Arial"/>
                <w:b w:val="0"/>
                <w:szCs w:val="18"/>
                <w:lang w:eastAsia="nl-NL"/>
              </w:rPr>
              <w:t xml:space="preserve">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De emissiegrenswaarden zijn uitgedrukt in gram uitgestoten oplosmiddel per vierkante meter vervaardigd product.</w:t>
            </w:r>
          </w:p>
          <w:p w:rsidR="00296032" w:rsidRPr="00620047" w:rsidRDefault="00296032">
            <w:pPr>
              <w:pStyle w:val="Tabeltekst"/>
            </w:pPr>
            <w:r w:rsidRPr="00620047">
              <w:rPr>
                <w:b w:val="0"/>
              </w:rPr>
              <w:t>(</w:t>
            </w:r>
            <w:r w:rsidRPr="00620047">
              <w:rPr>
                <w:b w:val="0"/>
                <w:vertAlign w:val="superscript"/>
              </w:rPr>
              <w:t>1</w:t>
            </w:r>
            <w:r w:rsidRPr="00620047">
              <w:rPr>
                <w:b w:val="0"/>
              </w:rPr>
              <w:t>) Voor coating van leer voor meubelen en bepaalde lederen goederen, die worden gebruikt als kleine consumptiegoederen zoals tassen, riemen, portefeuilles enz.</w:t>
            </w:r>
            <w:r w:rsidR="00244F18">
              <w:rPr>
                <w:b w:val="0"/>
              </w:rPr>
              <w:t xml:space="preserve">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14</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Fabricage van schoeisel</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25 g per paar</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De totale emissiegrenswaarde is uitgedrukt in gram uitgestoten oplosmiddel per vervaardigd paar compleet schoeisel.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15</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Lamineren van hout en kunststof</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30 g/m</w:t>
            </w:r>
            <w:r w:rsidRPr="00620047">
              <w:rPr>
                <w:rFonts w:cs="Arial"/>
                <w:b w:val="0"/>
                <w:szCs w:val="18"/>
                <w:vertAlign w:val="superscript"/>
                <w:lang w:eastAsia="nl-NL"/>
              </w:rPr>
              <w:t>2</w:t>
            </w:r>
            <w:r w:rsidRPr="00620047">
              <w:rPr>
                <w:rFonts w:cs="Arial"/>
                <w:b w:val="0"/>
                <w:szCs w:val="18"/>
                <w:lang w:eastAsia="nl-NL"/>
              </w:rPr>
              <w:t xml:space="preserve">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2067"/>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16</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Het aanbrengen van een lijmlaag</w:t>
            </w:r>
          </w:p>
          <w:p w:rsidR="00296032" w:rsidRPr="00620047" w:rsidRDefault="00296032">
            <w:pPr>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&gt;5</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&gt;15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50 (</w:t>
            </w:r>
            <w:r w:rsidRPr="00620047">
              <w:rPr>
                <w:rFonts w:cs="Arial"/>
                <w:b w:val="0"/>
                <w:szCs w:val="18"/>
                <w:vertAlign w:val="superscript"/>
                <w:lang w:eastAsia="nl-NL"/>
              </w:rPr>
              <w:t>1</w:t>
            </w:r>
            <w:r w:rsidRPr="00620047">
              <w:rPr>
                <w:rFonts w:cs="Arial"/>
                <w:b w:val="0"/>
                <w:szCs w:val="18"/>
                <w:lang w:eastAsia="nl-NL"/>
              </w:rPr>
              <w:t>)</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50 (</w:t>
            </w:r>
            <w:r w:rsidRPr="00620047">
              <w:rPr>
                <w:rFonts w:cs="Arial"/>
                <w:b w:val="0"/>
                <w:szCs w:val="18"/>
                <w:vertAlign w:val="superscript"/>
                <w:lang w:eastAsia="nl-NL"/>
              </w:rPr>
              <w:t>1</w:t>
            </w:r>
            <w:r w:rsidRPr="00620047">
              <w:rPr>
                <w:rFonts w:cs="Arial"/>
                <w:b w:val="0"/>
                <w:szCs w:val="18"/>
                <w:lang w:eastAsia="nl-NL"/>
              </w:rPr>
              <w:t xml:space="preserve">)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25%</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20%</w:t>
            </w:r>
          </w:p>
        </w:tc>
        <w:tc>
          <w:tcPr>
            <w:tcW w:w="137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w:t>
            </w:r>
            <w:r w:rsidRPr="00620047">
              <w:rPr>
                <w:b w:val="0"/>
                <w:vertAlign w:val="superscript"/>
              </w:rPr>
              <w:t>1</w:t>
            </w:r>
            <w:r w:rsidRPr="00620047">
              <w:rPr>
                <w:b w:val="0"/>
              </w:rPr>
              <w:t>) Als technieken worden gebruikt waarbij oplosmiddelenhergebruik mogelijk is, geldt een emissiegrenswaarde van 150.</w:t>
            </w:r>
            <w:r w:rsidR="00244F18">
              <w:rPr>
                <w:b w:val="0"/>
              </w:rPr>
              <w:t xml:space="preserve">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984"/>
          <w:tblHeader/>
        </w:trPr>
        <w:tc>
          <w:tcPr>
            <w:tcW w:w="341"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17</w:t>
            </w:r>
          </w:p>
        </w:tc>
        <w:tc>
          <w:tcPr>
            <w:tcW w:w="1386"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Vervaardigen van coatingmengsels, lak, inkt en kleefstoffen</w:t>
            </w:r>
          </w:p>
          <w:p w:rsidR="00296032" w:rsidRPr="00620047" w:rsidRDefault="00296032">
            <w:pPr>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&gt;100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150</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 van de oplosmiddeleninput</w:t>
            </w:r>
          </w:p>
        </w:tc>
        <w:tc>
          <w:tcPr>
            <w:tcW w:w="1776"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Onder de diffuse-emissiegrenswaarde vallen niet de oplosmiddelen die als bestanddeel van een mengsel in een gesloten container worden verkocht.</w:t>
            </w:r>
            <w:r w:rsidR="00244F18">
              <w:rPr>
                <w:rFonts w:cs="Arial"/>
                <w:b w:val="0"/>
                <w:szCs w:val="18"/>
                <w:lang w:eastAsia="nl-NL"/>
              </w:rPr>
              <w:t xml:space="preserve">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Cs/>
                <w:szCs w:val="18"/>
                <w:lang w:eastAsia="nl-NL"/>
              </w:rPr>
            </w:pPr>
          </w:p>
        </w:tc>
        <w:tc>
          <w:tcPr>
            <w:tcW w:w="138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&gt;1000</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150</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35</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3% van de oplosmiddeleninput</w:t>
            </w: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18</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Bewerking van rubber</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&gt;15</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20(</w:t>
            </w:r>
            <w:r w:rsidRPr="00620047">
              <w:rPr>
                <w:rFonts w:cs="Arial"/>
                <w:b w:val="0"/>
                <w:szCs w:val="18"/>
                <w:vertAlign w:val="superscript"/>
                <w:lang w:eastAsia="nl-NL"/>
              </w:rPr>
              <w:t>1</w:t>
            </w:r>
            <w:r w:rsidRPr="00620047">
              <w:rPr>
                <w:rFonts w:cs="Arial"/>
                <w:b w:val="0"/>
                <w:szCs w:val="18"/>
                <w:lang w:eastAsia="nl-NL"/>
              </w:rPr>
              <w:t xml:space="preserve">)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25% (</w:t>
            </w:r>
            <w:r w:rsidRPr="00620047">
              <w:rPr>
                <w:rFonts w:cs="Arial"/>
                <w:b w:val="0"/>
                <w:szCs w:val="18"/>
                <w:vertAlign w:val="superscript"/>
                <w:lang w:eastAsia="nl-NL"/>
              </w:rPr>
              <w:t>2</w:t>
            </w:r>
            <w:r w:rsidRPr="00620047">
              <w:rPr>
                <w:rFonts w:cs="Arial"/>
                <w:b w:val="0"/>
                <w:szCs w:val="18"/>
                <w:lang w:eastAsia="nl-NL"/>
              </w:rPr>
              <w:t xml:space="preserve">)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25% van de oplosmiddeleninput</w:t>
            </w:r>
          </w:p>
        </w:tc>
        <w:tc>
          <w:tcPr>
            <w:tcW w:w="1776"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w:t>
            </w:r>
            <w:r w:rsidRPr="00620047">
              <w:rPr>
                <w:b w:val="0"/>
                <w:vertAlign w:val="superscript"/>
              </w:rPr>
              <w:t>1</w:t>
            </w:r>
            <w:r w:rsidRPr="00620047">
              <w:rPr>
                <w:b w:val="0"/>
              </w:rPr>
              <w:t>) Als technieken worden gebruikt waarbij oplosmiddelenhergebruik mogelijk is, geldt een emissiegrenswaarde van 150.</w:t>
            </w:r>
          </w:p>
          <w:p w:rsidR="00296032" w:rsidRPr="00620047" w:rsidRDefault="00296032">
            <w:pPr>
              <w:pStyle w:val="Tabeltekst"/>
            </w:pPr>
            <w:r w:rsidRPr="00620047">
              <w:rPr>
                <w:b w:val="0"/>
              </w:rPr>
              <w:t>(</w:t>
            </w:r>
            <w:r w:rsidRPr="00620047">
              <w:rPr>
                <w:b w:val="0"/>
                <w:vertAlign w:val="superscript"/>
              </w:rPr>
              <w:t>2</w:t>
            </w:r>
            <w:r w:rsidRPr="00620047">
              <w:rPr>
                <w:b w:val="0"/>
              </w:rPr>
              <w:t xml:space="preserve">) Onder de diffuse-emissiegrenswaarde vallen niet de oplosmiddelen die als bestanddeel van een mengsel in een gesloten container worden verkocht.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szCs w:val="17"/>
                <w:lang w:eastAsia="en-US"/>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val="restart"/>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19</w:t>
            </w:r>
          </w:p>
          <w:p w:rsidR="00296032" w:rsidRPr="00620047" w:rsidRDefault="00296032">
            <w:pPr>
              <w:spacing w:line="240" w:lineRule="auto"/>
              <w:jc w:val="center"/>
              <w:rPr>
                <w:rFonts w:cs="Arial"/>
                <w:b w:val="0"/>
                <w:bCs/>
                <w:szCs w:val="18"/>
                <w:lang w:eastAsia="nl-NL"/>
              </w:rPr>
            </w:pPr>
          </w:p>
          <w:p w:rsidR="00296032" w:rsidRPr="00620047" w:rsidRDefault="00296032">
            <w:pPr>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Extractie van plantaardige oliën en van dierlijke vetten en raffinage van plantaardige oliën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&gt;10</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776"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1</w:t>
            </w:r>
            <w:r w:rsidRPr="00620047">
              <w:rPr>
                <w:rFonts w:cs="Arial"/>
                <w:b w:val="0"/>
                <w:szCs w:val="18"/>
                <w:lang w:eastAsia="nl-NL"/>
              </w:rPr>
              <w:t>) De totale emissiegrenswaarden voor oplosmiddeleninstallaties voor de verwerking van losse partijen zaden en ander plantaardig materiaal worden door het bevoegd gezag bij maatwerkvoorschrift gegeven.</w:t>
            </w:r>
          </w:p>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2</w:t>
            </w:r>
            <w:r w:rsidRPr="00620047">
              <w:rPr>
                <w:rFonts w:cs="Arial"/>
                <w:b w:val="0"/>
                <w:szCs w:val="18"/>
                <w:lang w:eastAsia="nl-NL"/>
              </w:rPr>
              <w:t>) Geldt voor alle fractionerings-processen met uitzondering van ontgommen (het verwijderen van gom uit de olie).</w:t>
            </w:r>
          </w:p>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3</w:t>
            </w:r>
            <w:r w:rsidRPr="00620047">
              <w:rPr>
                <w:rFonts w:cs="Arial"/>
                <w:b w:val="0"/>
                <w:szCs w:val="18"/>
                <w:lang w:eastAsia="nl-NL"/>
              </w:rPr>
              <w:t>) Geldt voor ontgommen.</w:t>
            </w:r>
          </w:p>
          <w:p w:rsidR="00296032" w:rsidRPr="00620047" w:rsidRDefault="00296032">
            <w:pPr>
              <w:rPr>
                <w:rFonts w:cs="Arial"/>
                <w:b w:val="0"/>
                <w:szCs w:val="18"/>
                <w:lang w:eastAsia="nl-NL"/>
              </w:rPr>
            </w:pPr>
            <w:r w:rsidRPr="00620047">
              <w:rPr>
                <w:rFonts w:cs="Arial"/>
                <w:b w:val="0"/>
                <w:szCs w:val="18"/>
                <w:lang w:eastAsia="nl-NL"/>
              </w:rPr>
              <w:t> </w:t>
            </w: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Cs/>
                <w:szCs w:val="18"/>
                <w:lang w:eastAsia="nl-NL"/>
              </w:rPr>
            </w:pP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dierlijk vet</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1,5 kg/ton </w:t>
            </w: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Cs/>
                <w:szCs w:val="18"/>
                <w:lang w:eastAsia="nl-NL"/>
              </w:rPr>
            </w:pP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ricinus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3,0 kg/ton </w:t>
            </w: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Cs/>
                <w:szCs w:val="18"/>
                <w:lang w:eastAsia="nl-NL"/>
              </w:rPr>
            </w:pP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raapzaad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1,0 kg/ton </w:t>
            </w: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Cs/>
                <w:szCs w:val="18"/>
                <w:lang w:eastAsia="nl-NL"/>
              </w:rPr>
            </w:pP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zonnebloemzaad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1,0 kg/ton </w:t>
            </w: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Cs/>
                <w:szCs w:val="18"/>
                <w:lang w:eastAsia="nl-NL"/>
              </w:rPr>
            </w:pP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sojabonen (normale maling) </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0,8 kg/ton </w:t>
            </w: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blHeader/>
        </w:trPr>
        <w:tc>
          <w:tcPr>
            <w:tcW w:w="34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Cs/>
                <w:szCs w:val="18"/>
                <w:lang w:eastAsia="nl-NL"/>
              </w:rPr>
            </w:pPr>
          </w:p>
        </w:tc>
        <w:tc>
          <w:tcPr>
            <w:tcW w:w="138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sojabonen (witte vlokken)</w:t>
            </w:r>
          </w:p>
        </w:tc>
        <w:tc>
          <w:tcPr>
            <w:tcW w:w="120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1,2 kg/ton </w:t>
            </w: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1448"/>
          <w:tblHeader/>
        </w:trPr>
        <w:tc>
          <w:tcPr>
            <w:tcW w:w="341"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Cs/>
                <w:szCs w:val="18"/>
                <w:lang w:eastAsia="nl-NL"/>
              </w:rPr>
            </w:pPr>
          </w:p>
        </w:tc>
        <w:tc>
          <w:tcPr>
            <w:tcW w:w="1386"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overige zaden en ander plantaardig materiaal</w:t>
            </w:r>
          </w:p>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line="240" w:lineRule="auto"/>
              <w:rPr>
                <w:rFonts w:cs="Arial"/>
                <w:b w:val="0"/>
                <w:szCs w:val="18"/>
                <w:lang w:eastAsia="nl-NL"/>
              </w:rPr>
            </w:pPr>
          </w:p>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3 kg/ton (</w:t>
            </w:r>
            <w:r w:rsidRPr="00620047">
              <w:rPr>
                <w:rFonts w:cs="Arial"/>
                <w:b w:val="0"/>
                <w:szCs w:val="18"/>
                <w:vertAlign w:val="superscript"/>
                <w:lang w:eastAsia="nl-NL"/>
              </w:rPr>
              <w:t>1</w:t>
            </w:r>
            <w:r w:rsidRPr="00620047">
              <w:rPr>
                <w:rFonts w:cs="Arial"/>
                <w:b w:val="0"/>
                <w:szCs w:val="18"/>
                <w:lang w:eastAsia="nl-NL"/>
              </w:rPr>
              <w:t>)</w:t>
            </w:r>
          </w:p>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1,5 kg/ton (</w:t>
            </w:r>
            <w:r w:rsidRPr="00620047">
              <w:rPr>
                <w:rFonts w:cs="Arial"/>
                <w:b w:val="0"/>
                <w:szCs w:val="18"/>
                <w:vertAlign w:val="superscript"/>
                <w:lang w:eastAsia="nl-NL"/>
              </w:rPr>
              <w:t>2</w:t>
            </w:r>
            <w:r w:rsidRPr="00620047">
              <w:rPr>
                <w:rFonts w:cs="Arial"/>
                <w:b w:val="0"/>
                <w:szCs w:val="18"/>
                <w:lang w:eastAsia="nl-NL"/>
              </w:rPr>
              <w:t>)</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4 kg/ton (</w:t>
            </w:r>
            <w:r w:rsidRPr="00620047">
              <w:rPr>
                <w:rFonts w:cs="Arial"/>
                <w:b w:val="0"/>
                <w:szCs w:val="18"/>
                <w:vertAlign w:val="superscript"/>
                <w:lang w:eastAsia="nl-NL"/>
              </w:rPr>
              <w:t>3</w:t>
            </w:r>
            <w:r w:rsidRPr="00620047">
              <w:rPr>
                <w:rFonts w:cs="Arial"/>
                <w:b w:val="0"/>
                <w:szCs w:val="18"/>
                <w:lang w:eastAsia="nl-NL"/>
              </w:rPr>
              <w:t xml:space="preserve">) </w:t>
            </w:r>
          </w:p>
        </w:tc>
        <w:tc>
          <w:tcPr>
            <w:tcW w:w="1776" w:type="dxa"/>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Cs w:val="18"/>
                <w:lang w:eastAsia="nl-NL"/>
              </w:rPr>
            </w:pPr>
          </w:p>
        </w:tc>
      </w:tr>
      <w:tr w:rsidR="00296032" w:rsidRPr="00620047" w:rsidTr="007E088F">
        <w:trPr>
          <w:cnfStyle w:val="100000000000" w:firstRow="1" w:lastRow="0" w:firstColumn="0" w:lastColumn="0" w:oddVBand="0" w:evenVBand="0" w:oddHBand="0" w:evenHBand="0" w:firstRowFirstColumn="0" w:firstRowLastColumn="0" w:lastRowFirstColumn="0" w:lastRowLastColumn="0"/>
          <w:cantSplit/>
          <w:trHeight w:val="6747"/>
          <w:tblHeader/>
        </w:trPr>
        <w:tc>
          <w:tcPr>
            <w:tcW w:w="34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jc w:val="center"/>
              <w:rPr>
                <w:rFonts w:cs="Arial"/>
                <w:b w:val="0"/>
                <w:bCs/>
                <w:szCs w:val="18"/>
                <w:lang w:eastAsia="nl-NL"/>
              </w:rPr>
            </w:pPr>
            <w:r w:rsidRPr="00620047">
              <w:rPr>
                <w:rFonts w:cs="Arial"/>
                <w:b w:val="0"/>
                <w:bCs/>
                <w:szCs w:val="18"/>
                <w:lang w:eastAsia="nl-NL"/>
              </w:rPr>
              <w:t>20</w:t>
            </w:r>
          </w:p>
          <w:p w:rsidR="00296032" w:rsidRPr="00620047" w:rsidRDefault="00296032">
            <w:pPr>
              <w:spacing w:line="240" w:lineRule="auto"/>
              <w:jc w:val="center"/>
              <w:rPr>
                <w:rFonts w:cs="Arial"/>
                <w:b w:val="0"/>
                <w:bCs/>
                <w:szCs w:val="18"/>
                <w:lang w:eastAsia="nl-NL"/>
              </w:rPr>
            </w:pPr>
          </w:p>
          <w:p w:rsidR="00296032" w:rsidRPr="00620047" w:rsidRDefault="00296032">
            <w:pPr>
              <w:spacing w:line="240" w:lineRule="auto"/>
              <w:jc w:val="center"/>
              <w:rPr>
                <w:rFonts w:cs="Arial"/>
                <w:b w:val="0"/>
                <w:bCs/>
                <w:szCs w:val="18"/>
                <w:lang w:eastAsia="nl-NL"/>
              </w:rPr>
            </w:pPr>
          </w:p>
          <w:p w:rsidR="00296032" w:rsidRPr="00620047" w:rsidRDefault="00296032">
            <w:pPr>
              <w:jc w:val="center"/>
              <w:rPr>
                <w:rFonts w:cs="Arial"/>
                <w:b w:val="0"/>
                <w:bCs/>
                <w:szCs w:val="18"/>
                <w:lang w:eastAsia="nl-NL"/>
              </w:rPr>
            </w:pPr>
            <w:r w:rsidRPr="00620047">
              <w:rPr>
                <w:rFonts w:cs="Arial"/>
                <w:b w:val="0"/>
                <w:bCs/>
                <w:szCs w:val="18"/>
                <w:lang w:eastAsia="nl-NL"/>
              </w:rPr>
              <w:t> </w:t>
            </w:r>
          </w:p>
        </w:tc>
        <w:tc>
          <w:tcPr>
            <w:tcW w:w="1386"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Vervaardigen van geneesmiddelen</w:t>
            </w:r>
          </w:p>
          <w:p w:rsidR="00296032" w:rsidRPr="00620047" w:rsidRDefault="00296032">
            <w:pPr>
              <w:spacing w:line="240" w:lineRule="auto"/>
              <w:rPr>
                <w:rFonts w:cs="Arial"/>
                <w:b w:val="0"/>
                <w:szCs w:val="18"/>
                <w:lang w:eastAsia="nl-NL"/>
              </w:rPr>
            </w:pPr>
          </w:p>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200"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&gt;50</w:t>
            </w:r>
          </w:p>
          <w:p w:rsidR="00296032" w:rsidRPr="00620047" w:rsidRDefault="00296032">
            <w:pPr>
              <w:spacing w:line="240" w:lineRule="auto"/>
              <w:rPr>
                <w:rFonts w:cs="Arial"/>
                <w:b w:val="0"/>
                <w:szCs w:val="18"/>
                <w:lang w:eastAsia="nl-NL"/>
              </w:rPr>
            </w:pPr>
          </w:p>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564"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20 (</w:t>
            </w:r>
            <w:r w:rsidRPr="00620047">
              <w:rPr>
                <w:rFonts w:cs="Arial"/>
                <w:b w:val="0"/>
                <w:szCs w:val="18"/>
                <w:vertAlign w:val="superscript"/>
                <w:lang w:eastAsia="nl-NL"/>
              </w:rPr>
              <w:t>1</w:t>
            </w:r>
            <w:r w:rsidRPr="00620047">
              <w:rPr>
                <w:rFonts w:cs="Arial"/>
                <w:b w:val="0"/>
                <w:szCs w:val="18"/>
                <w:lang w:eastAsia="nl-NL"/>
              </w:rPr>
              <w:t>)</w:t>
            </w:r>
          </w:p>
          <w:p w:rsidR="00296032" w:rsidRPr="00620047" w:rsidRDefault="00296032">
            <w:pPr>
              <w:spacing w:line="240" w:lineRule="auto"/>
              <w:rPr>
                <w:rFonts w:cs="Arial"/>
                <w:b w:val="0"/>
                <w:szCs w:val="18"/>
                <w:lang w:eastAsia="nl-NL"/>
              </w:rPr>
            </w:pPr>
          </w:p>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547"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 (</w:t>
            </w:r>
            <w:r w:rsidRPr="00620047">
              <w:rPr>
                <w:rFonts w:cs="Arial"/>
                <w:b w:val="0"/>
                <w:szCs w:val="18"/>
                <w:vertAlign w:val="superscript"/>
                <w:lang w:eastAsia="nl-NL"/>
              </w:rPr>
              <w:t>2</w:t>
            </w:r>
            <w:r w:rsidRPr="00620047">
              <w:rPr>
                <w:rFonts w:cs="Arial"/>
                <w:b w:val="0"/>
                <w:szCs w:val="18"/>
                <w:lang w:eastAsia="nl-NL"/>
              </w:rPr>
              <w:t>) (</w:t>
            </w:r>
            <w:r w:rsidRPr="00620047">
              <w:rPr>
                <w:rFonts w:cs="Arial"/>
                <w:b w:val="0"/>
                <w:szCs w:val="18"/>
                <w:vertAlign w:val="superscript"/>
                <w:lang w:eastAsia="nl-NL"/>
              </w:rPr>
              <w:t>3</w:t>
            </w:r>
            <w:r w:rsidRPr="00620047">
              <w:rPr>
                <w:rFonts w:cs="Arial"/>
                <w:b w:val="0"/>
                <w:szCs w:val="18"/>
                <w:lang w:eastAsia="nl-NL"/>
              </w:rPr>
              <w:t>)</w:t>
            </w:r>
          </w:p>
          <w:p w:rsidR="00296032" w:rsidRPr="00620047" w:rsidRDefault="00296032">
            <w:pPr>
              <w:spacing w:line="240" w:lineRule="auto"/>
              <w:rPr>
                <w:rFonts w:cs="Arial"/>
                <w:b w:val="0"/>
                <w:szCs w:val="18"/>
                <w:lang w:eastAsia="nl-NL"/>
              </w:rPr>
            </w:pPr>
          </w:p>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37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 van de oplosmiddeleninput (</w:t>
            </w:r>
            <w:r w:rsidRPr="00620047">
              <w:rPr>
                <w:rFonts w:cs="Arial"/>
                <w:b w:val="0"/>
                <w:szCs w:val="18"/>
                <w:vertAlign w:val="superscript"/>
                <w:lang w:eastAsia="nl-NL"/>
              </w:rPr>
              <w:t>4</w:t>
            </w:r>
            <w:r w:rsidRPr="00620047">
              <w:rPr>
                <w:rFonts w:cs="Arial"/>
                <w:b w:val="0"/>
                <w:szCs w:val="18"/>
                <w:lang w:eastAsia="nl-NL"/>
              </w:rPr>
              <w:t>)</w:t>
            </w:r>
          </w:p>
          <w:p w:rsidR="00296032" w:rsidRPr="00620047" w:rsidRDefault="00296032">
            <w:pPr>
              <w:spacing w:line="240" w:lineRule="auto"/>
              <w:rPr>
                <w:rFonts w:cs="Arial"/>
                <w:b w:val="0"/>
                <w:szCs w:val="18"/>
                <w:lang w:eastAsia="nl-NL"/>
              </w:rPr>
            </w:pPr>
          </w:p>
          <w:p w:rsidR="00296032" w:rsidRPr="00620047" w:rsidRDefault="00296032">
            <w:pPr>
              <w:spacing w:line="240" w:lineRule="auto"/>
              <w:rPr>
                <w:rFonts w:cs="Arial"/>
                <w:b w:val="0"/>
                <w:szCs w:val="18"/>
                <w:lang w:eastAsia="nl-NL"/>
              </w:rPr>
            </w:pPr>
          </w:p>
          <w:p w:rsidR="00296032" w:rsidRPr="00620047" w:rsidRDefault="00296032">
            <w:pPr>
              <w:rPr>
                <w:rFonts w:cs="Arial"/>
                <w:b w:val="0"/>
                <w:szCs w:val="18"/>
                <w:lang w:eastAsia="nl-NL"/>
              </w:rPr>
            </w:pPr>
            <w:r w:rsidRPr="00620047">
              <w:rPr>
                <w:rFonts w:cs="Arial"/>
                <w:b w:val="0"/>
                <w:szCs w:val="18"/>
                <w:lang w:eastAsia="nl-NL"/>
              </w:rPr>
              <w:t> </w:t>
            </w:r>
          </w:p>
        </w:tc>
        <w:tc>
          <w:tcPr>
            <w:tcW w:w="17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1</w:t>
            </w:r>
            <w:r w:rsidRPr="00620047">
              <w:rPr>
                <w:rFonts w:cs="Arial"/>
                <w:b w:val="0"/>
                <w:szCs w:val="18"/>
                <w:lang w:eastAsia="nl-NL"/>
              </w:rPr>
              <w:t>) Als technieken worden gebruikt waarbij oplosmiddelenhergebruik mogelijk is, geldt een emissiegrenswaarde van 150.</w:t>
            </w:r>
          </w:p>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2</w:t>
            </w:r>
            <w:r w:rsidRPr="00620047">
              <w:rPr>
                <w:rFonts w:cs="Arial"/>
                <w:b w:val="0"/>
                <w:szCs w:val="18"/>
                <w:lang w:eastAsia="nl-NL"/>
              </w:rPr>
              <w:t>) Onder de diffuse-emissiegrenswaarde vallen niet de oplosmiddelen die als bestanddeel van een mengsel in een gesloten container worden verkocht.</w:t>
            </w:r>
          </w:p>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3</w:t>
            </w:r>
            <w:r w:rsidRPr="00620047">
              <w:rPr>
                <w:rFonts w:cs="Arial"/>
                <w:b w:val="0"/>
                <w:szCs w:val="18"/>
                <w:lang w:eastAsia="nl-NL"/>
              </w:rPr>
              <w:t>) Dffuse-emissiegrenswaarde bestaande oplosmiddeleninstallatie: 15%</w:t>
            </w:r>
          </w:p>
          <w:p w:rsidR="00296032" w:rsidRPr="00620047" w:rsidRDefault="00296032">
            <w:pPr>
              <w:spacing w:before="100" w:beforeAutospacing="1" w:after="100" w:afterAutospacing="1"/>
              <w:rPr>
                <w:rFonts w:cs="Arial"/>
                <w:b w:val="0"/>
                <w:szCs w:val="18"/>
                <w:lang w:eastAsia="nl-NL"/>
              </w:rPr>
            </w:pPr>
            <w:r w:rsidRPr="00620047">
              <w:rPr>
                <w:rFonts w:cs="Arial"/>
                <w:b w:val="0"/>
                <w:szCs w:val="18"/>
                <w:lang w:eastAsia="nl-NL"/>
              </w:rPr>
              <w:t>(</w:t>
            </w:r>
            <w:r w:rsidRPr="00620047">
              <w:rPr>
                <w:rFonts w:cs="Arial"/>
                <w:b w:val="0"/>
                <w:szCs w:val="18"/>
                <w:vertAlign w:val="superscript"/>
                <w:lang w:eastAsia="nl-NL"/>
              </w:rPr>
              <w:t>4</w:t>
            </w:r>
            <w:r w:rsidRPr="00620047">
              <w:rPr>
                <w:rFonts w:cs="Arial"/>
                <w:b w:val="0"/>
                <w:szCs w:val="18"/>
                <w:lang w:eastAsia="nl-NL"/>
              </w:rPr>
              <w:t xml:space="preserve">) Totale emissiegrenswaarde bestaande oplosmiddeleninstallatie: 15% van de oplosmiddeleninput </w:t>
            </w:r>
          </w:p>
        </w:tc>
      </w:tr>
    </w:tbl>
    <w:p w:rsidR="00296032" w:rsidRPr="00620047" w:rsidRDefault="00296032">
      <w:pPr>
        <w:rPr>
          <w:rFonts w:cs="Arial"/>
          <w:vanish/>
        </w:rPr>
      </w:pPr>
    </w:p>
    <w:p w:rsidR="00296032" w:rsidRPr="00620047" w:rsidRDefault="00296032">
      <w:pPr>
        <w:pStyle w:val="tabelkop"/>
        <w:rPr>
          <w:rFonts w:cs="Arial"/>
        </w:rPr>
      </w:pPr>
      <w:r w:rsidRPr="00620047">
        <w:rPr>
          <w:rFonts w:cs="Arial"/>
        </w:rPr>
        <w:t>Tabel 2.28b</w:t>
      </w:r>
    </w:p>
    <w:tbl>
      <w:tblPr>
        <w:tblStyle w:val="Tabelraster"/>
        <w:tblW w:w="0" w:type="auto"/>
        <w:tblInd w:w="0" w:type="dxa"/>
        <w:tblLook w:val="04A0" w:firstRow="1" w:lastRow="0" w:firstColumn="1" w:lastColumn="0" w:noHBand="0" w:noVBand="1"/>
      </w:tblPr>
      <w:tblGrid>
        <w:gridCol w:w="3154"/>
        <w:gridCol w:w="1262"/>
        <w:gridCol w:w="2338"/>
        <w:gridCol w:w="2431"/>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Activiteit in de voertuigindustrie (drempelwaarde voor oplosmiddelenverbruik in ton/jaar) (</w:t>
            </w:r>
            <w:r w:rsidRPr="00620047">
              <w:rPr>
                <w:vertAlign w:val="superscript"/>
              </w:rPr>
              <w:t>1</w:t>
            </w:r>
            <w:r w:rsidRPr="00620047">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Productie(</w:t>
            </w:r>
            <w:r w:rsidRPr="00620047">
              <w:rPr>
                <w:vertAlign w:val="superscript"/>
              </w:rPr>
              <w:t>2</w:t>
            </w:r>
            <w:r w:rsidRPr="00620047">
              <w:t xml:space="preserve">) </w:t>
            </w:r>
          </w:p>
        </w:tc>
        <w:tc>
          <w:tcPr>
            <w:tcW w:w="0" w:type="auto"/>
            <w:gridSpan w:val="2"/>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Totale emissiegrenswaarde (</w:t>
            </w:r>
            <w:r w:rsidRPr="00620047">
              <w:rPr>
                <w:vertAlign w:val="superscript"/>
              </w:rPr>
              <w:t>3</w:t>
            </w:r>
            <w:r w:rsidRPr="00620047">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Nieuwe oplosmiddeleninstallatie</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Bestaande oplosmiddeleninstallatie (</w:t>
            </w:r>
            <w:r w:rsidRPr="00620047">
              <w:rPr>
                <w:vertAlign w:val="superscript"/>
              </w:rPr>
              <w:t>4</w:t>
            </w:r>
            <w:r w:rsidRPr="00620047">
              <w:t xml:space="preserve">) </w:t>
            </w:r>
          </w:p>
        </w:tc>
      </w:tr>
      <w:tr w:rsidR="00296032" w:rsidRPr="00FE5362">
        <w:trPr>
          <w:cnfStyle w:val="100000000000" w:firstRow="1" w:lastRow="0" w:firstColumn="0" w:lastColumn="0" w:oddVBand="0" w:evenVBand="0" w:oddHBand="0" w:evenHBand="0" w:firstRowFirstColumn="0" w:firstRowLastColumn="0" w:lastRowFirstColumn="0" w:lastRowLastColumn="0"/>
          <w:cantSplit/>
          <w:trHeight w:val="649"/>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Coating nieuwe auto's (&gt; 15)</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&gt; 5000</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C667E9" w:rsidRDefault="00296032">
            <w:pPr>
              <w:pStyle w:val="Tabeltekst"/>
              <w:rPr>
                <w:lang w:val="en-AU"/>
              </w:rPr>
            </w:pPr>
            <w:r w:rsidRPr="00C667E9">
              <w:rPr>
                <w:b w:val="0"/>
                <w:lang w:val="en-AU"/>
              </w:rPr>
              <w:t>45 g/m</w:t>
            </w:r>
            <w:r w:rsidRPr="00C667E9">
              <w:rPr>
                <w:b w:val="0"/>
                <w:vertAlign w:val="superscript"/>
                <w:lang w:val="en-AU"/>
              </w:rPr>
              <w:t>2</w:t>
            </w:r>
            <w:r w:rsidRPr="00C667E9">
              <w:rPr>
                <w:b w:val="0"/>
                <w:lang w:val="en-AU"/>
              </w:rPr>
              <w:t xml:space="preserve"> of</w:t>
            </w:r>
          </w:p>
          <w:p w:rsidR="00296032" w:rsidRPr="00C667E9" w:rsidRDefault="00296032">
            <w:pPr>
              <w:pStyle w:val="Tabeltekst"/>
              <w:rPr>
                <w:lang w:val="en-AU"/>
              </w:rPr>
            </w:pPr>
            <w:r w:rsidRPr="00C667E9">
              <w:rPr>
                <w:b w:val="0"/>
                <w:lang w:val="en-AU"/>
              </w:rPr>
              <w:t>1,3 kg/auto + 33 g/m</w:t>
            </w:r>
            <w:r w:rsidRPr="00C667E9">
              <w:rPr>
                <w:b w:val="0"/>
                <w:vertAlign w:val="superscript"/>
                <w:lang w:val="en-AU"/>
              </w:rPr>
              <w:t>2</w:t>
            </w:r>
            <w:r w:rsidRPr="00C667E9">
              <w:rPr>
                <w:b w:val="0"/>
                <w:lang w:val="en-AU"/>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C667E9" w:rsidRDefault="00296032">
            <w:pPr>
              <w:pStyle w:val="Tabeltekst"/>
              <w:rPr>
                <w:lang w:val="en-AU"/>
              </w:rPr>
            </w:pPr>
            <w:r w:rsidRPr="00C667E9">
              <w:rPr>
                <w:b w:val="0"/>
                <w:lang w:val="en-AU"/>
              </w:rPr>
              <w:t>60 g/m</w:t>
            </w:r>
            <w:r w:rsidRPr="00C667E9">
              <w:rPr>
                <w:b w:val="0"/>
                <w:vertAlign w:val="superscript"/>
                <w:lang w:val="en-AU"/>
              </w:rPr>
              <w:t>2</w:t>
            </w:r>
            <w:r w:rsidRPr="00C667E9">
              <w:rPr>
                <w:b w:val="0"/>
                <w:lang w:val="en-AU"/>
              </w:rPr>
              <w:t xml:space="preserve"> of</w:t>
            </w:r>
          </w:p>
          <w:p w:rsidR="00296032" w:rsidRPr="00C667E9" w:rsidRDefault="00296032">
            <w:pPr>
              <w:pStyle w:val="Tabeltekst"/>
              <w:rPr>
                <w:lang w:val="en-AU"/>
              </w:rPr>
            </w:pPr>
            <w:r w:rsidRPr="00C667E9">
              <w:rPr>
                <w:b w:val="0"/>
                <w:lang w:val="en-AU"/>
              </w:rPr>
              <w:t>1,9 kg/auto + 41 g/m</w:t>
            </w:r>
            <w:r w:rsidRPr="00C667E9">
              <w:rPr>
                <w:b w:val="0"/>
                <w:vertAlign w:val="superscript"/>
                <w:lang w:val="en-AU"/>
              </w:rPr>
              <w:t>2</w:t>
            </w:r>
            <w:r w:rsidRPr="00C667E9">
              <w:rPr>
                <w:b w:val="0"/>
                <w:lang w:val="en-AU"/>
              </w:rPr>
              <w:t xml:space="preserve"> </w:t>
            </w:r>
          </w:p>
        </w:tc>
      </w:tr>
      <w:tr w:rsidR="00296032" w:rsidRPr="00FE5362">
        <w:trPr>
          <w:cnfStyle w:val="100000000000" w:firstRow="1" w:lastRow="0" w:firstColumn="0" w:lastColumn="0" w:oddVBand="0" w:evenVBand="0" w:oddHBand="0" w:evenHBand="0" w:firstRowFirstColumn="0" w:firstRowLastColumn="0" w:lastRowFirstColumn="0" w:lastRowLastColumn="0"/>
          <w:cantSplit/>
          <w:trHeight w:val="883"/>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C667E9" w:rsidRDefault="00296032">
            <w:pPr>
              <w:pStyle w:val="Tabeltekst"/>
              <w:rPr>
                <w:lang w:val="en-AU"/>
              </w:rPr>
            </w:pPr>
            <w:r w:rsidRPr="00C667E9">
              <w:rPr>
                <w:lang w:val="en-AU"/>
              </w:rPr>
              <w:t>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 5000 zelfdragend of</w:t>
            </w:r>
          </w:p>
          <w:p w:rsidR="00296032" w:rsidRPr="00620047" w:rsidRDefault="00296032">
            <w:pPr>
              <w:pStyle w:val="Tabeltekst"/>
            </w:pPr>
            <w:r w:rsidRPr="00620047">
              <w:rPr>
                <w:b w:val="0"/>
              </w:rPr>
              <w:t>&gt; 3500 met chassis</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C667E9" w:rsidRDefault="00296032">
            <w:pPr>
              <w:pStyle w:val="Tabeltekst"/>
              <w:rPr>
                <w:lang w:val="en-AU"/>
              </w:rPr>
            </w:pPr>
            <w:r w:rsidRPr="00C667E9">
              <w:rPr>
                <w:b w:val="0"/>
                <w:lang w:val="en-AU"/>
              </w:rPr>
              <w:t>90 g/m</w:t>
            </w:r>
            <w:r w:rsidRPr="00C667E9">
              <w:rPr>
                <w:b w:val="0"/>
                <w:vertAlign w:val="superscript"/>
                <w:lang w:val="en-AU"/>
              </w:rPr>
              <w:t>2</w:t>
            </w:r>
            <w:r w:rsidRPr="00C667E9">
              <w:rPr>
                <w:b w:val="0"/>
                <w:lang w:val="en-AU"/>
              </w:rPr>
              <w:t xml:space="preserve"> of</w:t>
            </w:r>
          </w:p>
          <w:p w:rsidR="00296032" w:rsidRPr="00C667E9" w:rsidRDefault="00296032">
            <w:pPr>
              <w:pStyle w:val="Tabeltekst"/>
              <w:rPr>
                <w:lang w:val="en-AU"/>
              </w:rPr>
            </w:pPr>
            <w:r w:rsidRPr="00C667E9">
              <w:rPr>
                <w:b w:val="0"/>
                <w:lang w:val="en-AU"/>
              </w:rPr>
              <w:t>1,5 kg/auto + 70 g/m</w:t>
            </w:r>
            <w:r w:rsidRPr="00C667E9">
              <w:rPr>
                <w:b w:val="0"/>
                <w:vertAlign w:val="superscript"/>
                <w:lang w:val="en-AU"/>
              </w:rPr>
              <w:t>2</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C667E9" w:rsidRDefault="00296032">
            <w:pPr>
              <w:pStyle w:val="Tabeltekst"/>
              <w:rPr>
                <w:lang w:val="en-AU"/>
              </w:rPr>
            </w:pPr>
            <w:r w:rsidRPr="00C667E9">
              <w:rPr>
                <w:b w:val="0"/>
                <w:lang w:val="en-AU"/>
              </w:rPr>
              <w:t>90 g/m</w:t>
            </w:r>
            <w:r w:rsidRPr="00C667E9">
              <w:rPr>
                <w:b w:val="0"/>
                <w:vertAlign w:val="superscript"/>
                <w:lang w:val="en-AU"/>
              </w:rPr>
              <w:t>2</w:t>
            </w:r>
            <w:r w:rsidRPr="00C667E9">
              <w:rPr>
                <w:b w:val="0"/>
                <w:lang w:val="en-AU"/>
              </w:rPr>
              <w:t xml:space="preserve"> of</w:t>
            </w:r>
          </w:p>
          <w:p w:rsidR="00296032" w:rsidRPr="00C667E9" w:rsidRDefault="00296032">
            <w:pPr>
              <w:pStyle w:val="Tabeltekst"/>
              <w:rPr>
                <w:lang w:val="en-AU"/>
              </w:rPr>
            </w:pPr>
            <w:r w:rsidRPr="00C667E9">
              <w:rPr>
                <w:b w:val="0"/>
                <w:lang w:val="en-AU"/>
              </w:rPr>
              <w:t>1,5 kg/auto + 70 g/m</w:t>
            </w:r>
            <w:r w:rsidRPr="00C667E9">
              <w:rPr>
                <w:b w:val="0"/>
                <w:vertAlign w:val="superscript"/>
                <w:lang w:val="en-AU"/>
              </w:rPr>
              <w:t>2</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Coating van nieuwe vrachtwagencabines (&gt; 15)</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 xml:space="preserve">≤ 5000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65 g/m</w:t>
            </w:r>
            <w:r w:rsidRPr="00620047">
              <w:rPr>
                <w:b w:val="0"/>
                <w:vertAlign w:val="superscript"/>
              </w:rPr>
              <w:t>2</w:t>
            </w:r>
            <w:r w:rsidRPr="00620047">
              <w:rPr>
                <w:b w:val="0"/>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85 g/m</w:t>
            </w:r>
            <w:r w:rsidRPr="00620047">
              <w:rPr>
                <w:b w:val="0"/>
                <w:vertAlign w:val="superscript"/>
              </w:rPr>
              <w:t>2</w:t>
            </w:r>
            <w:r w:rsidRPr="00620047">
              <w:rPr>
                <w:b w:val="0"/>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szCs w:val="17"/>
                <w:lang w:eastAsia="en-US"/>
              </w:rPr>
            </w:pP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&gt; 5000</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55 g/m</w:t>
            </w:r>
            <w:r w:rsidRPr="00620047">
              <w:rPr>
                <w:b w:val="0"/>
                <w:vertAlign w:val="superscript"/>
              </w:rPr>
              <w:t>2</w:t>
            </w:r>
            <w:r w:rsidRPr="00620047">
              <w:rPr>
                <w:b w:val="0"/>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75 g/m</w:t>
            </w:r>
            <w:r w:rsidRPr="00620047">
              <w:rPr>
                <w:b w:val="0"/>
                <w:vertAlign w:val="superscript"/>
              </w:rPr>
              <w:t>2</w:t>
            </w:r>
            <w:r w:rsidRPr="00620047">
              <w:rPr>
                <w:b w:val="0"/>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Coating van nieuwe bestelwagens en vrachtwagens (&gt; 15)</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 xml:space="preserve">≤ 2500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90 g/m</w:t>
            </w:r>
            <w:r w:rsidRPr="00620047">
              <w:rPr>
                <w:b w:val="0"/>
                <w:vertAlign w:val="superscript"/>
              </w:rPr>
              <w:t>2</w:t>
            </w:r>
            <w:r w:rsidRPr="00620047">
              <w:rPr>
                <w:b w:val="0"/>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120 g/m</w:t>
            </w:r>
            <w:r w:rsidRPr="00620047">
              <w:rPr>
                <w:b w:val="0"/>
                <w:vertAlign w:val="superscript"/>
              </w:rPr>
              <w:t>2</w:t>
            </w:r>
            <w:r w:rsidRPr="00620047">
              <w:rPr>
                <w:b w:val="0"/>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szCs w:val="17"/>
                <w:lang w:eastAsia="en-US"/>
              </w:rPr>
            </w:pP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&gt; 2500</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70 g/m</w:t>
            </w:r>
            <w:r w:rsidRPr="00620047">
              <w:rPr>
                <w:b w:val="0"/>
                <w:vertAlign w:val="superscript"/>
              </w:rPr>
              <w:t>2</w:t>
            </w:r>
            <w:r w:rsidRPr="00620047">
              <w:rPr>
                <w:b w:val="0"/>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90 g/m</w:t>
            </w:r>
            <w:r w:rsidRPr="00620047">
              <w:rPr>
                <w:b w:val="0"/>
                <w:vertAlign w:val="superscript"/>
              </w:rPr>
              <w:t>2</w:t>
            </w:r>
            <w:r w:rsidRPr="00620047">
              <w:rPr>
                <w:b w:val="0"/>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Coating van nieuwe bussen (&gt; 15)</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 xml:space="preserve">≤ 2000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210 g/m</w:t>
            </w:r>
            <w:r w:rsidRPr="00620047">
              <w:rPr>
                <w:b w:val="0"/>
                <w:vertAlign w:val="superscript"/>
              </w:rPr>
              <w:t>2</w:t>
            </w:r>
            <w:r w:rsidRPr="00620047">
              <w:rPr>
                <w:b w:val="0"/>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290 g/m</w:t>
            </w:r>
            <w:r w:rsidRPr="00620047">
              <w:rPr>
                <w:b w:val="0"/>
                <w:vertAlign w:val="superscript"/>
              </w:rPr>
              <w:t>2</w:t>
            </w:r>
            <w:r w:rsidRPr="00620047">
              <w:rPr>
                <w:b w:val="0"/>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szCs w:val="17"/>
                <w:lang w:eastAsia="en-US"/>
              </w:rPr>
            </w:pP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&gt; 2000</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150 g/m</w:t>
            </w:r>
            <w:r w:rsidRPr="00620047">
              <w:rPr>
                <w:b w:val="0"/>
                <w:vertAlign w:val="superscript"/>
              </w:rPr>
              <w:t>2</w:t>
            </w:r>
            <w:r w:rsidRPr="00620047">
              <w:rPr>
                <w:b w:val="0"/>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225 g/m</w:t>
            </w:r>
            <w:r w:rsidRPr="00620047">
              <w:rPr>
                <w:b w:val="0"/>
                <w:vertAlign w:val="superscript"/>
              </w:rPr>
              <w:t>2</w:t>
            </w:r>
            <w:r w:rsidRPr="00620047">
              <w:rPr>
                <w:b w:val="0"/>
              </w:rPr>
              <w:t xml:space="preserve"> </w:t>
            </w:r>
          </w:p>
        </w:tc>
      </w:tr>
    </w:tbl>
    <w:p w:rsidR="00296032" w:rsidRPr="00620047" w:rsidRDefault="00296032">
      <w:pPr>
        <w:pStyle w:val="artplatletter"/>
        <w:rPr>
          <w:lang w:eastAsia="nl-NL"/>
        </w:rPr>
      </w:pPr>
      <w:r w:rsidRPr="00620047">
        <w:rPr>
          <w:lang w:eastAsia="nl-NL"/>
        </w:rPr>
        <w:t>(</w:t>
      </w:r>
      <w:r w:rsidRPr="00620047">
        <w:rPr>
          <w:vertAlign w:val="superscript"/>
          <w:lang w:eastAsia="nl-NL"/>
        </w:rPr>
        <w:t>1</w:t>
      </w:r>
      <w:r w:rsidRPr="00620047">
        <w:rPr>
          <w:lang w:eastAsia="nl-NL"/>
        </w:rPr>
        <w:t>)</w:t>
      </w:r>
      <w:r w:rsidRPr="00620047">
        <w:rPr>
          <w:lang w:eastAsia="nl-NL"/>
        </w:rPr>
        <w:tab/>
        <w:t>Oplosmiddeleninstallaties voor de coating van voertuigen beneden de in deze tabel vermelde drempelwaarden voor het oplosmiddelenverbruik voldoen aan de in tabel 2.28a, onderdeel 6, vermelde eisen voor coating of overspuiten van voertuigen.</w:t>
      </w:r>
    </w:p>
    <w:p w:rsidR="00296032" w:rsidRPr="00620047" w:rsidRDefault="00296032">
      <w:pPr>
        <w:pStyle w:val="artplatletter"/>
        <w:rPr>
          <w:lang w:eastAsia="nl-NL"/>
        </w:rPr>
      </w:pPr>
      <w:r w:rsidRPr="00620047">
        <w:rPr>
          <w:lang w:eastAsia="nl-NL"/>
        </w:rPr>
        <w:t>(</w:t>
      </w:r>
      <w:r w:rsidRPr="00620047">
        <w:rPr>
          <w:vertAlign w:val="superscript"/>
          <w:lang w:eastAsia="nl-NL"/>
        </w:rPr>
        <w:t>2</w:t>
      </w:r>
      <w:r w:rsidRPr="00620047">
        <w:rPr>
          <w:lang w:eastAsia="nl-NL"/>
        </w:rPr>
        <w:t>)</w:t>
      </w:r>
      <w:r w:rsidRPr="00620047">
        <w:rPr>
          <w:lang w:eastAsia="nl-NL"/>
        </w:rPr>
        <w:tab/>
        <w:t>Geldt voor de jaarlijkse productie van gecoat materiaal.</w:t>
      </w:r>
    </w:p>
    <w:p w:rsidR="00296032" w:rsidRPr="00620047" w:rsidRDefault="00296032">
      <w:pPr>
        <w:pStyle w:val="artplatletter"/>
        <w:rPr>
          <w:lang w:eastAsia="nl-NL"/>
        </w:rPr>
      </w:pPr>
      <w:r w:rsidRPr="00620047">
        <w:rPr>
          <w:lang w:eastAsia="nl-NL"/>
        </w:rPr>
        <w:t>(</w:t>
      </w:r>
      <w:r w:rsidRPr="00620047">
        <w:rPr>
          <w:vertAlign w:val="superscript"/>
          <w:lang w:eastAsia="nl-NL"/>
        </w:rPr>
        <w:t>3</w:t>
      </w:r>
      <w:r w:rsidRPr="00620047">
        <w:rPr>
          <w:lang w:eastAsia="nl-NL"/>
        </w:rPr>
        <w:t>)</w:t>
      </w:r>
      <w:r w:rsidRPr="00620047">
        <w:rPr>
          <w:lang w:eastAsia="nl-NL"/>
        </w:rPr>
        <w:tab/>
        <w:t>De totale emissiegrenswaarden zijn uitgedrukt in gram uitgestoten oplosmiddel per m² vervaardigd product en in kilogram uitgestoten oplosmiddel per carrosserie.</w:t>
      </w:r>
    </w:p>
    <w:p w:rsidR="00296032" w:rsidRPr="00620047" w:rsidRDefault="00296032">
      <w:pPr>
        <w:pStyle w:val="artplatletter"/>
        <w:rPr>
          <w:lang w:eastAsia="nl-NL"/>
        </w:rPr>
      </w:pPr>
      <w:r w:rsidRPr="00620047">
        <w:rPr>
          <w:lang w:eastAsia="nl-NL"/>
        </w:rPr>
        <w:tab/>
        <w:t>Het oppervlak van de vermelde producten wordt als volgt gedefinieerd: het berekende oppervlak van het totale elektroforetisch coatingvlak en het oppervlak van delen die eventueel in latere fasen van het coatingproces worden toegevoegd en met dezelfde coating worden bekleed als voor het desbetreffende product wordt gebruikt, of het totale oppervlak van het in de installatie gecoate product.</w:t>
      </w:r>
    </w:p>
    <w:p w:rsidR="00296032" w:rsidRPr="00620047" w:rsidRDefault="00296032">
      <w:pPr>
        <w:pStyle w:val="artplatletter"/>
        <w:rPr>
          <w:lang w:eastAsia="nl-NL"/>
        </w:rPr>
      </w:pPr>
      <w:r w:rsidRPr="00620047">
        <w:rPr>
          <w:lang w:eastAsia="nl-NL"/>
        </w:rPr>
        <w:tab/>
        <w:t>Het oppervlak van het elektroforetisch coatingvlak wordt berekend met de volgende formule:</w:t>
      </w:r>
    </w:p>
    <w:p w:rsidR="00296032" w:rsidRPr="00620047" w:rsidRDefault="00296032">
      <w:pPr>
        <w:pStyle w:val="artplatletter"/>
        <w:rPr>
          <w:lang w:eastAsia="nl-NL"/>
        </w:rPr>
      </w:pPr>
    </w:p>
    <w:tbl>
      <w:tblPr>
        <w:tblW w:w="0" w:type="auto"/>
        <w:tblInd w:w="1526" w:type="dxa"/>
        <w:tblLook w:val="04A0" w:firstRow="1" w:lastRow="0" w:firstColumn="1" w:lastColumn="0" w:noHBand="0" w:noVBand="1"/>
      </w:tblPr>
      <w:tblGrid>
        <w:gridCol w:w="5103"/>
      </w:tblGrid>
      <w:tr w:rsidR="00296032" w:rsidRPr="00620047">
        <w:tc>
          <w:tcPr>
            <w:tcW w:w="5103" w:type="dxa"/>
            <w:tcBorders>
              <w:top w:val="nil"/>
              <w:left w:val="nil"/>
              <w:bottom w:val="single" w:sz="4" w:space="0" w:color="7F7F7F" w:themeColor="text1" w:themeTint="80"/>
              <w:right w:val="nil"/>
            </w:tcBorders>
            <w:hideMark/>
          </w:tcPr>
          <w:p w:rsidR="00296032" w:rsidRPr="00620047" w:rsidRDefault="00296032">
            <w:pPr>
              <w:pStyle w:val="artplatletter"/>
              <w:ind w:left="0" w:firstLine="0"/>
              <w:jc w:val="center"/>
              <w:rPr>
                <w:lang w:eastAsia="nl-NL"/>
              </w:rPr>
            </w:pPr>
            <w:r w:rsidRPr="00620047">
              <w:rPr>
                <w:iCs/>
                <w:lang w:eastAsia="nl-NL"/>
              </w:rPr>
              <w:t xml:space="preserve"> (2 maal gewicht product zonder coating) </w:t>
            </w:r>
          </w:p>
        </w:tc>
      </w:tr>
      <w:tr w:rsidR="00296032" w:rsidRPr="00620047">
        <w:tc>
          <w:tcPr>
            <w:tcW w:w="5103" w:type="dxa"/>
            <w:tcBorders>
              <w:top w:val="single" w:sz="4" w:space="0" w:color="7F7F7F" w:themeColor="text1" w:themeTint="80"/>
              <w:left w:val="nil"/>
              <w:bottom w:val="nil"/>
              <w:right w:val="nil"/>
            </w:tcBorders>
            <w:hideMark/>
          </w:tcPr>
          <w:p w:rsidR="00296032" w:rsidRPr="00620047" w:rsidRDefault="00296032">
            <w:pPr>
              <w:pStyle w:val="artplatletter"/>
              <w:ind w:left="0" w:firstLine="0"/>
              <w:jc w:val="center"/>
              <w:rPr>
                <w:lang w:eastAsia="nl-NL"/>
              </w:rPr>
            </w:pPr>
            <w:r w:rsidRPr="00620047">
              <w:rPr>
                <w:lang w:eastAsia="nl-NL"/>
              </w:rPr>
              <w:t>(gemiddelde dikte metaalplaat x dichtheid metaalplaat)</w:t>
            </w:r>
          </w:p>
        </w:tc>
      </w:tr>
    </w:tbl>
    <w:p w:rsidR="00296032" w:rsidRPr="00620047" w:rsidRDefault="00296032">
      <w:pPr>
        <w:pStyle w:val="artplatletter"/>
        <w:rPr>
          <w:lang w:eastAsia="nl-NL"/>
        </w:rPr>
      </w:pPr>
    </w:p>
    <w:p w:rsidR="00296032" w:rsidRPr="00620047" w:rsidRDefault="00296032">
      <w:pPr>
        <w:pStyle w:val="artplatletter"/>
        <w:rPr>
          <w:lang w:eastAsia="nl-NL"/>
        </w:rPr>
      </w:pPr>
      <w:r w:rsidRPr="00620047">
        <w:rPr>
          <w:lang w:eastAsia="nl-NL"/>
        </w:rPr>
        <w:tab/>
        <w:t>Deze methode wordt ook gebruikt voor andere gecoate onderdelen van metaalplaat.</w:t>
      </w:r>
    </w:p>
    <w:p w:rsidR="00296032" w:rsidRPr="00620047" w:rsidRDefault="00296032">
      <w:pPr>
        <w:pStyle w:val="artplatletter"/>
        <w:rPr>
          <w:lang w:eastAsia="nl-NL"/>
        </w:rPr>
      </w:pPr>
      <w:r w:rsidRPr="00620047">
        <w:rPr>
          <w:lang w:eastAsia="nl-NL"/>
        </w:rPr>
        <w:tab/>
        <w:t>Voor de berekening van het oppervlak van de andere toegevoegde delen of het totale in de installatie gecoate oppervlak wordt gebruikgemaakt van CAD (computergesteund ontwerp) of andere gelijkwaardige methoden.</w:t>
      </w:r>
    </w:p>
    <w:p w:rsidR="00296032" w:rsidRPr="00620047" w:rsidRDefault="00296032">
      <w:pPr>
        <w:pStyle w:val="artplatletter"/>
        <w:rPr>
          <w:lang w:eastAsia="nl-NL"/>
        </w:rPr>
      </w:pPr>
      <w:r w:rsidRPr="00620047">
        <w:rPr>
          <w:lang w:eastAsia="nl-NL"/>
        </w:rPr>
        <w:tab/>
        <w:t>De totale emissiegrenswaarden hebben betrekking op alle procesfasen die in dezelfde installatie worden uitgevoerd vanaf elektroforetische coating of een ander soort coatingproces tot en met het uiteindelijke in de was zetten en polijsten van de toplaag, alsmede de oplosmiddelen die bij het reinigen van procesapparatuur worden gebruikt, met inbegrip van spuitcabines en andere vaste apparatuur, zowel tijdens als buiten de productiefase.</w:t>
      </w:r>
    </w:p>
    <w:p w:rsidR="00296032" w:rsidRPr="00620047" w:rsidRDefault="00296032">
      <w:pPr>
        <w:pStyle w:val="artplatletter"/>
        <w:rPr>
          <w:lang w:eastAsia="nl-NL"/>
        </w:rPr>
      </w:pPr>
      <w:r w:rsidRPr="00620047">
        <w:rPr>
          <w:lang w:eastAsia="nl-NL"/>
        </w:rPr>
        <w:t>(</w:t>
      </w:r>
      <w:r w:rsidRPr="00620047">
        <w:rPr>
          <w:vertAlign w:val="superscript"/>
          <w:lang w:eastAsia="nl-NL"/>
        </w:rPr>
        <w:t>4</w:t>
      </w:r>
      <w:r w:rsidRPr="00620047">
        <w:rPr>
          <w:lang w:eastAsia="nl-NL"/>
        </w:rPr>
        <w:t>)</w:t>
      </w:r>
      <w:r w:rsidRPr="00620047">
        <w:rPr>
          <w:lang w:eastAsia="nl-NL"/>
        </w:rPr>
        <w:tab/>
        <w:t xml:space="preserve"> In deze tabel wordt onder bestaande oplosmiddeleninstallatie verstaan: een oplosmiddeleninstallatie die op 1 april 2002 in werking was.</w:t>
      </w:r>
    </w:p>
    <w:p w:rsidR="00296032" w:rsidRPr="00296032" w:rsidRDefault="00296032">
      <w:pPr>
        <w:pStyle w:val="artikelkop"/>
        <w:rPr>
          <w:rFonts w:cs="Arial"/>
        </w:rPr>
      </w:pPr>
      <w:r w:rsidRPr="00296032">
        <w:rPr>
          <w:rFonts w:cs="Arial"/>
        </w:rPr>
        <w:t>Artikel 2.29</w:t>
      </w:r>
    </w:p>
    <w:p w:rsidR="00296032" w:rsidRPr="00620047" w:rsidRDefault="00296032">
      <w:pPr>
        <w:pStyle w:val="art1enivo"/>
        <w:rPr>
          <w:rFonts w:cs="Arial"/>
        </w:rPr>
      </w:pPr>
      <w:r w:rsidRPr="00620047">
        <w:rPr>
          <w:rFonts w:cs="Arial"/>
        </w:rPr>
        <w:t>1.</w:t>
      </w:r>
      <w:r w:rsidRPr="00620047">
        <w:rPr>
          <w:rFonts w:cs="Arial"/>
        </w:rPr>
        <w:tab/>
        <w:t>Bij het in werking hebben van een oplosmiddeleninstallatie worden:</w:t>
      </w:r>
    </w:p>
    <w:p w:rsidR="00296032" w:rsidRPr="00620047" w:rsidRDefault="00296032">
      <w:pPr>
        <w:pStyle w:val="art2enivo"/>
        <w:rPr>
          <w:rFonts w:cs="Arial"/>
        </w:rPr>
      </w:pPr>
      <w:r w:rsidRPr="00620047">
        <w:rPr>
          <w:rFonts w:cs="Arial"/>
        </w:rPr>
        <w:t>a.</w:t>
      </w:r>
      <w:r w:rsidRPr="00620047">
        <w:rPr>
          <w:rFonts w:cs="Arial"/>
        </w:rPr>
        <w:tab/>
        <w:t>de emissiegrenswaarden en de diffuse-emissiegrenswaarden van tabel 2.28a en tabel 2.28b niet overschreden, of</w:t>
      </w:r>
    </w:p>
    <w:p w:rsidR="00296032" w:rsidRPr="00620047" w:rsidRDefault="00296032">
      <w:pPr>
        <w:pStyle w:val="art2enivo"/>
        <w:rPr>
          <w:rFonts w:cs="Arial"/>
        </w:rPr>
      </w:pPr>
      <w:r w:rsidRPr="00620047">
        <w:rPr>
          <w:rFonts w:cs="Arial"/>
        </w:rPr>
        <w:t>b.</w:t>
      </w:r>
      <w:r w:rsidRPr="00620047">
        <w:rPr>
          <w:rFonts w:cs="Arial"/>
        </w:rPr>
        <w:tab/>
        <w:t>de totale emissiegrenswaarden van tabel 2.28a en tabel 2.28b niet overschreden.</w:t>
      </w:r>
    </w:p>
    <w:p w:rsidR="00296032" w:rsidRPr="00620047" w:rsidRDefault="00296032">
      <w:pPr>
        <w:pStyle w:val="art1enivo"/>
        <w:rPr>
          <w:rFonts w:cs="Arial"/>
        </w:rPr>
      </w:pPr>
      <w:r w:rsidRPr="00620047">
        <w:rPr>
          <w:rFonts w:cs="Arial"/>
        </w:rPr>
        <w:t>2.</w:t>
      </w:r>
      <w:r w:rsidRPr="00620047">
        <w:rPr>
          <w:rFonts w:cs="Arial"/>
        </w:rPr>
        <w:tab/>
        <w:t>Het eerste lid is niet van toepassing indien wordt voldaan aan een reductieprogramma waarmee een emissiebeperking wordt bereikt die gelijkwaardig is aan die welke bij toepassing van de in het eerste lid, onder a of b, bedoelde waarden zou zijn bereikt.</w:t>
      </w:r>
    </w:p>
    <w:p w:rsidR="00296032" w:rsidRPr="00620047" w:rsidRDefault="00296032">
      <w:pPr>
        <w:pStyle w:val="art1enivo"/>
        <w:rPr>
          <w:rFonts w:cs="Arial"/>
        </w:rPr>
      </w:pPr>
      <w:r w:rsidRPr="00620047">
        <w:rPr>
          <w:rFonts w:cs="Arial"/>
        </w:rPr>
        <w:t>3.</w:t>
      </w:r>
      <w:r w:rsidRPr="00620047">
        <w:rPr>
          <w:rFonts w:cs="Arial"/>
        </w:rPr>
        <w:tab/>
        <w:t>Indien een bestaande oplosmiddeleninstallatie als bedoeld in artikel 2.28 een verandering als bedoeld in artikel 1.10, tweede lid, of artikel 2.1, eerste lid, onder e, onder 2</w:t>
      </w:r>
      <w:r w:rsidRPr="00620047">
        <w:rPr>
          <w:rFonts w:cs="Arial"/>
          <w:position w:val="5"/>
        </w:rPr>
        <w:t>°</w:t>
      </w:r>
      <w:r w:rsidRPr="00620047">
        <w:rPr>
          <w:rFonts w:cs="Arial"/>
        </w:rPr>
        <w:t>, van de Wet algemene bepalingen omgevingsrecht ondergaat of na een verandering voor het eerst onder deze afdeling valt, wordt dat deel van de oplosmiddeleninstallatie dat de verandering heeft ondergaan aangemerkt als nieuwe oplosmiddeleninstallatie. De eerste volzin is niet van toepassing indien de totale emissies van de oplosmiddeleninstallatie niet hoger zijn dan indien het deel dat de verandering heeft ondergaan als een nieuwe oplosmiddeleninstallatie zou zijn aangemerkt.</w:t>
      </w:r>
    </w:p>
    <w:p w:rsidR="00296032" w:rsidRPr="00620047" w:rsidRDefault="00296032">
      <w:pPr>
        <w:pStyle w:val="art1enivo"/>
        <w:rPr>
          <w:rFonts w:cs="Arial"/>
        </w:rPr>
      </w:pPr>
      <w:r w:rsidRPr="00620047">
        <w:rPr>
          <w:rFonts w:cs="Arial"/>
        </w:rPr>
        <w:t>4.</w:t>
      </w:r>
      <w:r w:rsidRPr="00620047">
        <w:rPr>
          <w:rFonts w:cs="Arial"/>
        </w:rPr>
        <w:tab/>
        <w:t>Indien degene die een inrichting drijft waartoe een oplosmiddeleninstallatie behoort, aantoont dat het voldoen aan de diffuse-emissiegrenswaarde technisch en economisch niet haalbaar is voor die oplosmiddeleninstallatie, kan het bevoegd gezag bij maatwerkvoorschrift een andere diffuse-emissiegrenswaarde vaststellen.</w:t>
      </w:r>
    </w:p>
    <w:p w:rsidR="00296032" w:rsidRPr="00620047" w:rsidRDefault="00296032">
      <w:pPr>
        <w:pStyle w:val="art1enivo"/>
        <w:rPr>
          <w:rFonts w:cs="Arial"/>
        </w:rPr>
      </w:pPr>
      <w:r w:rsidRPr="00620047">
        <w:rPr>
          <w:rFonts w:cs="Arial"/>
        </w:rPr>
        <w:t>5.</w:t>
      </w:r>
      <w:r w:rsidRPr="00620047">
        <w:rPr>
          <w:rFonts w:cs="Arial"/>
        </w:rPr>
        <w:tab/>
        <w:t>Voor coatingprocessen als bedoeld in tabel 2.28a, onderdeel 8, kan het bevoegd gezag bij maatwerkvoorschrift voor de oplosmiddeleninstallatie andere emissiegrenswaarden of diffuse-emissiegrenswaarden vaststellen dan die welke gelden op grond van het eerste lid, indien:</w:t>
      </w:r>
    </w:p>
    <w:p w:rsidR="00296032" w:rsidRPr="00620047" w:rsidRDefault="00296032">
      <w:pPr>
        <w:pStyle w:val="art2enivo"/>
        <w:rPr>
          <w:rFonts w:cs="Arial"/>
        </w:rPr>
      </w:pPr>
      <w:r w:rsidRPr="00620047">
        <w:rPr>
          <w:rFonts w:cs="Arial"/>
        </w:rPr>
        <w:t>a.</w:t>
      </w:r>
      <w:r w:rsidRPr="00620047">
        <w:rPr>
          <w:rFonts w:cs="Arial"/>
        </w:rPr>
        <w:tab/>
        <w:t>de vrijkomende vluchtige organische stoffen niet beheerst kunnen worden afgevangen of uitgestoten, en</w:t>
      </w:r>
    </w:p>
    <w:p w:rsidR="00296032" w:rsidRPr="00620047" w:rsidRDefault="00296032">
      <w:pPr>
        <w:pStyle w:val="art2enivo"/>
        <w:rPr>
          <w:rFonts w:cs="Arial"/>
        </w:rPr>
      </w:pPr>
      <w:r w:rsidRPr="00620047">
        <w:rPr>
          <w:rFonts w:cs="Arial"/>
        </w:rPr>
        <w:t>b.</w:t>
      </w:r>
      <w:r w:rsidRPr="00620047">
        <w:rPr>
          <w:rFonts w:cs="Arial"/>
        </w:rPr>
        <w:tab/>
        <w:t>degene die de inrichting drijft waartoe de oplosmiddeleninstallatie behoort, aantoont dat het voldoen aan de verplichtingen uit het eerste lid technisch en economisch niet haalbaar is.</w:t>
      </w:r>
    </w:p>
    <w:p w:rsidR="00296032" w:rsidRPr="00296032" w:rsidRDefault="00296032">
      <w:pPr>
        <w:pStyle w:val="artikelkop"/>
        <w:rPr>
          <w:rFonts w:cs="Arial"/>
        </w:rPr>
      </w:pPr>
      <w:r w:rsidRPr="00296032">
        <w:rPr>
          <w:rFonts w:cs="Arial"/>
        </w:rPr>
        <w:t>Artikel 2.30</w:t>
      </w:r>
    </w:p>
    <w:p w:rsidR="00296032" w:rsidRPr="00620047" w:rsidRDefault="00296032">
      <w:pPr>
        <w:pStyle w:val="art1enivo"/>
        <w:rPr>
          <w:rFonts w:cs="Arial"/>
        </w:rPr>
      </w:pPr>
      <w:r w:rsidRPr="00620047">
        <w:rPr>
          <w:rFonts w:cs="Arial"/>
        </w:rPr>
        <w:t>1.</w:t>
      </w:r>
      <w:r w:rsidRPr="00620047">
        <w:rPr>
          <w:rFonts w:cs="Arial"/>
        </w:rPr>
        <w:tab/>
        <w:t>Stoffen of mengsels waaraan een of meer van de gevarenaanduidingen H340, H350, H350i, H360D of H360F of de risicozinnen R45, R46, R49, R60 en R61 is of zijn toegekend of die van deze aanduidingen moeten zijn voorzien wegens hun gehalte aan vluchtige organische stoffen die krachtens de EG-verordening indeling, etikettering en verpakking van stoffen en mengsels als kankerverwekkend, mutageen of giftig voor de voortplanting zijn ingedeeld, worden voor zover mogelijk binnen zo kort mogelijke tijd vervangen door naar hun aard minder schadelijke stoffen of mengsels.</w:t>
      </w:r>
    </w:p>
    <w:p w:rsidR="00296032" w:rsidRPr="00620047" w:rsidRDefault="00296032">
      <w:pPr>
        <w:pStyle w:val="art1enivo"/>
        <w:rPr>
          <w:rFonts w:cs="Arial"/>
        </w:rPr>
      </w:pPr>
      <w:r w:rsidRPr="00620047">
        <w:rPr>
          <w:rFonts w:cs="Arial"/>
        </w:rPr>
        <w:t>2.</w:t>
      </w:r>
      <w:r w:rsidRPr="00620047">
        <w:rPr>
          <w:rFonts w:cs="Arial"/>
        </w:rPr>
        <w:tab/>
        <w:t>De emissies van:</w:t>
      </w:r>
    </w:p>
    <w:p w:rsidR="00296032" w:rsidRPr="00620047" w:rsidRDefault="00296032">
      <w:pPr>
        <w:pStyle w:val="art2enivo"/>
        <w:rPr>
          <w:rFonts w:cs="Arial"/>
        </w:rPr>
      </w:pPr>
      <w:r w:rsidRPr="00620047">
        <w:rPr>
          <w:rFonts w:cs="Arial"/>
        </w:rPr>
        <w:t>a.</w:t>
      </w:r>
      <w:r w:rsidRPr="00620047">
        <w:rPr>
          <w:rFonts w:cs="Arial"/>
        </w:rPr>
        <w:tab/>
        <w:t>vluchtige organische stoffen als bedoeld in het eerste lid en</w:t>
      </w:r>
    </w:p>
    <w:p w:rsidR="00296032" w:rsidRPr="00620047" w:rsidRDefault="00296032">
      <w:pPr>
        <w:pStyle w:val="art2enivo"/>
        <w:rPr>
          <w:rFonts w:cs="Arial"/>
        </w:rPr>
      </w:pPr>
      <w:r w:rsidRPr="00620047">
        <w:rPr>
          <w:rFonts w:cs="Arial"/>
        </w:rPr>
        <w:t>b.</w:t>
      </w:r>
      <w:r w:rsidRPr="00620047">
        <w:rPr>
          <w:rFonts w:cs="Arial"/>
        </w:rPr>
        <w:tab/>
        <w:t>gehalogeneerde vluchtige organische stoffen waaraan de gevarenaanduidingen H341 of H351 of de risicozinnen R40 of R68 zijn toegekend, of die van deze aanduidingen moeten zijn voorzien,</w:t>
      </w:r>
    </w:p>
    <w:p w:rsidR="00296032" w:rsidRPr="00620047" w:rsidRDefault="00296032">
      <w:pPr>
        <w:pStyle w:val="artplatletter"/>
        <w:rPr>
          <w:rFonts w:cs="Arial"/>
        </w:rPr>
      </w:pPr>
      <w:r w:rsidRPr="00620047">
        <w:rPr>
          <w:rFonts w:cs="Arial"/>
        </w:rPr>
        <w:tab/>
        <w:t>overschrijden de emissiegrenswaarden van tabel 2.30 niet. De emissiegrenswaarden gelden voor de totale massa van de betrokken stoffen.</w:t>
      </w:r>
    </w:p>
    <w:p w:rsidR="00296032" w:rsidRPr="00620047" w:rsidRDefault="00296032">
      <w:pPr>
        <w:pStyle w:val="tabelkop"/>
      </w:pPr>
      <w:r w:rsidRPr="00620047">
        <w:t>Tabel 2.30</w:t>
      </w:r>
    </w:p>
    <w:tbl>
      <w:tblPr>
        <w:tblStyle w:val="Tabelraster"/>
        <w:tblW w:w="5000" w:type="pct"/>
        <w:tblInd w:w="0" w:type="dxa"/>
        <w:tblLook w:val="04A0" w:firstRow="1" w:lastRow="0" w:firstColumn="1" w:lastColumn="0" w:noHBand="0" w:noVBand="1"/>
      </w:tblPr>
      <w:tblGrid>
        <w:gridCol w:w="6005"/>
        <w:gridCol w:w="1275"/>
        <w:gridCol w:w="1905"/>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Default"/>
            </w:pPr>
            <w:r w:rsidRPr="00620047">
              <w:t>Stoffen of mengsels</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Default"/>
            </w:pPr>
            <w:r w:rsidRPr="00620047">
              <w:t>Massastroom</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Default"/>
            </w:pPr>
            <w:r w:rsidRPr="00620047">
              <w:t>Emissiegrenswaarde</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Default"/>
            </w:pPr>
            <w:r w:rsidRPr="00620047">
              <w:rPr>
                <w:b w:val="0"/>
              </w:rPr>
              <w:t>H340, H350, H350i, H360D of H360F of R45, R46, R49, R60 en R61 en verplichte etikettering</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7E088F">
            <w:pPr>
              <w:pStyle w:val="Default"/>
            </w:pPr>
            <w:r w:rsidRPr="007E088F">
              <w:rPr>
                <w:b w:val="0"/>
              </w:rPr>
              <w:t>≥</w:t>
            </w:r>
            <w:r w:rsidR="00296032" w:rsidRPr="00620047">
              <w:rPr>
                <w:b w:val="0"/>
              </w:rPr>
              <w:t>10 g/uur</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Default"/>
            </w:pPr>
            <w:r w:rsidRPr="00620047">
              <w:rPr>
                <w:b w:val="0"/>
              </w:rPr>
              <w:t>2 mg/Nm³</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Default"/>
            </w:pPr>
            <w:r w:rsidRPr="00620047">
              <w:rPr>
                <w:b w:val="0"/>
              </w:rPr>
              <w:t>H341 of H351 of R40 of R68 en verplichte etikettering</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7E088F">
            <w:pPr>
              <w:pStyle w:val="Default"/>
            </w:pPr>
            <w:r w:rsidRPr="007E088F">
              <w:rPr>
                <w:b w:val="0"/>
              </w:rPr>
              <w:t>≥</w:t>
            </w:r>
            <w:r w:rsidR="00296032" w:rsidRPr="00620047">
              <w:rPr>
                <w:b w:val="0"/>
              </w:rPr>
              <w:t>100 g/uur</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Default"/>
            </w:pPr>
            <w:r w:rsidRPr="00620047">
              <w:rPr>
                <w:b w:val="0"/>
              </w:rPr>
              <w:t>20 mg/Nm³</w:t>
            </w:r>
          </w:p>
        </w:tc>
      </w:tr>
    </w:tbl>
    <w:p w:rsidR="00296032" w:rsidRPr="00620047" w:rsidRDefault="00296032">
      <w:pPr>
        <w:pStyle w:val="art1enivo"/>
        <w:rPr>
          <w:rFonts w:cs="Arial"/>
        </w:rPr>
      </w:pPr>
      <w:r w:rsidRPr="00620047">
        <w:rPr>
          <w:rFonts w:cs="Arial"/>
        </w:rPr>
        <w:t>3.</w:t>
      </w:r>
      <w:r w:rsidRPr="00620047">
        <w:rPr>
          <w:rFonts w:cs="Arial"/>
        </w:rPr>
        <w:tab/>
        <w:t>Een oplosmiddeleninstallatie waarin twee of meer activiteiten worden verricht die elk de drempelwaarden van tabel 2.28a of tabel 2.28b overschrijden, voldoet:</w:t>
      </w:r>
    </w:p>
    <w:p w:rsidR="00296032" w:rsidRPr="00620047" w:rsidRDefault="00296032">
      <w:pPr>
        <w:pStyle w:val="art2enivo"/>
        <w:rPr>
          <w:rFonts w:cs="Arial"/>
        </w:rPr>
      </w:pPr>
      <w:r w:rsidRPr="00620047">
        <w:rPr>
          <w:rFonts w:cs="Arial"/>
        </w:rPr>
        <w:t>a.</w:t>
      </w:r>
      <w:r w:rsidRPr="00620047">
        <w:rPr>
          <w:rFonts w:cs="Arial"/>
        </w:rPr>
        <w:tab/>
        <w:t>ten aanzien van de stoffen of mengsels, genoemd in het eerste of tweede lid, voor elke activiteit afzonderlijk aan de in die leden vermelde eisen, en</w:t>
      </w:r>
    </w:p>
    <w:p w:rsidR="00296032" w:rsidRPr="00620047" w:rsidRDefault="00296032">
      <w:pPr>
        <w:pStyle w:val="art2enivo"/>
        <w:rPr>
          <w:rFonts w:cs="Arial"/>
        </w:rPr>
      </w:pPr>
      <w:r w:rsidRPr="00620047">
        <w:rPr>
          <w:rFonts w:cs="Arial"/>
        </w:rPr>
        <w:t>b.</w:t>
      </w:r>
      <w:r w:rsidRPr="00620047">
        <w:rPr>
          <w:rFonts w:cs="Arial"/>
        </w:rPr>
        <w:tab/>
        <w:t>ten aanzien van de andere stoffen of mengsels dan bedoeld onder a:</w:t>
      </w:r>
    </w:p>
    <w:p w:rsidR="00296032" w:rsidRPr="00620047" w:rsidRDefault="00296032">
      <w:pPr>
        <w:pStyle w:val="art3enivo"/>
      </w:pPr>
      <w:r w:rsidRPr="00620047">
        <w:t>1°.</w:t>
      </w:r>
      <w:r w:rsidRPr="00620047">
        <w:tab/>
        <w:t>voor elke activiteit afzonderlijk aan artikel 2.29, eerste of tweede lid, of</w:t>
      </w:r>
    </w:p>
    <w:p w:rsidR="00296032" w:rsidRPr="00620047" w:rsidRDefault="00296032">
      <w:pPr>
        <w:pStyle w:val="art3enivo"/>
      </w:pPr>
      <w:r w:rsidRPr="00620047">
        <w:t>2°.</w:t>
      </w:r>
      <w:r w:rsidRPr="00620047">
        <w:tab/>
        <w:t>aan een waarde voor de totale emissies, die niet hoger is dan bij toepassing van het onder 1° gestelde het geval zou zijn.</w:t>
      </w:r>
    </w:p>
    <w:p w:rsidR="00296032" w:rsidRPr="00296032" w:rsidRDefault="00296032">
      <w:pPr>
        <w:pStyle w:val="artikelkop"/>
        <w:rPr>
          <w:rFonts w:cs="Arial"/>
        </w:rPr>
      </w:pPr>
      <w:r w:rsidRPr="00296032">
        <w:rPr>
          <w:rFonts w:cs="Arial"/>
        </w:rPr>
        <w:t>Artikel 2.31</w:t>
      </w:r>
    </w:p>
    <w:p w:rsidR="00296032" w:rsidRPr="00620047" w:rsidRDefault="00296032">
      <w:pPr>
        <w:pStyle w:val="artplat"/>
        <w:rPr>
          <w:rFonts w:cs="Arial"/>
        </w:rPr>
      </w:pPr>
      <w:r w:rsidRPr="00620047">
        <w:rPr>
          <w:rFonts w:cs="Arial"/>
        </w:rPr>
        <w:t>Degene die een inrichting drijft waartoe een oplosmiddeleninstallatie behoort, neemt alle passende voorzorgsmaatregelen om de emissies van vluchtige organische stoffen bij het opstarten en stilleggen van de installatie tot een minimum te beperken.</w:t>
      </w:r>
    </w:p>
    <w:p w:rsidR="00296032" w:rsidRPr="00296032" w:rsidRDefault="00296032">
      <w:pPr>
        <w:pStyle w:val="artikelkop"/>
        <w:rPr>
          <w:rFonts w:cs="Arial"/>
        </w:rPr>
      </w:pPr>
      <w:r w:rsidRPr="00296032">
        <w:rPr>
          <w:rFonts w:cs="Arial"/>
        </w:rPr>
        <w:t>Artikel 2.32</w:t>
      </w:r>
    </w:p>
    <w:p w:rsidR="00296032" w:rsidRPr="00620047" w:rsidRDefault="00296032">
      <w:pPr>
        <w:pStyle w:val="artplat"/>
        <w:rPr>
          <w:rFonts w:cs="Arial"/>
        </w:rPr>
      </w:pPr>
      <w:r w:rsidRPr="00620047">
        <w:rPr>
          <w:rFonts w:cs="Arial"/>
        </w:rPr>
        <w:t>De monitoring van emissies, het opstellen van een reductieprogramma en een oplosmiddelenboekhouding en de emissiemetingen ter controle op de naleving van de emissiegrenswaarden voldoen aan de bij ministeriële regeling gestelde eisen.</w:t>
      </w:r>
    </w:p>
    <w:p w:rsidR="00296032" w:rsidRDefault="00296032">
      <w:pPr>
        <w:rPr>
          <w:rFonts w:cs="Arial"/>
        </w:rPr>
      </w:pPr>
    </w:p>
    <w:p w:rsidR="004F7995" w:rsidRDefault="004F7995" w:rsidP="004F7995">
      <w:pPr>
        <w:pStyle w:val="artikelkop"/>
        <w:shd w:val="clear" w:color="auto" w:fill="D9D9D9" w:themeFill="background1" w:themeFillShade="D9"/>
      </w:pPr>
      <w:r>
        <w:t xml:space="preserve">Artikel 2.10 </w:t>
      </w:r>
    </w:p>
    <w:p w:rsidR="004F7995" w:rsidRDefault="004F7995" w:rsidP="004F7995">
      <w:pPr>
        <w:pStyle w:val="artplat"/>
        <w:shd w:val="clear" w:color="auto" w:fill="D9D9D9" w:themeFill="background1" w:themeFillShade="D9"/>
        <w:suppressAutoHyphens/>
        <w:rPr>
          <w:rFonts w:cs="Arial"/>
        </w:rPr>
      </w:pPr>
      <w:r>
        <w:rPr>
          <w:rFonts w:cs="Arial"/>
        </w:rPr>
        <w:t>De monitoring van emissies, het opstellen van een reductieprogramma, het opstellen van een oplosmiddelenboekhouding en de emissiemetingen ter controle op de naleving van de emissiegrenswaarden, bedoeld in artikel 2.32 van het besluit, voldoen aan de eisen gesteld in de artikelen 2.11 tot en met 2.15</w:t>
      </w:r>
      <w:bookmarkStart w:id="41" w:name="d16e232"/>
      <w:bookmarkEnd w:id="41"/>
      <w:r>
        <w:rPr>
          <w:rFonts w:cs="Arial"/>
        </w:rPr>
        <w:t>.</w:t>
      </w:r>
    </w:p>
    <w:p w:rsidR="004F7995" w:rsidRDefault="004F7995" w:rsidP="004F7995">
      <w:pPr>
        <w:pStyle w:val="artikelkop"/>
        <w:shd w:val="clear" w:color="auto" w:fill="D9D9D9" w:themeFill="background1" w:themeFillShade="D9"/>
      </w:pPr>
      <w:r>
        <w:t xml:space="preserve">Artikel 2.11 </w:t>
      </w:r>
    </w:p>
    <w:p w:rsidR="004F7995" w:rsidRDefault="004F7995" w:rsidP="004F7995">
      <w:pPr>
        <w:pStyle w:val="art1enivo"/>
        <w:shd w:val="clear" w:color="auto" w:fill="D9D9D9" w:themeFill="background1" w:themeFillShade="D9"/>
        <w:suppressAutoHyphens/>
        <w:rPr>
          <w:rFonts w:cs="Arial"/>
        </w:rPr>
      </w:pPr>
      <w:r>
        <w:t>1.</w:t>
      </w:r>
      <w:r>
        <w:rPr>
          <w:rFonts w:cs="Arial"/>
        </w:rPr>
        <w:tab/>
        <w:t>Degene die een oplosmiddeleninstallatie drijft, meet continu of een afgaskanaal, waarop nabehandelingsapparatuur is aangesloten en die aan de uitlaatzijde gemiddeld in totaal meer dan 10 kilogram totaal organische koolstof per uur uitwerpt, voldoet aan de emissiegrenswaarden, niet zijnde de diffuse-emissiegrenswaarden, en de totale emissiegrenswaarden, bedoeld in artikel 2.29 van het besluit.</w:t>
      </w:r>
    </w:p>
    <w:p w:rsidR="004F7995" w:rsidRDefault="004F7995" w:rsidP="004F7995">
      <w:pPr>
        <w:pStyle w:val="art1enivo"/>
        <w:shd w:val="clear" w:color="auto" w:fill="D9D9D9" w:themeFill="background1" w:themeFillShade="D9"/>
        <w:suppressAutoHyphens/>
        <w:rPr>
          <w:rFonts w:cs="Arial"/>
        </w:rPr>
      </w:pPr>
      <w:r>
        <w:t>2.</w:t>
      </w:r>
      <w:r>
        <w:rPr>
          <w:rFonts w:cs="Arial"/>
        </w:rPr>
        <w:tab/>
        <w:t>In een oplosmiddeleninstallatie die gemiddeld in totaal minder dan 10 kilogram totaal organische koolstof per uur uitwerpt, voert degene die de oplosmiddeleninstallatie drijft, om de drie jaar metingen uit van totaal organische koolstof, waarbij gedurende elke meting ten minste drie meetresultaten worden geregistreerd.</w:t>
      </w:r>
    </w:p>
    <w:p w:rsidR="004F7995" w:rsidRDefault="004F7995" w:rsidP="004F7995">
      <w:pPr>
        <w:pStyle w:val="art1enivo"/>
        <w:shd w:val="clear" w:color="auto" w:fill="D9D9D9" w:themeFill="background1" w:themeFillShade="D9"/>
        <w:suppressAutoHyphens/>
        <w:rPr>
          <w:rFonts w:cs="Arial"/>
        </w:rPr>
      </w:pPr>
      <w:r>
        <w:t>3.</w:t>
      </w:r>
      <w:r>
        <w:rPr>
          <w:rFonts w:cs="Arial"/>
        </w:rPr>
        <w:tab/>
        <w:t>Metingen ter controle op de naleving van de emissiegrenswaarden zijn niet vereist indien nabehandelingsapparatuur niet noodzakelijk is om te voldoen aan het besluit</w:t>
      </w:r>
      <w:bookmarkStart w:id="42" w:name="d16e252"/>
      <w:bookmarkEnd w:id="42"/>
      <w:r>
        <w:rPr>
          <w:rFonts w:cs="Arial"/>
        </w:rPr>
        <w:t>.</w:t>
      </w:r>
    </w:p>
    <w:p w:rsidR="004F7995" w:rsidRDefault="004F7995" w:rsidP="004F7995">
      <w:pPr>
        <w:pStyle w:val="artikelkop"/>
        <w:shd w:val="clear" w:color="auto" w:fill="D9D9D9" w:themeFill="background1" w:themeFillShade="D9"/>
      </w:pPr>
      <w:r>
        <w:t xml:space="preserve">Artikel 2.12 </w:t>
      </w:r>
    </w:p>
    <w:p w:rsidR="004F7995" w:rsidRDefault="004F7995" w:rsidP="004F7995">
      <w:pPr>
        <w:pStyle w:val="art1enivo"/>
        <w:shd w:val="clear" w:color="auto" w:fill="D9D9D9" w:themeFill="background1" w:themeFillShade="D9"/>
        <w:suppressAutoHyphens/>
        <w:rPr>
          <w:rFonts w:cs="Arial"/>
        </w:rPr>
      </w:pPr>
      <w:r>
        <w:t>1.</w:t>
      </w:r>
      <w:r>
        <w:tab/>
      </w:r>
      <w:r>
        <w:rPr>
          <w:rFonts w:cs="Arial"/>
        </w:rPr>
        <w:t xml:space="preserve"> Bij continue metingen is aan de emissiegrenswaarden, niet zijnde de diffuse-emissiegrenswaarden, en de totale emissiegrenswaarden, bedoeld in artikel 2.29, eerste lid, van het besluit, voldaan indien onder normale bedrijfsomstandigheden: </w:t>
      </w:r>
    </w:p>
    <w:p w:rsidR="004F7995" w:rsidRDefault="004F7995" w:rsidP="004F7995">
      <w:pPr>
        <w:pStyle w:val="art2enivo"/>
        <w:shd w:val="clear" w:color="auto" w:fill="D9D9D9" w:themeFill="background1" w:themeFillShade="D9"/>
        <w:suppressAutoHyphens/>
        <w:rPr>
          <w:rFonts w:cs="Arial"/>
        </w:rPr>
      </w:pPr>
      <w:r>
        <w:rPr>
          <w:rFonts w:cs="Arial"/>
        </w:rPr>
        <w:t>a.</w:t>
      </w:r>
      <w:r>
        <w:rPr>
          <w:rFonts w:cs="Arial"/>
        </w:rPr>
        <w:tab/>
        <w:t xml:space="preserve"> het 24-uursgemiddelde voor een bepaalde stof de daarvoor geldende emissiegrenswaarde niet overschrijdt, waarbij het 24-uursgemiddelde wordt berekend van alle geldige metingen gedurende een periode van 24 uur waarin een oplosmiddeleninstallatie onder normale omstandigheden in bedrijf is, met uitzondering van het opstarten en stilleggen van de installatie en het onderhoud van de apparatuur, en </w:t>
      </w:r>
    </w:p>
    <w:p w:rsidR="004F7995" w:rsidRDefault="004F7995" w:rsidP="004F7995">
      <w:pPr>
        <w:pStyle w:val="art2enivo"/>
        <w:shd w:val="clear" w:color="auto" w:fill="D9D9D9" w:themeFill="background1" w:themeFillShade="D9"/>
        <w:suppressAutoHyphens/>
        <w:rPr>
          <w:rFonts w:cs="Arial"/>
        </w:rPr>
      </w:pPr>
      <w:r>
        <w:rPr>
          <w:rFonts w:cs="Arial"/>
        </w:rPr>
        <w:t>b.</w:t>
      </w:r>
      <w:r>
        <w:rPr>
          <w:rFonts w:cs="Arial"/>
        </w:rPr>
        <w:tab/>
        <w:t>geen van de uurgemiddelden hoger is dan 1,5 maal de emissiegrenswaarden.</w:t>
      </w:r>
    </w:p>
    <w:p w:rsidR="004F7995" w:rsidRDefault="004F7995" w:rsidP="004F7995">
      <w:pPr>
        <w:pStyle w:val="art1enivo"/>
        <w:shd w:val="clear" w:color="auto" w:fill="D9D9D9" w:themeFill="background1" w:themeFillShade="D9"/>
        <w:suppressAutoHyphens/>
        <w:rPr>
          <w:rFonts w:cs="Arial"/>
        </w:rPr>
      </w:pPr>
      <w:r>
        <w:t>2.</w:t>
      </w:r>
      <w:r>
        <w:rPr>
          <w:rFonts w:cs="Arial"/>
        </w:rPr>
        <w:tab/>
        <w:t xml:space="preserve">Bij periodieke metingen is aan de emissiegrenswaarden, niet zijnde de diffuse-emissiegrenswaarden, en de totale emissiegrenswaarden, bedoeld in artikel 2.29, eerste lid, van het besluit, voldaan indien bij die meting: </w:t>
      </w:r>
    </w:p>
    <w:p w:rsidR="004F7995" w:rsidRDefault="004F7995" w:rsidP="004F7995">
      <w:pPr>
        <w:pStyle w:val="art2enivo"/>
        <w:shd w:val="clear" w:color="auto" w:fill="D9D9D9" w:themeFill="background1" w:themeFillShade="D9"/>
        <w:suppressAutoHyphens/>
        <w:rPr>
          <w:rFonts w:cs="Arial"/>
        </w:rPr>
      </w:pPr>
      <w:r>
        <w:rPr>
          <w:rFonts w:cs="Arial"/>
        </w:rPr>
        <w:t>a.</w:t>
      </w:r>
      <w:r>
        <w:rPr>
          <w:rFonts w:cs="Arial"/>
        </w:rPr>
        <w:tab/>
        <w:t xml:space="preserve">het gemiddelde van alle meetresultaten onder normale omstandigheden de emissiegrenswaarden niet overschrijdt, en </w:t>
      </w:r>
    </w:p>
    <w:p w:rsidR="004F7995" w:rsidRDefault="004F7995" w:rsidP="004F7995">
      <w:pPr>
        <w:pStyle w:val="art2enivo"/>
        <w:shd w:val="clear" w:color="auto" w:fill="D9D9D9" w:themeFill="background1" w:themeFillShade="D9"/>
        <w:suppressAutoHyphens/>
        <w:rPr>
          <w:rFonts w:cs="Arial"/>
        </w:rPr>
      </w:pPr>
      <w:r>
        <w:rPr>
          <w:rFonts w:cs="Arial"/>
        </w:rPr>
        <w:t>b.</w:t>
      </w:r>
      <w:r>
        <w:rPr>
          <w:rFonts w:cs="Arial"/>
        </w:rPr>
        <w:tab/>
        <w:t>geen van de uurgemiddelden onder normale omstandigheden hoger is dan 1,5 maal de emissiegrenswaarden.</w:t>
      </w:r>
    </w:p>
    <w:p w:rsidR="004F7995" w:rsidRDefault="004F7995" w:rsidP="004F7995">
      <w:pPr>
        <w:pStyle w:val="art1enivo"/>
        <w:shd w:val="clear" w:color="auto" w:fill="D9D9D9" w:themeFill="background1" w:themeFillShade="D9"/>
        <w:suppressAutoHyphens/>
        <w:rPr>
          <w:rFonts w:cs="Arial"/>
        </w:rPr>
      </w:pPr>
      <w:r>
        <w:t>3.</w:t>
      </w:r>
      <w:r>
        <w:rPr>
          <w:rFonts w:cs="Arial"/>
        </w:rPr>
        <w:tab/>
        <w:t>Of aan de emissiegrenswaarden, bedoeld in artikel 2.30, tweede lid, van het besluit wordt voldaan, wordt vastgesteld op basis van de som van de massaconcentraties van de verschillende betrokken vluchtige organische stoffen. Of aan de emissiegrenswaarden, niet zijnde de diffuse-emissiegrenswaarden, en de totale emissiegrenswaarden, bedoeld in artikel 2.29, eerste lid, van het besluit wordt voldaan, wordt vastgesteld op basis van de totale massa organische koolstof die wordt uitgestoten, tenzij in tabel 2.28a van het besluit anders is bepaald.</w:t>
      </w:r>
    </w:p>
    <w:p w:rsidR="004F7995" w:rsidRDefault="004F7995" w:rsidP="004F7995">
      <w:pPr>
        <w:pStyle w:val="art1enivo"/>
        <w:shd w:val="clear" w:color="auto" w:fill="D9D9D9" w:themeFill="background1" w:themeFillShade="D9"/>
        <w:suppressAutoHyphens/>
        <w:rPr>
          <w:rFonts w:cs="Arial"/>
        </w:rPr>
      </w:pPr>
      <w:r>
        <w:t>4.</w:t>
      </w:r>
      <w:r>
        <w:rPr>
          <w:rFonts w:cs="Arial"/>
        </w:rPr>
        <w:tab/>
        <w:t>Gasvolumes mogen worden toegevoegd om de afgassen af te koelen of te verdunnen indien dit technisch gerechtvaardigd is. De toegevoegde gasvolumes worden niet betrokken bij het vaststellen van de massaconcentratie van de verontreinigende stof in het afgas</w:t>
      </w:r>
      <w:bookmarkStart w:id="43" w:name="d16e299"/>
      <w:bookmarkEnd w:id="43"/>
      <w:r>
        <w:rPr>
          <w:rFonts w:cs="Arial"/>
        </w:rPr>
        <w:t>.</w:t>
      </w:r>
    </w:p>
    <w:p w:rsidR="004F7995" w:rsidRDefault="004F7995" w:rsidP="004F7995">
      <w:pPr>
        <w:pStyle w:val="artikelkop"/>
        <w:shd w:val="clear" w:color="auto" w:fill="D9D9D9" w:themeFill="background1" w:themeFillShade="D9"/>
      </w:pPr>
      <w:r>
        <w:t xml:space="preserve">Artikel 2.13 </w:t>
      </w:r>
    </w:p>
    <w:p w:rsidR="004F7995" w:rsidRDefault="004F7995" w:rsidP="004F7995">
      <w:pPr>
        <w:pStyle w:val="art1enivo"/>
        <w:shd w:val="clear" w:color="auto" w:fill="D9D9D9" w:themeFill="background1" w:themeFillShade="D9"/>
        <w:suppressAutoHyphens/>
        <w:rPr>
          <w:rFonts w:cs="Arial"/>
        </w:rPr>
      </w:pPr>
      <w:r>
        <w:t>1.</w:t>
      </w:r>
      <w:r>
        <w:tab/>
      </w:r>
      <w:r>
        <w:rPr>
          <w:rFonts w:cs="Arial"/>
        </w:rPr>
        <w:t xml:space="preserve">Bij de opzet van een reductieprogramma als bedoeld in artikel 2.29, tweede lid, van het besluit, worden in ieder geval de volgende factoren betrokken: </w:t>
      </w:r>
    </w:p>
    <w:p w:rsidR="004F7995" w:rsidRDefault="004F7995" w:rsidP="004F7995">
      <w:pPr>
        <w:pStyle w:val="art2enivo"/>
        <w:shd w:val="clear" w:color="auto" w:fill="D9D9D9" w:themeFill="background1" w:themeFillShade="D9"/>
        <w:suppressAutoHyphens/>
        <w:rPr>
          <w:rFonts w:cs="Arial"/>
        </w:rPr>
      </w:pPr>
      <w:r>
        <w:rPr>
          <w:rFonts w:cs="Arial"/>
        </w:rPr>
        <w:t xml:space="preserve">a. indien vervangingsproducten met weinig of geen oplosmiddelen nog in ontwikkeling zijn, heeft degene die een oplosmiddeleninstallatie drijft, extra tijd voor de uitvoer van het reductieprogramma; </w:t>
      </w:r>
    </w:p>
    <w:p w:rsidR="004F7995" w:rsidRDefault="004F7995" w:rsidP="004F7995">
      <w:pPr>
        <w:pStyle w:val="art2enivo"/>
        <w:shd w:val="clear" w:color="auto" w:fill="D9D9D9" w:themeFill="background1" w:themeFillShade="D9"/>
        <w:suppressAutoHyphens/>
        <w:rPr>
          <w:rFonts w:cs="Arial"/>
        </w:rPr>
      </w:pPr>
      <w:r>
        <w:rPr>
          <w:rFonts w:cs="Arial"/>
        </w:rPr>
        <w:t>b. het referentiepunt voor de emissiebeperking komt zo goed mogelijk overeen met de emissie die het resultaat zou zijn als er geen beperkende maatregelen zouden worden genomen.</w:t>
      </w:r>
    </w:p>
    <w:p w:rsidR="004F7995" w:rsidRDefault="004F7995" w:rsidP="004F7995">
      <w:pPr>
        <w:pStyle w:val="art1enivo"/>
        <w:shd w:val="clear" w:color="auto" w:fill="D9D9D9" w:themeFill="background1" w:themeFillShade="D9"/>
        <w:suppressAutoHyphens/>
        <w:rPr>
          <w:rFonts w:cs="Arial"/>
        </w:rPr>
      </w:pPr>
      <w:r>
        <w:t>2.</w:t>
      </w:r>
      <w:r>
        <w:tab/>
      </w:r>
      <w:r>
        <w:rPr>
          <w:rFonts w:cs="Arial"/>
        </w:rPr>
        <w:t xml:space="preserve">Aan een gelijkwaardige emissiebeperking als bedoeld in artikel 2.29, tweede lid, van het besluit wordt bij een oplosmiddeleninstallatie waar voor het product een constant gehalte aan vaste stof kan worden aangenomen, in ieder geval voldaan indien de feitelijke emissie van oplosmiddelen, bepaald aan de hand van de oplosmiddelenboekhouding, kleiner is dan of gelijk is aan de beoogde emissie, die als volgt wordt berekend: </w:t>
      </w:r>
    </w:p>
    <w:p w:rsidR="004F7995" w:rsidRDefault="004F7995" w:rsidP="004F7995">
      <w:pPr>
        <w:pStyle w:val="art2enivo"/>
        <w:shd w:val="clear" w:color="auto" w:fill="D9D9D9" w:themeFill="background1" w:themeFillShade="D9"/>
        <w:suppressAutoHyphens/>
        <w:rPr>
          <w:rFonts w:cs="Arial"/>
        </w:rPr>
      </w:pPr>
      <w:r>
        <w:rPr>
          <w:rFonts w:cs="Arial"/>
        </w:rPr>
        <w:t>a.</w:t>
      </w:r>
      <w:r>
        <w:rPr>
          <w:rFonts w:cs="Arial"/>
        </w:rPr>
        <w:tab/>
        <w:t xml:space="preserve">bereken de jaarlijkse referentie-emissie als volgt: </w:t>
      </w:r>
    </w:p>
    <w:p w:rsidR="004F7995" w:rsidRDefault="004F7995" w:rsidP="004F7995">
      <w:pPr>
        <w:pStyle w:val="art3enivo"/>
        <w:shd w:val="clear" w:color="auto" w:fill="D9D9D9" w:themeFill="background1" w:themeFillShade="D9"/>
        <w:suppressAutoHyphens/>
      </w:pPr>
      <w:r>
        <w:t xml:space="preserve">1°. bepaal de totale massa aan vaste stof in de hoeveelheid coating, inkt, lak of kleefstof die per jaar wordt gebruikt, waarbij onder vaste stof wordt verstaan elk materiaal in coating, inkt, lak en kleefstof dat vast wordt wanneer het water of de vluchtige organische stoffen zijn verdampt, en </w:t>
      </w:r>
    </w:p>
    <w:p w:rsidR="004F7995" w:rsidRDefault="004F7995" w:rsidP="004F7995">
      <w:pPr>
        <w:pStyle w:val="art3enivo"/>
        <w:shd w:val="clear" w:color="auto" w:fill="D9D9D9" w:themeFill="background1" w:themeFillShade="D9"/>
        <w:suppressAutoHyphens/>
      </w:pPr>
      <w:r>
        <w:t xml:space="preserve">2°. vermenigvuldig de bepaalde massa vaste stof met de in tabel 2.13 vermelde toepasselijke vermenigvuldigingsfactor; </w:t>
      </w:r>
    </w:p>
    <w:p w:rsidR="004F7995" w:rsidRDefault="004F7995" w:rsidP="004F7995">
      <w:pPr>
        <w:pStyle w:val="art2enivo"/>
        <w:shd w:val="clear" w:color="auto" w:fill="D9D9D9" w:themeFill="background1" w:themeFillShade="D9"/>
        <w:suppressAutoHyphens/>
        <w:rPr>
          <w:rFonts w:cs="Arial"/>
        </w:rPr>
      </w:pPr>
      <w:r>
        <w:rPr>
          <w:rFonts w:cs="Arial"/>
        </w:rPr>
        <w:t>b.</w:t>
      </w:r>
      <w:r>
        <w:rPr>
          <w:rFonts w:cs="Arial"/>
        </w:rPr>
        <w:tab/>
        <w:t>vermenigvuldig de jaarlijkse referentie-emissie met het in tabel 2.13 vermelde toepasselijke reductiepercentage.</w:t>
      </w:r>
    </w:p>
    <w:p w:rsidR="004F7995" w:rsidRDefault="004F7995" w:rsidP="004F7995">
      <w:pPr>
        <w:pStyle w:val="art1enivo"/>
        <w:shd w:val="clear" w:color="auto" w:fill="D9D9D9" w:themeFill="background1" w:themeFillShade="D9"/>
        <w:suppressAutoHyphens/>
        <w:rPr>
          <w:rFonts w:cs="Arial"/>
        </w:rPr>
      </w:pPr>
      <w:r>
        <w:t>3.</w:t>
      </w:r>
      <w:r>
        <w:rPr>
          <w:rFonts w:cs="Arial"/>
        </w:rPr>
        <w:tab/>
        <w:t>De vermenigvuldigingsfactor, bedoeld in het tweede lid, mag voor een individuele oplosmiddeleninstallatie worden aangepast om rekening te houden met een aangetoonde stijging van het rendement bij het gebruik van vaste stoffen.</w:t>
      </w:r>
    </w:p>
    <w:p w:rsidR="004F7995" w:rsidRDefault="004F7995" w:rsidP="004F7995">
      <w:pPr>
        <w:pStyle w:val="tabelkop"/>
        <w:shd w:val="clear" w:color="auto" w:fill="D9D9D9" w:themeFill="background1" w:themeFillShade="D9"/>
        <w:suppressAutoHyphens/>
        <w:ind w:hanging="426"/>
        <w:rPr>
          <w:rFonts w:cs="Arial"/>
          <w:bCs/>
        </w:rPr>
      </w:pPr>
      <w:r>
        <w:rPr>
          <w:rFonts w:cs="Arial"/>
          <w:bCs/>
        </w:rPr>
        <w:t>Tabel 2.13</w:t>
      </w:r>
    </w:p>
    <w:tbl>
      <w:tblPr>
        <w:tblStyle w:val="Tabelraster"/>
        <w:tblW w:w="0" w:type="auto"/>
        <w:tblInd w:w="0" w:type="dxa"/>
        <w:tblLook w:val="04A0" w:firstRow="1" w:lastRow="0" w:firstColumn="1" w:lastColumn="0" w:noHBand="0" w:noVBand="1"/>
      </w:tblPr>
      <w:tblGrid>
        <w:gridCol w:w="728"/>
        <w:gridCol w:w="1300"/>
        <w:gridCol w:w="1779"/>
        <w:gridCol w:w="1980"/>
        <w:gridCol w:w="1560"/>
        <w:gridCol w:w="1838"/>
      </w:tblGrid>
      <w:tr w:rsidR="004F7995" w:rsidTr="004178A7">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jc w:val="center"/>
              <w:rPr>
                <w:rFonts w:cs="Arial"/>
                <w:bCs/>
                <w:szCs w:val="18"/>
                <w:lang w:eastAsia="nl-NL"/>
              </w:rPr>
            </w:pPr>
            <w:r>
              <w:rPr>
                <w:rFonts w:cs="Arial"/>
                <w:bCs/>
                <w:szCs w:val="18"/>
                <w:lang w:eastAsia="nl-NL"/>
              </w:rPr>
              <w:t>Nummer activiteit tabel 2.28a Besluit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jc w:val="center"/>
              <w:rPr>
                <w:rFonts w:cs="Arial"/>
                <w:bCs/>
                <w:szCs w:val="18"/>
                <w:lang w:eastAsia="nl-NL"/>
              </w:rPr>
            </w:pPr>
            <w:r>
              <w:rPr>
                <w:rFonts w:cs="Arial"/>
                <w:bCs/>
                <w:szCs w:val="18"/>
                <w:lang w:eastAsia="nl-NL"/>
              </w:rPr>
              <w:t>Activiteit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jc w:val="center"/>
              <w:rPr>
                <w:rFonts w:cs="Arial"/>
                <w:bCs/>
                <w:szCs w:val="18"/>
                <w:lang w:eastAsia="nl-NL"/>
              </w:rPr>
            </w:pPr>
            <w:r>
              <w:rPr>
                <w:rFonts w:cs="Arial"/>
                <w:bCs/>
                <w:szCs w:val="18"/>
                <w:lang w:eastAsia="nl-NL"/>
              </w:rPr>
              <w:t>Drempelwaarde (voor oplosmiddelenverbruik in ton/jaar)</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jc w:val="center"/>
              <w:rPr>
                <w:rFonts w:cs="Arial"/>
                <w:bCs/>
                <w:szCs w:val="18"/>
                <w:lang w:eastAsia="nl-NL"/>
              </w:rPr>
            </w:pPr>
            <w:r>
              <w:rPr>
                <w:rFonts w:cs="Arial"/>
                <w:bCs/>
                <w:szCs w:val="18"/>
                <w:lang w:eastAsia="nl-NL"/>
              </w:rPr>
              <w:t>Vermenigvuldigingsfactor jaarlijkse referentie-emissie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jc w:val="center"/>
              <w:rPr>
                <w:rFonts w:cs="Arial"/>
                <w:bCs/>
                <w:szCs w:val="18"/>
                <w:lang w:eastAsia="nl-NL"/>
              </w:rPr>
            </w:pPr>
            <w:r>
              <w:rPr>
                <w:rFonts w:cs="Arial"/>
                <w:bCs/>
                <w:szCs w:val="18"/>
                <w:lang w:eastAsia="nl-NL"/>
              </w:rPr>
              <w:t>Reductiepercentage beoogde emissie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jc w:val="center"/>
              <w:rPr>
                <w:rFonts w:cs="Arial"/>
                <w:bCs/>
                <w:szCs w:val="18"/>
                <w:lang w:eastAsia="nl-NL"/>
              </w:rPr>
            </w:pPr>
            <w:r>
              <w:rPr>
                <w:rFonts w:cs="Arial"/>
                <w:bCs/>
                <w:szCs w:val="18"/>
                <w:lang w:eastAsia="nl-NL"/>
              </w:rPr>
              <w:t>Bijzondere bepalingen</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 xml:space="preserve">In deze tabel wordt onder bestaande oplosmiddeleninstallatie verstaan: oplosmiddeleninstallatie die op 1 april 2002 in werking was.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Illustratiediepdruk</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&gt;25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15% (</w:t>
            </w:r>
            <w:r>
              <w:rPr>
                <w:rFonts w:cs="Arial"/>
                <w:szCs w:val="18"/>
                <w:vertAlign w:val="superscript"/>
                <w:lang w:eastAsia="nl-NL"/>
              </w:rPr>
              <w:t>1</w:t>
            </w:r>
            <w:r>
              <w:rPr>
                <w:rFonts w:cs="Arial"/>
                <w:szCs w:val="18"/>
                <w:lang w:eastAsia="nl-NL"/>
              </w:rPr>
              <w:t xml:space="preserve">)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w:t>
            </w:r>
            <w:r>
              <w:rPr>
                <w:rFonts w:cs="Arial"/>
                <w:szCs w:val="18"/>
                <w:vertAlign w:val="superscript"/>
                <w:lang w:eastAsia="nl-NL"/>
              </w:rPr>
              <w:t>1</w:t>
            </w:r>
            <w:r>
              <w:rPr>
                <w:rFonts w:cs="Arial"/>
                <w:szCs w:val="18"/>
                <w:lang w:eastAsia="nl-NL"/>
              </w:rPr>
              <w:t xml:space="preserve">) Reductiepercentage beoogde emissie bestaande oplosmiddeleninstallaties: 20% </w:t>
            </w:r>
          </w:p>
        </w:tc>
      </w:tr>
      <w:tr w:rsidR="004F7995" w:rsidTr="004178A7">
        <w:trPr>
          <w:trHeight w:val="2151"/>
        </w:trPr>
        <w:tc>
          <w:tcPr>
            <w:tcW w:w="0" w:type="auto"/>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3</w:t>
            </w:r>
          </w:p>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p w:rsidR="004F7995" w:rsidRDefault="004F7995" w:rsidP="004F7995">
            <w:pPr>
              <w:shd w:val="clear" w:color="auto" w:fill="D9D9D9" w:themeFill="background1" w:themeFillShade="D9"/>
              <w:suppressAutoHyphens/>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Andere rotatiediepdruk, flexografie, rotatiezeefdruk, lamineer- of lakeenheden, rotatiezeefdruk op textiel/karton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&gt;15</w:t>
            </w:r>
          </w:p>
          <w:p w:rsidR="004F7995" w:rsidRDefault="004F7995" w:rsidP="004F7995">
            <w:pPr>
              <w:shd w:val="clear" w:color="auto" w:fill="D9D9D9" w:themeFill="background1" w:themeFillShade="D9"/>
              <w:suppressAutoHyphens/>
              <w:spacing w:before="100" w:beforeAutospacing="1" w:after="100" w:afterAutospacing="1"/>
              <w:rPr>
                <w:rFonts w:cs="Arial"/>
                <w:szCs w:val="18"/>
                <w:lang w:eastAsia="nl-NL"/>
              </w:rPr>
            </w:pPr>
            <w:r>
              <w:rPr>
                <w:rFonts w:cs="Arial"/>
                <w:szCs w:val="18"/>
                <w:lang w:eastAsia="nl-NL"/>
              </w:rPr>
              <w:t>&gt;25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4</w:t>
            </w:r>
          </w:p>
          <w:p w:rsidR="004F7995" w:rsidRDefault="004F7995" w:rsidP="004F7995">
            <w:pPr>
              <w:shd w:val="clear" w:color="auto" w:fill="D9D9D9" w:themeFill="background1" w:themeFillShade="D9"/>
              <w:suppressAutoHyphens/>
              <w:spacing w:before="100" w:beforeAutospacing="1" w:after="100" w:afterAutospacing="1"/>
              <w:rPr>
                <w:rFonts w:cs="Arial"/>
                <w:szCs w:val="18"/>
                <w:lang w:eastAsia="nl-NL"/>
              </w:rPr>
            </w:pPr>
            <w:r>
              <w:rPr>
                <w:rFonts w:cs="Arial"/>
                <w:szCs w:val="18"/>
                <w:lang w:eastAsia="nl-NL"/>
              </w:rPr>
              <w:t>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30%</w:t>
            </w:r>
          </w:p>
          <w:p w:rsidR="004F7995" w:rsidRDefault="004F7995" w:rsidP="004F7995">
            <w:pPr>
              <w:shd w:val="clear" w:color="auto" w:fill="D9D9D9" w:themeFill="background1" w:themeFillShade="D9"/>
              <w:suppressAutoHyphens/>
              <w:spacing w:before="100" w:beforeAutospacing="1" w:after="100" w:afterAutospacing="1"/>
              <w:rPr>
                <w:rFonts w:cs="Arial"/>
                <w:szCs w:val="18"/>
                <w:lang w:eastAsia="nl-NL"/>
              </w:rPr>
            </w:pPr>
            <w:r>
              <w:rPr>
                <w:rFonts w:cs="Arial"/>
                <w:szCs w:val="18"/>
                <w:lang w:eastAsia="nl-NL"/>
              </w:rPr>
              <w: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p w:rsidR="004F7995" w:rsidRDefault="004F7995" w:rsidP="004F7995">
            <w:pPr>
              <w:shd w:val="clear" w:color="auto" w:fill="D9D9D9" w:themeFill="background1" w:themeFillShade="D9"/>
              <w:suppressAutoHyphens/>
              <w:rPr>
                <w:rFonts w:cs="Arial"/>
                <w:szCs w:val="18"/>
                <w:lang w:eastAsia="nl-NL"/>
              </w:rPr>
            </w:pPr>
            <w:r>
              <w:rPr>
                <w:rFonts w:cs="Arial"/>
                <w:szCs w:val="18"/>
                <w:lang w:eastAsia="nl-NL"/>
              </w:rPr>
              <w:t> </w:t>
            </w:r>
          </w:p>
        </w:tc>
      </w:tr>
      <w:tr w:rsidR="004F7995" w:rsidTr="004178A7">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F7995" w:rsidRDefault="004F7995" w:rsidP="004F7995">
            <w:pPr>
              <w:shd w:val="clear" w:color="auto" w:fill="D9D9D9" w:themeFill="background1" w:themeFillShade="D9"/>
              <w:spacing w:line="240" w:lineRule="auto"/>
              <w:rPr>
                <w:rFonts w:cs="Arial"/>
                <w:szCs w:val="18"/>
                <w:lang w:eastAsia="nl-NL"/>
              </w:rPr>
            </w:pP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Rotatiezeefdruk op textiel/karton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 xml:space="preserve">&gt;30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1,5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6</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Coating van voertuigen (&lt; 15 ton/jaar verbruik oplosmiddelen)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&lt;15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1,5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40%</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Overspuiten van voertuigen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&gt;0,5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3</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40%</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7</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Bandlakken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&gt;25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3</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10% (</w:t>
            </w:r>
            <w:r>
              <w:rPr>
                <w:rFonts w:cs="Arial"/>
                <w:szCs w:val="18"/>
                <w:vertAlign w:val="superscript"/>
                <w:lang w:eastAsia="nl-NL"/>
              </w:rPr>
              <w:t>2</w:t>
            </w:r>
            <w:r>
              <w:rPr>
                <w:rFonts w:cs="Arial"/>
                <w:szCs w:val="18"/>
                <w:lang w:eastAsia="nl-NL"/>
              </w:rPr>
              <w:t xml:space="preserve">)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w:t>
            </w:r>
            <w:r>
              <w:rPr>
                <w:rFonts w:cs="Arial"/>
                <w:szCs w:val="18"/>
                <w:vertAlign w:val="superscript"/>
                <w:lang w:eastAsia="nl-NL"/>
              </w:rPr>
              <w:t>2</w:t>
            </w:r>
            <w:r>
              <w:rPr>
                <w:rFonts w:cs="Arial"/>
                <w:szCs w:val="18"/>
                <w:lang w:eastAsia="nl-NL"/>
              </w:rPr>
              <w:t xml:space="preserve">) Reductiepercentage beoogde emissie bestaande oplosmiddeleninstallaties: 15% </w:t>
            </w:r>
          </w:p>
        </w:tc>
      </w:tr>
      <w:tr w:rsidR="004F7995" w:rsidTr="004178A7">
        <w:tc>
          <w:tcPr>
            <w:tcW w:w="0" w:type="auto"/>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8</w:t>
            </w:r>
          </w:p>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p w:rsidR="004F7995" w:rsidRDefault="004F7995" w:rsidP="004F7995">
            <w:pPr>
              <w:shd w:val="clear" w:color="auto" w:fill="D9D9D9" w:themeFill="background1" w:themeFillShade="D9"/>
              <w:suppressAutoHyphens/>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Andere coatingprocessen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&gt;5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w:t>
            </w:r>
            <w:r>
              <w:rPr>
                <w:rFonts w:cs="Arial"/>
                <w:szCs w:val="18"/>
                <w:vertAlign w:val="superscript"/>
                <w:lang w:eastAsia="nl-NL"/>
              </w:rPr>
              <w:t>3</w:t>
            </w:r>
            <w:r>
              <w:rPr>
                <w:rFonts w:cs="Arial"/>
                <w:szCs w:val="18"/>
                <w:lang w:eastAsia="nl-NL"/>
              </w:rPr>
              <w:t xml:space="preserve">) Rotatiezeefdruk op textiel valt onder activiteit nr. 3. </w:t>
            </w:r>
          </w:p>
        </w:tc>
      </w:tr>
      <w:tr w:rsidR="004F7995" w:rsidTr="004178A7">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F7995" w:rsidRDefault="004F7995" w:rsidP="004F7995">
            <w:pPr>
              <w:shd w:val="clear" w:color="auto" w:fill="D9D9D9" w:themeFill="background1" w:themeFillShade="D9"/>
              <w:spacing w:line="240" w:lineRule="auto"/>
              <w:rPr>
                <w:rFonts w:cs="Arial"/>
                <w:szCs w:val="18"/>
                <w:lang w:eastAsia="nl-NL"/>
              </w:rP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coating van textiel (</w:t>
            </w:r>
            <w:r>
              <w:rPr>
                <w:rFonts w:cs="Arial"/>
                <w:szCs w:val="18"/>
                <w:vertAlign w:val="superscript"/>
                <w:lang w:eastAsia="nl-NL"/>
              </w:rPr>
              <w:t>3</w:t>
            </w:r>
            <w:r>
              <w:rPr>
                <w:rFonts w:cs="Arial"/>
                <w:szCs w:val="18"/>
                <w:lang w:eastAsia="nl-NL"/>
              </w:rPr>
              <w:t xml:space="preserve">), vezel, film of papier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35%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r>
      <w:tr w:rsidR="004F7995" w:rsidTr="004178A7">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F7995" w:rsidRDefault="004F7995" w:rsidP="004F7995">
            <w:pPr>
              <w:shd w:val="clear" w:color="auto" w:fill="D9D9D9" w:themeFill="background1" w:themeFillShade="D9"/>
              <w:spacing w:line="240" w:lineRule="auto"/>
              <w:rPr>
                <w:rFonts w:cs="Arial"/>
                <w:szCs w:val="18"/>
                <w:lang w:eastAsia="nl-NL"/>
              </w:rP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coating in contact met levensmiddelen, coating in lucht- en ruimtevaart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2,33</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35%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r>
      <w:tr w:rsidR="004F7995" w:rsidTr="004178A7">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F7995" w:rsidRDefault="004F7995" w:rsidP="004F7995">
            <w:pPr>
              <w:shd w:val="clear" w:color="auto" w:fill="D9D9D9" w:themeFill="background1" w:themeFillShade="D9"/>
              <w:spacing w:line="240" w:lineRule="auto"/>
              <w:rPr>
                <w:rFonts w:cs="Arial"/>
                <w:szCs w:val="18"/>
                <w:lang w:eastAsia="nl-NL"/>
              </w:rP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metaalcoating, kunststofcoating en overige coating</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1,5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35%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r>
      <w:tr w:rsidR="004F7995" w:rsidTr="004178A7">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F7995" w:rsidRDefault="004F7995" w:rsidP="004F7995">
            <w:pPr>
              <w:shd w:val="clear" w:color="auto" w:fill="D9D9D9" w:themeFill="background1" w:themeFillShade="D9"/>
              <w:spacing w:line="240" w:lineRule="auto"/>
              <w:rPr>
                <w:rFonts w:cs="Arial"/>
                <w:szCs w:val="18"/>
                <w:lang w:eastAsia="nl-NL"/>
              </w:rPr>
            </w:pP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Andere coatingprocessen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&gt;15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r>
      <w:tr w:rsidR="004F7995" w:rsidTr="004178A7">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F7995" w:rsidRDefault="004F7995" w:rsidP="004F7995">
            <w:pPr>
              <w:shd w:val="clear" w:color="auto" w:fill="D9D9D9" w:themeFill="background1" w:themeFillShade="D9"/>
              <w:spacing w:line="240" w:lineRule="auto"/>
              <w:rPr>
                <w:rFonts w:cs="Arial"/>
                <w:szCs w:val="18"/>
                <w:lang w:eastAsia="nl-NL"/>
              </w:rP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coating van textiel (</w:t>
            </w:r>
            <w:r>
              <w:rPr>
                <w:rFonts w:cs="Arial"/>
                <w:szCs w:val="18"/>
                <w:vertAlign w:val="superscript"/>
                <w:lang w:eastAsia="nl-NL"/>
              </w:rPr>
              <w:t>3</w:t>
            </w:r>
            <w:r>
              <w:rPr>
                <w:rFonts w:cs="Arial"/>
                <w:szCs w:val="18"/>
                <w:lang w:eastAsia="nl-NL"/>
              </w:rPr>
              <w:t xml:space="preserve">), vezel, film of papier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r>
      <w:tr w:rsidR="004F7995" w:rsidTr="004178A7">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F7995" w:rsidRDefault="004F7995" w:rsidP="004F7995">
            <w:pPr>
              <w:shd w:val="clear" w:color="auto" w:fill="D9D9D9" w:themeFill="background1" w:themeFillShade="D9"/>
              <w:spacing w:line="240" w:lineRule="auto"/>
              <w:rPr>
                <w:rFonts w:cs="Arial"/>
                <w:szCs w:val="18"/>
                <w:lang w:eastAsia="nl-NL"/>
              </w:rP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coating in contact met levensmiddelen, coating in lucht- en ruimtevaart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2,33</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r>
      <w:tr w:rsidR="004F7995" w:rsidTr="004178A7">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F7995" w:rsidRDefault="004F7995" w:rsidP="004F7995">
            <w:pPr>
              <w:shd w:val="clear" w:color="auto" w:fill="D9D9D9" w:themeFill="background1" w:themeFillShade="D9"/>
              <w:spacing w:line="240" w:lineRule="auto"/>
              <w:rPr>
                <w:rFonts w:cs="Arial"/>
                <w:szCs w:val="18"/>
                <w:lang w:eastAsia="nl-NL"/>
              </w:rP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metaalcoating, kunststofcoating en overige coating</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1,5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tc>
      </w:tr>
      <w:tr w:rsidR="004F7995" w:rsidTr="004178A7">
        <w:trPr>
          <w:trHeight w:val="954"/>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10</w:t>
            </w:r>
          </w:p>
          <w:p w:rsidR="004F7995" w:rsidRDefault="004F7995" w:rsidP="004F7995">
            <w:pPr>
              <w:shd w:val="clear" w:color="auto" w:fill="D9D9D9" w:themeFill="background1" w:themeFillShade="D9"/>
              <w:suppressAutoHyphens/>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Coating van hout</w:t>
            </w:r>
          </w:p>
          <w:p w:rsidR="004F7995" w:rsidRDefault="004F7995" w:rsidP="004F7995">
            <w:pPr>
              <w:shd w:val="clear" w:color="auto" w:fill="D9D9D9" w:themeFill="background1" w:themeFillShade="D9"/>
              <w:suppressAutoHyphens/>
              <w:rPr>
                <w:rFonts w:cs="Arial"/>
                <w:szCs w:val="18"/>
                <w:lang w:eastAsia="nl-NL"/>
              </w:rPr>
            </w:pPr>
            <w:r>
              <w:rPr>
                <w:rFonts w:cs="Arial"/>
                <w:szCs w:val="18"/>
                <w:lang w:eastAsia="nl-NL"/>
              </w:rPr>
              <w:t>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&gt;15</w:t>
            </w:r>
          </w:p>
          <w:p w:rsidR="004F7995" w:rsidRDefault="004F7995" w:rsidP="004F7995">
            <w:pPr>
              <w:shd w:val="clear" w:color="auto" w:fill="D9D9D9" w:themeFill="background1" w:themeFillShade="D9"/>
              <w:suppressAutoHyphens/>
              <w:spacing w:before="100" w:beforeAutospacing="1" w:after="100" w:afterAutospacing="1"/>
              <w:rPr>
                <w:rFonts w:cs="Arial"/>
                <w:szCs w:val="18"/>
                <w:lang w:eastAsia="nl-NL"/>
              </w:rPr>
            </w:pPr>
            <w:r>
              <w:rPr>
                <w:rFonts w:cs="Arial"/>
                <w:szCs w:val="18"/>
                <w:lang w:eastAsia="nl-NL"/>
              </w:rPr>
              <w:t>&gt;25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4</w:t>
            </w:r>
          </w:p>
          <w:p w:rsidR="004F7995" w:rsidRDefault="004F7995" w:rsidP="004F7995">
            <w:pPr>
              <w:shd w:val="clear" w:color="auto" w:fill="D9D9D9" w:themeFill="background1" w:themeFillShade="D9"/>
              <w:suppressAutoHyphens/>
              <w:spacing w:before="100" w:beforeAutospacing="1" w:after="100" w:afterAutospacing="1"/>
              <w:rPr>
                <w:rFonts w:cs="Arial"/>
                <w:szCs w:val="18"/>
                <w:lang w:eastAsia="nl-NL"/>
              </w:rPr>
            </w:pPr>
            <w:r>
              <w:rPr>
                <w:rFonts w:cs="Arial"/>
                <w:szCs w:val="18"/>
                <w:lang w:eastAsia="nl-NL"/>
              </w:rPr>
              <w:t>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40%</w:t>
            </w:r>
          </w:p>
          <w:p w:rsidR="004F7995" w:rsidRDefault="004F7995" w:rsidP="004F7995">
            <w:pPr>
              <w:shd w:val="clear" w:color="auto" w:fill="D9D9D9" w:themeFill="background1" w:themeFillShade="D9"/>
              <w:suppressAutoHyphens/>
              <w:spacing w:before="100" w:beforeAutospacing="1" w:after="100" w:afterAutospacing="1"/>
              <w:rPr>
                <w:rFonts w:cs="Arial"/>
                <w:szCs w:val="18"/>
                <w:lang w:eastAsia="nl-NL"/>
              </w:rPr>
            </w:pPr>
            <w:r>
              <w:rPr>
                <w:rFonts w:cs="Arial"/>
                <w:szCs w:val="18"/>
                <w:lang w:eastAsia="nl-NL"/>
              </w:rPr>
              <w: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line="240" w:lineRule="auto"/>
              <w:rPr>
                <w:rFonts w:cs="Arial"/>
                <w:szCs w:val="18"/>
                <w:lang w:eastAsia="nl-NL"/>
              </w:rPr>
            </w:pPr>
            <w:r>
              <w:rPr>
                <w:rFonts w:cs="Arial"/>
                <w:szCs w:val="18"/>
                <w:lang w:eastAsia="nl-NL"/>
              </w:rPr>
              <w:t> </w:t>
            </w:r>
          </w:p>
          <w:p w:rsidR="004F7995" w:rsidRDefault="004F7995" w:rsidP="004F7995">
            <w:pPr>
              <w:shd w:val="clear" w:color="auto" w:fill="D9D9D9" w:themeFill="background1" w:themeFillShade="D9"/>
              <w:suppressAutoHyphens/>
              <w:rPr>
                <w:rFonts w:cs="Arial"/>
                <w:szCs w:val="18"/>
                <w:lang w:eastAsia="nl-NL"/>
              </w:rPr>
            </w:pPr>
            <w:r>
              <w:rPr>
                <w:rFonts w:cs="Arial"/>
                <w:szCs w:val="18"/>
                <w:lang w:eastAsia="nl-NL"/>
              </w:rPr>
              <w:t> </w:t>
            </w:r>
          </w:p>
        </w:tc>
      </w:tr>
      <w:tr w:rsidR="004F7995" w:rsidTr="004178A7">
        <w:trPr>
          <w:trHeight w:val="1368"/>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16 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Het aanbrengen van een lijmlaag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&gt;5</w:t>
            </w:r>
          </w:p>
          <w:p w:rsidR="004F7995" w:rsidRDefault="004F7995" w:rsidP="004F7995">
            <w:pPr>
              <w:shd w:val="clear" w:color="auto" w:fill="D9D9D9" w:themeFill="background1" w:themeFillShade="D9"/>
              <w:suppressAutoHyphens/>
              <w:spacing w:before="100" w:beforeAutospacing="1" w:after="100" w:afterAutospacing="1"/>
              <w:rPr>
                <w:rFonts w:cs="Arial"/>
                <w:szCs w:val="18"/>
                <w:lang w:eastAsia="nl-NL"/>
              </w:rPr>
            </w:pPr>
            <w:r>
              <w:rPr>
                <w:rFonts w:cs="Arial"/>
                <w:szCs w:val="18"/>
                <w:lang w:eastAsia="nl-NL"/>
              </w:rPr>
              <w:t>&gt;15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4</w:t>
            </w:r>
          </w:p>
          <w:p w:rsidR="004F7995" w:rsidRDefault="004F7995" w:rsidP="004F7995">
            <w:pPr>
              <w:shd w:val="clear" w:color="auto" w:fill="D9D9D9" w:themeFill="background1" w:themeFillShade="D9"/>
              <w:suppressAutoHyphens/>
              <w:spacing w:before="100" w:beforeAutospacing="1" w:after="100" w:afterAutospacing="1"/>
              <w:rPr>
                <w:rFonts w:cs="Arial"/>
                <w:szCs w:val="18"/>
                <w:lang w:eastAsia="nl-NL"/>
              </w:rPr>
            </w:pPr>
            <w:r>
              <w:rPr>
                <w:rFonts w:cs="Arial"/>
                <w:szCs w:val="18"/>
                <w:lang w:eastAsia="nl-NL"/>
              </w:rPr>
              <w:t>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spacing w:before="100" w:beforeAutospacing="1" w:after="100" w:afterAutospacing="1" w:line="240" w:lineRule="auto"/>
              <w:rPr>
                <w:rFonts w:cs="Arial"/>
                <w:szCs w:val="18"/>
                <w:lang w:eastAsia="nl-NL"/>
              </w:rPr>
            </w:pPr>
            <w:r>
              <w:rPr>
                <w:rFonts w:cs="Arial"/>
                <w:szCs w:val="18"/>
                <w:lang w:eastAsia="nl-NL"/>
              </w:rPr>
              <w:t>30%</w:t>
            </w:r>
          </w:p>
          <w:p w:rsidR="004F7995" w:rsidRDefault="004F7995" w:rsidP="004F7995">
            <w:pPr>
              <w:shd w:val="clear" w:color="auto" w:fill="D9D9D9" w:themeFill="background1" w:themeFillShade="D9"/>
              <w:suppressAutoHyphens/>
              <w:spacing w:before="100" w:beforeAutospacing="1" w:after="100" w:afterAutospacing="1"/>
              <w:rPr>
                <w:rFonts w:cs="Arial"/>
                <w:szCs w:val="18"/>
                <w:lang w:eastAsia="nl-NL"/>
              </w:rPr>
            </w:pPr>
            <w:r>
              <w:rPr>
                <w:rFonts w:cs="Arial"/>
                <w:szCs w:val="18"/>
                <w:lang w:eastAsia="nl-NL"/>
              </w:rPr>
              <w:t>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pacing w:line="240" w:lineRule="auto"/>
              <w:rPr>
                <w:szCs w:val="20"/>
                <w:lang w:eastAsia="nl-NL"/>
              </w:rPr>
            </w:pPr>
          </w:p>
        </w:tc>
      </w:tr>
    </w:tbl>
    <w:p w:rsidR="004F7995" w:rsidRDefault="004F7995" w:rsidP="004F7995">
      <w:pPr>
        <w:shd w:val="clear" w:color="auto" w:fill="D9D9D9" w:themeFill="background1" w:themeFillShade="D9"/>
        <w:suppressAutoHyphens/>
        <w:rPr>
          <w:rFonts w:cs="Arial"/>
        </w:rPr>
      </w:pPr>
    </w:p>
    <w:p w:rsidR="004F7995" w:rsidRDefault="004F7995" w:rsidP="004F7995">
      <w:pPr>
        <w:pStyle w:val="artikelkop"/>
        <w:shd w:val="clear" w:color="auto" w:fill="D9D9D9" w:themeFill="background1" w:themeFillShade="D9"/>
      </w:pPr>
      <w:r>
        <w:t xml:space="preserve">Artikel 2.14 </w:t>
      </w:r>
    </w:p>
    <w:p w:rsidR="004F7995" w:rsidRDefault="004F7995" w:rsidP="004F7995">
      <w:pPr>
        <w:pStyle w:val="artplat"/>
        <w:shd w:val="clear" w:color="auto" w:fill="D9D9D9" w:themeFill="background1" w:themeFillShade="D9"/>
        <w:suppressAutoHyphens/>
        <w:rPr>
          <w:rFonts w:cs="Arial"/>
        </w:rPr>
      </w:pPr>
      <w:r>
        <w:rPr>
          <w:rFonts w:cs="Arial"/>
        </w:rPr>
        <w:t xml:space="preserve">Degene die een oplosmiddeleninstallatie drijft, voert een oplosmiddelenboekhouding waarmee: </w:t>
      </w:r>
    </w:p>
    <w:p w:rsidR="004F7995" w:rsidRDefault="004F7995" w:rsidP="004F7995">
      <w:pPr>
        <w:pStyle w:val="artplatletter"/>
        <w:shd w:val="clear" w:color="auto" w:fill="D9D9D9" w:themeFill="background1" w:themeFillShade="D9"/>
        <w:suppressAutoHyphens/>
        <w:rPr>
          <w:rFonts w:cs="Arial"/>
        </w:rPr>
      </w:pPr>
      <w:r>
        <w:rPr>
          <w:rFonts w:cs="Arial"/>
        </w:rPr>
        <w:t>a.</w:t>
      </w:r>
      <w:r>
        <w:rPr>
          <w:rFonts w:cs="Arial"/>
        </w:rPr>
        <w:tab/>
        <w:t xml:space="preserve">wordt aangetoond dat is voldaan aan: </w:t>
      </w:r>
    </w:p>
    <w:p w:rsidR="004F7995" w:rsidRDefault="004F7995" w:rsidP="004F7995">
      <w:pPr>
        <w:pStyle w:val="art2enivo"/>
        <w:shd w:val="clear" w:color="auto" w:fill="D9D9D9" w:themeFill="background1" w:themeFillShade="D9"/>
        <w:suppressAutoHyphens/>
        <w:rPr>
          <w:rFonts w:cs="Arial"/>
        </w:rPr>
      </w:pPr>
      <w:r>
        <w:rPr>
          <w:rFonts w:cs="Arial"/>
        </w:rPr>
        <w:t>1°.</w:t>
      </w:r>
      <w:r>
        <w:rPr>
          <w:rFonts w:cs="Arial"/>
        </w:rPr>
        <w:tab/>
        <w:t xml:space="preserve">de emissiegrenswaarden, diffuse-emissiegrenswaarden of de totale emissiegrenswaarden, bedoeld in de artikelen 2.29, eerste, vierde en vijfde lid, en 2.30, tweede en derde lid, van het besluit, en </w:t>
      </w:r>
    </w:p>
    <w:p w:rsidR="004F7995" w:rsidRDefault="004F7995" w:rsidP="004F7995">
      <w:pPr>
        <w:pStyle w:val="art2enivo"/>
        <w:shd w:val="clear" w:color="auto" w:fill="D9D9D9" w:themeFill="background1" w:themeFillShade="D9"/>
        <w:suppressAutoHyphens/>
        <w:rPr>
          <w:rFonts w:cs="Arial"/>
        </w:rPr>
      </w:pPr>
      <w:r>
        <w:rPr>
          <w:rFonts w:cs="Arial"/>
        </w:rPr>
        <w:t>2°.</w:t>
      </w:r>
      <w:r>
        <w:rPr>
          <w:rFonts w:cs="Arial"/>
        </w:rPr>
        <w:tab/>
        <w:t xml:space="preserve">indien van toepassing, de eisen van het reductieprogramma, bedoeld in artikel 2.29, tweede lid, van het besluit; </w:t>
      </w:r>
    </w:p>
    <w:p w:rsidR="004F7995" w:rsidRDefault="004F7995" w:rsidP="004F7995">
      <w:pPr>
        <w:pStyle w:val="artplatletter"/>
        <w:shd w:val="clear" w:color="auto" w:fill="D9D9D9" w:themeFill="background1" w:themeFillShade="D9"/>
        <w:suppressAutoHyphens/>
        <w:rPr>
          <w:rFonts w:cs="Arial"/>
        </w:rPr>
      </w:pPr>
      <w:r>
        <w:rPr>
          <w:rFonts w:cs="Arial"/>
        </w:rPr>
        <w:t>b.</w:t>
      </w:r>
      <w:r>
        <w:rPr>
          <w:rFonts w:cs="Arial"/>
        </w:rPr>
        <w:tab/>
        <w:t xml:space="preserve">de mogelijkheden voor emissiebeperking in de toekomst worden gespecificeerd, en </w:t>
      </w:r>
    </w:p>
    <w:p w:rsidR="004F7995" w:rsidRDefault="004F7995" w:rsidP="004F7995">
      <w:pPr>
        <w:pStyle w:val="artplatletter"/>
        <w:shd w:val="clear" w:color="auto" w:fill="D9D9D9" w:themeFill="background1" w:themeFillShade="D9"/>
        <w:suppressAutoHyphens/>
        <w:rPr>
          <w:rFonts w:cs="Arial"/>
        </w:rPr>
      </w:pPr>
      <w:r>
        <w:rPr>
          <w:rFonts w:cs="Arial"/>
        </w:rPr>
        <w:t>c.</w:t>
      </w:r>
      <w:r>
        <w:rPr>
          <w:rFonts w:cs="Arial"/>
        </w:rPr>
        <w:tab/>
        <w:t>informatie aan eenieder kan worden verstrekt over het verbruik en de emissie van oplosmiddelen</w:t>
      </w:r>
      <w:bookmarkStart w:id="44" w:name="d16e925"/>
      <w:bookmarkEnd w:id="44"/>
      <w:r>
        <w:rPr>
          <w:rFonts w:cs="Arial"/>
        </w:rPr>
        <w:t>.</w:t>
      </w:r>
    </w:p>
    <w:p w:rsidR="004F7995" w:rsidRDefault="004F7995" w:rsidP="004F7995">
      <w:pPr>
        <w:pStyle w:val="artikelkop"/>
        <w:shd w:val="clear" w:color="auto" w:fill="D9D9D9" w:themeFill="background1" w:themeFillShade="D9"/>
      </w:pPr>
      <w:r>
        <w:t xml:space="preserve">Artikel 2.15 </w:t>
      </w:r>
    </w:p>
    <w:p w:rsidR="004F7995" w:rsidRDefault="004F7995" w:rsidP="004F7995">
      <w:pPr>
        <w:pStyle w:val="art1enivo"/>
        <w:shd w:val="clear" w:color="auto" w:fill="D9D9D9" w:themeFill="background1" w:themeFillShade="D9"/>
        <w:suppressAutoHyphens/>
        <w:rPr>
          <w:rFonts w:cs="Arial"/>
        </w:rPr>
      </w:pPr>
      <w:r>
        <w:t>1.</w:t>
      </w:r>
      <w:r>
        <w:rPr>
          <w:rFonts w:cs="Arial"/>
        </w:rPr>
        <w:tab/>
        <w:t xml:space="preserve">Een oplosmiddelenboekhouding als bedoeld in artikel 2.14: </w:t>
      </w:r>
    </w:p>
    <w:p w:rsidR="004F7995" w:rsidRDefault="004F7995" w:rsidP="004F7995">
      <w:pPr>
        <w:pStyle w:val="art2enivo"/>
        <w:shd w:val="clear" w:color="auto" w:fill="D9D9D9" w:themeFill="background1" w:themeFillShade="D9"/>
        <w:suppressAutoHyphens/>
        <w:rPr>
          <w:rFonts w:cs="Arial"/>
        </w:rPr>
      </w:pPr>
      <w:r>
        <w:rPr>
          <w:rFonts w:cs="Arial"/>
        </w:rPr>
        <w:t>a.</w:t>
      </w:r>
      <w:r>
        <w:rPr>
          <w:rFonts w:cs="Arial"/>
        </w:rPr>
        <w:tab/>
        <w:t xml:space="preserve">omvat een periode van twaalf maanden en wordt binnen dertien weken na afloop van die periode afgesloten, en </w:t>
      </w:r>
    </w:p>
    <w:p w:rsidR="004F7995" w:rsidRDefault="004F7995" w:rsidP="004F7995">
      <w:pPr>
        <w:pStyle w:val="art2enivo"/>
        <w:shd w:val="clear" w:color="auto" w:fill="D9D9D9" w:themeFill="background1" w:themeFillShade="D9"/>
        <w:suppressAutoHyphens/>
        <w:rPr>
          <w:rFonts w:cs="Arial"/>
        </w:rPr>
      </w:pPr>
      <w:r>
        <w:rPr>
          <w:rFonts w:cs="Arial"/>
        </w:rPr>
        <w:t>b.</w:t>
      </w:r>
      <w:r>
        <w:rPr>
          <w:rFonts w:cs="Arial"/>
        </w:rPr>
        <w:tab/>
        <w:t>voldoet aan het tweede tot en met het negende lid.</w:t>
      </w:r>
      <w:r>
        <w:rPr>
          <w:rFonts w:cs="Arial"/>
        </w:rPr>
        <w:tab/>
      </w:r>
    </w:p>
    <w:p w:rsidR="004F7995" w:rsidRDefault="004F7995" w:rsidP="004F7995">
      <w:pPr>
        <w:pStyle w:val="art1enivo"/>
        <w:shd w:val="clear" w:color="auto" w:fill="D9D9D9" w:themeFill="background1" w:themeFillShade="D9"/>
        <w:suppressAutoHyphens/>
        <w:rPr>
          <w:rFonts w:cs="Arial"/>
        </w:rPr>
      </w:pPr>
      <w:r>
        <w:t>2.</w:t>
      </w:r>
      <w:r>
        <w:tab/>
      </w:r>
      <w:r>
        <w:rPr>
          <w:rFonts w:cs="Arial"/>
        </w:rPr>
        <w:t>Ter controle op de naleving van een reductieprogramma als bedoeld in artikel 2.29, tweede lid, van het besluit wordt het oplosmiddelenverbruik berekend aan de hand van de volgende formule: V = I1 - O8.</w:t>
      </w:r>
    </w:p>
    <w:p w:rsidR="004F7995" w:rsidRDefault="004F7995" w:rsidP="004F7995">
      <w:pPr>
        <w:pStyle w:val="art1enivo"/>
        <w:shd w:val="clear" w:color="auto" w:fill="D9D9D9" w:themeFill="background1" w:themeFillShade="D9"/>
        <w:suppressAutoHyphens/>
        <w:rPr>
          <w:rFonts w:cs="Arial"/>
        </w:rPr>
      </w:pPr>
      <w:r>
        <w:t>3.</w:t>
      </w:r>
      <w:r>
        <w:tab/>
      </w:r>
      <w:r>
        <w:rPr>
          <w:rFonts w:cs="Arial"/>
        </w:rPr>
        <w:t>Voor de berekening van de jaarlijkse referentie-emissie, bedoeld in artikel 2.13, tweede lid, wordt de in coatings gebruikte hoeveelheid vaste stof bepaald overeenkomstig de formule, genoemd in het tweede lid.</w:t>
      </w:r>
    </w:p>
    <w:p w:rsidR="004F7995" w:rsidRDefault="004F7995" w:rsidP="004F7995">
      <w:pPr>
        <w:pStyle w:val="art1enivo"/>
        <w:shd w:val="clear" w:color="auto" w:fill="D9D9D9" w:themeFill="background1" w:themeFillShade="D9"/>
        <w:suppressAutoHyphens/>
        <w:rPr>
          <w:rFonts w:cs="Arial"/>
        </w:rPr>
      </w:pPr>
      <w:r>
        <w:t>4.</w:t>
      </w:r>
      <w:r>
        <w:tab/>
      </w:r>
      <w:r>
        <w:rPr>
          <w:rFonts w:cs="Arial"/>
        </w:rPr>
        <w:t>Ter controle op de naleving van een totale emissiegrenswaarde wordt de totale emissie berekend aan de hand van de volgende formule: E = F + O1.</w:t>
      </w:r>
    </w:p>
    <w:p w:rsidR="004F7995" w:rsidRDefault="004F7995" w:rsidP="004F7995">
      <w:pPr>
        <w:pStyle w:val="art1enivo"/>
        <w:shd w:val="clear" w:color="auto" w:fill="D9D9D9" w:themeFill="background1" w:themeFillShade="D9"/>
        <w:suppressAutoHyphens/>
        <w:rPr>
          <w:rFonts w:cs="Arial"/>
        </w:rPr>
      </w:pPr>
      <w:r>
        <w:t>5.</w:t>
      </w:r>
      <w:r>
        <w:tab/>
      </w:r>
      <w:r>
        <w:rPr>
          <w:rFonts w:cs="Arial"/>
        </w:rPr>
        <w:t>Ter controle op de naleving van artikel 2.30, derde lid, onder b, onder 2°, van het besluit wordt de totale emissie van alle betrokken activiteiten bepaald en vergeleken met de totale emissie die zou zijn veroorzaakt als artikel 2.29 van het besluit voor elke activiteit afzonderlijk zou zijn nageleefd.</w:t>
      </w:r>
    </w:p>
    <w:p w:rsidR="004F7995" w:rsidRDefault="004F7995" w:rsidP="004F7995">
      <w:pPr>
        <w:pStyle w:val="art1enivo"/>
        <w:shd w:val="clear" w:color="auto" w:fill="D9D9D9" w:themeFill="background1" w:themeFillShade="D9"/>
        <w:suppressAutoHyphens/>
        <w:rPr>
          <w:rFonts w:cs="Arial"/>
        </w:rPr>
      </w:pPr>
      <w:r>
        <w:t>6.</w:t>
      </w:r>
      <w:r>
        <w:tab/>
      </w:r>
      <w:r>
        <w:rPr>
          <w:rFonts w:cs="Arial"/>
        </w:rPr>
        <w:t xml:space="preserve">Ter controle op de naleving van een diffuse emissiegrenswaarde wordt de diffuse emissie berekend aan de hand van een van de volgende formules: </w:t>
      </w:r>
    </w:p>
    <w:p w:rsidR="004F7995" w:rsidRPr="009846F6" w:rsidRDefault="004F7995" w:rsidP="004F7995">
      <w:pPr>
        <w:pStyle w:val="art2enivo"/>
        <w:shd w:val="clear" w:color="auto" w:fill="D9D9D9" w:themeFill="background1" w:themeFillShade="D9"/>
        <w:suppressAutoHyphens/>
        <w:rPr>
          <w:rFonts w:cs="Arial"/>
          <w:lang w:val="es-ES"/>
        </w:rPr>
      </w:pPr>
      <w:r w:rsidRPr="009846F6">
        <w:rPr>
          <w:rFonts w:cs="Arial"/>
          <w:lang w:val="es-ES"/>
        </w:rPr>
        <w:t>a.</w:t>
      </w:r>
      <w:r w:rsidRPr="009846F6">
        <w:rPr>
          <w:rFonts w:cs="Arial"/>
          <w:lang w:val="es-ES"/>
        </w:rPr>
        <w:tab/>
        <w:t xml:space="preserve">F = I1 - O1 - O5 - O6 - O7 - O8, of </w:t>
      </w:r>
    </w:p>
    <w:p w:rsidR="004F7995" w:rsidRDefault="004F7995" w:rsidP="004F7995">
      <w:pPr>
        <w:pStyle w:val="art2enivo"/>
        <w:shd w:val="clear" w:color="auto" w:fill="D9D9D9" w:themeFill="background1" w:themeFillShade="D9"/>
        <w:suppressAutoHyphens/>
        <w:rPr>
          <w:rFonts w:cs="Arial"/>
        </w:rPr>
      </w:pPr>
      <w:r>
        <w:rPr>
          <w:rFonts w:cs="Arial"/>
        </w:rPr>
        <w:t>b.</w:t>
      </w:r>
      <w:r>
        <w:rPr>
          <w:rFonts w:cs="Arial"/>
        </w:rPr>
        <w:tab/>
        <w:t>F = O2 + O3 + O4 + O9.</w:t>
      </w:r>
    </w:p>
    <w:p w:rsidR="004F7995" w:rsidRDefault="004F7995" w:rsidP="004F7995">
      <w:pPr>
        <w:pStyle w:val="art1enivo"/>
        <w:shd w:val="clear" w:color="auto" w:fill="D9D9D9" w:themeFill="background1" w:themeFillShade="D9"/>
        <w:suppressAutoHyphens/>
        <w:rPr>
          <w:rFonts w:cs="Arial"/>
        </w:rPr>
      </w:pPr>
      <w:r>
        <w:t>7.</w:t>
      </w:r>
      <w:r>
        <w:tab/>
      </w:r>
      <w:r>
        <w:rPr>
          <w:rFonts w:cs="Arial"/>
        </w:rPr>
        <w:t>De diffuse emissie wordt bepaald met behulp van een korte maar representatieve serie metingen of door middel van een gelijkwaardige berekeningsmethode. De bepaling behoeft niet te worden herhaald zolang de oplosmiddeleninstallatie niet wordt veranderd.</w:t>
      </w:r>
    </w:p>
    <w:p w:rsidR="004F7995" w:rsidRDefault="004F7995" w:rsidP="004F7995">
      <w:pPr>
        <w:pStyle w:val="art1enivo"/>
        <w:shd w:val="clear" w:color="auto" w:fill="D9D9D9" w:themeFill="background1" w:themeFillShade="D9"/>
        <w:suppressAutoHyphens/>
        <w:rPr>
          <w:rFonts w:cs="Arial"/>
        </w:rPr>
      </w:pPr>
      <w:r>
        <w:t>8.</w:t>
      </w:r>
      <w:r>
        <w:tab/>
      </w:r>
      <w:r>
        <w:rPr>
          <w:rFonts w:cs="Arial"/>
        </w:rPr>
        <w:t>De diffuse emissie wordt uitgedrukt als een percentage van de oplosmiddeleninput, berekend aan de hand van de volgende formule: I = I1 + I2.</w:t>
      </w:r>
    </w:p>
    <w:p w:rsidR="004F7995" w:rsidRDefault="004F7995" w:rsidP="004F7995">
      <w:pPr>
        <w:pStyle w:val="art1enivo"/>
        <w:shd w:val="clear" w:color="auto" w:fill="D9D9D9" w:themeFill="background1" w:themeFillShade="D9"/>
        <w:suppressAutoHyphens/>
        <w:rPr>
          <w:rFonts w:cs="Arial"/>
        </w:rPr>
      </w:pPr>
      <w:r>
        <w:t>9.</w:t>
      </w:r>
      <w:r>
        <w:tab/>
      </w:r>
      <w:r>
        <w:rPr>
          <w:rFonts w:cs="Arial"/>
        </w:rPr>
        <w:t xml:space="preserve">Onder de in dit artikel genoemde symbolen wordt verstaan: </w:t>
      </w:r>
    </w:p>
    <w:p w:rsidR="004F7995" w:rsidRDefault="004F7995" w:rsidP="004F7995">
      <w:pPr>
        <w:shd w:val="clear" w:color="auto" w:fill="D9D9D9" w:themeFill="background1" w:themeFillShade="D9"/>
        <w:suppressAutoHyphens/>
        <w:rPr>
          <w:rFonts w:cs="Arial"/>
        </w:rPr>
      </w:pPr>
    </w:p>
    <w:tbl>
      <w:tblPr>
        <w:tblStyle w:val="Tabelraster"/>
        <w:tblW w:w="8505" w:type="dxa"/>
        <w:tblInd w:w="0" w:type="dxa"/>
        <w:tblLook w:val="04A0" w:firstRow="1" w:lastRow="0" w:firstColumn="1" w:lastColumn="0" w:noHBand="0" w:noVBand="1"/>
      </w:tblPr>
      <w:tblGrid>
        <w:gridCol w:w="455"/>
        <w:gridCol w:w="8050"/>
      </w:tblGrid>
      <w:tr w:rsidR="004F7995" w:rsidTr="004178A7">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b w:val="0"/>
              </w:rPr>
            </w:pPr>
            <w:r>
              <w:rPr>
                <w:rFonts w:cs="Arial"/>
                <w:b w:val="0"/>
              </w:rPr>
              <w:t>E</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b w:val="0"/>
              </w:rPr>
            </w:pPr>
            <w:r>
              <w:rPr>
                <w:rFonts w:cs="Arial"/>
                <w:b w:val="0"/>
              </w:rPr>
              <w:t>Totale emissie</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F</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Diffuse emissie</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V</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Verbruik</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I</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Input</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I1</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 xml:space="preserve">De hoeveelheid aangekochte organische oplosmiddelen als zodanig of in mengsels, die in het proces worden ingevoerd gedurende de termijn waarover de massabalans wordt bepaald.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I2</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 xml:space="preserve">De hoeveelheid oplosmiddelenhergebruik. De teruggewonnen oplosmiddelen worden telkens meegerekend wanneer ze worden gebruikt om de activiteit uit te oefenen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Output</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O1</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De hoeveelheid vluchtige organische stoffen in de emissies via de schoorsteen</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O2</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 xml:space="preserve">Diffuse emissie van vluchtige organische stoffen in water, rekening houdend met de afvalwaterzuivering bij de berekening van O5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O3</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 xml:space="preserve">Diffuse emissie van vluchtige organische stoffen in enig product, die als verontreiniging of als residu in de bij de activiteit vervaardigde producten achterblijft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O4</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Diffuse emissie van vluchtige organische stoffen in de lucht</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O5</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 xml:space="preserve">Organische oplosmiddelen en/of organische verbindingen die door chemische of fysische reacties verloren gaan, met inbegrip van hoeveelheden organische oplosmiddelen die door verbranding, een andere zuivering van afgassen of door afvalwaterzuivering vernietigd worden of door adsorptie opgevangen worden, mits die niet bij O6, O7 of O8 worden meegerekend.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O6</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Organische oplosmiddelen in ingezameld afval.</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O7</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 xml:space="preserve">Organische oplosmiddelen als zodanig of in mengsels die als een product met handelswaarde worden verkocht of bestemd zijn om te worden verkocht, met uitzondering van oplosmiddelen die vallen onder O3.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O8</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 xml:space="preserve">De hoeveelheid organische oplosmiddelen, met inbegrip van organische oplosmiddelen in mengsels, die voor hergebruik is teruggewonnen maar niet opnieuw bij de activiteit wordt gebruikt en die niet onder O7 valt. </w:t>
            </w:r>
          </w:p>
        </w:tc>
      </w:tr>
      <w:tr w:rsidR="004F7995" w:rsidTr="004178A7">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O9</w:t>
            </w:r>
          </w:p>
        </w:tc>
        <w:tc>
          <w:tcPr>
            <w:tcW w:w="80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F7995" w:rsidRDefault="004F7995" w:rsidP="004F7995">
            <w:pPr>
              <w:shd w:val="clear" w:color="auto" w:fill="D9D9D9" w:themeFill="background1" w:themeFillShade="D9"/>
              <w:suppressAutoHyphens/>
              <w:rPr>
                <w:rFonts w:cs="Arial"/>
              </w:rPr>
            </w:pPr>
            <w:r>
              <w:rPr>
                <w:rFonts w:cs="Arial"/>
              </w:rPr>
              <w:t xml:space="preserve">De hoeveelheid vluchtige organische stoffen, die op andere wijze dan bedoeld onder O1 tot en met O8 vrijkomt. </w:t>
            </w:r>
          </w:p>
        </w:tc>
      </w:tr>
    </w:tbl>
    <w:p w:rsidR="004F7995" w:rsidRDefault="004F7995" w:rsidP="004F7995">
      <w:pPr>
        <w:shd w:val="clear" w:color="auto" w:fill="D9D9D9" w:themeFill="background1" w:themeFillShade="D9"/>
      </w:pPr>
    </w:p>
    <w:p w:rsidR="004F7995" w:rsidRPr="00620047" w:rsidRDefault="004F7995">
      <w:pPr>
        <w:rPr>
          <w:rFonts w:cs="Arial"/>
        </w:rPr>
      </w:pPr>
    </w:p>
    <w:p w:rsidR="00296032" w:rsidRPr="00620047" w:rsidRDefault="00296032">
      <w:pPr>
        <w:pStyle w:val="hoofdstuk"/>
        <w:rPr>
          <w:rFonts w:cs="Arial"/>
        </w:rPr>
      </w:pPr>
      <w:bookmarkStart w:id="45" w:name="_Toc277243186"/>
      <w:bookmarkStart w:id="46" w:name="_Toc431375556"/>
      <w:r w:rsidRPr="00620047">
        <w:rPr>
          <w:rFonts w:cs="Arial"/>
        </w:rPr>
        <w:t>Hoofdstuk 3. Bepalingen met betrekking tot activiteiten, tevens geldend voor inrichtingen type C</w:t>
      </w:r>
      <w:bookmarkEnd w:id="45"/>
      <w:bookmarkEnd w:id="46"/>
    </w:p>
    <w:p w:rsidR="00296032" w:rsidRPr="00620047" w:rsidRDefault="00296032">
      <w:pPr>
        <w:pStyle w:val="afdeling"/>
      </w:pPr>
      <w:bookmarkStart w:id="47" w:name="_Toc431375557"/>
      <w:r w:rsidRPr="00620047">
        <w:t>Afdeling 3.0. Reikwijdte hoofdstuk 3</w:t>
      </w:r>
      <w:bookmarkEnd w:id="47"/>
    </w:p>
    <w:p w:rsidR="00296032" w:rsidRPr="00296032" w:rsidRDefault="00296032">
      <w:pPr>
        <w:pStyle w:val="artikelkop"/>
      </w:pPr>
      <w:r w:rsidRPr="00296032">
        <w:t>Artikel 3</w:t>
      </w:r>
    </w:p>
    <w:p w:rsidR="00296032" w:rsidRPr="00620047" w:rsidRDefault="00296032">
      <w:pPr>
        <w:pStyle w:val="artplatletter"/>
      </w:pPr>
      <w:r w:rsidRPr="00620047">
        <w:t>Dit hoofdstuk is van toepassing op degene die:</w:t>
      </w:r>
    </w:p>
    <w:p w:rsidR="00296032" w:rsidRPr="00620047" w:rsidRDefault="00296032">
      <w:pPr>
        <w:pStyle w:val="artplatletter"/>
      </w:pPr>
      <w:r w:rsidRPr="00620047">
        <w:t>a.</w:t>
      </w:r>
      <w:r w:rsidRPr="00620047">
        <w:tab/>
        <w:t>een inrichting type A of een inrichting type B drijft, of</w:t>
      </w:r>
    </w:p>
    <w:p w:rsidR="00296032" w:rsidRPr="00620047" w:rsidRDefault="00296032">
      <w:pPr>
        <w:pStyle w:val="artplatletter"/>
      </w:pPr>
      <w:r w:rsidRPr="00620047">
        <w:t>b.</w:t>
      </w:r>
      <w:r w:rsidRPr="00620047">
        <w:tab/>
        <w:t>een inrichting type C drijft, met uitzondering van de artikelen 3.113 tot en met 3.121.</w:t>
      </w:r>
    </w:p>
    <w:p w:rsidR="00296032" w:rsidRPr="00620047" w:rsidRDefault="00296032">
      <w:pPr>
        <w:pStyle w:val="afdeling"/>
        <w:rPr>
          <w:rFonts w:cs="Arial"/>
        </w:rPr>
      </w:pPr>
      <w:bookmarkStart w:id="48" w:name="_Toc277243187"/>
      <w:bookmarkStart w:id="49" w:name="_Toc431375558"/>
      <w:r w:rsidRPr="00620047">
        <w:rPr>
          <w:rFonts w:cs="Arial"/>
        </w:rPr>
        <w:t>Afdeling 3.1. Afvalwaterbeheer</w:t>
      </w:r>
      <w:bookmarkEnd w:id="48"/>
      <w:bookmarkEnd w:id="49"/>
    </w:p>
    <w:p w:rsidR="00296032" w:rsidRPr="00296032" w:rsidRDefault="00296032">
      <w:pPr>
        <w:pStyle w:val="paragraaf"/>
        <w:rPr>
          <w:rFonts w:cs="Arial"/>
        </w:rPr>
      </w:pPr>
      <w:bookmarkStart w:id="50" w:name="_Toc277243188"/>
      <w:bookmarkStart w:id="51" w:name="_Toc431375559"/>
      <w:r w:rsidRPr="00296032">
        <w:rPr>
          <w:rFonts w:cs="Arial"/>
        </w:rPr>
        <w:t>§ 3.1.1</w:t>
      </w:r>
      <w:r w:rsidRPr="00296032">
        <w:rPr>
          <w:rFonts w:cs="Arial"/>
        </w:rPr>
        <w:tab/>
        <w:t>Bodemsanering en proefbronnering</w:t>
      </w:r>
      <w:bookmarkEnd w:id="50"/>
      <w:bookmarkEnd w:id="51"/>
    </w:p>
    <w:p w:rsidR="00296032" w:rsidRPr="00296032" w:rsidRDefault="00296032">
      <w:pPr>
        <w:pStyle w:val="artikelkop"/>
        <w:rPr>
          <w:rFonts w:cs="Arial"/>
        </w:rPr>
      </w:pPr>
      <w:r w:rsidRPr="00296032">
        <w:rPr>
          <w:rFonts w:cs="Arial"/>
        </w:rPr>
        <w:t>Artikel 3.1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Deze paragraaf is van toepassing op een saneringsonderzoek en een bodemsanering in de zin van de Wet bodembescherming. Bij het lozen van grondwater vanuit een proefbronnering in het kader van een saneringsonderzoek of vanuit een bodemsanering wordt ten minste voldaan aan het tweede tot en met het negende lid.</w:t>
      </w:r>
    </w:p>
    <w:p w:rsidR="00296032" w:rsidRPr="00620047" w:rsidRDefault="00296032">
      <w:pPr>
        <w:pStyle w:val="art1enivo"/>
        <w:rPr>
          <w:rFonts w:cs="Arial"/>
        </w:rPr>
      </w:pPr>
      <w:r w:rsidRPr="00620047">
        <w:rPr>
          <w:rFonts w:cs="Arial"/>
        </w:rPr>
        <w:t>2.</w:t>
      </w:r>
      <w:r w:rsidRPr="00620047">
        <w:rPr>
          <w:rFonts w:cs="Arial"/>
        </w:rPr>
        <w:tab/>
        <w:t>Het lozen in een aangewezen oppervlaktewaterlichaam of in een voorziening voor de inzameling en het transport van afvalwater, niet zijnde een vuilwaterriool, is toegestaan, indien bij het lozen:</w:t>
      </w:r>
    </w:p>
    <w:p w:rsidR="00296032" w:rsidRPr="00620047" w:rsidRDefault="00296032">
      <w:pPr>
        <w:pStyle w:val="art2enivo"/>
        <w:rPr>
          <w:rFonts w:cs="Arial"/>
        </w:rPr>
      </w:pPr>
      <w:r w:rsidRPr="00620047">
        <w:rPr>
          <w:rFonts w:cs="Arial"/>
        </w:rPr>
        <w:t>a.</w:t>
      </w:r>
      <w:r w:rsidRPr="00620047">
        <w:rPr>
          <w:rFonts w:cs="Arial"/>
        </w:rPr>
        <w:tab/>
        <w:t>geen visuele verontreiniging plaatsvindt;</w:t>
      </w:r>
    </w:p>
    <w:p w:rsidR="00296032" w:rsidRPr="00620047" w:rsidRDefault="00296032">
      <w:pPr>
        <w:pStyle w:val="art2enivo"/>
        <w:rPr>
          <w:rFonts w:cs="Arial"/>
        </w:rPr>
      </w:pPr>
      <w:r w:rsidRPr="00620047">
        <w:rPr>
          <w:rFonts w:cs="Arial"/>
        </w:rPr>
        <w:t>b.</w:t>
      </w:r>
      <w:r w:rsidRPr="00620047">
        <w:rPr>
          <w:rFonts w:cs="Arial"/>
        </w:rPr>
        <w:tab/>
        <w:t>het gehalte aan naftaleen in enig steekmonster ten hoogste 0,2 microgram per liter bedraagt;</w:t>
      </w:r>
    </w:p>
    <w:p w:rsidR="00296032" w:rsidRPr="00620047" w:rsidRDefault="00296032">
      <w:pPr>
        <w:pStyle w:val="art2enivo"/>
        <w:rPr>
          <w:rFonts w:cs="Arial"/>
        </w:rPr>
      </w:pPr>
      <w:r w:rsidRPr="00620047">
        <w:rPr>
          <w:rFonts w:cs="Arial"/>
        </w:rPr>
        <w:t>c.</w:t>
      </w:r>
      <w:r w:rsidRPr="00620047">
        <w:rPr>
          <w:rFonts w:cs="Arial"/>
        </w:rPr>
        <w:tab/>
        <w:t>het gehalte aan PAK's in enig steekmonster ten hoogste 1 microgram per liter bedraagt; en</w:t>
      </w:r>
    </w:p>
    <w:p w:rsidR="00296032" w:rsidRPr="00620047" w:rsidRDefault="00296032">
      <w:pPr>
        <w:pStyle w:val="art2enivo"/>
        <w:rPr>
          <w:rFonts w:cs="Arial"/>
        </w:rPr>
      </w:pPr>
      <w:r w:rsidRPr="00620047">
        <w:rPr>
          <w:rFonts w:cs="Arial"/>
        </w:rPr>
        <w:t>d.</w:t>
      </w:r>
      <w:r w:rsidRPr="00620047">
        <w:rPr>
          <w:rFonts w:cs="Arial"/>
        </w:rPr>
        <w:tab/>
        <w:t>in enig steekmonster de emissiewaarden van de in dit artikel opgenomen tabel 3.1a niet worden overschreden.</w:t>
      </w:r>
    </w:p>
    <w:p w:rsidR="00296032" w:rsidRPr="00620047" w:rsidRDefault="00296032">
      <w:pPr>
        <w:pStyle w:val="art2enivo"/>
        <w:rPr>
          <w:rFonts w:cs="Arial"/>
        </w:rPr>
      </w:pPr>
    </w:p>
    <w:p w:rsidR="00296032" w:rsidRPr="00620047" w:rsidRDefault="00296032">
      <w:pPr>
        <w:pStyle w:val="tabelkop"/>
        <w:ind w:firstLine="426"/>
        <w:rPr>
          <w:rFonts w:cs="Arial"/>
        </w:rPr>
      </w:pPr>
      <w:r w:rsidRPr="00620047">
        <w:rPr>
          <w:rFonts w:cs="Arial"/>
        </w:rPr>
        <w:t>Tabel 3.1a</w:t>
      </w:r>
    </w:p>
    <w:tbl>
      <w:tblPr>
        <w:tblW w:w="8363"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5244"/>
        <w:gridCol w:w="3119"/>
      </w:tblGrid>
      <w:tr w:rsidR="00296032" w:rsidRPr="00620047">
        <w:trPr>
          <w:cantSplit/>
          <w:tblHeader/>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Stoffen </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Emissiewaarde </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BTEX</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50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Vluchtige organohalogeenverbindingen uitgedrukt als chloor</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20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Aromatische organohalogeenverbindingen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20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Minerale olie</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500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Cadmium</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4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Kwik</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1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Koper</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11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Nikkel</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41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Lood</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53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Zink</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120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Chroom</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24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Onopgeloste stoffen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50 milligram per liter</w:t>
            </w:r>
          </w:p>
        </w:tc>
      </w:tr>
    </w:tbl>
    <w:p w:rsidR="00296032" w:rsidRPr="00620047" w:rsidRDefault="00296032">
      <w:pPr>
        <w:pStyle w:val="art1enivo"/>
        <w:rPr>
          <w:rFonts w:cs="Arial"/>
        </w:rPr>
      </w:pPr>
      <w:r w:rsidRPr="00620047">
        <w:rPr>
          <w:rFonts w:cs="Arial"/>
        </w:rPr>
        <w:t>3.</w:t>
      </w:r>
      <w:r w:rsidRPr="00620047">
        <w:rPr>
          <w:rFonts w:cs="Arial"/>
        </w:rPr>
        <w:tab/>
        <w:t>Het lozen, in een niet-aangewezen oppervlaktewaterlichaam, is toegestaan, indien bij het lozen:</w:t>
      </w:r>
    </w:p>
    <w:p w:rsidR="00296032" w:rsidRPr="00620047" w:rsidRDefault="00296032">
      <w:pPr>
        <w:pStyle w:val="art2enivo"/>
        <w:rPr>
          <w:rFonts w:cs="Arial"/>
        </w:rPr>
      </w:pPr>
      <w:r w:rsidRPr="00620047">
        <w:rPr>
          <w:rFonts w:cs="Arial"/>
        </w:rPr>
        <w:t>a.</w:t>
      </w:r>
      <w:r w:rsidRPr="00620047">
        <w:rPr>
          <w:rFonts w:cs="Arial"/>
        </w:rPr>
        <w:tab/>
        <w:t>geen visuele verontreiniging plaatsvindt;</w:t>
      </w:r>
    </w:p>
    <w:p w:rsidR="00296032" w:rsidRPr="00620047" w:rsidRDefault="00296032">
      <w:pPr>
        <w:pStyle w:val="art2enivo"/>
        <w:rPr>
          <w:rFonts w:cs="Arial"/>
        </w:rPr>
      </w:pPr>
      <w:r w:rsidRPr="00620047">
        <w:rPr>
          <w:rFonts w:cs="Arial"/>
        </w:rPr>
        <w:t>b.</w:t>
      </w:r>
      <w:r w:rsidRPr="00620047">
        <w:rPr>
          <w:rFonts w:cs="Arial"/>
        </w:rPr>
        <w:tab/>
        <w:t>het gehalte aan naftaleen in enig steekmonster ten hoogste 0,2 microgram per liter bedraagt;</w:t>
      </w:r>
    </w:p>
    <w:p w:rsidR="00296032" w:rsidRPr="00620047" w:rsidRDefault="00296032">
      <w:pPr>
        <w:pStyle w:val="art2enivo"/>
        <w:rPr>
          <w:rFonts w:cs="Arial"/>
        </w:rPr>
      </w:pPr>
      <w:r w:rsidRPr="00620047">
        <w:rPr>
          <w:rFonts w:cs="Arial"/>
        </w:rPr>
        <w:t>c.</w:t>
      </w:r>
      <w:r w:rsidRPr="00620047">
        <w:rPr>
          <w:rFonts w:cs="Arial"/>
        </w:rPr>
        <w:tab/>
        <w:t>het gehalte aan PAK's in enig steekmonster ten hoogste 1 microgram per liter bedraagt; en</w:t>
      </w:r>
    </w:p>
    <w:p w:rsidR="00296032" w:rsidRPr="00620047" w:rsidRDefault="00296032">
      <w:pPr>
        <w:pStyle w:val="art2enivo"/>
        <w:rPr>
          <w:rFonts w:cs="Arial"/>
        </w:rPr>
      </w:pPr>
      <w:r w:rsidRPr="00620047">
        <w:rPr>
          <w:rFonts w:cs="Arial"/>
        </w:rPr>
        <w:t>d.</w:t>
      </w:r>
      <w:r w:rsidRPr="00620047">
        <w:rPr>
          <w:rFonts w:cs="Arial"/>
        </w:rPr>
        <w:tab/>
        <w:t>in enig steekmonster de emissiewaarden van de in dit artikel opgenomen tabel 3.1b niet worden overschreden.</w:t>
      </w:r>
    </w:p>
    <w:p w:rsidR="00296032" w:rsidRPr="00620047" w:rsidRDefault="00296032">
      <w:pPr>
        <w:pStyle w:val="tabelkop"/>
        <w:ind w:firstLine="426"/>
        <w:rPr>
          <w:rFonts w:cs="Arial"/>
        </w:rPr>
      </w:pPr>
      <w:r w:rsidRPr="00620047">
        <w:rPr>
          <w:rFonts w:cs="Arial"/>
        </w:rPr>
        <w:t>Tabel 3.1b</w:t>
      </w:r>
    </w:p>
    <w:tbl>
      <w:tblPr>
        <w:tblW w:w="8363"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5244"/>
        <w:gridCol w:w="3119"/>
      </w:tblGrid>
      <w:tr w:rsidR="00296032" w:rsidRPr="00620047">
        <w:trPr>
          <w:cantSplit/>
          <w:tblHeader/>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Stoffen </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Emissiewaarde </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Benzeen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Tolueen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7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Ethylbenzeen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4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Xyleen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4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Tetrachlooretheen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3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Trichlooretheen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20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1,2-dichlooretheen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20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1,1,1-trichloorethaan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20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Vinylchloride</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8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Som van de vijf hier bovenstaande stoffen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20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Monochloorbenzeen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7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Dichloorbenzenen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3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Trichloorbenzenen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1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Minerale olie</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50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Cadmium</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0,4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Kwik</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0,1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Koper</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1,1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Nikkel</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4,1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Lood</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5,3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Zink</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12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Chroom</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2,4 microgram per liter</w:t>
            </w:r>
          </w:p>
        </w:tc>
      </w:tr>
      <w:tr w:rsidR="00296032" w:rsidRPr="00620047">
        <w:trPr>
          <w:cantSplit/>
        </w:trPr>
        <w:tc>
          <w:tcPr>
            <w:tcW w:w="52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Onopgeloste stoffen</w:t>
            </w:r>
          </w:p>
        </w:tc>
        <w:tc>
          <w:tcPr>
            <w:tcW w:w="311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20 milligram per liter</w:t>
            </w:r>
          </w:p>
        </w:tc>
      </w:tr>
    </w:tbl>
    <w:p w:rsidR="00296032" w:rsidRPr="00620047" w:rsidRDefault="00296032">
      <w:pPr>
        <w:pStyle w:val="Default"/>
        <w:rPr>
          <w:rFonts w:cs="Arial"/>
        </w:rPr>
      </w:pPr>
    </w:p>
    <w:p w:rsidR="00296032" w:rsidRPr="00620047" w:rsidRDefault="00296032">
      <w:pPr>
        <w:pStyle w:val="art1enivo"/>
        <w:rPr>
          <w:rFonts w:cs="Arial"/>
        </w:rPr>
      </w:pPr>
      <w:r w:rsidRPr="00620047">
        <w:rPr>
          <w:rFonts w:cs="Arial"/>
        </w:rPr>
        <w:t>4.</w:t>
      </w:r>
      <w:r w:rsidRPr="00620047">
        <w:rPr>
          <w:rFonts w:cs="Arial"/>
        </w:rPr>
        <w:tab/>
        <w:t>Het lozen op of in de bodem is toegestaan indien het gehalte aan stoffen in enig steekmonster niet meer bedraagt dan de streefwaarden in tabel 1 van de bijlage bij de circulaire bodemsanering per 1 juli 2013.</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Het lozen, bedoeld in het eerste lid, in een vuilwaterriool is verboden.</w:t>
      </w:r>
    </w:p>
    <w:p w:rsidR="00296032" w:rsidRPr="00620047" w:rsidRDefault="00296032">
      <w:pPr>
        <w:pStyle w:val="art1enivo"/>
        <w:rPr>
          <w:rFonts w:cs="Arial"/>
        </w:rPr>
      </w:pPr>
      <w:r w:rsidRPr="00620047">
        <w:rPr>
          <w:rFonts w:cs="Arial"/>
          <w:bCs/>
        </w:rPr>
        <w:t>6.</w:t>
      </w:r>
      <w:r w:rsidRPr="00620047">
        <w:rPr>
          <w:rFonts w:cs="Arial"/>
          <w:bCs/>
        </w:rPr>
        <w:tab/>
      </w:r>
      <w:r w:rsidRPr="00620047">
        <w:rPr>
          <w:rFonts w:cs="Arial"/>
        </w:rPr>
        <w:t>Indien lozen als bedoeld in het eerste lid in een oppervlaktewaterlichaam, op of in de bodem of in een voorziening voor de inzameling en het transport van afvalwater, niet zijnde een vuilwaterriool, redelijkerwijs niet mogelijk is:</w:t>
      </w:r>
    </w:p>
    <w:p w:rsidR="00296032" w:rsidRPr="00620047" w:rsidRDefault="00296032">
      <w:pPr>
        <w:pStyle w:val="art2enivo"/>
        <w:rPr>
          <w:rFonts w:cs="Arial"/>
        </w:rPr>
      </w:pPr>
      <w:r w:rsidRPr="00620047">
        <w:rPr>
          <w:rFonts w:cs="Arial"/>
        </w:rPr>
        <w:t>a.</w:t>
      </w:r>
      <w:r w:rsidRPr="00620047">
        <w:rPr>
          <w:rFonts w:cs="Arial"/>
        </w:rPr>
        <w:tab/>
        <w:t>is, in afwijking van het vijfde lid, het lozen vanuit een proefbronnering in het vuilwaterriool toegestaan indien het gehalte aan onopgeloste stoffen niet meer bedraagt dan 300 milligram per liter;</w:t>
      </w:r>
    </w:p>
    <w:p w:rsidR="00296032" w:rsidRPr="00620047" w:rsidRDefault="00296032">
      <w:pPr>
        <w:pStyle w:val="art2enivo"/>
        <w:rPr>
          <w:rFonts w:cs="Arial"/>
        </w:rPr>
      </w:pPr>
      <w:r w:rsidRPr="00620047">
        <w:rPr>
          <w:rFonts w:cs="Arial"/>
        </w:rPr>
        <w:t>b.</w:t>
      </w:r>
      <w:r w:rsidRPr="00620047">
        <w:rPr>
          <w:rFonts w:cs="Arial"/>
        </w:rPr>
        <w:tab/>
        <w:t>kan het bevoegd gezag bij maatwerkvoorschrift het vijfde lid niet van toepassing verklaren en het lozen vanuit een bodemsanering in een vuilwaterriool toestaan, indien het belang van de bescherming van het milieu zich gelet op de samenstelling, hoeveelheid en eigenschappen van het afvalwater niet tegen het lozen in een vuilwaterriool verzet. Artikel 2.2, vierde lid, is van overeenkomstige toepassing.</w:t>
      </w:r>
    </w:p>
    <w:p w:rsidR="00296032" w:rsidRPr="00620047" w:rsidRDefault="00296032">
      <w:pPr>
        <w:pStyle w:val="art1enivo"/>
        <w:rPr>
          <w:rFonts w:cs="Arial"/>
        </w:rPr>
      </w:pPr>
      <w:r w:rsidRPr="00620047">
        <w:rPr>
          <w:rFonts w:cs="Arial"/>
        </w:rPr>
        <w:t>7.</w:t>
      </w:r>
      <w:r w:rsidRPr="00620047">
        <w:rPr>
          <w:rFonts w:cs="Arial"/>
        </w:rPr>
        <w:tab/>
        <w:t>Het bevoegd gezag kan bij maatwerkvoorschrift afwijken van:</w:t>
      </w:r>
    </w:p>
    <w:p w:rsidR="00296032" w:rsidRPr="00620047" w:rsidRDefault="00296032">
      <w:pPr>
        <w:pStyle w:val="art2enivo"/>
        <w:rPr>
          <w:rFonts w:cs="Arial"/>
        </w:rPr>
      </w:pPr>
      <w:r w:rsidRPr="00620047">
        <w:rPr>
          <w:rFonts w:cs="Arial"/>
        </w:rPr>
        <w:t>a.</w:t>
      </w:r>
      <w:r w:rsidRPr="00620047">
        <w:rPr>
          <w:rFonts w:cs="Arial"/>
        </w:rPr>
        <w:tab/>
        <w:t>de gehalten aan naftaleen en PAK's, bedoeld in onderdelen b en c van het tweede en het derde lid, de emissiewaarden, bedoeld in onderdeel d van het tweede en het derde lid en de streefwaarden, bedoeld in het vierde lid, en hogere waarden of gehalten bepalen, indien genoemde waarden of gehalten niet door toepassing van beste beschikbare technieken kunnen worden bereikt en het belang van de bescherming van het milieu zich niet verzet tegen het lozen met een hogere waarde of een hoger gehalte;</w:t>
      </w:r>
    </w:p>
    <w:p w:rsidR="00296032" w:rsidRPr="00620047" w:rsidRDefault="00296032">
      <w:pPr>
        <w:pStyle w:val="art2enivo"/>
        <w:rPr>
          <w:rFonts w:cs="Arial"/>
        </w:rPr>
      </w:pPr>
      <w:r w:rsidRPr="00620047">
        <w:rPr>
          <w:rFonts w:cs="Arial"/>
        </w:rPr>
        <w:t>b.</w:t>
      </w:r>
      <w:r w:rsidRPr="00620047">
        <w:rPr>
          <w:rFonts w:cs="Arial"/>
        </w:rPr>
        <w:tab/>
        <w:t>de gehalten aan naftaleen en PAK's, bedoeld in onderdelen b en c van het tweede en het derde lid, en lagere waarden bepalen, indien het belang van de bescherming van het milieu tot het stellen van een lagere waarde noodzaakt;</w:t>
      </w:r>
    </w:p>
    <w:p w:rsidR="00296032" w:rsidRPr="00620047" w:rsidRDefault="00296032">
      <w:pPr>
        <w:pStyle w:val="art2enivo"/>
        <w:rPr>
          <w:rFonts w:cs="Arial"/>
        </w:rPr>
      </w:pPr>
      <w:r w:rsidRPr="00620047">
        <w:rPr>
          <w:rFonts w:cs="Arial"/>
        </w:rPr>
        <w:t>c.</w:t>
      </w:r>
      <w:r w:rsidRPr="00620047">
        <w:rPr>
          <w:rFonts w:cs="Arial"/>
        </w:rPr>
        <w:tab/>
        <w:t>de waarden bedoeld in het tweede lid, onderdeel d, en lagere waarden bepalen indien vanuit een voorziening bedoeld in dat lid geloosd wordt in een niet-aangewezen oppervlaktewaterlichaam, of op of in de bodem en het belang van bescherming van het milieu noodzaakt tot het stellen van een lagere waarde.</w:t>
      </w:r>
    </w:p>
    <w:p w:rsidR="00296032" w:rsidRPr="00620047" w:rsidRDefault="00296032">
      <w:pPr>
        <w:pStyle w:val="art1enivo"/>
        <w:rPr>
          <w:rFonts w:cs="Arial"/>
        </w:rPr>
      </w:pPr>
      <w:r w:rsidRPr="00620047">
        <w:rPr>
          <w:rFonts w:cs="Arial"/>
          <w:bCs/>
        </w:rPr>
        <w:t>8.</w:t>
      </w:r>
      <w:r w:rsidRPr="00620047">
        <w:rPr>
          <w:rFonts w:cs="Arial"/>
          <w:bCs/>
        </w:rPr>
        <w:tab/>
      </w:r>
      <w:r w:rsidRPr="00620047">
        <w:rPr>
          <w:rFonts w:cs="Arial"/>
        </w:rPr>
        <w:t>De lagere gehalten, bedoeld in het zevende lid, onderdeel c, worden niet lager vastgesteld dan:</w:t>
      </w:r>
    </w:p>
    <w:p w:rsidR="00296032" w:rsidRPr="00620047" w:rsidRDefault="00296032">
      <w:pPr>
        <w:pStyle w:val="art2enivo"/>
        <w:rPr>
          <w:rFonts w:cs="Arial"/>
        </w:rPr>
      </w:pPr>
      <w:r w:rsidRPr="00620047">
        <w:rPr>
          <w:rFonts w:cs="Arial"/>
        </w:rPr>
        <w:t>a.</w:t>
      </w:r>
      <w:r w:rsidRPr="00620047">
        <w:rPr>
          <w:rFonts w:cs="Arial"/>
        </w:rPr>
        <w:tab/>
        <w:t>de waarden opgenomen in tabel 3.1b, indien geloosd wordt in een oppervlaktewaterlichaam;</w:t>
      </w:r>
    </w:p>
    <w:p w:rsidR="00296032" w:rsidRPr="00620047" w:rsidRDefault="00296032">
      <w:pPr>
        <w:pStyle w:val="art2enivo"/>
        <w:rPr>
          <w:rFonts w:cs="Arial"/>
        </w:rPr>
      </w:pPr>
      <w:r w:rsidRPr="00620047">
        <w:rPr>
          <w:rFonts w:cs="Arial"/>
        </w:rPr>
        <w:t>b.</w:t>
      </w:r>
      <w:r w:rsidRPr="00620047">
        <w:rPr>
          <w:rFonts w:cs="Arial"/>
        </w:rPr>
        <w:tab/>
        <w:t>de streefwaarden, bedoeld in het vierde lid, indien geloosd wordt op of in de bodem.</w:t>
      </w:r>
    </w:p>
    <w:p w:rsidR="00296032" w:rsidRPr="00620047" w:rsidRDefault="00296032">
      <w:pPr>
        <w:pStyle w:val="art1enivo"/>
        <w:rPr>
          <w:rFonts w:cs="Arial"/>
        </w:rPr>
      </w:pPr>
      <w:r w:rsidRPr="00620047">
        <w:rPr>
          <w:rFonts w:cs="Arial"/>
          <w:bCs/>
        </w:rPr>
        <w:t>9.</w:t>
      </w:r>
      <w:r w:rsidRPr="00620047">
        <w:rPr>
          <w:rFonts w:cs="Arial"/>
          <w:bCs/>
        </w:rPr>
        <w:tab/>
      </w:r>
      <w:r w:rsidRPr="00620047">
        <w:rPr>
          <w:rFonts w:cs="Arial"/>
        </w:rPr>
        <w:t>Het te lozen grondwater, bedoeld in het eerste lid, kan op een doelmatige wijze worden bemonsterd.</w:t>
      </w:r>
    </w:p>
    <w:p w:rsidR="00296032" w:rsidRPr="00296032" w:rsidRDefault="00296032">
      <w:pPr>
        <w:pStyle w:val="paragraaf"/>
        <w:rPr>
          <w:rFonts w:cs="Arial"/>
        </w:rPr>
      </w:pPr>
      <w:bookmarkStart w:id="52" w:name="_Toc277243189"/>
      <w:bookmarkStart w:id="53" w:name="_Toc431375560"/>
      <w:r w:rsidRPr="00296032">
        <w:rPr>
          <w:rFonts w:cs="Arial"/>
        </w:rPr>
        <w:t>§ 3.1.2</w:t>
      </w:r>
      <w:r w:rsidRPr="00296032">
        <w:rPr>
          <w:rFonts w:cs="Arial"/>
        </w:rPr>
        <w:tab/>
        <w:t>Lozen van grondwater bij ontwatering</w:t>
      </w:r>
      <w:bookmarkEnd w:id="52"/>
      <w:bookmarkEnd w:id="53"/>
    </w:p>
    <w:p w:rsidR="00296032" w:rsidRPr="00296032" w:rsidRDefault="00296032">
      <w:pPr>
        <w:pStyle w:val="artikelkop"/>
        <w:rPr>
          <w:rFonts w:cs="Arial"/>
        </w:rPr>
      </w:pPr>
      <w:r w:rsidRPr="00296032">
        <w:rPr>
          <w:rFonts w:cs="Arial"/>
        </w:rPr>
        <w:t>Artikel 3.2</w:t>
      </w:r>
    </w:p>
    <w:p w:rsidR="00296032" w:rsidRPr="00620047" w:rsidRDefault="00296032">
      <w:pPr>
        <w:pStyle w:val="art1enivo"/>
        <w:rPr>
          <w:rFonts w:cs="Arial"/>
        </w:rPr>
      </w:pPr>
      <w:r w:rsidRPr="00620047">
        <w:rPr>
          <w:rFonts w:cs="Arial"/>
        </w:rPr>
        <w:t>1.</w:t>
      </w:r>
      <w:r w:rsidRPr="00620047">
        <w:rPr>
          <w:rFonts w:cs="Arial"/>
        </w:rPr>
        <w:tab/>
        <w:t>Deze paragraaf is van toepassing op het lozen van grondwater bij ontwatering, niet zijnde:</w:t>
      </w:r>
    </w:p>
    <w:p w:rsidR="00296032" w:rsidRPr="00620047" w:rsidRDefault="00296032">
      <w:pPr>
        <w:pStyle w:val="art2enivo"/>
        <w:rPr>
          <w:rFonts w:cs="Arial"/>
        </w:rPr>
      </w:pPr>
      <w:r w:rsidRPr="00620047">
        <w:rPr>
          <w:rFonts w:cs="Arial"/>
        </w:rPr>
        <w:t>a.</w:t>
      </w:r>
      <w:r w:rsidRPr="00620047">
        <w:rPr>
          <w:rFonts w:cs="Arial"/>
        </w:rPr>
        <w:tab/>
        <w:t>grondwater vanuit een proefbronnering in het kader van een saneringsonderzoek of vanuit een bodemsanering als bedoeld in artikel 3.1, eerste lid;</w:t>
      </w:r>
    </w:p>
    <w:p w:rsidR="00296032" w:rsidRPr="00620047" w:rsidRDefault="00296032">
      <w:pPr>
        <w:pStyle w:val="art2enivo"/>
        <w:rPr>
          <w:rFonts w:cs="Arial"/>
        </w:rPr>
      </w:pPr>
      <w:r w:rsidRPr="00620047">
        <w:rPr>
          <w:rFonts w:cs="Arial"/>
        </w:rPr>
        <w:t>b.</w:t>
      </w:r>
      <w:r w:rsidRPr="00620047">
        <w:rPr>
          <w:rFonts w:cs="Arial"/>
        </w:rPr>
        <w:tab/>
        <w:t>drainagewater afkomstig van telen in een kas als bedoeld in artikel 3.70, en</w:t>
      </w:r>
    </w:p>
    <w:p w:rsidR="00296032" w:rsidRPr="00620047" w:rsidRDefault="00296032">
      <w:pPr>
        <w:pStyle w:val="art2enivo"/>
        <w:rPr>
          <w:rFonts w:cs="Arial"/>
        </w:rPr>
      </w:pPr>
      <w:r w:rsidRPr="00620047">
        <w:rPr>
          <w:rFonts w:cs="Arial"/>
        </w:rPr>
        <w:t>c.</w:t>
      </w:r>
      <w:r w:rsidRPr="00620047">
        <w:rPr>
          <w:rFonts w:cs="Arial"/>
        </w:rPr>
        <w:tab/>
        <w:t>drainagewater als bedoeld in artikel 3.87, negende lid.</w:t>
      </w:r>
    </w:p>
    <w:p w:rsidR="00296032" w:rsidRPr="00620047" w:rsidRDefault="00296032">
      <w:pPr>
        <w:pStyle w:val="art2enivo"/>
        <w:rPr>
          <w:rFonts w:cs="Arial"/>
        </w:rPr>
      </w:pPr>
      <w:r w:rsidRPr="00620047">
        <w:rPr>
          <w:rFonts w:cs="Arial"/>
        </w:rPr>
        <w:t>Bij het lozen wordt ten minste voldaan aan het tweede tot en met tiende lid.</w:t>
      </w:r>
    </w:p>
    <w:p w:rsidR="00296032" w:rsidRPr="00620047" w:rsidRDefault="00296032">
      <w:pPr>
        <w:pStyle w:val="art1enivo"/>
        <w:rPr>
          <w:rFonts w:cs="Arial"/>
        </w:rPr>
      </w:pPr>
      <w:r w:rsidRPr="00620047">
        <w:rPr>
          <w:rFonts w:cs="Arial"/>
        </w:rPr>
        <w:t>2.</w:t>
      </w:r>
      <w:r w:rsidRPr="00620047">
        <w:rPr>
          <w:rFonts w:cs="Arial"/>
        </w:rPr>
        <w:tab/>
        <w:t>Het lozen op of in de bodem is toegestaan.</w:t>
      </w:r>
    </w:p>
    <w:p w:rsidR="00296032" w:rsidRPr="00620047" w:rsidRDefault="00296032">
      <w:pPr>
        <w:pStyle w:val="art1enivo"/>
        <w:rPr>
          <w:rFonts w:cs="Arial"/>
        </w:rPr>
      </w:pPr>
      <w:r w:rsidRPr="00620047">
        <w:rPr>
          <w:rFonts w:cs="Arial"/>
        </w:rPr>
        <w:t>3.</w:t>
      </w:r>
      <w:r w:rsidRPr="00620047">
        <w:rPr>
          <w:rFonts w:cs="Arial"/>
        </w:rPr>
        <w:tab/>
        <w:t>Het lozen in een oppervlaktewaterlichaam is toegestaan indien:</w:t>
      </w:r>
    </w:p>
    <w:p w:rsidR="00296032" w:rsidRPr="00620047" w:rsidRDefault="00296032">
      <w:pPr>
        <w:pStyle w:val="art2enivo"/>
        <w:rPr>
          <w:rFonts w:cs="Arial"/>
        </w:rPr>
      </w:pPr>
      <w:r w:rsidRPr="00620047">
        <w:rPr>
          <w:rFonts w:cs="Arial"/>
        </w:rPr>
        <w:t>a.</w:t>
      </w:r>
      <w:r w:rsidRPr="00620047">
        <w:rPr>
          <w:rFonts w:cs="Arial"/>
        </w:rPr>
        <w:tab/>
        <w:t>het gehalte onopgeloste stoffen in enig steekmonster ten hoogste 50 milligram per liter bedraagt; en</w:t>
      </w:r>
    </w:p>
    <w:p w:rsidR="00296032" w:rsidRPr="00620047" w:rsidRDefault="00296032">
      <w:pPr>
        <w:pStyle w:val="art2enivo"/>
        <w:rPr>
          <w:rFonts w:cs="Arial"/>
        </w:rPr>
      </w:pPr>
      <w:r w:rsidRPr="00620047">
        <w:rPr>
          <w:rFonts w:cs="Arial"/>
        </w:rPr>
        <w:t>b.</w:t>
      </w:r>
      <w:r w:rsidRPr="00620047">
        <w:rPr>
          <w:rFonts w:cs="Arial"/>
        </w:rPr>
        <w:tab/>
        <w:t>als gevolg van het lozen geen visuele verontreiniging optreedt.</w:t>
      </w:r>
    </w:p>
    <w:p w:rsidR="00296032" w:rsidRPr="00620047" w:rsidRDefault="00296032">
      <w:pPr>
        <w:pStyle w:val="art1enivo"/>
        <w:rPr>
          <w:rFonts w:cs="Arial"/>
        </w:rPr>
      </w:pPr>
      <w:r w:rsidRPr="00620047">
        <w:rPr>
          <w:rFonts w:cs="Arial"/>
        </w:rPr>
        <w:t>4.</w:t>
      </w:r>
      <w:r w:rsidRPr="00620047">
        <w:rPr>
          <w:rFonts w:cs="Arial"/>
        </w:rPr>
        <w:tab/>
        <w:t>Het bevoegd gezag kan met betrekking tot het lozen, bedoeld in het derde lid, bij maatwerkvoorschrift afwijken van:</w:t>
      </w:r>
    </w:p>
    <w:p w:rsidR="00296032" w:rsidRPr="00620047" w:rsidRDefault="00296032">
      <w:pPr>
        <w:pStyle w:val="art2enivo"/>
        <w:rPr>
          <w:rFonts w:cs="Arial"/>
        </w:rPr>
      </w:pPr>
      <w:r w:rsidRPr="00620047">
        <w:rPr>
          <w:rFonts w:cs="Arial"/>
        </w:rPr>
        <w:t>a.</w:t>
      </w:r>
      <w:r w:rsidRPr="00620047">
        <w:rPr>
          <w:rFonts w:cs="Arial"/>
        </w:rPr>
        <w:tab/>
        <w:t>het gehalte, genoemd in dat lid en een hoger gehalte vaststellen, indien genoemd gehalte niet door toepassing van beste beschikbare technieken kan worden bereikt en het belang van de bescherming van het milieu zich niet tegen het lozen met een hoger gehalte verzet; en</w:t>
      </w:r>
    </w:p>
    <w:p w:rsidR="00296032" w:rsidRPr="00620047" w:rsidRDefault="00296032">
      <w:pPr>
        <w:pStyle w:val="art2enivo"/>
        <w:rPr>
          <w:rFonts w:cs="Arial"/>
        </w:rPr>
      </w:pPr>
      <w:r w:rsidRPr="00620047">
        <w:rPr>
          <w:rFonts w:cs="Arial"/>
        </w:rPr>
        <w:t>b.</w:t>
      </w:r>
      <w:r w:rsidRPr="00620047">
        <w:rPr>
          <w:rFonts w:cs="Arial"/>
        </w:rPr>
        <w:tab/>
        <w:t>bepalen dat visuele verontreiniging mag optreden, indien visuele verontreiniging niet door toepassing van beste beschikbare technieken kan worden voorkomen en het belang van de bescherming van het milieu zich niet verzet tegen het lozen, waarbij visuele verontreiniging optreedt.</w:t>
      </w:r>
    </w:p>
    <w:p w:rsidR="00296032" w:rsidRPr="00620047" w:rsidRDefault="00296032">
      <w:pPr>
        <w:pStyle w:val="art1enivo"/>
        <w:rPr>
          <w:rFonts w:cs="Arial"/>
        </w:rPr>
      </w:pPr>
      <w:r w:rsidRPr="00620047">
        <w:rPr>
          <w:rFonts w:cs="Arial"/>
        </w:rPr>
        <w:t>5.</w:t>
      </w:r>
      <w:r w:rsidRPr="00620047">
        <w:rPr>
          <w:rFonts w:cs="Arial"/>
        </w:rPr>
        <w:tab/>
        <w:t>Het lozen, in een voorziening voor de inzameling en het transport van afvalwater, niet zijnde een vuilwaterriool, is toegestaan indien het gehalte onopgeloste stoffen in enig steekmonster ten hoogste 50 milligram per liter bedraagt en het ijzergehalte in enig steekmonster ten hoogste 5 milligram per liter bedraagt.</w:t>
      </w:r>
    </w:p>
    <w:p w:rsidR="00296032" w:rsidRPr="00620047" w:rsidRDefault="00296032">
      <w:pPr>
        <w:pStyle w:val="art1enivo"/>
        <w:rPr>
          <w:rFonts w:cs="Arial"/>
        </w:rPr>
      </w:pPr>
      <w:r w:rsidRPr="00620047">
        <w:rPr>
          <w:rFonts w:cs="Arial"/>
        </w:rPr>
        <w:t>6.</w:t>
      </w:r>
      <w:r w:rsidRPr="00620047">
        <w:rPr>
          <w:rFonts w:cs="Arial"/>
        </w:rPr>
        <w:tab/>
        <w:t>Het bevoegd gezag kan met betrekking tot lozen als bedoeld in het vijfde lid bij maatwerkvoorschrift of verordening als bedoeld in artikel 10.32a van de Wet milieubeheer afwijken van:</w:t>
      </w:r>
    </w:p>
    <w:p w:rsidR="00296032" w:rsidRPr="00620047" w:rsidRDefault="00296032">
      <w:pPr>
        <w:pStyle w:val="art2enivo"/>
        <w:rPr>
          <w:rFonts w:cs="Arial"/>
        </w:rPr>
      </w:pPr>
      <w:r w:rsidRPr="00620047">
        <w:rPr>
          <w:rFonts w:cs="Arial"/>
        </w:rPr>
        <w:t>a.</w:t>
      </w:r>
      <w:r w:rsidRPr="00620047">
        <w:rPr>
          <w:rFonts w:cs="Arial"/>
        </w:rPr>
        <w:tab/>
        <w:t>de gehalten, bedoeld in dat lid en hogere gehalten vaststellen, indien eerstgenoemde gehalten niet door toepassing van beste beschikbare technieken kunnen worden bereikt en het belang van de bescherming van het milieu zich niet verzet tegen het lozen met een hoger gehalte;</w:t>
      </w:r>
    </w:p>
    <w:p w:rsidR="00296032" w:rsidRPr="00620047" w:rsidRDefault="00296032">
      <w:pPr>
        <w:pStyle w:val="art2enivo"/>
        <w:rPr>
          <w:rFonts w:cs="Arial"/>
        </w:rPr>
      </w:pPr>
      <w:r w:rsidRPr="00620047">
        <w:rPr>
          <w:rFonts w:cs="Arial"/>
        </w:rPr>
        <w:t>b.</w:t>
      </w:r>
      <w:r w:rsidRPr="00620047">
        <w:rPr>
          <w:rFonts w:cs="Arial"/>
        </w:rPr>
        <w:tab/>
        <w:t>het ijzergehalte, bedoeld in dat lid en een lager ijzergehalte bepalen, indien het belang van bescherming van het milieu tot het stellen van een lager gehalte noodzaakt.</w:t>
      </w:r>
    </w:p>
    <w:p w:rsidR="00296032" w:rsidRPr="00620047" w:rsidRDefault="00296032">
      <w:pPr>
        <w:pStyle w:val="art1enivo"/>
        <w:rPr>
          <w:rFonts w:cs="Arial"/>
        </w:rPr>
      </w:pPr>
      <w:r w:rsidRPr="00620047">
        <w:rPr>
          <w:rFonts w:cs="Arial"/>
        </w:rPr>
        <w:t>7.</w:t>
      </w:r>
      <w:r w:rsidRPr="00620047">
        <w:rPr>
          <w:rFonts w:cs="Arial"/>
        </w:rPr>
        <w:tab/>
        <w:t>Het lozen, in een vuilwaterriool is verboden, tenzij:</w:t>
      </w:r>
    </w:p>
    <w:p w:rsidR="00296032" w:rsidRPr="00620047" w:rsidRDefault="00296032">
      <w:pPr>
        <w:pStyle w:val="art2enivo"/>
        <w:rPr>
          <w:rFonts w:cs="Arial"/>
        </w:rPr>
      </w:pPr>
      <w:r w:rsidRPr="00620047">
        <w:rPr>
          <w:rFonts w:cs="Arial"/>
        </w:rPr>
        <w:t>a.</w:t>
      </w:r>
      <w:r w:rsidRPr="00620047">
        <w:rPr>
          <w:rFonts w:cs="Arial"/>
        </w:rPr>
        <w:tab/>
        <w:t>het lozen ten hoogste 8 weken duurt;</w:t>
      </w:r>
    </w:p>
    <w:p w:rsidR="00296032" w:rsidRPr="00620047" w:rsidRDefault="00296032">
      <w:pPr>
        <w:pStyle w:val="art2enivo"/>
        <w:rPr>
          <w:rFonts w:cs="Arial"/>
        </w:rPr>
      </w:pPr>
      <w:r w:rsidRPr="00620047">
        <w:rPr>
          <w:rFonts w:cs="Arial"/>
        </w:rPr>
        <w:t>b.</w:t>
      </w:r>
      <w:r w:rsidRPr="00620047">
        <w:rPr>
          <w:rFonts w:cs="Arial"/>
        </w:rPr>
        <w:tab/>
        <w:t>de geloosde hoeveelheid ten hoogste 5 kubieke meter per uur bedraagt; en</w:t>
      </w:r>
    </w:p>
    <w:p w:rsidR="00296032" w:rsidRPr="00620047" w:rsidRDefault="00296032">
      <w:pPr>
        <w:pStyle w:val="art2enivo"/>
        <w:rPr>
          <w:rFonts w:cs="Arial"/>
        </w:rPr>
      </w:pPr>
      <w:r w:rsidRPr="00620047">
        <w:rPr>
          <w:rFonts w:cs="Arial"/>
        </w:rPr>
        <w:t>c.</w:t>
      </w:r>
      <w:r w:rsidRPr="00620047">
        <w:rPr>
          <w:rFonts w:cs="Arial"/>
        </w:rPr>
        <w:tab/>
        <w:t>het gehalte onopgeloste stoffen in enig steekmonster ten hoogste 300 milligram per liter bedraagt.</w:t>
      </w:r>
    </w:p>
    <w:p w:rsidR="00296032" w:rsidRPr="00620047" w:rsidRDefault="00296032">
      <w:pPr>
        <w:pStyle w:val="art1enivo"/>
        <w:rPr>
          <w:rFonts w:cs="Arial"/>
        </w:rPr>
      </w:pPr>
      <w:r w:rsidRPr="00620047">
        <w:rPr>
          <w:rFonts w:cs="Arial"/>
        </w:rPr>
        <w:t>8.</w:t>
      </w:r>
      <w:r w:rsidRPr="00620047">
        <w:rPr>
          <w:rFonts w:cs="Arial"/>
        </w:rPr>
        <w:tab/>
        <w:t>Het bevoegd gezag kan met betrekking tot de tijdsduur en de hoeveelheid, bedoeld in het zevende lid bij maatwerkvoorschrift of bij verordening als bedoeld in artikel 10.32a van de Wet milieubeheer andere waarden stellen.</w:t>
      </w:r>
    </w:p>
    <w:p w:rsidR="00296032" w:rsidRPr="00620047" w:rsidRDefault="00296032">
      <w:pPr>
        <w:pStyle w:val="art1enivo"/>
        <w:rPr>
          <w:rFonts w:cs="Arial"/>
        </w:rPr>
      </w:pPr>
      <w:r w:rsidRPr="00620047">
        <w:rPr>
          <w:rFonts w:cs="Arial"/>
        </w:rPr>
        <w:t>9.</w:t>
      </w:r>
      <w:r w:rsidRPr="00620047">
        <w:rPr>
          <w:rFonts w:cs="Arial"/>
        </w:rPr>
        <w:tab/>
        <w:t>Het te lozen grondwater kan op een doelmatige wijze worden bemonsterd.</w:t>
      </w:r>
    </w:p>
    <w:p w:rsidR="00296032" w:rsidRPr="00620047" w:rsidRDefault="00296032">
      <w:pPr>
        <w:pStyle w:val="art1enivo"/>
        <w:rPr>
          <w:rFonts w:cs="Arial"/>
        </w:rPr>
      </w:pPr>
      <w:r w:rsidRPr="00620047">
        <w:rPr>
          <w:rFonts w:cs="Arial"/>
        </w:rPr>
        <w:t>10.</w:t>
      </w:r>
      <w:r w:rsidRPr="00620047">
        <w:rPr>
          <w:rFonts w:cs="Arial"/>
        </w:rPr>
        <w:tab/>
        <w:t>De per tijdseenheid geloosde hoeveelheid grondwater kan voor de toepassing van het zevende lid op een doelmatige wijze worden bepaald.</w:t>
      </w:r>
    </w:p>
    <w:p w:rsidR="00296032" w:rsidRPr="00296032" w:rsidRDefault="00296032">
      <w:pPr>
        <w:pStyle w:val="paragraaf"/>
        <w:rPr>
          <w:rFonts w:cs="Arial"/>
        </w:rPr>
      </w:pPr>
      <w:bookmarkStart w:id="54" w:name="_Toc277243190"/>
      <w:bookmarkStart w:id="55" w:name="_Toc431375561"/>
      <w:r w:rsidRPr="00296032">
        <w:rPr>
          <w:rFonts w:cs="Arial"/>
        </w:rPr>
        <w:t>§ 3.1.3</w:t>
      </w:r>
      <w:r w:rsidRPr="00296032">
        <w:rPr>
          <w:rFonts w:cs="Arial"/>
        </w:rPr>
        <w:tab/>
        <w:t>Lozen van hemelwater, dat niet afkomstig is van een bodembeschermende voorziening</w:t>
      </w:r>
      <w:bookmarkEnd w:id="54"/>
      <w:bookmarkEnd w:id="55"/>
    </w:p>
    <w:p w:rsidR="00296032" w:rsidRPr="00296032" w:rsidRDefault="00296032">
      <w:pPr>
        <w:pStyle w:val="artikelkop"/>
        <w:rPr>
          <w:rFonts w:cs="Arial"/>
        </w:rPr>
      </w:pPr>
      <w:r w:rsidRPr="00296032">
        <w:rPr>
          <w:rFonts w:cs="Arial"/>
        </w:rPr>
        <w:t>Artikel 3.3</w:t>
      </w:r>
    </w:p>
    <w:p w:rsidR="00296032" w:rsidRPr="00620047" w:rsidRDefault="00296032">
      <w:pPr>
        <w:pStyle w:val="art1enivo"/>
        <w:rPr>
          <w:rFonts w:cs="Arial"/>
        </w:rPr>
      </w:pPr>
      <w:r w:rsidRPr="00620047">
        <w:rPr>
          <w:rFonts w:cs="Arial"/>
        </w:rPr>
        <w:t>1.</w:t>
      </w:r>
      <w:r w:rsidRPr="00620047">
        <w:rPr>
          <w:rFonts w:cs="Arial"/>
        </w:rPr>
        <w:tab/>
        <w:t xml:space="preserve"> Deze paragraaf is van toepassing op het lozen van afvloeiend hemelwater dat:</w:t>
      </w:r>
    </w:p>
    <w:p w:rsidR="00296032" w:rsidRPr="00620047" w:rsidRDefault="00296032">
      <w:pPr>
        <w:pStyle w:val="art2enivo"/>
        <w:rPr>
          <w:rFonts w:cs="Arial"/>
        </w:rPr>
      </w:pPr>
      <w:r w:rsidRPr="00620047">
        <w:rPr>
          <w:rFonts w:cs="Arial"/>
        </w:rPr>
        <w:t>a.</w:t>
      </w:r>
      <w:r w:rsidRPr="00620047">
        <w:rPr>
          <w:rFonts w:cs="Arial"/>
        </w:rPr>
        <w:tab/>
        <w:t xml:space="preserve">niet afkomstig is van een bodembeschermende voorziening, </w:t>
      </w:r>
    </w:p>
    <w:p w:rsidR="00296032" w:rsidRPr="00620047" w:rsidRDefault="00296032">
      <w:pPr>
        <w:pStyle w:val="art2enivo"/>
        <w:rPr>
          <w:rFonts w:cs="Arial"/>
        </w:rPr>
      </w:pPr>
      <w:r w:rsidRPr="00620047">
        <w:rPr>
          <w:rFonts w:cs="Arial"/>
        </w:rPr>
        <w:t>b.</w:t>
      </w:r>
      <w:r w:rsidRPr="00620047">
        <w:rPr>
          <w:rFonts w:cs="Arial"/>
        </w:rPr>
        <w:tab/>
        <w:t>geen hemelwater is waarop de artikelen 3.33, 3.34, 3.49 en 3.60 van toepassing zijn</w:t>
      </w:r>
      <w:r w:rsidR="009E7450">
        <w:rPr>
          <w:rFonts w:cs="Arial"/>
        </w:rPr>
        <w:t>, of</w:t>
      </w:r>
    </w:p>
    <w:p w:rsidR="00296032" w:rsidRPr="00620047" w:rsidRDefault="00296032">
      <w:pPr>
        <w:pStyle w:val="art2enivo"/>
        <w:rPr>
          <w:rFonts w:cs="Arial"/>
        </w:rPr>
      </w:pPr>
      <w:r w:rsidRPr="00620047">
        <w:rPr>
          <w:rFonts w:cs="Arial"/>
        </w:rPr>
        <w:t>c.</w:t>
      </w:r>
      <w:r w:rsidRPr="00620047">
        <w:rPr>
          <w:rFonts w:cs="Arial"/>
        </w:rPr>
        <w:tab/>
        <w:t>geen drainagewater is als bedoeld in artikel 3.87, negende lid.</w:t>
      </w:r>
    </w:p>
    <w:p w:rsidR="00296032" w:rsidRPr="00620047" w:rsidRDefault="00296032">
      <w:pPr>
        <w:pStyle w:val="art1enivo"/>
        <w:rPr>
          <w:rFonts w:cs="Arial"/>
        </w:rPr>
      </w:pPr>
      <w:r w:rsidRPr="00620047">
        <w:rPr>
          <w:rFonts w:cs="Arial"/>
        </w:rPr>
        <w:t>2.</w:t>
      </w:r>
      <w:r w:rsidRPr="00620047">
        <w:rPr>
          <w:rFonts w:cs="Arial"/>
        </w:rPr>
        <w:tab/>
        <w:t>Het lozen anders dan in een vuilwaterriool is toegestaan.</w:t>
      </w:r>
    </w:p>
    <w:p w:rsidR="00296032" w:rsidRPr="00620047" w:rsidRDefault="00296032">
      <w:pPr>
        <w:pStyle w:val="art1enivo"/>
        <w:rPr>
          <w:rFonts w:cs="Arial"/>
        </w:rPr>
      </w:pPr>
      <w:r w:rsidRPr="00620047">
        <w:rPr>
          <w:rFonts w:cs="Arial"/>
        </w:rPr>
        <w:t>3.</w:t>
      </w:r>
      <w:r w:rsidRPr="00620047">
        <w:rPr>
          <w:rFonts w:cs="Arial"/>
        </w:rPr>
        <w:tab/>
        <w:t>Het lozen vindt slechts dan in een vuilwaterriool plaats, indien het lozen op of in de bodem, in een openbaar hemelwaterstelsel of in een oppervlaktewaterlichaam redelijkerwijs niet mogelijk is.</w:t>
      </w:r>
    </w:p>
    <w:p w:rsidR="00296032" w:rsidRPr="00620047" w:rsidRDefault="00296032">
      <w:pPr>
        <w:pStyle w:val="art1enivo"/>
        <w:rPr>
          <w:rFonts w:cs="Arial"/>
        </w:rPr>
      </w:pPr>
      <w:r w:rsidRPr="00620047">
        <w:rPr>
          <w:rFonts w:cs="Arial"/>
        </w:rPr>
        <w:t>4.</w:t>
      </w:r>
      <w:r w:rsidRPr="00620047">
        <w:rPr>
          <w:rFonts w:cs="Arial"/>
        </w:rPr>
        <w:tab/>
        <w:t>Gewasbeschermingsmiddelen, waaronder onkruidbestrijdingsmiddelen, worden slechts op half</w:t>
      </w:r>
      <w:r w:rsidR="00E07DCA">
        <w:rPr>
          <w:rFonts w:cs="Arial"/>
        </w:rPr>
        <w:t>-</w:t>
      </w:r>
      <w:r w:rsidRPr="00620047">
        <w:rPr>
          <w:rFonts w:cs="Arial"/>
        </w:rPr>
        <w:t>open en gesloten verhardingen gebruikt, indien:</w:t>
      </w:r>
    </w:p>
    <w:p w:rsidR="00296032" w:rsidRPr="00620047" w:rsidRDefault="00296032">
      <w:pPr>
        <w:pStyle w:val="art2enivo"/>
        <w:rPr>
          <w:rFonts w:cs="Arial"/>
        </w:rPr>
      </w:pPr>
      <w:r w:rsidRPr="00620047">
        <w:rPr>
          <w:rFonts w:cs="Arial"/>
        </w:rPr>
        <w:t>a.</w:t>
      </w:r>
      <w:r w:rsidRPr="00620047">
        <w:rPr>
          <w:rFonts w:cs="Arial"/>
        </w:rPr>
        <w:tab/>
        <w:t>sprake is van pleksgewijze behandeling door middel van selectieve toepassingstechnieken; en</w:t>
      </w:r>
    </w:p>
    <w:p w:rsidR="00296032" w:rsidRPr="00620047" w:rsidRDefault="00296032">
      <w:pPr>
        <w:pStyle w:val="art2enivo"/>
        <w:rPr>
          <w:rFonts w:cs="Arial"/>
        </w:rPr>
      </w:pPr>
      <w:r w:rsidRPr="00620047">
        <w:rPr>
          <w:rFonts w:cs="Arial"/>
        </w:rPr>
        <w:t>b.</w:t>
      </w:r>
      <w:r w:rsidRPr="00620047">
        <w:rPr>
          <w:rFonts w:cs="Arial"/>
        </w:rPr>
        <w:tab/>
        <w:t xml:space="preserve">de kans op neerslag voor een periode van 24 uur na het voorgenomen gebruik niet groter is dan 40% volgens het weerbericht, </w:t>
      </w:r>
      <w:r w:rsidRPr="00620047">
        <w:t>bedoeld in artikel 3, eerste lid, onderdeel a, van de Wet taken meteorologie en seismologie</w:t>
      </w:r>
      <w:r w:rsidRPr="00620047">
        <w:rPr>
          <w:rFonts w:cs="Arial"/>
        </w:rPr>
        <w:t>, voor de desbetreffende regio van het land.</w:t>
      </w:r>
    </w:p>
    <w:p w:rsidR="00296032" w:rsidRPr="00620047" w:rsidRDefault="00296032">
      <w:pPr>
        <w:pStyle w:val="art1enivo"/>
        <w:rPr>
          <w:rFonts w:cs="Arial"/>
        </w:rPr>
      </w:pPr>
      <w:r w:rsidRPr="00620047">
        <w:rPr>
          <w:rFonts w:cs="Arial"/>
        </w:rPr>
        <w:t>5.</w:t>
      </w:r>
      <w:r w:rsidRPr="00620047">
        <w:rPr>
          <w:rFonts w:cs="Arial"/>
        </w:rPr>
        <w:tab/>
        <w:t>Gewasbeschermingsmiddelen, waaronder onkruidbestrijdingsmiddelen, worden niet gebruikt in of nabij straatkolken of putten.</w:t>
      </w:r>
    </w:p>
    <w:p w:rsidR="00296032" w:rsidRPr="00620047" w:rsidRDefault="00296032">
      <w:pPr>
        <w:pStyle w:val="art1enivo"/>
      </w:pPr>
      <w:r w:rsidRPr="00620047">
        <w:rPr>
          <w:rStyle w:val="lidnr"/>
        </w:rPr>
        <w:t>6.</w:t>
      </w:r>
      <w:r w:rsidRPr="00620047">
        <w:t xml:space="preserve"> </w:t>
      </w:r>
      <w:r w:rsidRPr="00620047">
        <w:tab/>
        <w:t xml:space="preserve">Het derde lid is niet van toepassing op het lozen dat is aangevangen voor het van toepassing worden van het eerste tot en met vijfde lid op de inrichting. </w:t>
      </w:r>
    </w:p>
    <w:p w:rsidR="00296032" w:rsidRPr="00620047" w:rsidRDefault="00296032">
      <w:pPr>
        <w:pStyle w:val="art1enivo"/>
      </w:pPr>
      <w:r w:rsidRPr="00620047">
        <w:rPr>
          <w:rStyle w:val="lidnr"/>
        </w:rPr>
        <w:t>7.</w:t>
      </w:r>
      <w:r w:rsidRPr="00620047">
        <w:t xml:space="preserve"> </w:t>
      </w:r>
      <w:r w:rsidRPr="00620047">
        <w:tab/>
        <w:t xml:space="preserve">Het bevoegd gezag kan bij maatwerkvoorschrift bepalen dat het lozen in het vuilwaterriool van afvloeiend hemelwater dat niet afkomstig is van een bodembeschermende voorziening, dat reeds plaatsvond voorafgaand aan het tijdstip, bedoeld in het zesde lid, binnen een in dat maatwerkvoorschrift gestelde termijn wordt gestaakt. </w:t>
      </w:r>
    </w:p>
    <w:p w:rsidR="00296032" w:rsidRPr="00620047" w:rsidRDefault="00296032"/>
    <w:p w:rsidR="00296032" w:rsidRPr="00296032" w:rsidRDefault="00296032">
      <w:pPr>
        <w:pStyle w:val="paragraaf"/>
        <w:rPr>
          <w:rFonts w:cs="Arial"/>
        </w:rPr>
      </w:pPr>
      <w:bookmarkStart w:id="56" w:name="_Toc277243191"/>
      <w:bookmarkStart w:id="57" w:name="_Toc431375562"/>
      <w:r w:rsidRPr="00296032">
        <w:rPr>
          <w:rFonts w:cs="Arial"/>
        </w:rPr>
        <w:t>§ 3.1.4</w:t>
      </w:r>
      <w:r w:rsidRPr="00296032">
        <w:rPr>
          <w:rFonts w:cs="Arial"/>
        </w:rPr>
        <w:tab/>
        <w:t>Behandelen van huishoudelijk afvalwater op locatie</w:t>
      </w:r>
      <w:bookmarkEnd w:id="56"/>
      <w:bookmarkEnd w:id="57"/>
    </w:p>
    <w:p w:rsidR="00296032" w:rsidRPr="00296032" w:rsidRDefault="00296032">
      <w:pPr>
        <w:pStyle w:val="artikelkop"/>
        <w:rPr>
          <w:rFonts w:cs="Arial"/>
        </w:rPr>
      </w:pPr>
      <w:r w:rsidRPr="00296032">
        <w:rPr>
          <w:rFonts w:cs="Arial"/>
        </w:rPr>
        <w:t>Artikel 3.4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Deze paragraaf is van toepassing op het lozen van huishoudelijk afvalwater en het behandelen van dit afvalwater voorafgaand daaraan. Het lozen van huishoudelijk afvalwater in een oppervlaktewaterlichaam of op of in de bodem is toegestaan indien het lozen plaatsvindt buiten een bebouwde kom of binnen een bebouwde kom van waaruit stedelijk afvalwater wordt geloosd met een vervuilingswaarde van minder dan 2000 inwonerequivalenten en de afstand tot het dichtstbijzijnde vuilwaterriool of een zuiveringtechnisch werk waarop kan worden aangesloten meer bedraagt dan:</w:t>
      </w:r>
    </w:p>
    <w:p w:rsidR="00296032" w:rsidRPr="00620047" w:rsidRDefault="00296032">
      <w:pPr>
        <w:pStyle w:val="art2enivo"/>
        <w:rPr>
          <w:rFonts w:cs="Arial"/>
        </w:rPr>
      </w:pPr>
      <w:r w:rsidRPr="00620047">
        <w:rPr>
          <w:rFonts w:cs="Arial"/>
        </w:rPr>
        <w:t>a.</w:t>
      </w:r>
      <w:r w:rsidRPr="00620047">
        <w:rPr>
          <w:rFonts w:cs="Arial"/>
        </w:rPr>
        <w:tab/>
        <w:t>40 meter bij niet meer dan 10 inwonerequivalenten;</w:t>
      </w:r>
    </w:p>
    <w:p w:rsidR="00296032" w:rsidRPr="00620047" w:rsidRDefault="00296032">
      <w:pPr>
        <w:pStyle w:val="art2enivo"/>
        <w:rPr>
          <w:rFonts w:cs="Arial"/>
        </w:rPr>
      </w:pPr>
      <w:r w:rsidRPr="00620047">
        <w:rPr>
          <w:rFonts w:cs="Arial"/>
        </w:rPr>
        <w:t>b.</w:t>
      </w:r>
      <w:r w:rsidRPr="00620047">
        <w:rPr>
          <w:rFonts w:cs="Arial"/>
        </w:rPr>
        <w:tab/>
        <w:t>100 meter bij meer dan 10 doch minder dan 25 inwonerequivalenten;</w:t>
      </w:r>
    </w:p>
    <w:p w:rsidR="00296032" w:rsidRPr="00620047" w:rsidRDefault="00296032">
      <w:pPr>
        <w:pStyle w:val="art2enivo"/>
        <w:rPr>
          <w:rFonts w:cs="Arial"/>
        </w:rPr>
      </w:pPr>
      <w:r w:rsidRPr="00620047">
        <w:rPr>
          <w:rFonts w:cs="Arial"/>
        </w:rPr>
        <w:t>c.</w:t>
      </w:r>
      <w:r w:rsidRPr="00620047">
        <w:rPr>
          <w:rFonts w:cs="Arial"/>
        </w:rPr>
        <w:tab/>
        <w:t>600 meter bij 25 doch minder dan 50 inwonerequivalenten;</w:t>
      </w:r>
    </w:p>
    <w:p w:rsidR="00296032" w:rsidRPr="00620047" w:rsidRDefault="00296032">
      <w:pPr>
        <w:pStyle w:val="art2enivo"/>
        <w:rPr>
          <w:rFonts w:cs="Arial"/>
        </w:rPr>
      </w:pPr>
      <w:r w:rsidRPr="00620047">
        <w:rPr>
          <w:rFonts w:cs="Arial"/>
        </w:rPr>
        <w:t>d.</w:t>
      </w:r>
      <w:r w:rsidRPr="00620047">
        <w:rPr>
          <w:rFonts w:cs="Arial"/>
        </w:rPr>
        <w:tab/>
        <w:t>1500 meter bij 50 doch minder dan 100 inwonerequivalenten; en</w:t>
      </w:r>
    </w:p>
    <w:p w:rsidR="00296032" w:rsidRPr="00620047" w:rsidRDefault="00296032">
      <w:pPr>
        <w:pStyle w:val="art2enivo"/>
        <w:rPr>
          <w:rFonts w:cs="Arial"/>
        </w:rPr>
      </w:pPr>
      <w:r w:rsidRPr="00620047">
        <w:rPr>
          <w:rFonts w:cs="Arial"/>
        </w:rPr>
        <w:t>e.</w:t>
      </w:r>
      <w:r w:rsidRPr="00620047">
        <w:rPr>
          <w:rFonts w:cs="Arial"/>
        </w:rPr>
        <w:tab/>
        <w:t>3.000 meter bij 100 of meer inwonerequivalenten.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De afstand, bedoeld in het eerste lid, wordt berekend:</w:t>
      </w:r>
    </w:p>
    <w:p w:rsidR="00296032" w:rsidRPr="00620047" w:rsidRDefault="00296032">
      <w:pPr>
        <w:pStyle w:val="art2enivo"/>
        <w:rPr>
          <w:rFonts w:cs="Arial"/>
        </w:rPr>
      </w:pPr>
      <w:r w:rsidRPr="00620047">
        <w:rPr>
          <w:rFonts w:cs="Arial"/>
        </w:rPr>
        <w:t>a.</w:t>
      </w:r>
      <w:r w:rsidRPr="00620047">
        <w:rPr>
          <w:rFonts w:cs="Arial"/>
        </w:rPr>
        <w:tab/>
        <w:t>vanaf de kadastrale grens van het perceel waar het huishoudelijk afvalwater vrijkomt; en</w:t>
      </w:r>
    </w:p>
    <w:p w:rsidR="00296032" w:rsidRPr="00620047" w:rsidRDefault="00296032">
      <w:pPr>
        <w:pStyle w:val="art2enivo"/>
        <w:rPr>
          <w:rFonts w:cs="Arial"/>
        </w:rPr>
      </w:pPr>
      <w:r w:rsidRPr="00620047">
        <w:rPr>
          <w:rFonts w:cs="Arial"/>
        </w:rPr>
        <w:t>b.</w:t>
      </w:r>
      <w:r w:rsidRPr="00620047">
        <w:rPr>
          <w:rFonts w:cs="Arial"/>
        </w:rPr>
        <w:tab/>
        <w:t>langs de kortste lijn waarlangs de afvoerleidingen zonder overwegende bezwaren kunnen worden aangelegd.</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Indien de afstand, bedoeld in het eerste lid, minder bedraagt dan de afstanden, genoemd in dat lid, kan het bevoegd gezag indien het belang van de bescherming van de bodem of de kwaliteit van een oppervlaktewaterlichaam zich daartegen niet verzet, bij maatwerkvoorschrift het lozen op of in de bodem of in een oppervlaktewaterlichaam toestaan:</w:t>
      </w:r>
    </w:p>
    <w:p w:rsidR="00296032" w:rsidRPr="00620047" w:rsidRDefault="00296032">
      <w:pPr>
        <w:pStyle w:val="art2enivo"/>
        <w:rPr>
          <w:rFonts w:cs="Arial"/>
        </w:rPr>
      </w:pPr>
      <w:r w:rsidRPr="00620047">
        <w:rPr>
          <w:rFonts w:cs="Arial"/>
        </w:rPr>
        <w:t>a.</w:t>
      </w:r>
      <w:r w:rsidRPr="00620047">
        <w:rPr>
          <w:rFonts w:cs="Arial"/>
        </w:rPr>
        <w:tab/>
        <w:t>voor een door hem vast te stellen termijn, gebaseerd op het nog niet verstreken deel van een afschrijvingstermijn van de bij de aanleg van het vuilwaterriool of het zuiveringtechnisch werk reeds bestaande zuiveringsvoorziening; of</w:t>
      </w:r>
    </w:p>
    <w:p w:rsidR="00296032" w:rsidRPr="00620047" w:rsidRDefault="00296032">
      <w:pPr>
        <w:pStyle w:val="art2enivo"/>
        <w:rPr>
          <w:rFonts w:cs="Arial"/>
        </w:rPr>
      </w:pPr>
      <w:r w:rsidRPr="00620047">
        <w:rPr>
          <w:rFonts w:cs="Arial"/>
        </w:rPr>
        <w:t>b.</w:t>
      </w:r>
      <w:r w:rsidRPr="00620047">
        <w:rPr>
          <w:rFonts w:cs="Arial"/>
        </w:rPr>
        <w:tab/>
        <w:t>indien voor een deel van het huishoudelijk afvalwater dat vrijkomt binnen de inrichting waarvan de vervuilingswaarde niet groter is dan 3 inwonerequivalenten aansluiting op de bedrijfsriolering die op een vuilwaterriool is aangesloten niet doelmatig is, waarbij kan worden bepaald dat het afvalwater door een zuiveringsvoorziening wordt geleid.</w:t>
      </w:r>
    </w:p>
    <w:p w:rsidR="00296032" w:rsidRPr="00620047" w:rsidRDefault="00296032">
      <w:pPr>
        <w:pStyle w:val="art1enivo"/>
      </w:pPr>
      <w:r w:rsidRPr="00620047">
        <w:t xml:space="preserve">4. </w:t>
      </w:r>
      <w:r w:rsidRPr="00620047">
        <w:tab/>
        <w:t>In afwijking van het tweede lid, onderdeel a, wordt de afstand tot het dichtstbijzijnde vuilwaterriool of zuiveringtechnisch werk bij voortzetting van het lozen van huishoudelijk afvalwater op of in de bodem dat voor 1 juli 1990 al regelmatig plaatsvond, berekend vanaf het gedeelte van het gebouw dat zich het dichtst bij een vuilwaterriool of een zuiveringtechnisch werk bevindt.</w:t>
      </w:r>
    </w:p>
    <w:p w:rsidR="00296032" w:rsidRPr="00620047" w:rsidRDefault="00296032">
      <w:pPr>
        <w:pStyle w:val="art1enivo"/>
      </w:pPr>
      <w:r w:rsidRPr="00620047">
        <w:t>5.</w:t>
      </w:r>
      <w:r w:rsidRPr="00620047">
        <w:tab/>
        <w:t>In afwijking van het tweede lid, onderdeel a, wordt de afstand tot het dichtstbijzijnde vuilwaterriool of zuiveringtechnisch werk bij voortzetting van het lozen van huishoudelijk afvalwater in het oppervlaktewaterlichaam dat voor 1 maart 1997 al plaatsvond, berekend vanaf het gedeelte van het gebouw dat zich het dichtst bij een vuilwaterriool of een zuiveringtechnisch werk bevindt.</w:t>
      </w:r>
    </w:p>
    <w:p w:rsidR="00296032" w:rsidRPr="00296032" w:rsidRDefault="00296032">
      <w:pPr>
        <w:pStyle w:val="artikelkop"/>
        <w:rPr>
          <w:rFonts w:cs="Arial"/>
        </w:rPr>
      </w:pPr>
      <w:r w:rsidRPr="00296032">
        <w:rPr>
          <w:rFonts w:cs="Arial"/>
        </w:rPr>
        <w:t>Artikel 3.5</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lozen van huishoudelijk afvalwater op of in de bodem of in een oppervlaktewaterlichaam worden de volgende grenswaarden niet overschreden:</w:t>
      </w:r>
    </w:p>
    <w:p w:rsidR="00296032" w:rsidRPr="00620047" w:rsidRDefault="00296032">
      <w:pPr>
        <w:pStyle w:val="tabelkop"/>
        <w:ind w:firstLine="426"/>
        <w:rPr>
          <w:rFonts w:cs="Arial"/>
        </w:rPr>
      </w:pPr>
      <w:r w:rsidRPr="00620047">
        <w:rPr>
          <w:rFonts w:cs="Arial"/>
        </w:rPr>
        <w:t>Tabel 3.5</w:t>
      </w:r>
    </w:p>
    <w:tbl>
      <w:tblPr>
        <w:tblW w:w="8505"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701"/>
        <w:gridCol w:w="1701"/>
        <w:gridCol w:w="1701"/>
        <w:gridCol w:w="1701"/>
        <w:gridCol w:w="1701"/>
      </w:tblGrid>
      <w:tr w:rsidR="00296032" w:rsidRPr="00620047">
        <w:trPr>
          <w:cantSplit/>
          <w:tblHeader/>
        </w:trPr>
        <w:tc>
          <w:tcPr>
            <w:tcW w:w="170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40" w:after="40"/>
              <w:rPr>
                <w:rFonts w:cs="Arial"/>
                <w:b/>
                <w:sz w:val="16"/>
                <w:szCs w:val="16"/>
              </w:rPr>
            </w:pPr>
          </w:p>
        </w:tc>
        <w:tc>
          <w:tcPr>
            <w:tcW w:w="3402" w:type="dxa"/>
            <w:gridSpan w:val="2"/>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Lozen op of in de bodem en in een aangewezen oppervlaktewaterlichaam</w:t>
            </w:r>
          </w:p>
        </w:tc>
        <w:tc>
          <w:tcPr>
            <w:tcW w:w="3402" w:type="dxa"/>
            <w:gridSpan w:val="2"/>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Lozen in een niet aangewezen oppervlaktewaterlichaam </w:t>
            </w:r>
          </w:p>
        </w:tc>
      </w:tr>
      <w:tr w:rsidR="00296032" w:rsidRPr="00620047">
        <w:trPr>
          <w:cantSplit/>
          <w:tblHeader/>
        </w:trPr>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Parameter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Representatief etmaalmonster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Steekmonster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Representatief etmaalmonster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Steekmonster </w:t>
            </w:r>
          </w:p>
        </w:tc>
      </w:tr>
      <w:tr w:rsidR="00296032" w:rsidRPr="00620047">
        <w:trPr>
          <w:cantSplit/>
        </w:trPr>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Biochemisch zuurstof verbruik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30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60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40 milligram per liter </w:t>
            </w:r>
          </w:p>
        </w:tc>
      </w:tr>
      <w:tr w:rsidR="00296032" w:rsidRPr="00620047">
        <w:trPr>
          <w:cantSplit/>
        </w:trPr>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Chemisch zuurstof verbruik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150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300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100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200 milligram per liter </w:t>
            </w:r>
          </w:p>
        </w:tc>
      </w:tr>
      <w:tr w:rsidR="00296032" w:rsidRPr="00620047">
        <w:trPr>
          <w:cantSplit/>
        </w:trPr>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Totaal stikstof </w:t>
            </w:r>
          </w:p>
        </w:tc>
        <w:tc>
          <w:tcPr>
            <w:tcW w:w="170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40" w:after="40"/>
              <w:rPr>
                <w:rFonts w:cs="Arial"/>
              </w:rPr>
            </w:pPr>
          </w:p>
        </w:tc>
        <w:tc>
          <w:tcPr>
            <w:tcW w:w="170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40" w:after="40"/>
              <w:rPr>
                <w:rFonts w:cs="Arial"/>
              </w:rPr>
            </w:pP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30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60 milligram per liter </w:t>
            </w:r>
          </w:p>
        </w:tc>
      </w:tr>
      <w:tr w:rsidR="00296032" w:rsidRPr="00620047">
        <w:trPr>
          <w:cantSplit/>
        </w:trPr>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Ammoniumstikstof </w:t>
            </w:r>
          </w:p>
        </w:tc>
        <w:tc>
          <w:tcPr>
            <w:tcW w:w="170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40" w:after="40"/>
              <w:rPr>
                <w:rFonts w:cs="Arial"/>
              </w:rPr>
            </w:pPr>
          </w:p>
        </w:tc>
        <w:tc>
          <w:tcPr>
            <w:tcW w:w="170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40" w:after="40"/>
              <w:rPr>
                <w:rFonts w:cs="Arial"/>
              </w:rPr>
            </w:pP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 milligram per liter </w:t>
            </w:r>
          </w:p>
        </w:tc>
      </w:tr>
      <w:tr w:rsidR="00296032" w:rsidRPr="00620047">
        <w:trPr>
          <w:cantSplit/>
        </w:trPr>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Onopgeloste stoffen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30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60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30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60 milligram per liter </w:t>
            </w:r>
          </w:p>
        </w:tc>
      </w:tr>
      <w:tr w:rsidR="00296032" w:rsidRPr="00620047">
        <w:trPr>
          <w:cantSplit/>
        </w:trPr>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Fosfor totaal </w:t>
            </w:r>
          </w:p>
        </w:tc>
        <w:tc>
          <w:tcPr>
            <w:tcW w:w="170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40" w:after="40"/>
              <w:rPr>
                <w:rFonts w:cs="Arial"/>
              </w:rPr>
            </w:pPr>
          </w:p>
        </w:tc>
        <w:tc>
          <w:tcPr>
            <w:tcW w:w="1701"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40" w:after="40"/>
              <w:rPr>
                <w:rFonts w:cs="Arial"/>
              </w:rPr>
            </w:pP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 milligram per liter </w:t>
            </w:r>
          </w:p>
        </w:tc>
        <w:tc>
          <w:tcPr>
            <w:tcW w:w="170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6 milligram per liter </w:t>
            </w:r>
          </w:p>
        </w:tc>
      </w:tr>
    </w:tbl>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lozen op of in de bodem wordt het huishoudelijk afvalwater op een zodanige wijze geloosd, dat de nadelige gevolgen voor het milieu zo veel mogelijk worden beperkt.</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eerste lid is niet van toepassing op een lozing van huishoudelijk afvalwater van minder dan 6 inwonerequivalenten indien het afvalwater is geleid door een zuiveringsvoorziening die voldoet aan bij ministeriële regeling bepaalde eisen.</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bevoegd gezag kan, bij lozen in een niet aangewezen oppervlaktewaterlichaam, indien het belang van de bescherming van het milieu daartoe noodzaakt bij maatwerkvoorschrift de eisen bedoeld in het derde lid niet van toepassing verklaren en daarbij bepalen dat het huishoudelijk afvalwater door een aangegeven zuiveringsvoorziening dient te worden geleid.</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In afwijking van het eerste lid, kan het bevoegd gezag, indien het belang van de bescherming van het milieu zich daartegen niet verzet, op een daartoe strekkende aanvraag voor een door hem vast te stellen termijn bij maatwerkvoorschrift bepalen dat bij het lozen niet aan de in dat lid genoemde waarden behoeft te worden voldaan. Het bevoegd gezag kan daarbij:</w:t>
      </w:r>
    </w:p>
    <w:p w:rsidR="00296032" w:rsidRPr="00620047" w:rsidRDefault="00296032">
      <w:pPr>
        <w:pStyle w:val="art2enivo"/>
        <w:rPr>
          <w:rFonts w:cs="Arial"/>
        </w:rPr>
      </w:pPr>
      <w:r w:rsidRPr="00620047">
        <w:rPr>
          <w:rFonts w:cs="Arial"/>
        </w:rPr>
        <w:t>a.</w:t>
      </w:r>
      <w:r w:rsidRPr="00620047">
        <w:rPr>
          <w:rFonts w:cs="Arial"/>
        </w:rPr>
        <w:tab/>
        <w:t>andere waarden vaststellen;</w:t>
      </w:r>
    </w:p>
    <w:p w:rsidR="00296032" w:rsidRPr="00620047" w:rsidRDefault="00296032">
      <w:pPr>
        <w:pStyle w:val="art2enivo"/>
        <w:rPr>
          <w:rFonts w:cs="Arial"/>
        </w:rPr>
      </w:pPr>
      <w:r w:rsidRPr="00620047">
        <w:rPr>
          <w:rFonts w:cs="Arial"/>
        </w:rPr>
        <w:t>b.</w:t>
      </w:r>
      <w:r w:rsidRPr="00620047">
        <w:rPr>
          <w:rFonts w:cs="Arial"/>
        </w:rPr>
        <w:tab/>
        <w:t>bepalen dat het huishoudelijk afvalwater door een aangegeven zuiveringsvoorziening dient te worden geleid.</w:t>
      </w:r>
    </w:p>
    <w:p w:rsidR="00296032" w:rsidRDefault="00296032">
      <w:pPr>
        <w:pStyle w:val="art1enivo"/>
        <w:rPr>
          <w:rFonts w:cs="Arial"/>
        </w:rPr>
      </w:pPr>
      <w:r w:rsidRPr="00620047">
        <w:rPr>
          <w:rFonts w:cs="Arial"/>
          <w:bCs/>
        </w:rPr>
        <w:t>6.</w:t>
      </w:r>
      <w:r w:rsidRPr="00620047">
        <w:rPr>
          <w:rFonts w:cs="Arial"/>
          <w:bCs/>
        </w:rPr>
        <w:tab/>
      </w:r>
      <w:r w:rsidRPr="00620047">
        <w:rPr>
          <w:rFonts w:cs="Arial"/>
        </w:rPr>
        <w:t>Het te lozen huishoudelijk afvalwater kan op een doelmatige wijze worden bemonsterd.</w:t>
      </w:r>
    </w:p>
    <w:p w:rsidR="005468BF" w:rsidRDefault="005468BF" w:rsidP="005468BF"/>
    <w:p w:rsidR="005D6B20" w:rsidRDefault="005D6B20" w:rsidP="005D6B20">
      <w:pPr>
        <w:pStyle w:val="paragraaf"/>
        <w:shd w:val="clear" w:color="auto" w:fill="D9D9D9" w:themeFill="background1" w:themeFillShade="D9"/>
      </w:pPr>
      <w:r>
        <w:t>§ 3.1.1. Behandelen van huishoudelijk afvalwater op locatie</w:t>
      </w:r>
    </w:p>
    <w:p w:rsidR="005468BF" w:rsidRDefault="005468BF" w:rsidP="005D6B20">
      <w:pPr>
        <w:pStyle w:val="artikelkop"/>
        <w:shd w:val="clear" w:color="auto" w:fill="D9D9D9" w:themeFill="background1" w:themeFillShade="D9"/>
      </w:pPr>
      <w:r>
        <w:t>Artikel 3.1</w:t>
      </w:r>
    </w:p>
    <w:p w:rsidR="005468BF" w:rsidRDefault="005468BF" w:rsidP="005468BF">
      <w:pPr>
        <w:shd w:val="clear" w:color="auto" w:fill="D9D9D9" w:themeFill="background1" w:themeFillShade="D9"/>
        <w:suppressAutoHyphens/>
        <w:rPr>
          <w:rFonts w:cs="Arial"/>
        </w:rPr>
      </w:pPr>
      <w:r>
        <w:rPr>
          <w:rFonts w:cs="Arial"/>
        </w:rPr>
        <w:t>Ter beperking van de nadelige gevolgen voor het milieu als bedoeld in artikel 3.5, tweede lid, van het besluit wordt het huishoudelijk afvalwater bij lozing in de bodem geleid door een infiltratievoorziening die zodanig wordt uitgevoerd en onderhouden, dat:</w:t>
      </w:r>
    </w:p>
    <w:p w:rsidR="005468BF" w:rsidRDefault="005468BF" w:rsidP="005468BF">
      <w:pPr>
        <w:pStyle w:val="art1enivo"/>
        <w:shd w:val="clear" w:color="auto" w:fill="D9D9D9" w:themeFill="background1" w:themeFillShade="D9"/>
      </w:pPr>
      <w:r>
        <w:t>a.</w:t>
      </w:r>
      <w:r>
        <w:tab/>
        <w:t>het vanuit de zuiveringsvoorziening geloosde water in de infiltratievoorziening niet in direct contact met het grondwater komt,</w:t>
      </w:r>
    </w:p>
    <w:p w:rsidR="005468BF" w:rsidRDefault="005468BF" w:rsidP="005468BF">
      <w:pPr>
        <w:pStyle w:val="art1enivo"/>
        <w:shd w:val="clear" w:color="auto" w:fill="D9D9D9" w:themeFill="background1" w:themeFillShade="D9"/>
      </w:pPr>
      <w:r>
        <w:t>b.</w:t>
      </w:r>
      <w:r>
        <w:tab/>
        <w:t>de infiltratievoorziening geen hinder veroorzaakt, en</w:t>
      </w:r>
    </w:p>
    <w:p w:rsidR="005468BF" w:rsidRDefault="005468BF" w:rsidP="005468BF">
      <w:pPr>
        <w:pStyle w:val="art1enivo"/>
        <w:shd w:val="clear" w:color="auto" w:fill="D9D9D9" w:themeFill="background1" w:themeFillShade="D9"/>
      </w:pPr>
      <w:r>
        <w:t>c.</w:t>
      </w:r>
      <w:r>
        <w:tab/>
        <w:t>nadelige gevolgen voor de volksgezondheid worden voorkomen.</w:t>
      </w:r>
    </w:p>
    <w:p w:rsidR="005468BF" w:rsidRDefault="005468BF" w:rsidP="005468BF">
      <w:pPr>
        <w:pStyle w:val="artikelkop"/>
        <w:shd w:val="clear" w:color="auto" w:fill="D9D9D9" w:themeFill="background1" w:themeFillShade="D9"/>
      </w:pPr>
      <w:r>
        <w:t>Artikel 3.2</w:t>
      </w:r>
    </w:p>
    <w:p w:rsidR="005468BF" w:rsidRDefault="005468BF" w:rsidP="005468BF">
      <w:pPr>
        <w:shd w:val="clear" w:color="auto" w:fill="D9D9D9" w:themeFill="background1" w:themeFillShade="D9"/>
        <w:suppressAutoHyphens/>
        <w:rPr>
          <w:rFonts w:cs="Arial"/>
        </w:rPr>
      </w:pPr>
      <w:r>
        <w:rPr>
          <w:rFonts w:cs="Arial"/>
        </w:rPr>
        <w:t>Ter beperking van de nadelige gevolgen voor het milieu als bedoeld in artikel 3.5, derde lid, van het besluit wordt het huishoudelijk afvalwater geleid door een zuiveringsvoorziening die voldoet aan het bepaalde in de artikelen 3.3 en 3.4.</w:t>
      </w:r>
    </w:p>
    <w:p w:rsidR="005468BF" w:rsidRDefault="005468BF" w:rsidP="005468BF">
      <w:pPr>
        <w:pStyle w:val="artikelkop"/>
        <w:shd w:val="clear" w:color="auto" w:fill="D9D9D9" w:themeFill="background1" w:themeFillShade="D9"/>
      </w:pPr>
      <w:r>
        <w:t>Artikel 3.3</w:t>
      </w:r>
    </w:p>
    <w:p w:rsidR="005468BF" w:rsidRDefault="005468BF" w:rsidP="005468BF">
      <w:pPr>
        <w:pStyle w:val="art1enivo"/>
        <w:shd w:val="clear" w:color="auto" w:fill="D9D9D9" w:themeFill="background1" w:themeFillShade="D9"/>
      </w:pPr>
      <w:r>
        <w:t>1.</w:t>
      </w:r>
      <w:r>
        <w:tab/>
        <w:t>Een zuiveringsvoorziening bestaat uit een septic tank:</w:t>
      </w:r>
    </w:p>
    <w:p w:rsidR="005468BF" w:rsidRDefault="005468BF" w:rsidP="005468BF">
      <w:pPr>
        <w:pStyle w:val="art2enivo"/>
        <w:shd w:val="clear" w:color="auto" w:fill="D9D9D9" w:themeFill="background1" w:themeFillShade="D9"/>
      </w:pPr>
      <w:r>
        <w:t>a.</w:t>
      </w:r>
      <w:r>
        <w:tab/>
        <w:t>met een nominale inhoud van ten minste 6 kubieke meter,</w:t>
      </w:r>
    </w:p>
    <w:p w:rsidR="005468BF" w:rsidRDefault="005468BF" w:rsidP="005468BF">
      <w:pPr>
        <w:pStyle w:val="art2enivo"/>
        <w:shd w:val="clear" w:color="auto" w:fill="D9D9D9" w:themeFill="background1" w:themeFillShade="D9"/>
      </w:pPr>
      <w:r>
        <w:t>b.</w:t>
      </w:r>
      <w:r>
        <w:tab/>
        <w:t>die voldoet aan NEN-EN 12566-1, en</w:t>
      </w:r>
    </w:p>
    <w:p w:rsidR="005468BF" w:rsidRDefault="005468BF" w:rsidP="005468BF">
      <w:pPr>
        <w:pStyle w:val="art2enivo"/>
        <w:shd w:val="clear" w:color="auto" w:fill="D9D9D9" w:themeFill="background1" w:themeFillShade="D9"/>
      </w:pPr>
      <w:r>
        <w:t>c.</w:t>
      </w:r>
      <w:r>
        <w:tab/>
        <w:t>met een hydraulisch rendement van ten hoogste 10 gram, bepaald overeenkomstig annex B van NEN-EN 12566-1.</w:t>
      </w:r>
    </w:p>
    <w:p w:rsidR="005468BF" w:rsidRDefault="005468BF" w:rsidP="005468BF">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eerste lid is niet van toepassing op een zuiveringsvoorziening die is geplaatst voor 1 januari 2009, indien die zuiveringsvoorziening bestaat uit een septic tank, die een nominale inhoud heeft van ten minste 6 kubieke meter en waarbij:</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septic tank uit drie compartimenten bestaat;</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nominale inhoud, in de stroomrichting, over de compartimenten is verdeeld in de verhouding twee staat tot één staat tot één;</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de scheidingswanden tussen de compartimenten van de septic tank ten minste 20 centimeter boven het waterniveau uitsteken;</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de instroomopening in het eerste compartiment van de septic tank zich ten minste 10 centimeter boven het waterniveau bevindt;</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de toevoerpijp ten minste 5 centimeter en ten hoogste 10 centimeter uit de binnenwand steekt;</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f.</w:t>
      </w:r>
      <w:r>
        <w:rPr>
          <w:rFonts w:eastAsiaTheme="minorEastAsia"/>
          <w:lang w:eastAsia="nl-NL"/>
        </w:rPr>
        <w:tab/>
        <w:t>de doorstroomopeningen in scheidingswanden tussen de compartimenten van de septic tank zodanig zijn uitgevoerd, dat:</w:t>
      </w:r>
    </w:p>
    <w:p w:rsidR="005468BF" w:rsidRDefault="005468BF" w:rsidP="005468BF">
      <w:pPr>
        <w:pStyle w:val="art3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doorvoer van bodemslib en drijflagen wordt voorkomen;</w:t>
      </w:r>
    </w:p>
    <w:p w:rsidR="005468BF" w:rsidRDefault="005468BF" w:rsidP="005468BF">
      <w:pPr>
        <w:pStyle w:val="art3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gezamenlijke oppervlakte van de doorstroomopeningen per scheidingswand ten minste 100 vierkante centimeter en ten hoogste 400 vierkante centimeter bedraagt;</w:t>
      </w:r>
    </w:p>
    <w:p w:rsidR="005468BF" w:rsidRDefault="005468BF" w:rsidP="005468BF">
      <w:pPr>
        <w:pStyle w:val="art3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bovenkant van de doorstroomopeningen ten minste 30 centimeter onder het waterniveau ligt, en</w:t>
      </w:r>
    </w:p>
    <w:p w:rsidR="005468BF" w:rsidRDefault="005468BF" w:rsidP="005468BF">
      <w:pPr>
        <w:pStyle w:val="art3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de onderkant van de doorstroomopeningen hoger ligt dan de helft van de waterhoogte gemeten vanaf de bodem van de septic tank;</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g.</w:t>
      </w:r>
      <w:r>
        <w:rPr>
          <w:rFonts w:eastAsiaTheme="minorEastAsia"/>
          <w:lang w:eastAsia="nl-NL"/>
        </w:rPr>
        <w:tab/>
        <w:t>de afvoeropening van een septic tank voorzien is van een duikschot of een T-stuk zodat afvoer van bodemslib of drijflagen wordt voorkomen, en</w:t>
      </w:r>
    </w:p>
    <w:p w:rsidR="005468BF" w:rsidRDefault="005468BF" w:rsidP="005468BF">
      <w:pPr>
        <w:pStyle w:val="art2enivo"/>
        <w:shd w:val="clear" w:color="auto" w:fill="D9D9D9" w:themeFill="background1" w:themeFillShade="D9"/>
        <w:rPr>
          <w:rFonts w:eastAsiaTheme="minorEastAsia"/>
          <w:lang w:eastAsia="nl-NL"/>
        </w:rPr>
      </w:pPr>
      <w:r>
        <w:rPr>
          <w:rFonts w:eastAsiaTheme="minorEastAsia"/>
          <w:lang w:eastAsia="nl-NL"/>
        </w:rPr>
        <w:t>h.</w:t>
      </w:r>
      <w:r>
        <w:rPr>
          <w:rFonts w:eastAsiaTheme="minorEastAsia"/>
          <w:lang w:eastAsia="nl-NL"/>
        </w:rPr>
        <w:tab/>
        <w:t>de waterhoogte in een septic tank ten minste 1,2 meter bedraagt en ten hoogste bedraagt:</w:t>
      </w:r>
    </w:p>
    <w:p w:rsidR="005468BF" w:rsidRDefault="005468BF" w:rsidP="005468BF">
      <w:pPr>
        <w:pStyle w:val="art3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2,2 meter bij een inhoud van ten hoogste 10 kubieke meter;</w:t>
      </w:r>
    </w:p>
    <w:p w:rsidR="005468BF" w:rsidRDefault="005468BF" w:rsidP="005468BF">
      <w:pPr>
        <w:pStyle w:val="art3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2,5 meter bij een inhoud van meer dan 10 kubieke meter.</w:t>
      </w:r>
    </w:p>
    <w:p w:rsidR="005468BF" w:rsidRDefault="005468BF" w:rsidP="005468BF">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Indien afzonderlijke septic tanks als bedoeld in het tweede lid parallel zijn geschakeld, bedraagt de gezamenlijke nominale inhoud ten minste 6 kubieke meter en voldoet iedere tank afzonderlijk aan de voorschriften genoemd in het tweede lid, onderdelen a tot en met h.</w:t>
      </w:r>
    </w:p>
    <w:p w:rsidR="005468BF" w:rsidRDefault="005468BF" w:rsidP="005468BF">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Opdeling van de septic tank, bedoeld in het tweede lid, in afzonderlijke in serie geschakelde tanks is toegestaan, mits de nominale inhoud van één compartiment niet over verschillende tanks is verdeeld. De afzonderlijke septic tanks gelden samen als één septic tank.</w:t>
      </w:r>
    </w:p>
    <w:p w:rsidR="005468BF" w:rsidRDefault="005468BF" w:rsidP="005468BF">
      <w:pPr>
        <w:pStyle w:val="artikelkop"/>
        <w:shd w:val="clear" w:color="auto" w:fill="D9D9D9" w:themeFill="background1" w:themeFillShade="D9"/>
      </w:pPr>
      <w:r>
        <w:t>Artikel 3.4</w:t>
      </w:r>
    </w:p>
    <w:p w:rsidR="005468BF" w:rsidRDefault="005468BF" w:rsidP="005468BF">
      <w:pPr>
        <w:shd w:val="clear" w:color="auto" w:fill="D9D9D9" w:themeFill="background1" w:themeFillShade="D9"/>
        <w:suppressAutoHyphens/>
        <w:rPr>
          <w:rFonts w:cs="Arial"/>
        </w:rPr>
      </w:pPr>
      <w:r>
        <w:rPr>
          <w:rFonts w:cs="Arial"/>
        </w:rPr>
        <w:t>Een zuiveringsvoorziening</w:t>
      </w:r>
    </w:p>
    <w:p w:rsidR="005468BF" w:rsidRDefault="005468BF" w:rsidP="005468BF">
      <w:pPr>
        <w:pStyle w:val="art1enivo"/>
        <w:shd w:val="clear" w:color="auto" w:fill="D9D9D9" w:themeFill="background1" w:themeFillShade="D9"/>
      </w:pPr>
      <w:r>
        <w:t>a.</w:t>
      </w:r>
      <w:r>
        <w:tab/>
        <w:t>is goed toegankelijk, en</w:t>
      </w:r>
    </w:p>
    <w:p w:rsidR="005468BF" w:rsidRDefault="005468BF" w:rsidP="005468BF">
      <w:pPr>
        <w:pStyle w:val="art1enivo"/>
        <w:shd w:val="clear" w:color="auto" w:fill="D9D9D9" w:themeFill="background1" w:themeFillShade="D9"/>
      </w:pPr>
      <w:r>
        <w:t>b.</w:t>
      </w:r>
      <w:r>
        <w:tab/>
        <w:t>wordt zo vaak als voor de goede werking daarvan nodig is onderhouden.</w:t>
      </w:r>
    </w:p>
    <w:p w:rsidR="005468BF" w:rsidRPr="005468BF" w:rsidRDefault="005468BF" w:rsidP="005468BF"/>
    <w:p w:rsidR="00296032" w:rsidRPr="00296032" w:rsidRDefault="00296032">
      <w:pPr>
        <w:pStyle w:val="paragraaf"/>
        <w:rPr>
          <w:rFonts w:cs="Arial"/>
        </w:rPr>
      </w:pPr>
      <w:bookmarkStart w:id="58" w:name="_Toc277243192"/>
      <w:bookmarkStart w:id="59" w:name="_Toc431375563"/>
      <w:r w:rsidRPr="00296032">
        <w:rPr>
          <w:rFonts w:cs="Arial"/>
        </w:rPr>
        <w:t>§ 3.1.4a Behandeling van stedelijk afvalwater</w:t>
      </w:r>
      <w:bookmarkEnd w:id="58"/>
      <w:bookmarkEnd w:id="59"/>
    </w:p>
    <w:p w:rsidR="00296032" w:rsidRPr="00296032" w:rsidRDefault="00296032">
      <w:pPr>
        <w:pStyle w:val="artikelkop"/>
        <w:rPr>
          <w:rFonts w:cs="Arial"/>
        </w:rPr>
      </w:pPr>
      <w:r w:rsidRPr="00296032">
        <w:rPr>
          <w:rFonts w:cs="Arial"/>
        </w:rPr>
        <w:t>Artikel 3.5a</w:t>
      </w:r>
    </w:p>
    <w:p w:rsidR="00296032" w:rsidRPr="00620047" w:rsidRDefault="00296032">
      <w:pPr>
        <w:rPr>
          <w:rFonts w:cs="Arial"/>
        </w:rPr>
      </w:pPr>
      <w:r w:rsidRPr="00620047">
        <w:rPr>
          <w:rFonts w:cs="Arial"/>
        </w:rPr>
        <w:t>Deze paragraaf is van toepassing op zuiveringtechnische werken, voor zover het de waterlijn betreft met inbegrip van slibindikking en mechanische slibontwatering.</w:t>
      </w:r>
    </w:p>
    <w:p w:rsidR="00296032" w:rsidRPr="00296032" w:rsidRDefault="00296032">
      <w:pPr>
        <w:pStyle w:val="artikelkop"/>
        <w:rPr>
          <w:rFonts w:cs="Arial"/>
        </w:rPr>
      </w:pPr>
      <w:r w:rsidRPr="00296032">
        <w:rPr>
          <w:rFonts w:cs="Arial"/>
        </w:rPr>
        <w:t>Artikel 3.5b</w:t>
      </w:r>
    </w:p>
    <w:p w:rsidR="00296032" w:rsidRPr="00620047" w:rsidRDefault="00296032">
      <w:pPr>
        <w:pStyle w:val="art1enivo"/>
        <w:rPr>
          <w:rFonts w:cs="Arial"/>
        </w:rPr>
      </w:pPr>
      <w:r w:rsidRPr="00620047">
        <w:rPr>
          <w:rFonts w:cs="Arial"/>
        </w:rPr>
        <w:t>1.</w:t>
      </w:r>
      <w:r w:rsidRPr="00620047">
        <w:rPr>
          <w:rFonts w:cs="Arial"/>
        </w:rPr>
        <w:tab/>
        <w:t>De geurbelasting als gevolg van een zuiveringtechnisch werk is ter plaatse van geurgevoelige objecten niet meer dan 0,5 odour unit per kubieke meter lucht als 98-percentiel.</w:t>
      </w:r>
    </w:p>
    <w:p w:rsidR="00296032" w:rsidRPr="00620047" w:rsidRDefault="00296032">
      <w:pPr>
        <w:pStyle w:val="art1enivo"/>
        <w:rPr>
          <w:rFonts w:cs="Arial"/>
        </w:rPr>
      </w:pPr>
      <w:r w:rsidRPr="00620047">
        <w:rPr>
          <w:rFonts w:cs="Arial"/>
        </w:rPr>
        <w:t>2.</w:t>
      </w:r>
      <w:r w:rsidRPr="00620047">
        <w:rPr>
          <w:rFonts w:cs="Arial"/>
        </w:rPr>
        <w:tab/>
        <w:t>In afwijking van het eerste lid is de geurbelasting als gevolg van een zuiveringtechnisch werk ter plaatse van geurgevoelige objecten gelegen op een gezoneerd industrieterrein, een bedrijventerrein danwel buiten de bebouwde kom, niet meer dan 1 odour unit per kubieke meter lucht als 98-percentiel.</w:t>
      </w:r>
    </w:p>
    <w:p w:rsidR="00296032" w:rsidRPr="00620047" w:rsidRDefault="00296032">
      <w:pPr>
        <w:pStyle w:val="art1enivo"/>
        <w:rPr>
          <w:rFonts w:cs="Arial"/>
        </w:rPr>
      </w:pPr>
      <w:r w:rsidRPr="00620047">
        <w:rPr>
          <w:rFonts w:cs="Arial"/>
        </w:rPr>
        <w:t>3.</w:t>
      </w:r>
      <w:r w:rsidRPr="00620047">
        <w:rPr>
          <w:rFonts w:cs="Arial"/>
        </w:rPr>
        <w:tab/>
        <w:t>Onverminderd het eerste en tweede lid, wordt bij een zuiveringtechnisch werk voldaan aan de bij ministeriële regeling te stellen eisen.</w:t>
      </w:r>
    </w:p>
    <w:p w:rsidR="00296032" w:rsidRPr="00620047" w:rsidRDefault="00296032">
      <w:pPr>
        <w:pStyle w:val="art1enivo"/>
      </w:pPr>
      <w:r w:rsidRPr="00620047">
        <w:t xml:space="preserve">4. </w:t>
      </w:r>
      <w:r w:rsidRPr="00620047">
        <w:tab/>
        <w:t>Het eerste en tweede lid zijn niet van toepassing op een zuiveringtechnisch werk dat is opgericht voor 1 februari 1996 en waarvoor op dat tijdstip een vergunning op grond van artikel 8.1 van de Wet milieubeheer in werking en onherroepelijk was.</w:t>
      </w:r>
    </w:p>
    <w:p w:rsidR="00296032" w:rsidRPr="00620047" w:rsidRDefault="00296032">
      <w:pPr>
        <w:pStyle w:val="art1enivo"/>
      </w:pPr>
      <w:r w:rsidRPr="00620047">
        <w:t xml:space="preserve">5. </w:t>
      </w:r>
      <w:r w:rsidRPr="00620047">
        <w:tab/>
        <w:t>Indien het vierde lid van toepassing is, dan is de geurbelasting als gevolg van een zuiveringtechnisch werk ter plaatse van geurgevoelige objecten ten hoogste 1,5 odour units per kubieke meter lucht als 98-percentiel.</w:t>
      </w:r>
    </w:p>
    <w:p w:rsidR="00296032" w:rsidRPr="00620047" w:rsidRDefault="00296032">
      <w:pPr>
        <w:pStyle w:val="art1enivo"/>
      </w:pPr>
      <w:r w:rsidRPr="00620047">
        <w:t xml:space="preserve">6. </w:t>
      </w:r>
      <w:r w:rsidRPr="00620047">
        <w:tab/>
        <w:t>In afwijking van het vijfde lid is de geurbelasting als gevolg van een zuiveringtechnisch werk ter plaatse van geurgevoelige objecten gelegen op een gezoneerd industrieterrein, een bedrijventerrein dan wel buiten de bebouwde kom ten hoogste 3,5 odour units per kubieke meter lucht als 98-percentiel.</w:t>
      </w:r>
    </w:p>
    <w:p w:rsidR="00296032" w:rsidRPr="00620047" w:rsidRDefault="00296032">
      <w:pPr>
        <w:pStyle w:val="art1enivo"/>
      </w:pPr>
      <w:r w:rsidRPr="00620047">
        <w:t xml:space="preserve">7. </w:t>
      </w:r>
      <w:r w:rsidRPr="00620047">
        <w:tab/>
        <w:t>Voor een zuiveringtechnisch werk waarvoor tot 1 januari 2011 een omgevingsvergunning op grond van artikel 2.1, eerste lid, aanhef en onder e, van de Wet algemene bepalingen omgevingsrecht, in werking en onherroepelijk was, zijn het eerste, tweede, vijfde en zesde lid niet van toepassing op de geurbelasting ter plaatse van geurgevoelige objecten die op het moment van verlening van de vergunning niet aanwezig waren of in de vergunning niet als geurgevoelig werden beschouwd.</w:t>
      </w:r>
    </w:p>
    <w:p w:rsidR="00296032" w:rsidRPr="00620047" w:rsidRDefault="00296032">
      <w:pPr>
        <w:pStyle w:val="art1enivo"/>
      </w:pPr>
      <w:r w:rsidRPr="00620047">
        <w:t xml:space="preserve">8. </w:t>
      </w:r>
      <w:r w:rsidRPr="00620047">
        <w:tab/>
        <w:t>Bij de verandering van een zuiveringtechnisch werk als bedoeld in het vierde en zevende lid is de geurbelasting ter plaatse van geurgevoelige objecten als gevolg van een zuiveringtechnisch werk niet hoger dan de geurbelasting voorafgaand aan de verandering, tenzij de waarden, bedoeld in het eerste en tweede lid niet worden overschreden.</w:t>
      </w:r>
    </w:p>
    <w:p w:rsidR="00296032" w:rsidRPr="00296032" w:rsidRDefault="00296032">
      <w:pPr>
        <w:pStyle w:val="artikelkop"/>
        <w:rPr>
          <w:rFonts w:cs="Arial"/>
        </w:rPr>
      </w:pPr>
      <w:r w:rsidRPr="00296032">
        <w:rPr>
          <w:rFonts w:cs="Arial"/>
        </w:rPr>
        <w:t>Artikel 3.5c</w:t>
      </w:r>
    </w:p>
    <w:p w:rsidR="00296032" w:rsidRPr="00620047" w:rsidRDefault="00296032">
      <w:pPr>
        <w:pStyle w:val="artplat"/>
        <w:rPr>
          <w:rFonts w:cs="Arial"/>
        </w:rPr>
      </w:pPr>
      <w:r w:rsidRPr="00620047">
        <w:t xml:space="preserve">De geurbelasting, bedoeld in artikel 3.5b, eerste, tweede en vijfde tot en met achtste lid, wordt bepaald volgens de bij ministeriële regeling </w:t>
      </w:r>
      <w:r w:rsidR="0053240F">
        <w:t>gestelde</w:t>
      </w:r>
      <w:r w:rsidRPr="00620047">
        <w:t xml:space="preserve"> eisen.</w:t>
      </w:r>
    </w:p>
    <w:p w:rsidR="00296032" w:rsidRPr="00296032" w:rsidRDefault="00296032">
      <w:pPr>
        <w:pStyle w:val="artikelkop"/>
        <w:rPr>
          <w:rFonts w:cs="Arial"/>
        </w:rPr>
      </w:pPr>
      <w:r w:rsidRPr="00296032">
        <w:rPr>
          <w:rFonts w:cs="Arial"/>
        </w:rPr>
        <w:t>Artikel 3.5d</w:t>
      </w:r>
    </w:p>
    <w:p w:rsidR="00296032" w:rsidRPr="00620047" w:rsidRDefault="00296032">
      <w:pPr>
        <w:pStyle w:val="art1enivo"/>
        <w:rPr>
          <w:rFonts w:cs="Arial"/>
        </w:rPr>
      </w:pPr>
      <w:r w:rsidRPr="00620047">
        <w:rPr>
          <w:rFonts w:cs="Arial"/>
        </w:rPr>
        <w:t>1.</w:t>
      </w:r>
      <w:r w:rsidRPr="00620047">
        <w:rPr>
          <w:rFonts w:cs="Arial"/>
        </w:rPr>
        <w:tab/>
        <w:t>In afwijking van artikel 2.9 worden bij het ontwerp, de aanleg en het gebruik van het gedeelte van de waterlijn, vanaf het ontvangstwerk tot de selector of beluchtingstank, alsmede van het gedeelte van het zuiveringtechnisch werk waar slibontwatering, opslag en leidingwerk met primair slib plaatsvindt, bodembeschermende voorzieningen en bodembeschermende maatregelen getroffen waarmee een aanvaardbaar bodemrisico wordt gerealiseerd.</w:t>
      </w:r>
    </w:p>
    <w:p w:rsidR="00296032" w:rsidRPr="00620047" w:rsidRDefault="00296032">
      <w:pPr>
        <w:pStyle w:val="art1enivo"/>
        <w:rPr>
          <w:rFonts w:cs="Arial"/>
        </w:rPr>
      </w:pPr>
      <w:r w:rsidRPr="00620047">
        <w:rPr>
          <w:rFonts w:cs="Arial"/>
        </w:rPr>
        <w:t>2.</w:t>
      </w:r>
      <w:r w:rsidRPr="00620047">
        <w:rPr>
          <w:rFonts w:cs="Arial"/>
        </w:rPr>
        <w:tab/>
        <w:t>De bodembeschermende voorzieningen en bodembeschermende maatregelen, bedoeld in het eerste lid, voldoen aan de bij ministeriële regeling te stellen eisen over de goede werking van die voorzieningen en maatregelen, en over de controle van die eisen alsmede aan de bij ministeriële regeling te stellen eisen over de mogelijkheid om bodemverontreiniging te kunnen signaleren en indien nodig te herstellen.</w:t>
      </w:r>
    </w:p>
    <w:p w:rsidR="00296032" w:rsidRPr="00296032" w:rsidRDefault="00296032">
      <w:pPr>
        <w:pStyle w:val="artikelkop"/>
      </w:pPr>
      <w:r w:rsidRPr="00296032">
        <w:t>Artikel 3.5e</w:t>
      </w:r>
    </w:p>
    <w:p w:rsidR="00296032" w:rsidRPr="00620047" w:rsidRDefault="00296032">
      <w:pPr>
        <w:pStyle w:val="art1enivo"/>
      </w:pPr>
      <w:r w:rsidRPr="00620047">
        <w:t>1.</w:t>
      </w:r>
      <w:r w:rsidRPr="00620047">
        <w:tab/>
        <w:t>Bij het lozen in een oppervlaktewaterlichaam wordt ten minste voldaan aan het tweede tot en met zevende lid.</w:t>
      </w:r>
    </w:p>
    <w:p w:rsidR="00296032" w:rsidRPr="00620047" w:rsidRDefault="00296032">
      <w:pPr>
        <w:pStyle w:val="art1enivo"/>
      </w:pPr>
      <w:r w:rsidRPr="00620047">
        <w:t>2.</w:t>
      </w:r>
      <w:r w:rsidRPr="00620047">
        <w:tab/>
        <w:t>Een zuiveringtechnisch werk wordt zodanig ontworpen, gebouwd, geëxploiteerd en onderhouden dat onder alle normale plaatselijke weersomstandigheden de doelmatige werking daarvan is gewaarborgd, ongebruikelijke situaties daarbij buiten beschouwing gelaten.</w:t>
      </w:r>
    </w:p>
    <w:p w:rsidR="00296032" w:rsidRPr="00620047" w:rsidRDefault="00296032">
      <w:pPr>
        <w:pStyle w:val="art1enivo"/>
      </w:pPr>
      <w:r w:rsidRPr="00620047">
        <w:t>3.</w:t>
      </w:r>
      <w:r w:rsidRPr="00620047">
        <w:tab/>
        <w:t>De plaats van de lozing en de benedenstroomse afvoer zijn van dien aard dat nadelige gevolgen voor de kwaliteit van het ontvangende oppervlaktewaterlichaam worden voorkomen dan wel voor zover dat niet mogelijk is zoveel mogelijk worden beperkt.</w:t>
      </w:r>
    </w:p>
    <w:p w:rsidR="00296032" w:rsidRPr="00620047" w:rsidRDefault="00296032">
      <w:pPr>
        <w:pStyle w:val="art1enivo"/>
      </w:pPr>
      <w:r w:rsidRPr="00620047">
        <w:t>4.</w:t>
      </w:r>
      <w:r w:rsidRPr="00620047">
        <w:tab/>
        <w:t>Stedelijk afvalwater met een vervuilingswaarde van 2.000 inwonerequivalenten of meer ondergaat in een zuiveringtechnisch werk een zodanige behandeling, dat het voorafgaand aan het lozen in een oppervlaktewaterlichaam ten minste voldoet aan de volgende grenswaarden:</w:t>
      </w:r>
    </w:p>
    <w:p w:rsidR="00296032" w:rsidRPr="00620047" w:rsidRDefault="00296032"/>
    <w:tbl>
      <w:tblPr>
        <w:tblStyle w:val="Tabelraster"/>
        <w:tblW w:w="7682" w:type="dxa"/>
        <w:tblInd w:w="483" w:type="dxa"/>
        <w:tblLook w:val="04A0" w:firstRow="1" w:lastRow="0" w:firstColumn="1" w:lastColumn="0" w:noHBand="0" w:noVBand="1"/>
      </w:tblPr>
      <w:tblGrid>
        <w:gridCol w:w="4054"/>
        <w:gridCol w:w="1814"/>
        <w:gridCol w:w="1814"/>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054"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rPr>
                <w:rFonts w:eastAsia="Calibri"/>
              </w:rPr>
            </w:pPr>
            <w:r w:rsidRPr="00620047">
              <w:rPr>
                <w:rFonts w:eastAsia="Calibri"/>
              </w:rPr>
              <w:t>Parameters</w:t>
            </w:r>
          </w:p>
        </w:tc>
        <w:tc>
          <w:tcPr>
            <w:tcW w:w="1814"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rPr>
                <w:rFonts w:eastAsia="Calibri"/>
              </w:rPr>
            </w:pPr>
            <w:r w:rsidRPr="00620047">
              <w:rPr>
                <w:rFonts w:eastAsia="Calibri"/>
              </w:rPr>
              <w:t>Grenswaarde in etmaalmonster</w:t>
            </w:r>
          </w:p>
        </w:tc>
        <w:tc>
          <w:tcPr>
            <w:tcW w:w="1814"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rPr>
                <w:rFonts w:eastAsia="Calibri"/>
              </w:rPr>
            </w:pPr>
            <w:r w:rsidRPr="00620047">
              <w:rPr>
                <w:rFonts w:eastAsia="Calibri"/>
              </w:rPr>
              <w:t>Grenswaarde als voortschrijdend jaargemiddelde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0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Biochemisch zuurstofverbruik (BZV5 bij 20 °C) zonder nitrificatie</w:t>
            </w:r>
          </w:p>
        </w:tc>
        <w:tc>
          <w:tcPr>
            <w:tcW w:w="181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 xml:space="preserve">20 milligram O2 per liter </w:t>
            </w:r>
          </w:p>
        </w:tc>
        <w:tc>
          <w:tcPr>
            <w:tcW w:w="1814" w:type="dxa"/>
            <w:tcBorders>
              <w:top w:val="single" w:sz="4" w:space="0" w:color="7F7F7F"/>
              <w:left w:val="single" w:sz="4" w:space="0" w:color="7F7F7F"/>
              <w:bottom w:val="single" w:sz="4" w:space="0" w:color="7F7F7F"/>
              <w:right w:val="single" w:sz="4" w:space="0" w:color="7F7F7F"/>
            </w:tcBorders>
          </w:tcPr>
          <w:p w:rsidR="00296032" w:rsidRPr="00620047" w:rsidRDefault="00296032">
            <w:pPr>
              <w:rPr>
                <w:rFonts w:eastAsia="Calibri"/>
                <w:b w:val="0"/>
              </w:rPr>
            </w:pP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0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Chemisch zuurstofverbruik (CZV)</w:t>
            </w:r>
          </w:p>
        </w:tc>
        <w:tc>
          <w:tcPr>
            <w:tcW w:w="181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 xml:space="preserve">125 milligram O2 per liter </w:t>
            </w:r>
          </w:p>
        </w:tc>
        <w:tc>
          <w:tcPr>
            <w:tcW w:w="1814" w:type="dxa"/>
            <w:tcBorders>
              <w:top w:val="single" w:sz="4" w:space="0" w:color="7F7F7F"/>
              <w:left w:val="single" w:sz="4" w:space="0" w:color="7F7F7F"/>
              <w:bottom w:val="single" w:sz="4" w:space="0" w:color="7F7F7F"/>
              <w:right w:val="single" w:sz="4" w:space="0" w:color="7F7F7F"/>
            </w:tcBorders>
          </w:tcPr>
          <w:p w:rsidR="00296032" w:rsidRPr="00620047" w:rsidRDefault="00296032">
            <w:pPr>
              <w:rPr>
                <w:rFonts w:eastAsia="Calibri"/>
                <w:b w:val="0"/>
              </w:rPr>
            </w:pP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0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Totale hoeveelheid onopgeloste stoffen</w:t>
            </w:r>
          </w:p>
        </w:tc>
        <w:tc>
          <w:tcPr>
            <w:tcW w:w="181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30 milligram per liter</w:t>
            </w:r>
          </w:p>
        </w:tc>
        <w:tc>
          <w:tcPr>
            <w:tcW w:w="1814" w:type="dxa"/>
            <w:tcBorders>
              <w:top w:val="single" w:sz="4" w:space="0" w:color="7F7F7F"/>
              <w:left w:val="single" w:sz="4" w:space="0" w:color="7F7F7F"/>
              <w:bottom w:val="single" w:sz="4" w:space="0" w:color="7F7F7F"/>
              <w:right w:val="single" w:sz="4" w:space="0" w:color="7F7F7F"/>
            </w:tcBorders>
          </w:tcPr>
          <w:p w:rsidR="00296032" w:rsidRPr="00620047" w:rsidRDefault="00296032">
            <w:pPr>
              <w:rPr>
                <w:rFonts w:eastAsia="Calibri"/>
                <w:b w:val="0"/>
              </w:rPr>
            </w:pP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0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Totaal fosfor (ontwerpcapaciteit van meer dan 100.000 inwonerequivalenten)</w:t>
            </w:r>
          </w:p>
        </w:tc>
        <w:tc>
          <w:tcPr>
            <w:tcW w:w="1814" w:type="dxa"/>
            <w:tcBorders>
              <w:top w:val="single" w:sz="4" w:space="0" w:color="7F7F7F"/>
              <w:left w:val="single" w:sz="4" w:space="0" w:color="7F7F7F"/>
              <w:bottom w:val="single" w:sz="4" w:space="0" w:color="7F7F7F"/>
              <w:right w:val="single" w:sz="4" w:space="0" w:color="7F7F7F"/>
            </w:tcBorders>
          </w:tcPr>
          <w:p w:rsidR="00296032" w:rsidRPr="00620047" w:rsidRDefault="00296032">
            <w:pPr>
              <w:rPr>
                <w:rFonts w:eastAsia="Calibri"/>
                <w:b w:val="0"/>
              </w:rPr>
            </w:pPr>
          </w:p>
        </w:tc>
        <w:tc>
          <w:tcPr>
            <w:tcW w:w="181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1,0 milligram per liter</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0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Totaal fosfor (ontwerpcapaciteit van 2.000 tot en met 100.000 inwonerequivalenten)</w:t>
            </w:r>
          </w:p>
        </w:tc>
        <w:tc>
          <w:tcPr>
            <w:tcW w:w="1814" w:type="dxa"/>
            <w:tcBorders>
              <w:top w:val="single" w:sz="4" w:space="0" w:color="7F7F7F"/>
              <w:left w:val="single" w:sz="4" w:space="0" w:color="7F7F7F"/>
              <w:bottom w:val="single" w:sz="4" w:space="0" w:color="7F7F7F"/>
              <w:right w:val="single" w:sz="4" w:space="0" w:color="7F7F7F"/>
            </w:tcBorders>
          </w:tcPr>
          <w:p w:rsidR="00296032" w:rsidRPr="00620047" w:rsidRDefault="00296032">
            <w:pPr>
              <w:rPr>
                <w:rFonts w:eastAsia="Calibri"/>
                <w:b w:val="0"/>
              </w:rPr>
            </w:pPr>
          </w:p>
        </w:tc>
        <w:tc>
          <w:tcPr>
            <w:tcW w:w="181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2,0 milligram per liter</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0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Totaal stikstof (ontwerpcapaciteit van 20.000 inwonerequivalenten of meer)</w:t>
            </w:r>
          </w:p>
        </w:tc>
        <w:tc>
          <w:tcPr>
            <w:tcW w:w="1814" w:type="dxa"/>
            <w:tcBorders>
              <w:top w:val="single" w:sz="4" w:space="0" w:color="7F7F7F"/>
              <w:left w:val="single" w:sz="4" w:space="0" w:color="7F7F7F"/>
              <w:bottom w:val="single" w:sz="4" w:space="0" w:color="7F7F7F"/>
              <w:right w:val="single" w:sz="4" w:space="0" w:color="7F7F7F"/>
            </w:tcBorders>
          </w:tcPr>
          <w:p w:rsidR="00296032" w:rsidRPr="00620047" w:rsidRDefault="00296032">
            <w:pPr>
              <w:rPr>
                <w:rFonts w:eastAsia="Calibri"/>
                <w:b w:val="0"/>
              </w:rPr>
            </w:pPr>
          </w:p>
        </w:tc>
        <w:tc>
          <w:tcPr>
            <w:tcW w:w="181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10 milligram per liter</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0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Totaal stikstof (ontwerpcapaciteit van 2.000 tot 20.000 inwonerequivalenten)</w:t>
            </w:r>
          </w:p>
        </w:tc>
        <w:tc>
          <w:tcPr>
            <w:tcW w:w="1814" w:type="dxa"/>
            <w:tcBorders>
              <w:top w:val="single" w:sz="4" w:space="0" w:color="7F7F7F"/>
              <w:left w:val="single" w:sz="4" w:space="0" w:color="7F7F7F"/>
              <w:bottom w:val="single" w:sz="4" w:space="0" w:color="7F7F7F"/>
              <w:right w:val="single" w:sz="4" w:space="0" w:color="7F7F7F"/>
            </w:tcBorders>
          </w:tcPr>
          <w:p w:rsidR="00296032" w:rsidRPr="00620047" w:rsidRDefault="00296032">
            <w:pPr>
              <w:rPr>
                <w:rFonts w:eastAsia="Calibri"/>
                <w:b w:val="0"/>
              </w:rPr>
            </w:pPr>
          </w:p>
        </w:tc>
        <w:tc>
          <w:tcPr>
            <w:tcW w:w="181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rFonts w:eastAsia="Calibri"/>
                <w:b w:val="0"/>
              </w:rPr>
            </w:pPr>
            <w:r w:rsidRPr="00620047">
              <w:rPr>
                <w:rFonts w:eastAsia="Calibri"/>
                <w:b w:val="0"/>
              </w:rPr>
              <w:t>15 milligram per liter</w:t>
            </w:r>
          </w:p>
        </w:tc>
      </w:tr>
    </w:tbl>
    <w:p w:rsidR="00296032" w:rsidRPr="00620047" w:rsidRDefault="00296032"/>
    <w:p w:rsidR="00296032" w:rsidRPr="00620047" w:rsidRDefault="00296032">
      <w:pPr>
        <w:pStyle w:val="art1enivo"/>
      </w:pPr>
      <w:r w:rsidRPr="00620047">
        <w:t>5.</w:t>
      </w:r>
      <w:r w:rsidRPr="00620047">
        <w:tab/>
        <w:t>De beoordeling of bij het lozen wordt voldaan aan de grenswaarden, genoemd in het vierde lid, geschiedt overeenkomstig de bij ministeriële regeling gestelde eisen.</w:t>
      </w:r>
    </w:p>
    <w:p w:rsidR="00296032" w:rsidRPr="00620047" w:rsidRDefault="00296032">
      <w:pPr>
        <w:pStyle w:val="art1enivo"/>
      </w:pPr>
      <w:r w:rsidRPr="00620047">
        <w:t>6.</w:t>
      </w:r>
      <w:r w:rsidRPr="00620047">
        <w:tab/>
        <w:t>Het bevoegd gezag kan, indien het belang van de bescherming van de kwaliteit van het oppervlaktewaterlichaam daartoe noodzaakt, bij maatwerkvoorschrift lagere grenswaarden vaststellen dan de grenswaarden, genoemd in het vierde lid.</w:t>
      </w:r>
    </w:p>
    <w:p w:rsidR="00296032" w:rsidRPr="00620047" w:rsidRDefault="00296032">
      <w:pPr>
        <w:pStyle w:val="art1enivo"/>
      </w:pPr>
      <w:r w:rsidRPr="00620047">
        <w:t>7.</w:t>
      </w:r>
      <w:r w:rsidRPr="00620047">
        <w:tab/>
        <w:t>Het bevoegd gezag kan bij maatwerkvoorschrift op verzoek van het openbaar lichaam of een andere rechtspersoon die krachtens artikel 3.4 van de Waterwet is belast met de zorg voor een zuiveringtechnisch werk, de grenswaarden voor de concentraties totaal fosfor en totaal stikstof, genoemd in het vierde lid, niet van toepassing verklaren en hogere grenswaarden vaststellen dan de grenswaarden, bedoeld in dat lid, indien het percentage van totaal fosfor onderscheidenlijk totaal stikstof dat uit het stedelijk afvalwater wordt verwijderd en dat op de onder de zorg van hetzelfde openbaar lichaam of dezelfde andere rechtspersoon staande gezamenlijke zuiveringtechnische werken wordt aangevoerd, ten minste 75 procent bedraagt en het een zuiveringtechnisch werk betreft:</w:t>
      </w:r>
    </w:p>
    <w:p w:rsidR="00296032" w:rsidRPr="00620047" w:rsidRDefault="00296032">
      <w:pPr>
        <w:pStyle w:val="art2enivo"/>
      </w:pPr>
      <w:r w:rsidRPr="00620047">
        <w:t>a.</w:t>
      </w:r>
      <w:r w:rsidRPr="00620047">
        <w:tab/>
        <w:t>dat voor 1 september 1992 in bedrijf is genomen en waarvan de ontwerpcapaciteit sinds die datum met niet meer dan 25 procent is uitgebreid, of</w:t>
      </w:r>
    </w:p>
    <w:p w:rsidR="00296032" w:rsidRPr="00620047" w:rsidRDefault="00296032">
      <w:pPr>
        <w:pStyle w:val="art2enivo"/>
      </w:pPr>
      <w:r w:rsidRPr="00620047">
        <w:t>b.</w:t>
      </w:r>
      <w:r w:rsidRPr="00620047">
        <w:tab/>
        <w:t>met een ontwerpcapaciteit van minder dan 20.000 inwonerequivalenten.</w:t>
      </w:r>
    </w:p>
    <w:p w:rsidR="00296032" w:rsidRPr="00296032" w:rsidRDefault="00296032">
      <w:pPr>
        <w:pStyle w:val="artikelkop"/>
      </w:pPr>
      <w:r w:rsidRPr="00296032">
        <w:t>Artikel 3.5f</w:t>
      </w:r>
    </w:p>
    <w:p w:rsidR="00296032" w:rsidRPr="00620047" w:rsidRDefault="00296032">
      <w:pPr>
        <w:pStyle w:val="art1enivo"/>
      </w:pPr>
      <w:r w:rsidRPr="00620047">
        <w:t>1.</w:t>
      </w:r>
      <w:r w:rsidRPr="00620047">
        <w:tab/>
        <w:t>Voor de toepassing van dit artikel wordt onder 'voorzienbare bijzondere bedrijfsomstandigheden bij een zuiveringtechnisch werk' verstaan: andere dan de reguliere bedrijfsomstandigheden, niet zijnde een ongewoon voorval, zoals onderhouds- en reparatiewerkzaamheden, waardoor onderdelen van het zuiveringsproces tijdelijk buiten bedrijf worden gesteld.</w:t>
      </w:r>
    </w:p>
    <w:p w:rsidR="00296032" w:rsidRPr="00620047" w:rsidRDefault="00296032">
      <w:pPr>
        <w:pStyle w:val="art1enivo"/>
      </w:pPr>
      <w:r w:rsidRPr="00620047">
        <w:t>2.</w:t>
      </w:r>
      <w:r w:rsidRPr="00620047">
        <w:tab/>
        <w:t>In het geval van voorzienbare bijzondere bedrijfsomstandigheden als bedoeld in het eerste lid die gevolgen kunnen hebben voor de kwaliteit van het na zuivering te lozen afvalwater, kan het bevoegd gezag op verzoek van het openbaar lichaam of een andere rechtspersoon die krachtens artikel 3.4 van de Waterwet is belast met de zorg voor een zuiveringstechnisch werk voor een door hem vast te stellen periode bij maatwerkvoorschrift de grenswaarden, genoemd in artikel 3.5e, vierde, zesde of zevende lid, niet van toepassing verklaren en hogere grenswaarden vaststellen alsmede tijdelijk aanvullende maatregelen voorschrijven om de nadelige gevolgen voor de waterkwaliteit zoveel mogelijk te beperken.</w:t>
      </w:r>
    </w:p>
    <w:p w:rsidR="00296032" w:rsidRPr="00296032" w:rsidRDefault="00296032">
      <w:pPr>
        <w:pStyle w:val="artikelkop"/>
      </w:pPr>
      <w:r w:rsidRPr="00296032">
        <w:t>Artikel 3.5g</w:t>
      </w:r>
    </w:p>
    <w:p w:rsidR="00296032" w:rsidRPr="00620047" w:rsidRDefault="00296032">
      <w:pPr>
        <w:pStyle w:val="art1enivo"/>
      </w:pPr>
      <w:r w:rsidRPr="00620047">
        <w:t>1.</w:t>
      </w:r>
      <w:r w:rsidRPr="00620047">
        <w:tab/>
        <w:t>Het openbaar lichaam of een andere rechtspersoon welke krachtens artikel 3.4 van de Waterwet is belast met de zorg voor een zuiveringtechnisch werk voor de behandeling van stedelijk afvalwater met een vervuilingswaarde van 2.000 inwonerequivalenten of meer bemonstert zowel het inkomende, onbehandelde stedelijk afvalwater als het te lozen gezuiverde stedelijk afvalwater, analyseert de monsters en beoordeelt de resultaten daarvan overeenkomstig de bij ministeriële regeling gestelde eisen.</w:t>
      </w:r>
    </w:p>
    <w:p w:rsidR="00296032" w:rsidRDefault="00296032">
      <w:pPr>
        <w:pStyle w:val="art1enivo"/>
      </w:pPr>
      <w:r w:rsidRPr="00620047">
        <w:t>2.</w:t>
      </w:r>
      <w:r w:rsidRPr="00620047">
        <w:tab/>
        <w:t>Het openbaar lichaam of een andere rechtspersoon als bedoeld in het eerste lid legt binnen vier maanden na afloop van ieder kalenderjaar aan Onze Minister een overzicht over van de onder zijn zorg staande zuiveringtechnische werken en van de resultaten van de bemonstering, analyse en beoordeling, bedoeld in dat lid.</w:t>
      </w:r>
    </w:p>
    <w:p w:rsidR="005468BF" w:rsidRDefault="005468BF" w:rsidP="005468BF"/>
    <w:p w:rsidR="005D6B20" w:rsidRDefault="005D6B20" w:rsidP="005D6B20">
      <w:pPr>
        <w:pStyle w:val="paragraaf"/>
        <w:shd w:val="clear" w:color="auto" w:fill="D9D9D9" w:themeFill="background1" w:themeFillShade="D9"/>
      </w:pPr>
      <w:r>
        <w:t>§ 3.1.2. Behandeling van stedelijk afvalwater</w:t>
      </w:r>
    </w:p>
    <w:p w:rsidR="005D6B20" w:rsidRDefault="005D6B20" w:rsidP="005D6B20">
      <w:pPr>
        <w:shd w:val="clear" w:color="auto" w:fill="D9D9D9" w:themeFill="background1" w:themeFillShade="D9"/>
      </w:pPr>
    </w:p>
    <w:p w:rsidR="005468BF" w:rsidRDefault="005468BF" w:rsidP="005D6B20">
      <w:pPr>
        <w:pStyle w:val="artikelkop"/>
        <w:shd w:val="clear" w:color="auto" w:fill="D9D9D9" w:themeFill="background1" w:themeFillShade="D9"/>
      </w:pPr>
      <w:r>
        <w:t>Artikel 3.4a</w:t>
      </w:r>
    </w:p>
    <w:p w:rsidR="005468BF" w:rsidRDefault="005468BF" w:rsidP="005468BF">
      <w:pPr>
        <w:pStyle w:val="art1enivo"/>
        <w:shd w:val="clear" w:color="auto" w:fill="D9D9D9" w:themeFill="background1" w:themeFillShade="D9"/>
        <w:suppressAutoHyphens/>
        <w:rPr>
          <w:rFonts w:cs="Arial"/>
        </w:rPr>
      </w:pPr>
      <w:r>
        <w:rPr>
          <w:rFonts w:cs="Arial"/>
        </w:rPr>
        <w:t>1.</w:t>
      </w:r>
      <w:r>
        <w:rPr>
          <w:rFonts w:cs="Arial"/>
        </w:rPr>
        <w:tab/>
        <w:t>Bij het in werking hebben van een zuiveringstechnisch werk verkeert de installatie in goede staat van onderhoud en worden bij onderhoudswerkzaamheden zodanige maatregelen getroffen dat geurhinder bij geurgevoelige objecten zoveel mogelijk wordt voorkomen dan wel voor zover dat niet mogelijk is tot een aanvaardbaar niveau wordt beperkt.</w:t>
      </w:r>
    </w:p>
    <w:p w:rsidR="005468BF" w:rsidRDefault="005468BF" w:rsidP="005468BF">
      <w:pPr>
        <w:pStyle w:val="art1enivo"/>
        <w:shd w:val="clear" w:color="auto" w:fill="D9D9D9" w:themeFill="background1" w:themeFillShade="D9"/>
        <w:suppressAutoHyphens/>
        <w:rPr>
          <w:rFonts w:cs="Arial"/>
        </w:rPr>
      </w:pPr>
      <w:r>
        <w:rPr>
          <w:rFonts w:cs="Arial"/>
        </w:rPr>
        <w:t>2.</w:t>
      </w:r>
      <w:r>
        <w:rPr>
          <w:rFonts w:cs="Arial"/>
        </w:rPr>
        <w:tab/>
        <w:t>Het bevoegd gezag kan indien blijkt dat de geurhinder een aanvaardbaar niveau overschrijdt maatwerkvoorschriften stellen waarin maatregelen als bedoeld in het eerste lid worden geconcretiseerd.</w:t>
      </w:r>
    </w:p>
    <w:p w:rsidR="005468BF" w:rsidRDefault="005468BF" w:rsidP="005468BF">
      <w:pPr>
        <w:pStyle w:val="artikelkop"/>
        <w:shd w:val="clear" w:color="auto" w:fill="D9D9D9" w:themeFill="background1" w:themeFillShade="D9"/>
      </w:pPr>
      <w:r>
        <w:t>Artikel 3.4b</w:t>
      </w:r>
    </w:p>
    <w:p w:rsidR="005468BF" w:rsidRDefault="005468BF" w:rsidP="005468BF">
      <w:pPr>
        <w:pStyle w:val="art1enivo"/>
        <w:shd w:val="clear" w:color="auto" w:fill="D9D9D9" w:themeFill="background1" w:themeFillShade="D9"/>
        <w:suppressAutoHyphens/>
        <w:rPr>
          <w:rFonts w:cs="Arial"/>
        </w:rPr>
      </w:pPr>
      <w:r>
        <w:rPr>
          <w:rFonts w:cs="Arial"/>
        </w:rPr>
        <w:t>1.</w:t>
      </w:r>
      <w:r>
        <w:rPr>
          <w:rFonts w:cs="Arial"/>
        </w:rPr>
        <w:tab/>
        <w:t>De geurbelasting, bedoeld in de artikelen 3.5b, eerste</w:t>
      </w:r>
      <w:r w:rsidR="0067284E">
        <w:rPr>
          <w:rFonts w:cs="Arial"/>
        </w:rPr>
        <w:t>,</w:t>
      </w:r>
      <w:r>
        <w:rPr>
          <w:rFonts w:cs="Arial"/>
        </w:rPr>
        <w:t xml:space="preserve"> tweede</w:t>
      </w:r>
      <w:r w:rsidR="0067284E">
        <w:rPr>
          <w:rFonts w:cs="Arial"/>
        </w:rPr>
        <w:t xml:space="preserve"> en vijfde tot en met achtste</w:t>
      </w:r>
      <w:r>
        <w:rPr>
          <w:rFonts w:cs="Arial"/>
        </w:rPr>
        <w:t xml:space="preserve"> lid van het besluit, wordt bepaald met de rekenmethode van het Nieuw Nationaal Model (Uitgave 1998, ISBN 90-76323-003) of een daaraan gelijkwaardige methode.</w:t>
      </w:r>
    </w:p>
    <w:p w:rsidR="005468BF" w:rsidRDefault="005468BF" w:rsidP="005468BF">
      <w:pPr>
        <w:pStyle w:val="art1enivo"/>
        <w:shd w:val="clear" w:color="auto" w:fill="D9D9D9" w:themeFill="background1" w:themeFillShade="D9"/>
        <w:suppressAutoHyphens/>
        <w:rPr>
          <w:rFonts w:cs="Arial"/>
        </w:rPr>
      </w:pPr>
      <w:r>
        <w:rPr>
          <w:rFonts w:cs="Arial"/>
        </w:rPr>
        <w:t>2.</w:t>
      </w:r>
      <w:r>
        <w:rPr>
          <w:rFonts w:cs="Arial"/>
        </w:rPr>
        <w:tab/>
        <w:t>De geuremissie vanuit een zuiveringstechnisch werk is de som van de emissies door de verschillende procesonderdelen, uitgedrukt in odour units per seconde, die worden bepaald met behulp van de emissiefactoren, genoemd in bijlage 5 bij deze regeling.</w:t>
      </w:r>
    </w:p>
    <w:p w:rsidR="005468BF" w:rsidRDefault="005468BF" w:rsidP="005468BF">
      <w:pPr>
        <w:pStyle w:val="art1enivo"/>
        <w:shd w:val="clear" w:color="auto" w:fill="D9D9D9" w:themeFill="background1" w:themeFillShade="D9"/>
        <w:suppressAutoHyphens/>
        <w:rPr>
          <w:rFonts w:cs="Arial"/>
        </w:rPr>
      </w:pPr>
      <w:r>
        <w:rPr>
          <w:rFonts w:cs="Arial"/>
        </w:rPr>
        <w:t>3.</w:t>
      </w:r>
      <w:r>
        <w:rPr>
          <w:rFonts w:cs="Arial"/>
        </w:rPr>
        <w:tab/>
        <w:t>Indien voor een procesonderdeel als bedoeld in het tweede lid geen emissiefactor is opgenomen in bijlage 5, kan het bevoegd gezag bij maatwerkvoorschrift aanvullend geuronderzoek eisen, dat wordt uitgevoerd overeenkomstig NTA 9065.</w:t>
      </w:r>
    </w:p>
    <w:p w:rsidR="005468BF" w:rsidRDefault="005468BF" w:rsidP="005468BF">
      <w:pPr>
        <w:pStyle w:val="art1enivo"/>
        <w:shd w:val="clear" w:color="auto" w:fill="D9D9D9" w:themeFill="background1" w:themeFillShade="D9"/>
        <w:suppressAutoHyphens/>
        <w:rPr>
          <w:rFonts w:cs="Arial"/>
        </w:rPr>
      </w:pPr>
      <w:r>
        <w:rPr>
          <w:rFonts w:cs="Arial"/>
        </w:rPr>
        <w:t>4.</w:t>
      </w:r>
      <w:r>
        <w:rPr>
          <w:rFonts w:cs="Arial"/>
        </w:rPr>
        <w:tab/>
        <w:t>Het bevoegd gezag kan, indien de geurhinder als gevolg van het opslaan en verladen van slib een aanvaardbaar niveau overschrijdt en artikel 3.5b, eerste</w:t>
      </w:r>
      <w:r w:rsidR="0067284E">
        <w:rPr>
          <w:rFonts w:cs="Arial"/>
        </w:rPr>
        <w:t>,</w:t>
      </w:r>
      <w:r>
        <w:rPr>
          <w:rFonts w:cs="Arial"/>
        </w:rPr>
        <w:t xml:space="preserve"> tweede</w:t>
      </w:r>
      <w:r w:rsidR="0067284E">
        <w:rPr>
          <w:rFonts w:cs="Arial"/>
        </w:rPr>
        <w:t xml:space="preserve"> en vijfde tot en met achtste</w:t>
      </w:r>
      <w:r>
        <w:rPr>
          <w:rFonts w:cs="Arial"/>
        </w:rPr>
        <w:t xml:space="preserve"> lid, van het besluit niet toereikend zijn om de overschrijding ongedaan te maken, aanvullend maatwerkvoorschriften stellen met betrekking tot de technische voorzieningen in het zuiveringtechnisch werk en te treffen gedragsmaatregelen.</w:t>
      </w:r>
    </w:p>
    <w:p w:rsidR="005468BF" w:rsidRDefault="005468BF" w:rsidP="005468BF">
      <w:pPr>
        <w:pStyle w:val="artikelkop"/>
        <w:shd w:val="clear" w:color="auto" w:fill="D9D9D9" w:themeFill="background1" w:themeFillShade="D9"/>
      </w:pPr>
      <w:r>
        <w:t>Artikel 3.4c</w:t>
      </w:r>
    </w:p>
    <w:p w:rsidR="005468BF" w:rsidRDefault="005468BF" w:rsidP="005468BF">
      <w:pPr>
        <w:shd w:val="clear" w:color="auto" w:fill="D9D9D9" w:themeFill="background1" w:themeFillShade="D9"/>
        <w:suppressAutoHyphens/>
        <w:rPr>
          <w:rFonts w:cs="Arial"/>
        </w:rPr>
      </w:pPr>
      <w:r>
        <w:rPr>
          <w:rFonts w:cs="Arial"/>
        </w:rPr>
        <w:t>Ten behoeve van het realiseren van een aanvaardbaar bodemrisico voldoet het ontwerp- en aanlegproces van bassins, tanks en leidingen in de waterlijn vanaf het ontvangstwerk tot de selector of de beluchtingstank aan CUR/PBV-Aanbeveling 51 en CUR/PBV-Aanbeveling 65 met uitzondering van de eisen gesteld in de paragrafen 4.1, 5.1, 6.1.1, en 6.1.2 van CUR/PBV-Aanbeveling 51, alsmede paragraaf 5.2.1 van de CUR/PBV-Aanbeveling 65.</w:t>
      </w:r>
    </w:p>
    <w:p w:rsidR="005468BF" w:rsidRDefault="005468BF" w:rsidP="005468BF">
      <w:pPr>
        <w:pStyle w:val="artikelkop"/>
        <w:shd w:val="clear" w:color="auto" w:fill="D9D9D9" w:themeFill="background1" w:themeFillShade="D9"/>
      </w:pPr>
      <w:r>
        <w:t>Artikel 3.4d</w:t>
      </w:r>
    </w:p>
    <w:p w:rsidR="005468BF" w:rsidRDefault="005468BF" w:rsidP="005468BF">
      <w:pPr>
        <w:pStyle w:val="art1enivo"/>
        <w:shd w:val="clear" w:color="auto" w:fill="D9D9D9" w:themeFill="background1" w:themeFillShade="D9"/>
        <w:suppressAutoHyphens/>
        <w:rPr>
          <w:rFonts w:cs="Arial"/>
        </w:rPr>
      </w:pPr>
      <w:r>
        <w:rPr>
          <w:rFonts w:cs="Arial"/>
        </w:rPr>
        <w:t>1.</w:t>
      </w:r>
      <w:r>
        <w:rPr>
          <w:rFonts w:cs="Arial"/>
        </w:rPr>
        <w:tab/>
        <w:t>Ten behoeve van het realiseren van een aanvaardbaar bodemrisico gebeurt de controle op de lekdichtheid van de bedrijfsonderdelen van de zuiveringstechnische werken, bedoeld in artikel 3.5a van het besluit, met een grondwatermonitoringssysteem dat bestaat uit:</w:t>
      </w:r>
    </w:p>
    <w:p w:rsidR="005468BF" w:rsidRDefault="005468BF" w:rsidP="005468BF">
      <w:pPr>
        <w:pStyle w:val="art2enivo"/>
        <w:shd w:val="clear" w:color="auto" w:fill="D9D9D9" w:themeFill="background1" w:themeFillShade="D9"/>
        <w:suppressAutoHyphens/>
        <w:rPr>
          <w:rFonts w:cs="Arial"/>
        </w:rPr>
      </w:pPr>
      <w:r>
        <w:rPr>
          <w:rFonts w:cs="Arial"/>
        </w:rPr>
        <w:t>a.</w:t>
      </w:r>
      <w:r>
        <w:rPr>
          <w:rFonts w:cs="Arial"/>
        </w:rPr>
        <w:tab/>
        <w:t>een horizontaal monitoringssysteem bij installaties aangelegd op of na 1 januari 2012,</w:t>
      </w:r>
    </w:p>
    <w:p w:rsidR="005468BF" w:rsidRDefault="005468BF" w:rsidP="005468BF">
      <w:pPr>
        <w:pStyle w:val="art2enivo"/>
        <w:shd w:val="clear" w:color="auto" w:fill="D9D9D9" w:themeFill="background1" w:themeFillShade="D9"/>
        <w:suppressAutoHyphens/>
        <w:rPr>
          <w:rFonts w:cs="Arial"/>
        </w:rPr>
      </w:pPr>
      <w:r>
        <w:rPr>
          <w:rFonts w:cs="Arial"/>
        </w:rPr>
        <w:t>b.</w:t>
      </w:r>
      <w:r>
        <w:rPr>
          <w:rFonts w:cs="Arial"/>
        </w:rPr>
        <w:tab/>
        <w:t>verticale peilbuizen bij installaties aangelegd voor die datum.</w:t>
      </w:r>
    </w:p>
    <w:p w:rsidR="005468BF" w:rsidRDefault="005468BF" w:rsidP="005468BF">
      <w:pPr>
        <w:pStyle w:val="art1enivo"/>
        <w:shd w:val="clear" w:color="auto" w:fill="D9D9D9" w:themeFill="background1" w:themeFillShade="D9"/>
        <w:suppressAutoHyphens/>
        <w:rPr>
          <w:rFonts w:cs="Arial"/>
        </w:rPr>
      </w:pPr>
      <w:r>
        <w:rPr>
          <w:rFonts w:cs="Arial"/>
        </w:rPr>
        <w:t>2.</w:t>
      </w:r>
      <w:r>
        <w:rPr>
          <w:rFonts w:cs="Arial"/>
        </w:rPr>
        <w:tab/>
        <w:t>In afwijking van het eerste lid kan gebruik worden gemaakt van geo-electrische metingen met een meetfrequentie van eenmaal per zes jaar.</w:t>
      </w:r>
    </w:p>
    <w:p w:rsidR="005468BF" w:rsidRDefault="005468BF" w:rsidP="005468BF">
      <w:pPr>
        <w:pStyle w:val="artikelkop"/>
        <w:shd w:val="clear" w:color="auto" w:fill="D9D9D9" w:themeFill="background1" w:themeFillShade="D9"/>
      </w:pPr>
      <w:r>
        <w:t>Artikel 3.4e</w:t>
      </w:r>
    </w:p>
    <w:p w:rsidR="005468BF" w:rsidRDefault="005468BF" w:rsidP="005468BF">
      <w:pPr>
        <w:pStyle w:val="art1enivo"/>
        <w:shd w:val="clear" w:color="auto" w:fill="D9D9D9" w:themeFill="background1" w:themeFillShade="D9"/>
        <w:suppressAutoHyphens/>
        <w:rPr>
          <w:rFonts w:cs="Arial"/>
        </w:rPr>
      </w:pPr>
      <w:r>
        <w:rPr>
          <w:rFonts w:cs="Arial"/>
        </w:rPr>
        <w:t>1.</w:t>
      </w:r>
      <w:r>
        <w:rPr>
          <w:rFonts w:cs="Arial"/>
        </w:rPr>
        <w:tab/>
        <w:t>Het horizontaal monitoringssysteem, bedoeld in artikel 3.4d, eerste lid, onder a, bestaat uit horizontale buizen op een afstand van ten minste 30 meter van elkaar.</w:t>
      </w:r>
    </w:p>
    <w:p w:rsidR="005468BF" w:rsidRDefault="005468BF" w:rsidP="005468BF">
      <w:pPr>
        <w:pStyle w:val="art1enivo"/>
        <w:shd w:val="clear" w:color="auto" w:fill="D9D9D9" w:themeFill="background1" w:themeFillShade="D9"/>
        <w:suppressAutoHyphens/>
        <w:rPr>
          <w:rFonts w:cs="Arial"/>
        </w:rPr>
      </w:pPr>
      <w:r>
        <w:rPr>
          <w:rFonts w:cs="Arial"/>
        </w:rPr>
        <w:t>2.</w:t>
      </w:r>
      <w:r>
        <w:rPr>
          <w:rFonts w:cs="Arial"/>
        </w:rPr>
        <w:tab/>
        <w:t>Indien binnen een afstand van 60 meter, gemeten van hart tot hart, meerdere bassins of tanks zijn gesitueerd, wordt een extra horizontale buis geplaatst.</w:t>
      </w:r>
    </w:p>
    <w:p w:rsidR="005468BF" w:rsidRDefault="005468BF" w:rsidP="005468BF">
      <w:pPr>
        <w:pStyle w:val="art1enivo"/>
        <w:shd w:val="clear" w:color="auto" w:fill="D9D9D9" w:themeFill="background1" w:themeFillShade="D9"/>
        <w:suppressAutoHyphens/>
        <w:rPr>
          <w:rFonts w:cs="Arial"/>
        </w:rPr>
      </w:pPr>
      <w:r>
        <w:rPr>
          <w:rFonts w:cs="Arial"/>
        </w:rPr>
        <w:t>3.</w:t>
      </w:r>
      <w:r>
        <w:rPr>
          <w:rFonts w:cs="Arial"/>
        </w:rPr>
        <w:tab/>
        <w:t>Indien bassins of tanks op meer dan 60 meter, gemeten van hart tot hart, van elkaar zijn gesitueerd, wordt om de 30 meter een horizontale buis geplaatst.</w:t>
      </w:r>
    </w:p>
    <w:p w:rsidR="005468BF" w:rsidRDefault="005468BF" w:rsidP="005468BF">
      <w:pPr>
        <w:pStyle w:val="art1enivo"/>
        <w:shd w:val="clear" w:color="auto" w:fill="D9D9D9" w:themeFill="background1" w:themeFillShade="D9"/>
        <w:suppressAutoHyphens/>
        <w:rPr>
          <w:rFonts w:cs="Arial"/>
        </w:rPr>
      </w:pPr>
      <w:r>
        <w:rPr>
          <w:rFonts w:cs="Arial"/>
        </w:rPr>
        <w:t>4.</w:t>
      </w:r>
      <w:r>
        <w:rPr>
          <w:rFonts w:cs="Arial"/>
        </w:rPr>
        <w:tab/>
        <w:t>Bij de plaatsing van de horizontale buizen wordt rekening gehouden met de stroomrichting van het grondwater.</w:t>
      </w:r>
    </w:p>
    <w:p w:rsidR="005468BF" w:rsidRDefault="005468BF" w:rsidP="005468BF">
      <w:pPr>
        <w:pStyle w:val="art1enivo"/>
        <w:shd w:val="clear" w:color="auto" w:fill="D9D9D9" w:themeFill="background1" w:themeFillShade="D9"/>
        <w:suppressAutoHyphens/>
        <w:rPr>
          <w:rFonts w:cs="Arial"/>
        </w:rPr>
      </w:pPr>
      <w:r>
        <w:rPr>
          <w:rFonts w:cs="Arial"/>
        </w:rPr>
        <w:t>5.</w:t>
      </w:r>
      <w:r>
        <w:rPr>
          <w:rFonts w:cs="Arial"/>
        </w:rPr>
        <w:tab/>
        <w:t>De verticale peilbuizen, bedoeld in artikel 3.4d, eerste lid, onder b, bevinden zich op een afstand van ten minste 30 meter van elkaar.</w:t>
      </w:r>
    </w:p>
    <w:p w:rsidR="005468BF" w:rsidRDefault="005468BF" w:rsidP="005468BF">
      <w:pPr>
        <w:pStyle w:val="art1enivo"/>
        <w:shd w:val="clear" w:color="auto" w:fill="D9D9D9" w:themeFill="background1" w:themeFillShade="D9"/>
        <w:suppressAutoHyphens/>
        <w:rPr>
          <w:rFonts w:cs="Arial"/>
        </w:rPr>
      </w:pPr>
      <w:r>
        <w:rPr>
          <w:rFonts w:cs="Arial"/>
        </w:rPr>
        <w:t>6.</w:t>
      </w:r>
      <w:r>
        <w:rPr>
          <w:rFonts w:cs="Arial"/>
        </w:rPr>
        <w:tab/>
        <w:t>Indien binnen een afstand van 60 meter, gemeten van hart tot hart, meerdere bassins of tanks zijn gesitueerd, wordt een extra verticale peilbuis geplaatst.</w:t>
      </w:r>
    </w:p>
    <w:p w:rsidR="005468BF" w:rsidRDefault="005468BF" w:rsidP="005468BF">
      <w:pPr>
        <w:pStyle w:val="art1enivo"/>
        <w:shd w:val="clear" w:color="auto" w:fill="D9D9D9" w:themeFill="background1" w:themeFillShade="D9"/>
        <w:suppressAutoHyphens/>
        <w:rPr>
          <w:rFonts w:cs="Arial"/>
        </w:rPr>
      </w:pPr>
      <w:r>
        <w:rPr>
          <w:rFonts w:cs="Arial"/>
        </w:rPr>
        <w:t>7.</w:t>
      </w:r>
      <w:r>
        <w:rPr>
          <w:rFonts w:cs="Arial"/>
        </w:rPr>
        <w:tab/>
        <w:t>Indien bassins of tanks op meer dan 60 meter, gemeten van hart tot hart, van elkaar zijn gesitueerd, wordt om de 30 meter een verticale peilbuis geplaatst.</w:t>
      </w:r>
    </w:p>
    <w:p w:rsidR="005468BF" w:rsidRDefault="005468BF" w:rsidP="005468BF">
      <w:pPr>
        <w:pStyle w:val="art1enivo"/>
        <w:shd w:val="clear" w:color="auto" w:fill="D9D9D9" w:themeFill="background1" w:themeFillShade="D9"/>
        <w:suppressAutoHyphens/>
        <w:rPr>
          <w:rFonts w:cs="Arial"/>
        </w:rPr>
      </w:pPr>
      <w:r>
        <w:rPr>
          <w:rFonts w:cs="Arial"/>
        </w:rPr>
        <w:t>8.</w:t>
      </w:r>
      <w:r>
        <w:rPr>
          <w:rFonts w:cs="Arial"/>
        </w:rPr>
        <w:tab/>
        <w:t>De verticale peilbuis alsmede de plaatsing voldoet aan NEN 5766.</w:t>
      </w:r>
    </w:p>
    <w:p w:rsidR="005468BF" w:rsidRDefault="005468BF" w:rsidP="005468BF">
      <w:pPr>
        <w:pStyle w:val="art1enivo"/>
        <w:shd w:val="clear" w:color="auto" w:fill="D9D9D9" w:themeFill="background1" w:themeFillShade="D9"/>
        <w:suppressAutoHyphens/>
        <w:rPr>
          <w:rFonts w:cs="Arial"/>
        </w:rPr>
      </w:pPr>
      <w:r>
        <w:rPr>
          <w:rFonts w:cs="Arial"/>
        </w:rPr>
        <w:t>9.</w:t>
      </w:r>
      <w:r>
        <w:rPr>
          <w:rFonts w:cs="Arial"/>
        </w:rPr>
        <w:tab/>
        <w:t>De verticale peilbuizen worden benedenstrooms ten opzichte van de stroming van het grondwater geplaatst.</w:t>
      </w:r>
    </w:p>
    <w:p w:rsidR="005468BF" w:rsidRDefault="005468BF" w:rsidP="005468BF">
      <w:pPr>
        <w:pStyle w:val="artikelkop"/>
        <w:shd w:val="clear" w:color="auto" w:fill="D9D9D9" w:themeFill="background1" w:themeFillShade="D9"/>
      </w:pPr>
      <w:r>
        <w:t>Artikel 3.4f</w:t>
      </w:r>
    </w:p>
    <w:p w:rsidR="005468BF" w:rsidRDefault="005468BF" w:rsidP="005468BF">
      <w:pPr>
        <w:pStyle w:val="art1enivo"/>
        <w:shd w:val="clear" w:color="auto" w:fill="D9D9D9" w:themeFill="background1" w:themeFillShade="D9"/>
        <w:suppressAutoHyphens/>
        <w:rPr>
          <w:rFonts w:cs="Arial"/>
        </w:rPr>
      </w:pPr>
      <w:r>
        <w:rPr>
          <w:rFonts w:cs="Arial"/>
        </w:rPr>
        <w:t>1.</w:t>
      </w:r>
      <w:r>
        <w:rPr>
          <w:rFonts w:cs="Arial"/>
        </w:rPr>
        <w:tab/>
        <w:t>De achtergrondwaarden aan chemische zuurstofverbruik (CZV) en ammonium-stikstof (N-NH4) worden vastgesteld in het grondwater van een bovenstrooms geplaatste peilbuis.</w:t>
      </w:r>
    </w:p>
    <w:p w:rsidR="005468BF" w:rsidRDefault="005468BF" w:rsidP="005468BF">
      <w:pPr>
        <w:pStyle w:val="art1enivo"/>
        <w:shd w:val="clear" w:color="auto" w:fill="D9D9D9" w:themeFill="background1" w:themeFillShade="D9"/>
        <w:suppressAutoHyphens/>
        <w:rPr>
          <w:rFonts w:cs="Arial"/>
        </w:rPr>
      </w:pPr>
      <w:r>
        <w:rPr>
          <w:rFonts w:cs="Arial"/>
        </w:rPr>
        <w:t>2.</w:t>
      </w:r>
      <w:r>
        <w:rPr>
          <w:rFonts w:cs="Arial"/>
        </w:rPr>
        <w:tab/>
        <w:t>Eenmaal per kalenderjaar wordt een gefiltreerd monster dat genomen is uit het horizontaal monitoringssysteem of uit de peilbuizen geanalyseerd op CZV en N-NH4. Tussen opeenvolgende monsternames ligt ten minste elf maanden.</w:t>
      </w:r>
    </w:p>
    <w:p w:rsidR="005468BF" w:rsidRDefault="005468BF" w:rsidP="005468BF">
      <w:pPr>
        <w:pStyle w:val="art1enivo"/>
        <w:shd w:val="clear" w:color="auto" w:fill="D9D9D9" w:themeFill="background1" w:themeFillShade="D9"/>
        <w:suppressAutoHyphens/>
        <w:rPr>
          <w:rFonts w:cs="Arial"/>
        </w:rPr>
      </w:pPr>
      <w:r>
        <w:rPr>
          <w:rFonts w:cs="Arial"/>
        </w:rPr>
        <w:t>3.</w:t>
      </w:r>
      <w:r>
        <w:rPr>
          <w:rFonts w:cs="Arial"/>
        </w:rPr>
        <w:tab/>
        <w:t>De resultaten van deze analyses worden eenmaal per twee kalenderjaren gerapporteerd aan het bevoegd gezag. De rapportage vindt plaats binnen twee maanden na de laatste van de monsternames, bedoeld in het tweede lid.</w:t>
      </w:r>
    </w:p>
    <w:p w:rsidR="005468BF" w:rsidRDefault="005468BF" w:rsidP="005468BF">
      <w:pPr>
        <w:pStyle w:val="art1enivo"/>
        <w:shd w:val="clear" w:color="auto" w:fill="D9D9D9" w:themeFill="background1" w:themeFillShade="D9"/>
        <w:suppressAutoHyphens/>
        <w:rPr>
          <w:rFonts w:cs="Arial"/>
        </w:rPr>
      </w:pPr>
      <w:r>
        <w:rPr>
          <w:rFonts w:cs="Arial"/>
        </w:rPr>
        <w:t>4.</w:t>
      </w:r>
      <w:r>
        <w:rPr>
          <w:rFonts w:cs="Arial"/>
        </w:rPr>
        <w:tab/>
        <w:t>Indien de gemeten waarden meer dan 50% hoger zijn dan de achtergrondwaarden wordt binnen twee maanden een nieuw grondwatermonster uit het monitoringssysteem geanalyseerd, alsmede een grondwatermonster uit de bovenstrooms geplaatste peilbuis.</w:t>
      </w:r>
    </w:p>
    <w:p w:rsidR="005468BF" w:rsidRDefault="005468BF" w:rsidP="005468BF">
      <w:pPr>
        <w:pStyle w:val="art1enivo"/>
        <w:shd w:val="clear" w:color="auto" w:fill="D9D9D9" w:themeFill="background1" w:themeFillShade="D9"/>
        <w:suppressAutoHyphens/>
        <w:rPr>
          <w:rFonts w:cs="Arial"/>
        </w:rPr>
      </w:pPr>
      <w:r>
        <w:rPr>
          <w:rFonts w:cs="Arial"/>
        </w:rPr>
        <w:t>5.</w:t>
      </w:r>
      <w:r>
        <w:rPr>
          <w:rFonts w:cs="Arial"/>
        </w:rPr>
        <w:tab/>
        <w:t>Indien de gemeten waarden gedurende drie opeenvolgende waarnemingen gemiddeld meer dan 50% hoger zijn dan de achtergrondwaarden, wordt de meetfrequentie verhoogd naar twee monsters per jaar voor de desbetreffende peilbuis. Tussen opeenvolgende monsternames liggen ten minste vijf maanden.</w:t>
      </w:r>
    </w:p>
    <w:p w:rsidR="005468BF" w:rsidRDefault="005468BF" w:rsidP="005468BF">
      <w:pPr>
        <w:pStyle w:val="art1enivo"/>
        <w:shd w:val="clear" w:color="auto" w:fill="D9D9D9" w:themeFill="background1" w:themeFillShade="D9"/>
        <w:suppressAutoHyphens/>
        <w:rPr>
          <w:rFonts w:cs="Arial"/>
        </w:rPr>
      </w:pPr>
      <w:r>
        <w:rPr>
          <w:rFonts w:cs="Arial"/>
        </w:rPr>
        <w:t>6.</w:t>
      </w:r>
      <w:r>
        <w:rPr>
          <w:rFonts w:cs="Arial"/>
        </w:rPr>
        <w:tab/>
        <w:t>Meetwaardes die meer dan 50% hoger zijn dan de achtergrondwaarde, worden gerapporteerd aan het bevoegd gezag.</w:t>
      </w:r>
    </w:p>
    <w:p w:rsidR="005468BF" w:rsidRDefault="005468BF" w:rsidP="005468BF">
      <w:pPr>
        <w:pStyle w:val="art1enivo"/>
        <w:shd w:val="clear" w:color="auto" w:fill="D9D9D9" w:themeFill="background1" w:themeFillShade="D9"/>
        <w:suppressAutoHyphens/>
        <w:rPr>
          <w:rFonts w:cs="Arial"/>
        </w:rPr>
      </w:pPr>
      <w:r>
        <w:rPr>
          <w:rFonts w:cs="Arial"/>
        </w:rPr>
        <w:t>7.</w:t>
      </w:r>
      <w:r>
        <w:rPr>
          <w:rFonts w:cs="Arial"/>
        </w:rPr>
        <w:tab/>
        <w:t>Indien de gemeten waarden gedurende drie opeenvolgende waarnemingen gemiddeld meer dan 50% hoger zijn dan de achtergrondwaarden en de afwijking geweten kan worden aan bedrijfsmatige activiteiten:</w:t>
      </w:r>
    </w:p>
    <w:p w:rsidR="005468BF" w:rsidRDefault="005468BF" w:rsidP="005468BF">
      <w:pPr>
        <w:pStyle w:val="art2enivo"/>
        <w:shd w:val="clear" w:color="auto" w:fill="D9D9D9" w:themeFill="background1" w:themeFillShade="D9"/>
        <w:suppressAutoHyphens/>
        <w:rPr>
          <w:rFonts w:cs="Arial"/>
        </w:rPr>
      </w:pPr>
      <w:r>
        <w:rPr>
          <w:rFonts w:cs="Arial"/>
        </w:rPr>
        <w:t>a.</w:t>
      </w:r>
      <w:r>
        <w:rPr>
          <w:rFonts w:cs="Arial"/>
        </w:rPr>
        <w:tab/>
        <w:t xml:space="preserve">worden de daarna te nemen monsters geanalyseerd op de stoffen, genoemd in NEN 5740, en </w:t>
      </w:r>
    </w:p>
    <w:p w:rsidR="005468BF" w:rsidRDefault="005468BF" w:rsidP="005468BF">
      <w:pPr>
        <w:pStyle w:val="art2enivo"/>
        <w:shd w:val="clear" w:color="auto" w:fill="D9D9D9" w:themeFill="background1" w:themeFillShade="D9"/>
        <w:suppressAutoHyphens/>
        <w:rPr>
          <w:rFonts w:cs="Arial"/>
        </w:rPr>
      </w:pPr>
      <w:r>
        <w:rPr>
          <w:rFonts w:cs="Arial"/>
        </w:rPr>
        <w:t>b.</w:t>
      </w:r>
      <w:r>
        <w:rPr>
          <w:rFonts w:cs="Arial"/>
        </w:rPr>
        <w:tab/>
        <w:t>wordt in overleg met en met instemming van het bevoegd gezag een herstelplan opgesteld.</w:t>
      </w:r>
    </w:p>
    <w:p w:rsidR="005468BF" w:rsidRDefault="005468BF" w:rsidP="005468BF">
      <w:pPr>
        <w:pStyle w:val="art1enivo"/>
        <w:shd w:val="clear" w:color="auto" w:fill="D9D9D9" w:themeFill="background1" w:themeFillShade="D9"/>
        <w:suppressAutoHyphens/>
        <w:rPr>
          <w:rFonts w:cs="Arial"/>
        </w:rPr>
      </w:pPr>
      <w:r>
        <w:rPr>
          <w:rFonts w:cs="Arial"/>
        </w:rPr>
        <w:t>8.</w:t>
      </w:r>
      <w:r>
        <w:rPr>
          <w:rFonts w:cs="Arial"/>
        </w:rPr>
        <w:tab/>
        <w:t>Het plaatsen van de peilbuizen, de analyses van de grondwatermonsters en het opstellen van de rapporten, bedoeld in het eerste tot en met zevende lid, en in artikel 3.4e, worden uitgevoerd door een persoon of een instelling die daartoe beschikt over een erkenning op grond van het Besluit bodemkwaliteit.</w:t>
      </w:r>
    </w:p>
    <w:p w:rsidR="005468BF" w:rsidRDefault="005468BF" w:rsidP="005468BF">
      <w:pPr>
        <w:pStyle w:val="artikelkop"/>
        <w:shd w:val="clear" w:color="auto" w:fill="D9D9D9" w:themeFill="background1" w:themeFillShade="D9"/>
      </w:pPr>
      <w:r>
        <w:t>Artikel 3.4g</w:t>
      </w:r>
    </w:p>
    <w:p w:rsidR="005468BF" w:rsidRDefault="005468BF" w:rsidP="005468BF">
      <w:pPr>
        <w:pStyle w:val="art1enivo"/>
        <w:shd w:val="clear" w:color="auto" w:fill="D9D9D9" w:themeFill="background1" w:themeFillShade="D9"/>
        <w:suppressAutoHyphens/>
        <w:rPr>
          <w:rFonts w:cs="Arial"/>
        </w:rPr>
      </w:pPr>
      <w:r>
        <w:rPr>
          <w:rFonts w:cs="Arial"/>
        </w:rPr>
        <w:t>1.</w:t>
      </w:r>
      <w:r>
        <w:rPr>
          <w:rFonts w:cs="Arial"/>
        </w:rPr>
        <w:tab/>
        <w:t>Indien de controle op de lekdichtheid, bedoeld in artikel 3.4d, uitsluitend plaatsvindt via een grondwatermonitoringssysteem, worden ten minste één keer per 15 jaar de dilatatievoegen en onderlinge overgangen van bassins, tanks en leidingen visueel geïnspecteerd overeenkomstig AS 6700.</w:t>
      </w:r>
    </w:p>
    <w:p w:rsidR="005468BF" w:rsidRDefault="005468BF" w:rsidP="005468BF">
      <w:pPr>
        <w:pStyle w:val="art1enivo"/>
        <w:shd w:val="clear" w:color="auto" w:fill="D9D9D9" w:themeFill="background1" w:themeFillShade="D9"/>
        <w:suppressAutoHyphens/>
        <w:rPr>
          <w:rFonts w:cs="Arial"/>
        </w:rPr>
      </w:pPr>
      <w:r>
        <w:rPr>
          <w:rFonts w:cs="Arial"/>
        </w:rPr>
        <w:t>2.</w:t>
      </w:r>
      <w:r>
        <w:rPr>
          <w:rFonts w:cs="Arial"/>
        </w:rPr>
        <w:tab/>
        <w:t>De bevindingen worden vastgelegd in een logboek, dat in de inrichting aanwezig is of binnen een termijn die wordt gesteld door het bevoegd gezag voor deze beschikbaar.</w:t>
      </w:r>
    </w:p>
    <w:p w:rsidR="005468BF" w:rsidRDefault="005468BF" w:rsidP="005468BF">
      <w:pPr>
        <w:pStyle w:val="artikelkop"/>
        <w:shd w:val="clear" w:color="auto" w:fill="D9D9D9" w:themeFill="background1" w:themeFillShade="D9"/>
      </w:pPr>
      <w:r>
        <w:t>Artikel 3.4ga</w:t>
      </w:r>
    </w:p>
    <w:p w:rsidR="005468BF" w:rsidRDefault="005468BF" w:rsidP="005468BF">
      <w:pPr>
        <w:pStyle w:val="artplat"/>
        <w:shd w:val="clear" w:color="auto" w:fill="D9D9D9" w:themeFill="background1" w:themeFillShade="D9"/>
      </w:pPr>
      <w:r>
        <w:t>Het bemonsteren van stedelijk afvalwater, het analyseren van de monsters en het beoordelen van de resultaten daarvan, bedoeld in artikel 3.5g, eerste lid, van het besluit vindt plaats overeenkomstig de artikelen 3.4gb en 3.4gc.</w:t>
      </w:r>
    </w:p>
    <w:p w:rsidR="005468BF" w:rsidRDefault="005468BF" w:rsidP="005468BF">
      <w:pPr>
        <w:pStyle w:val="artikelkop"/>
        <w:shd w:val="clear" w:color="auto" w:fill="D9D9D9" w:themeFill="background1" w:themeFillShade="D9"/>
      </w:pPr>
      <w:r>
        <w:t>Artikel 3.4gb</w:t>
      </w:r>
    </w:p>
    <w:p w:rsidR="005468BF" w:rsidRDefault="005468BF" w:rsidP="005468BF">
      <w:pPr>
        <w:pStyle w:val="art1enivo"/>
        <w:shd w:val="clear" w:color="auto" w:fill="D9D9D9" w:themeFill="background1" w:themeFillShade="D9"/>
      </w:pPr>
      <w:r>
        <w:t>1.</w:t>
      </w:r>
      <w:r>
        <w:tab/>
        <w:t>Voor de toepassing van dit artikel wordt onder ‘het te zuiveren stedelijk afvalwater’ verstaan: het aangevoerde stedelijk afvalwater voor eventuele vermenging met een of meer deelstromen die bij het zuiveringsproces vrijkomen en die op het zuiveringtechnisch werk worden teruggevoerd.</w:t>
      </w:r>
    </w:p>
    <w:p w:rsidR="005468BF" w:rsidRDefault="005468BF" w:rsidP="005468BF">
      <w:pPr>
        <w:pStyle w:val="art1enivo"/>
        <w:shd w:val="clear" w:color="auto" w:fill="D9D9D9" w:themeFill="background1" w:themeFillShade="D9"/>
      </w:pPr>
      <w:r>
        <w:t>2.</w:t>
      </w:r>
      <w:r>
        <w:tab/>
        <w:t>De plaats van bemonstering wordt daar gekozen waar een zo representatief mogelijk beeld van de concentraties van de te bepalen parameters in het te zuiveren stedelijk afvalwater of in het na zuivering te lozen stedelijk afvalwater kan worden verkregen.</w:t>
      </w:r>
    </w:p>
    <w:p w:rsidR="005468BF" w:rsidRDefault="005468BF" w:rsidP="005468BF">
      <w:pPr>
        <w:pStyle w:val="art1enivo"/>
        <w:shd w:val="clear" w:color="auto" w:fill="D9D9D9" w:themeFill="background1" w:themeFillShade="D9"/>
      </w:pPr>
      <w:r>
        <w:t>3.</w:t>
      </w:r>
      <w:r>
        <w:tab/>
        <w:t>Het te zuiveren stedelijk afvalwater wordt volumeproportioneel over een etmaal bemonsterd.</w:t>
      </w:r>
    </w:p>
    <w:p w:rsidR="005468BF" w:rsidRDefault="005468BF" w:rsidP="005468BF">
      <w:pPr>
        <w:pStyle w:val="art1enivo"/>
        <w:shd w:val="clear" w:color="auto" w:fill="D9D9D9" w:themeFill="background1" w:themeFillShade="D9"/>
      </w:pPr>
      <w:r>
        <w:t>4.</w:t>
      </w:r>
      <w:r>
        <w:tab/>
        <w:t>Het na zuivering te lozen stedelijk afvalwater wordt, ingeval van een zuiveringtechnisch werk met een ontwerpcapaciteit van:</w:t>
      </w:r>
    </w:p>
    <w:p w:rsidR="005468BF" w:rsidRDefault="005468BF" w:rsidP="005468BF">
      <w:pPr>
        <w:pStyle w:val="art2enivo"/>
        <w:shd w:val="clear" w:color="auto" w:fill="D9D9D9" w:themeFill="background1" w:themeFillShade="D9"/>
      </w:pPr>
      <w:r>
        <w:t>a.</w:t>
      </w:r>
      <w:r>
        <w:tab/>
        <w:t>meer dan 100.000 inwonerequivalenten: volumeproportioneel over een etmaal bemonsterd, of</w:t>
      </w:r>
    </w:p>
    <w:p w:rsidR="005468BF" w:rsidRDefault="005468BF" w:rsidP="005468BF">
      <w:pPr>
        <w:pStyle w:val="art2enivo"/>
        <w:shd w:val="clear" w:color="auto" w:fill="D9D9D9" w:themeFill="background1" w:themeFillShade="D9"/>
      </w:pPr>
      <w:r>
        <w:t>b.</w:t>
      </w:r>
      <w:r>
        <w:tab/>
        <w:t xml:space="preserve">ten hoogste 100.000 inwonerequivalenten: volumeproportioneel dan wel tijdproportioneel over een etmaal bemonsterd. </w:t>
      </w:r>
    </w:p>
    <w:p w:rsidR="005468BF" w:rsidRDefault="005468BF" w:rsidP="005468BF">
      <w:pPr>
        <w:pStyle w:val="art1enivo"/>
        <w:shd w:val="clear" w:color="auto" w:fill="D9D9D9" w:themeFill="background1" w:themeFillShade="D9"/>
      </w:pPr>
      <w:r>
        <w:t>5.</w:t>
      </w:r>
      <w:r>
        <w:tab/>
        <w:t xml:space="preserve">De na zuivering geloosde hoeveelheid stedelijk afvalwater wordt dagelijks bepaald. </w:t>
      </w:r>
    </w:p>
    <w:p w:rsidR="005468BF" w:rsidRDefault="005468BF" w:rsidP="005468BF">
      <w:pPr>
        <w:pStyle w:val="art1enivo"/>
        <w:shd w:val="clear" w:color="auto" w:fill="D9D9D9" w:themeFill="background1" w:themeFillShade="D9"/>
      </w:pPr>
      <w:r>
        <w:t>6.</w:t>
      </w:r>
      <w:r>
        <w:tab/>
        <w:t>Het minimum aantal te nemen monsters per jaar is afhankelijk van de ontwerpcapaciteit in inwonerequivalenten van het zuiveringtechnisch werk en wordt met gelijkmatige tussenpozen verdeeld over het jaar genomen conform:</w:t>
      </w:r>
    </w:p>
    <w:p w:rsidR="005468BF" w:rsidRDefault="005468BF" w:rsidP="005468BF">
      <w:pPr>
        <w:pStyle w:val="art2enivo"/>
        <w:shd w:val="clear" w:color="auto" w:fill="D9D9D9" w:themeFill="background1" w:themeFillShade="D9"/>
      </w:pPr>
      <w:r>
        <w:t>a.</w:t>
      </w:r>
      <w:r>
        <w:tab/>
        <w:t>tabel 3.4.gb1, met betrekking tot de vaststelling van de per zuiveringtechnisch werk te zuiveren en na zuivering geloosde hoeveelheid totaal stikstof en totaal fosfor;</w:t>
      </w:r>
    </w:p>
    <w:p w:rsidR="005468BF" w:rsidRDefault="005468BF" w:rsidP="005468BF">
      <w:pPr>
        <w:pStyle w:val="art2enivo"/>
        <w:shd w:val="clear" w:color="auto" w:fill="D9D9D9" w:themeFill="background1" w:themeFillShade="D9"/>
      </w:pPr>
      <w:r>
        <w:t>b.</w:t>
      </w:r>
      <w:r>
        <w:tab/>
        <w:t xml:space="preserve">tabel 3.4gb2, met betrekking tot de vaststelling per zuiveringtechnisch werk van het na zuivering geloosde biochemisch zuurstofverbruik gedurende vijf dagen, het chemisch zuurstofverbruik en de geloosde hoeveelheid onopgeloste stoffen. </w:t>
      </w:r>
    </w:p>
    <w:p w:rsidR="005468BF" w:rsidRDefault="005468BF" w:rsidP="005468BF">
      <w:pPr>
        <w:pStyle w:val="tabelkop"/>
        <w:shd w:val="clear" w:color="auto" w:fill="D9D9D9" w:themeFill="background1" w:themeFillShade="D9"/>
        <w:rPr>
          <w:rFonts w:cs="Arial"/>
        </w:rPr>
      </w:pPr>
      <w:r>
        <w:rPr>
          <w:rFonts w:cs="Arial"/>
        </w:rPr>
        <w:t>Tabel 3.4gb1</w:t>
      </w:r>
    </w:p>
    <w:tbl>
      <w:tblPr>
        <w:tblStyle w:val="Tabelraster"/>
        <w:tblW w:w="8930" w:type="dxa"/>
        <w:tblInd w:w="376" w:type="dxa"/>
        <w:tblLook w:val="04A0" w:firstRow="1" w:lastRow="0" w:firstColumn="1" w:lastColumn="0" w:noHBand="0" w:noVBand="1"/>
      </w:tblPr>
      <w:tblGrid>
        <w:gridCol w:w="5103"/>
        <w:gridCol w:w="3827"/>
      </w:tblGrid>
      <w:tr w:rsidR="005468BF" w:rsidTr="004178A7">
        <w:trPr>
          <w:cnfStyle w:val="100000000000" w:firstRow="1" w:lastRow="0" w:firstColumn="0" w:lastColumn="0" w:oddVBand="0" w:evenVBand="0" w:oddHBand="0" w:evenHBand="0" w:firstRowFirstColumn="0" w:firstRowLastColumn="0" w:lastRowFirstColumn="0" w:lastRowLastColumn="0"/>
          <w:trHeight w:val="231"/>
        </w:trPr>
        <w:tc>
          <w:tcPr>
            <w:tcW w:w="51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b w:val="0"/>
                <w:szCs w:val="18"/>
              </w:rPr>
              <w:t>Ontwerpcapaciteit in inwonerequivalenten</w:t>
            </w:r>
          </w:p>
        </w:tc>
        <w:tc>
          <w:tcPr>
            <w:tcW w:w="38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b w:val="0"/>
                <w:szCs w:val="18"/>
              </w:rPr>
              <w:t>Aantal te nemen monsters</w:t>
            </w:r>
          </w:p>
        </w:tc>
      </w:tr>
      <w:tr w:rsidR="005468BF" w:rsidTr="004178A7">
        <w:trPr>
          <w:trHeight w:val="231"/>
        </w:trPr>
        <w:tc>
          <w:tcPr>
            <w:tcW w:w="51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- 2.000 tot 5.000 inwonerequivalenten:</w:t>
            </w:r>
          </w:p>
        </w:tc>
        <w:tc>
          <w:tcPr>
            <w:tcW w:w="38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i/>
                <w:iCs/>
                <w:szCs w:val="18"/>
              </w:rPr>
            </w:pPr>
            <w:r>
              <w:rPr>
                <w:rFonts w:cs="Arial"/>
                <w:szCs w:val="18"/>
              </w:rPr>
              <w:t>minimaal 12 per jaar</w:t>
            </w:r>
          </w:p>
        </w:tc>
      </w:tr>
      <w:tr w:rsidR="005468BF" w:rsidTr="004178A7">
        <w:trPr>
          <w:trHeight w:val="231"/>
        </w:trPr>
        <w:tc>
          <w:tcPr>
            <w:tcW w:w="51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i/>
                <w:iCs/>
                <w:szCs w:val="18"/>
              </w:rPr>
            </w:pPr>
            <w:r>
              <w:rPr>
                <w:rFonts w:cs="Arial"/>
                <w:szCs w:val="18"/>
              </w:rPr>
              <w:t>- 5.000 tot 50.000 inwonerequivalenten:</w:t>
            </w:r>
          </w:p>
        </w:tc>
        <w:tc>
          <w:tcPr>
            <w:tcW w:w="38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i/>
                <w:iCs/>
                <w:szCs w:val="18"/>
              </w:rPr>
            </w:pPr>
            <w:r>
              <w:rPr>
                <w:rFonts w:cs="Arial"/>
                <w:szCs w:val="18"/>
              </w:rPr>
              <w:t>minimaal 24 per jaar</w:t>
            </w:r>
          </w:p>
        </w:tc>
      </w:tr>
      <w:tr w:rsidR="005468BF" w:rsidTr="004178A7">
        <w:trPr>
          <w:trHeight w:val="231"/>
        </w:trPr>
        <w:tc>
          <w:tcPr>
            <w:tcW w:w="51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i/>
                <w:iCs/>
                <w:szCs w:val="18"/>
              </w:rPr>
            </w:pPr>
            <w:r>
              <w:rPr>
                <w:rFonts w:cs="Arial"/>
                <w:szCs w:val="18"/>
              </w:rPr>
              <w:t>- 50.000 tot en met 100.000 inwonerequivalenten:</w:t>
            </w:r>
          </w:p>
        </w:tc>
        <w:tc>
          <w:tcPr>
            <w:tcW w:w="38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i/>
                <w:iCs/>
                <w:szCs w:val="18"/>
              </w:rPr>
            </w:pPr>
            <w:r>
              <w:rPr>
                <w:rFonts w:cs="Arial"/>
                <w:szCs w:val="18"/>
              </w:rPr>
              <w:t>minimaal 48 per jaar</w:t>
            </w:r>
          </w:p>
        </w:tc>
      </w:tr>
      <w:tr w:rsidR="005468BF" w:rsidTr="004178A7">
        <w:trPr>
          <w:trHeight w:val="231"/>
        </w:trPr>
        <w:tc>
          <w:tcPr>
            <w:tcW w:w="51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i/>
                <w:iCs/>
                <w:szCs w:val="18"/>
              </w:rPr>
            </w:pPr>
            <w:r>
              <w:rPr>
                <w:rFonts w:cs="Arial"/>
                <w:szCs w:val="18"/>
              </w:rPr>
              <w:t>- meer dan 100.000 inwonerequivalenten:</w:t>
            </w:r>
          </w:p>
        </w:tc>
        <w:tc>
          <w:tcPr>
            <w:tcW w:w="38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i/>
                <w:iCs/>
                <w:szCs w:val="18"/>
              </w:rPr>
            </w:pPr>
            <w:r>
              <w:rPr>
                <w:rFonts w:cs="Arial"/>
                <w:szCs w:val="18"/>
              </w:rPr>
              <w:t>minimaal 60 per jaar</w:t>
            </w:r>
          </w:p>
        </w:tc>
      </w:tr>
    </w:tbl>
    <w:p w:rsidR="005468BF" w:rsidRDefault="005468BF" w:rsidP="005468BF">
      <w:pPr>
        <w:pStyle w:val="tabelkop"/>
        <w:shd w:val="clear" w:color="auto" w:fill="D9D9D9" w:themeFill="background1" w:themeFillShade="D9"/>
        <w:rPr>
          <w:rFonts w:cs="Arial"/>
        </w:rPr>
      </w:pPr>
      <w:r>
        <w:rPr>
          <w:rFonts w:cs="Arial"/>
        </w:rPr>
        <w:t>Tabel 3.4gb2</w:t>
      </w:r>
    </w:p>
    <w:tbl>
      <w:tblPr>
        <w:tblStyle w:val="Tabelraster"/>
        <w:tblW w:w="8930" w:type="dxa"/>
        <w:tblInd w:w="376" w:type="dxa"/>
        <w:tblLook w:val="04A0" w:firstRow="1" w:lastRow="0" w:firstColumn="1" w:lastColumn="0" w:noHBand="0" w:noVBand="1"/>
      </w:tblPr>
      <w:tblGrid>
        <w:gridCol w:w="4677"/>
        <w:gridCol w:w="4253"/>
      </w:tblGrid>
      <w:tr w:rsidR="005468BF" w:rsidTr="004178A7">
        <w:trPr>
          <w:cnfStyle w:val="100000000000" w:firstRow="1" w:lastRow="0" w:firstColumn="0" w:lastColumn="0" w:oddVBand="0" w:evenVBand="0" w:oddHBand="0" w:evenHBand="0" w:firstRowFirstColumn="0" w:firstRowLastColumn="0" w:lastRowFirstColumn="0" w:lastRowLastColumn="0"/>
          <w:trHeight w:val="384"/>
        </w:trPr>
        <w:tc>
          <w:tcPr>
            <w:tcW w:w="46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b w:val="0"/>
                <w:szCs w:val="18"/>
              </w:rPr>
              <w:t>Ontwerpcapaciteit in inwonerequivalenten</w:t>
            </w:r>
          </w:p>
        </w:tc>
        <w:tc>
          <w:tcPr>
            <w:tcW w:w="4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b w:val="0"/>
                <w:szCs w:val="18"/>
              </w:rPr>
              <w:t>Aantal te nemen monsters</w:t>
            </w:r>
          </w:p>
        </w:tc>
      </w:tr>
      <w:tr w:rsidR="005468BF" w:rsidTr="004178A7">
        <w:tc>
          <w:tcPr>
            <w:tcW w:w="46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 minder dan 10.000 inwonerequivalenten:</w:t>
            </w:r>
          </w:p>
        </w:tc>
        <w:tc>
          <w:tcPr>
            <w:tcW w:w="4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 xml:space="preserve">minimaal 12 per jaar in het eerste jaar. </w:t>
            </w:r>
          </w:p>
          <w:p w:rsidR="005468BF" w:rsidRDefault="005468BF" w:rsidP="005468BF">
            <w:pPr>
              <w:pStyle w:val="Geenafstand"/>
              <w:shd w:val="clear" w:color="auto" w:fill="D9D9D9" w:themeFill="background1" w:themeFillShade="D9"/>
              <w:spacing w:line="240" w:lineRule="exact"/>
              <w:rPr>
                <w:rFonts w:cs="Arial"/>
                <w:szCs w:val="18"/>
              </w:rPr>
            </w:pPr>
          </w:p>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na het eerste jaar:</w:t>
            </w:r>
          </w:p>
          <w:p w:rsidR="005468BF" w:rsidRDefault="005468BF" w:rsidP="005468BF">
            <w:pPr>
              <w:pStyle w:val="art1enivo"/>
              <w:shd w:val="clear" w:color="auto" w:fill="D9D9D9" w:themeFill="background1" w:themeFillShade="D9"/>
              <w:rPr>
                <w:rFonts w:cs="Arial"/>
              </w:rPr>
            </w:pPr>
            <w:r>
              <w:rPr>
                <w:rFonts w:cs="Arial"/>
              </w:rPr>
              <w:t>-</w:t>
            </w:r>
            <w:r>
              <w:rPr>
                <w:rFonts w:cs="Arial"/>
              </w:rPr>
              <w:tab/>
              <w:t>indien een monster aan de grenswaarden, bedoeld in artikel 3.5e, vierde lid, van het besluit voldoet: 4 per jaar</w:t>
            </w:r>
          </w:p>
          <w:p w:rsidR="005468BF" w:rsidRDefault="005468BF" w:rsidP="005468BF">
            <w:pPr>
              <w:pStyle w:val="art1enivo"/>
              <w:shd w:val="clear" w:color="auto" w:fill="D9D9D9" w:themeFill="background1" w:themeFillShade="D9"/>
              <w:rPr>
                <w:rFonts w:cs="Arial"/>
              </w:rPr>
            </w:pPr>
            <w:r>
              <w:rPr>
                <w:rFonts w:cs="Arial"/>
              </w:rPr>
              <w:t>-</w:t>
            </w:r>
            <w:r>
              <w:rPr>
                <w:rFonts w:cs="Arial"/>
              </w:rPr>
              <w:tab/>
              <w:t>indien een monster niet aan de grenswaarden, bedoeld in artikel 3.5e, vierde lid, van het besluit voldoet: 12 per jaar in het daarop volgende jaar</w:t>
            </w:r>
          </w:p>
        </w:tc>
      </w:tr>
      <w:tr w:rsidR="005468BF" w:rsidTr="004178A7">
        <w:tc>
          <w:tcPr>
            <w:tcW w:w="46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- 10.000 tot 50.000 inwonerequivalenten:</w:t>
            </w:r>
          </w:p>
        </w:tc>
        <w:tc>
          <w:tcPr>
            <w:tcW w:w="4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minimaal 12 per jaar</w:t>
            </w:r>
          </w:p>
        </w:tc>
      </w:tr>
      <w:tr w:rsidR="005468BF" w:rsidTr="004178A7">
        <w:tc>
          <w:tcPr>
            <w:tcW w:w="46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- 50.000 inwonerequivalenten of meer:</w:t>
            </w:r>
          </w:p>
        </w:tc>
        <w:tc>
          <w:tcPr>
            <w:tcW w:w="4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minimaal 24 per jaar</w:t>
            </w:r>
          </w:p>
        </w:tc>
      </w:tr>
    </w:tbl>
    <w:p w:rsidR="005468BF" w:rsidRDefault="005468BF" w:rsidP="005468BF">
      <w:pPr>
        <w:pStyle w:val="art1enivo"/>
        <w:shd w:val="clear" w:color="auto" w:fill="D9D9D9" w:themeFill="background1" w:themeFillShade="D9"/>
      </w:pPr>
    </w:p>
    <w:p w:rsidR="005468BF" w:rsidRDefault="005468BF" w:rsidP="005468BF">
      <w:pPr>
        <w:pStyle w:val="art1enivo"/>
        <w:shd w:val="clear" w:color="auto" w:fill="D9D9D9" w:themeFill="background1" w:themeFillShade="D9"/>
      </w:pPr>
      <w:r>
        <w:t>7.</w:t>
      </w:r>
      <w:r>
        <w:tab/>
        <w:t>Indien op grond van metingen aangetoond kan worden dat in het te zuiveren stedelijk afvalwater het gehalte aan nitriet- en nitraatstikstof voortdurend minder dan 1% is ten opzichte van het gehalte aan Kjeldahlstikstof, kan worden volstaan met de meting van het gehalte aan Kjeldahlstikstof in dat water.</w:t>
      </w:r>
    </w:p>
    <w:p w:rsidR="005468BF" w:rsidRDefault="005468BF" w:rsidP="005468BF">
      <w:pPr>
        <w:pStyle w:val="art1enivo"/>
        <w:shd w:val="clear" w:color="auto" w:fill="D9D9D9" w:themeFill="background1" w:themeFillShade="D9"/>
      </w:pPr>
      <w:r>
        <w:t>8.</w:t>
      </w:r>
      <w:r>
        <w:tab/>
        <w:t>De etmaalmonsters worden individueel geanalyseerd.</w:t>
      </w:r>
    </w:p>
    <w:p w:rsidR="005468BF" w:rsidRDefault="005468BF" w:rsidP="005468BF">
      <w:pPr>
        <w:pStyle w:val="artikelkop"/>
        <w:shd w:val="clear" w:color="auto" w:fill="D9D9D9" w:themeFill="background1" w:themeFillShade="D9"/>
      </w:pPr>
      <w:r>
        <w:t xml:space="preserve">Artikel 3.4gc </w:t>
      </w:r>
    </w:p>
    <w:p w:rsidR="005468BF" w:rsidRDefault="005468BF" w:rsidP="005468BF">
      <w:pPr>
        <w:pStyle w:val="art1enivo"/>
        <w:shd w:val="clear" w:color="auto" w:fill="D9D9D9" w:themeFill="background1" w:themeFillShade="D9"/>
      </w:pPr>
      <w:r>
        <w:t>1.</w:t>
      </w:r>
      <w:r>
        <w:tab/>
        <w:t>Het na zuivering te lozen stedelijk afvalwater voldoet aan de eisen, bedoeld in artikel 3.5e, vijfde lid, van het besluit, indien voor iedere parameter afzonderlijk uit monsters van dat afvalwater blijkt dat het op de volgende wijze voldoet aan de grenswaarde voor de betreffende parameter:</w:t>
      </w:r>
    </w:p>
    <w:p w:rsidR="005468BF" w:rsidRDefault="005468BF" w:rsidP="005468BF">
      <w:pPr>
        <w:pStyle w:val="art2enivo"/>
        <w:shd w:val="clear" w:color="auto" w:fill="D9D9D9" w:themeFill="background1" w:themeFillShade="D9"/>
      </w:pPr>
      <w:r>
        <w:t>a.</w:t>
      </w:r>
      <w:r>
        <w:tab/>
        <w:t>voor de parameters biochemisch zuurstofverbruik, chemisch zuurstofverbruik en onopgeloste stoffen is het aantal monsters dat de grenswaarde van de betrokken parameter, genoemd in artikel 3.5e, vierde lid, van het besluit overschrijdt, niet hoger dan het in tabel 3.4gc opgenomen maximaal toegestaan aantal monsters.</w:t>
      </w:r>
    </w:p>
    <w:p w:rsidR="005468BF" w:rsidRDefault="005468BF" w:rsidP="005468BF">
      <w:pPr>
        <w:pStyle w:val="tabelkop"/>
        <w:shd w:val="clear" w:color="auto" w:fill="D9D9D9" w:themeFill="background1" w:themeFillShade="D9"/>
      </w:pPr>
      <w:r>
        <w:t>Tabel 3.4gc Maximaal toegestaan aantal monsters dat niet voldoet</w:t>
      </w:r>
    </w:p>
    <w:tbl>
      <w:tblPr>
        <w:tblStyle w:val="Tabelraster"/>
        <w:tblW w:w="0" w:type="auto"/>
        <w:tblInd w:w="483" w:type="dxa"/>
        <w:tblLook w:val="04A0" w:firstRow="1" w:lastRow="0" w:firstColumn="1" w:lastColumn="0" w:noHBand="0" w:noVBand="1"/>
      </w:tblPr>
      <w:tblGrid>
        <w:gridCol w:w="2696"/>
        <w:gridCol w:w="3506"/>
      </w:tblGrid>
      <w:tr w:rsidR="005468BF" w:rsidTr="004178A7">
        <w:trPr>
          <w:cnfStyle w:val="100000000000" w:firstRow="1" w:lastRow="0" w:firstColumn="0" w:lastColumn="0" w:oddVBand="0" w:evenVBand="0" w:oddHBand="0" w:evenHBand="0" w:firstRowFirstColumn="0" w:firstRowLastColumn="0" w:lastRowFirstColumn="0" w:lastRowLastColumn="0"/>
        </w:trPr>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bCs/>
                <w:szCs w:val="18"/>
              </w:rPr>
            </w:pPr>
            <w:r>
              <w:rPr>
                <w:rFonts w:cs="Arial"/>
                <w:b w:val="0"/>
                <w:bCs/>
                <w:szCs w:val="18"/>
              </w:rPr>
              <w:t>Aantal gedurende een jaar genomen monsters</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bCs/>
                <w:szCs w:val="18"/>
              </w:rPr>
            </w:pPr>
            <w:r>
              <w:rPr>
                <w:rFonts w:cs="Arial"/>
                <w:b w:val="0"/>
                <w:bCs/>
                <w:szCs w:val="18"/>
              </w:rPr>
              <w:t>Maximaal toegestaan aantal monsters dat niet voldoet</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4–7</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8–16</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17-28</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3</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29-40</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4</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41-53</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5</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54-67</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6</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68-81</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7</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82-95</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8</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96-110</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9</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111-125</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10</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126-140</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11</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141-155</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12</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156-171</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13</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172-187</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14</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188-203</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15</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204-219</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16</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220-235</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17</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236-251</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18</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252-268</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19</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269-284</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20</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285-300</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21</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301-317</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22</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318-334</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23</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335-350</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24</w:t>
            </w:r>
          </w:p>
        </w:tc>
      </w:tr>
      <w:tr w:rsidR="005468BF" w:rsidTr="004178A7">
        <w:tc>
          <w:tcPr>
            <w:tcW w:w="2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351-365</w:t>
            </w:r>
          </w:p>
        </w:tc>
        <w:tc>
          <w:tcPr>
            <w:tcW w:w="3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468BF" w:rsidRDefault="005468BF" w:rsidP="005468BF">
            <w:pPr>
              <w:pStyle w:val="Geenafstand"/>
              <w:shd w:val="clear" w:color="auto" w:fill="D9D9D9" w:themeFill="background1" w:themeFillShade="D9"/>
              <w:spacing w:line="240" w:lineRule="exact"/>
              <w:rPr>
                <w:rFonts w:cs="Arial"/>
                <w:szCs w:val="18"/>
              </w:rPr>
            </w:pPr>
            <w:r>
              <w:rPr>
                <w:rFonts w:cs="Arial"/>
                <w:szCs w:val="18"/>
              </w:rPr>
              <w:t>25</w:t>
            </w:r>
          </w:p>
        </w:tc>
      </w:tr>
    </w:tbl>
    <w:p w:rsidR="005468BF" w:rsidRDefault="005468BF" w:rsidP="005468BF">
      <w:pPr>
        <w:pStyle w:val="Geenafstand"/>
        <w:shd w:val="clear" w:color="auto" w:fill="D9D9D9" w:themeFill="background1" w:themeFillShade="D9"/>
        <w:spacing w:line="240" w:lineRule="exact"/>
        <w:rPr>
          <w:rFonts w:ascii="Verdana" w:hAnsi="Verdana"/>
          <w:sz w:val="18"/>
          <w:szCs w:val="18"/>
        </w:rPr>
      </w:pPr>
    </w:p>
    <w:p w:rsidR="005468BF" w:rsidRDefault="005468BF" w:rsidP="005468BF">
      <w:pPr>
        <w:pStyle w:val="art2enivo"/>
        <w:shd w:val="clear" w:color="auto" w:fill="D9D9D9" w:themeFill="background1" w:themeFillShade="D9"/>
      </w:pPr>
      <w:r>
        <w:t>b.</w:t>
      </w:r>
      <w:r>
        <w:tab/>
        <w:t>het maximaal toegestaan aantal monsters dat niet voldoet, bedoeld in onderdeel a, bevat een overschrijding van de grenswaarden voor de parameters, genoemd in dat onderdeel, van ten hoogste:</w:t>
      </w:r>
    </w:p>
    <w:p w:rsidR="005468BF" w:rsidRDefault="005468BF" w:rsidP="005468BF">
      <w:pPr>
        <w:pStyle w:val="art3enivo"/>
        <w:shd w:val="clear" w:color="auto" w:fill="D9D9D9" w:themeFill="background1" w:themeFillShade="D9"/>
      </w:pPr>
      <w:r>
        <w:t xml:space="preserve">1°. 100 procent voor biochemisch zuurstofverbruik, </w:t>
      </w:r>
    </w:p>
    <w:p w:rsidR="005468BF" w:rsidRDefault="005468BF" w:rsidP="005468BF">
      <w:pPr>
        <w:pStyle w:val="art3enivo"/>
        <w:shd w:val="clear" w:color="auto" w:fill="D9D9D9" w:themeFill="background1" w:themeFillShade="D9"/>
      </w:pPr>
      <w:r>
        <w:t>2°. 100 procent voor chemisch zuurstofverbruik, of</w:t>
      </w:r>
    </w:p>
    <w:p w:rsidR="005468BF" w:rsidRDefault="005468BF" w:rsidP="005468BF">
      <w:pPr>
        <w:pStyle w:val="art3enivo"/>
        <w:shd w:val="clear" w:color="auto" w:fill="D9D9D9" w:themeFill="background1" w:themeFillShade="D9"/>
      </w:pPr>
      <w:r>
        <w:t>3°. 150 procent voor onopgeloste stoffen,</w:t>
      </w:r>
    </w:p>
    <w:p w:rsidR="005468BF" w:rsidRDefault="005468BF" w:rsidP="005468BF">
      <w:pPr>
        <w:pStyle w:val="art2enivo"/>
        <w:shd w:val="clear" w:color="auto" w:fill="D9D9D9" w:themeFill="background1" w:themeFillShade="D9"/>
      </w:pPr>
      <w:r>
        <w:t>2.</w:t>
      </w:r>
      <w:r>
        <w:tab/>
        <w:t>De grenswaarde voor totaal stikstof en totaal fosfor, bedoeld in artikel 3.5e, vierde lid, van het besluit, in het te lozen stedelijk afvalwater wordt uitgedrukt als de voortschrijdend jaargemiddelde concentratie totaal stikstof of totaal fosfor.</w:t>
      </w:r>
    </w:p>
    <w:p w:rsidR="005468BF" w:rsidRDefault="005468BF" w:rsidP="005468BF">
      <w:pPr>
        <w:pStyle w:val="artikelkop"/>
        <w:shd w:val="clear" w:color="auto" w:fill="D9D9D9" w:themeFill="background1" w:themeFillShade="D9"/>
      </w:pPr>
      <w:r>
        <w:t>Artikel 3.4gd</w:t>
      </w:r>
    </w:p>
    <w:p w:rsidR="005468BF" w:rsidRDefault="005468BF" w:rsidP="005468BF">
      <w:pPr>
        <w:pStyle w:val="art1enivo"/>
        <w:shd w:val="clear" w:color="auto" w:fill="D9D9D9" w:themeFill="background1" w:themeFillShade="D9"/>
      </w:pPr>
      <w:r>
        <w:t>1.</w:t>
      </w:r>
      <w:r>
        <w:tab/>
        <w:t>Het totale zuiveringsrendement van de zuiveringstechnische werken waarvoor het  openbaar lichaam of een andere rechtspersoon als bedoeld in artikel 3.5e, zevende lid, van het besluit met de zorg is belast, wordt berekend overeenkomstig bijlage 8.</w:t>
      </w:r>
    </w:p>
    <w:p w:rsidR="005468BF" w:rsidRDefault="005468BF" w:rsidP="005468BF">
      <w:pPr>
        <w:pStyle w:val="art1enivo"/>
        <w:shd w:val="clear" w:color="auto" w:fill="D9D9D9" w:themeFill="background1" w:themeFillShade="D9"/>
      </w:pPr>
      <w:r>
        <w:t>2.</w:t>
      </w:r>
      <w:r>
        <w:tab/>
        <w:t>Voor de meting van de hoeveelheid stedelijk afvalwater in kubieke meter wordt een methode gehanteerd waarvan de onnauwkeurigheid in de debietmeting kleiner is dan 5%. Dit wordt door ijking vastgesteld.</w:t>
      </w:r>
    </w:p>
    <w:p w:rsidR="005468BF" w:rsidRPr="005468BF" w:rsidRDefault="005468BF" w:rsidP="005468BF"/>
    <w:p w:rsidR="00296032" w:rsidRPr="00296032" w:rsidRDefault="00296032">
      <w:pPr>
        <w:pStyle w:val="paragraaf"/>
        <w:rPr>
          <w:rFonts w:cs="Arial"/>
        </w:rPr>
      </w:pPr>
      <w:bookmarkStart w:id="60" w:name="_Toc277243193"/>
      <w:bookmarkStart w:id="61" w:name="_Toc431375564"/>
      <w:r w:rsidRPr="00296032">
        <w:rPr>
          <w:rFonts w:cs="Arial"/>
        </w:rPr>
        <w:t>§ 3.1.5</w:t>
      </w:r>
      <w:r w:rsidRPr="00296032">
        <w:rPr>
          <w:rFonts w:cs="Arial"/>
        </w:rPr>
        <w:tab/>
        <w:t>Lozen van koelwater</w:t>
      </w:r>
      <w:bookmarkEnd w:id="60"/>
      <w:bookmarkEnd w:id="61"/>
    </w:p>
    <w:p w:rsidR="00296032" w:rsidRPr="00296032" w:rsidRDefault="00296032">
      <w:pPr>
        <w:pStyle w:val="artikelkop"/>
        <w:rPr>
          <w:rFonts w:cs="Arial"/>
        </w:rPr>
      </w:pPr>
      <w:r w:rsidRPr="00296032">
        <w:rPr>
          <w:rFonts w:cs="Arial"/>
        </w:rPr>
        <w:t>Artikel 3.6</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Deze paragraaf is van toepassing op het lozen van koelwater met een warmtevracht van 50.000 kilojoule of minder per seconde. Bij het lozen wordt ten minste voldaan aan het tweede tot en met het zevende lid.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lozen van koelwater waaraan geen chemicaliën zijn toegevoegd in een oppervlaktewaterlichaam of in een voorziening voor de inzameling en het transport van afvalwater niet zijnde een vuilwaterriool, is toegestaan indien de warmtevracht niet meer bedraagt dan:</w:t>
      </w:r>
    </w:p>
    <w:p w:rsidR="00296032" w:rsidRPr="00620047" w:rsidRDefault="00296032">
      <w:pPr>
        <w:pStyle w:val="art2enivo"/>
        <w:rPr>
          <w:rFonts w:cs="Arial"/>
        </w:rPr>
      </w:pPr>
      <w:r w:rsidRPr="00620047">
        <w:rPr>
          <w:rFonts w:cs="Arial"/>
        </w:rPr>
        <w:t>a.</w:t>
      </w:r>
      <w:r w:rsidRPr="00620047">
        <w:rPr>
          <w:rFonts w:cs="Arial"/>
        </w:rPr>
        <w:tab/>
        <w:t>1000 Kilojoule per seconde, indien het een aangewezen oppervlaktewaterlichaam betreft;</w:t>
      </w:r>
    </w:p>
    <w:p w:rsidR="00296032" w:rsidRPr="00620047" w:rsidRDefault="00296032">
      <w:pPr>
        <w:pStyle w:val="art2enivo"/>
        <w:rPr>
          <w:rFonts w:cs="Arial"/>
        </w:rPr>
      </w:pPr>
      <w:r w:rsidRPr="00620047">
        <w:rPr>
          <w:rFonts w:cs="Arial"/>
        </w:rPr>
        <w:t>b.</w:t>
      </w:r>
      <w:r w:rsidRPr="00620047">
        <w:rPr>
          <w:rFonts w:cs="Arial"/>
        </w:rPr>
        <w:tab/>
        <w:t>10 Kilojoule per seconde, indien het een niet aangewezen oppervlaktewaterlichaam betreft.</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De warmtevracht van een koelwaterlozing wordt berekend als het product van:</w:t>
      </w:r>
    </w:p>
    <w:p w:rsidR="00296032" w:rsidRPr="00620047" w:rsidRDefault="00296032">
      <w:pPr>
        <w:pStyle w:val="art2enivo"/>
        <w:rPr>
          <w:rFonts w:cs="Arial"/>
        </w:rPr>
      </w:pPr>
      <w:r w:rsidRPr="00620047">
        <w:rPr>
          <w:rFonts w:cs="Arial"/>
        </w:rPr>
        <w:t>a.</w:t>
      </w:r>
      <w:r w:rsidRPr="00620047">
        <w:rPr>
          <w:rFonts w:cs="Arial"/>
        </w:rPr>
        <w:tab/>
        <w:t>het lozingsdebiet van koelwater in kubieke meter per seconde;</w:t>
      </w:r>
    </w:p>
    <w:p w:rsidR="00296032" w:rsidRPr="00620047" w:rsidRDefault="00296032">
      <w:pPr>
        <w:pStyle w:val="art2enivo"/>
        <w:rPr>
          <w:rFonts w:cs="Arial"/>
        </w:rPr>
      </w:pPr>
      <w:r w:rsidRPr="00620047">
        <w:rPr>
          <w:rFonts w:cs="Arial"/>
        </w:rPr>
        <w:t>b.</w:t>
      </w:r>
      <w:r w:rsidRPr="00620047">
        <w:rPr>
          <w:rFonts w:cs="Arial"/>
        </w:rPr>
        <w:tab/>
        <w:t>het verschil tussen de lozingstemperatuur en de temperatuur van het ontvangende oppervlaktewaterlichaam in graden Celsius;</w:t>
      </w:r>
    </w:p>
    <w:p w:rsidR="00296032" w:rsidRPr="00620047" w:rsidRDefault="00296032">
      <w:pPr>
        <w:pStyle w:val="art2enivo"/>
        <w:rPr>
          <w:rFonts w:cs="Arial"/>
        </w:rPr>
      </w:pPr>
      <w:r w:rsidRPr="00620047">
        <w:rPr>
          <w:rFonts w:cs="Arial"/>
        </w:rPr>
        <w:t>c.</w:t>
      </w:r>
      <w:r w:rsidRPr="00620047">
        <w:rPr>
          <w:rFonts w:cs="Arial"/>
        </w:rPr>
        <w:tab/>
        <w:t>de warmtecapaciteit van het koelwater hetgeen gelijk is aan 4190 Kilojoule per kubieke meter per graad temperatuursverhoging.</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bevoegd gezag kan indien het belang van de bescherming van het milieu zich daartegen niet verzet, bij maatwerkvoorschrift het tweede lid niet van toepassing verklaren en het lozen van koelwater met een hogere warmtevracht dan bedoeld in het tweede lid of waaraan in beperkte mate chemicaliën zijn toegevoegd toestaan.</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Indien het lozen, bedoeld in het tweede lid, een temperatuurstijging zou veroorzaken die tot beperking van de warmtevracht noodzaakt, kan het bevoegd gezag bij maatwerkvoorschrift voor de warmtevracht lagere waarden vaststellen dan bedoeld in het tweede lid.</w:t>
      </w:r>
    </w:p>
    <w:p w:rsidR="00296032" w:rsidRPr="00620047" w:rsidRDefault="00296032">
      <w:pPr>
        <w:pStyle w:val="art1enivo"/>
        <w:rPr>
          <w:rFonts w:cs="Arial"/>
        </w:rPr>
      </w:pPr>
      <w:r w:rsidRPr="00620047">
        <w:rPr>
          <w:rFonts w:cs="Arial"/>
          <w:bCs/>
        </w:rPr>
        <w:t>6.</w:t>
      </w:r>
      <w:r w:rsidRPr="00620047">
        <w:rPr>
          <w:rFonts w:cs="Arial"/>
          <w:bCs/>
        </w:rPr>
        <w:tab/>
      </w:r>
      <w:r w:rsidRPr="00620047">
        <w:rPr>
          <w:rFonts w:cs="Arial"/>
        </w:rPr>
        <w:t>Het lozen van koelwater als bedoeld in het tweede lid vindt slechts dan in een vuilwaterriool plaats indien het lozen van dat koelwater in een oppervlaktewaterlichaam of in een voorziening voor de inzameling en het transport van afvalwater niet zijnde een vuilwaterriool redelijkerwijs niet mogelijk is.</w:t>
      </w:r>
    </w:p>
    <w:p w:rsidR="00296032" w:rsidRPr="00620047" w:rsidRDefault="00296032">
      <w:pPr>
        <w:pStyle w:val="art1enivo"/>
        <w:rPr>
          <w:rFonts w:cs="Arial"/>
        </w:rPr>
      </w:pPr>
      <w:r w:rsidRPr="00620047">
        <w:rPr>
          <w:rFonts w:cs="Arial"/>
          <w:bCs/>
        </w:rPr>
        <w:t>7.</w:t>
      </w:r>
      <w:r w:rsidRPr="00620047">
        <w:rPr>
          <w:rFonts w:cs="Arial"/>
          <w:bCs/>
        </w:rPr>
        <w:tab/>
      </w:r>
      <w:r w:rsidRPr="00620047">
        <w:rPr>
          <w:rFonts w:cs="Arial"/>
        </w:rPr>
        <w:t>De warmtevracht van een lozing van koelwater kan op een doelmatige wijze worden bepaald, dan wel door degene die de inrichting drijft aannemelijk worden gemaakt.</w:t>
      </w:r>
    </w:p>
    <w:p w:rsidR="00296032" w:rsidRPr="00296032" w:rsidRDefault="00296032">
      <w:pPr>
        <w:pStyle w:val="paragraaf"/>
        <w:rPr>
          <w:rFonts w:cs="Arial"/>
        </w:rPr>
      </w:pPr>
      <w:bookmarkStart w:id="62" w:name="_Toc431375565"/>
      <w:r w:rsidRPr="00296032">
        <w:rPr>
          <w:rFonts w:cs="Arial"/>
        </w:rPr>
        <w:t>§ 3.1.6 Lozen ten gevolge van werkzaamheden aan vaste objecten</w:t>
      </w:r>
      <w:bookmarkEnd w:id="62"/>
    </w:p>
    <w:p w:rsidR="00296032" w:rsidRPr="00296032" w:rsidRDefault="00296032">
      <w:pPr>
        <w:pStyle w:val="artikelkop"/>
      </w:pPr>
      <w:r w:rsidRPr="00296032">
        <w:t xml:space="preserve">Artikel 3.6.1 </w:t>
      </w:r>
    </w:p>
    <w:p w:rsidR="00296032" w:rsidRPr="00620047" w:rsidRDefault="00296032">
      <w:pPr>
        <w:pStyle w:val="artplat"/>
      </w:pPr>
      <w:r w:rsidRPr="00620047">
        <w:t>Deze paragraaf is van toepassing op het lozen ten gevolge van reinigingswerkzaamheden, conserveringswerkzaamheden, sloop-, en renovatiewerkzaamheden of andere onderhoudswerkzaamheden aan of nieuwbouw van vaste objecten.</w:t>
      </w:r>
    </w:p>
    <w:p w:rsidR="00296032" w:rsidRPr="00296032" w:rsidRDefault="00296032">
      <w:pPr>
        <w:pStyle w:val="artikelkop"/>
        <w:rPr>
          <w:rFonts w:cs="Arial"/>
          <w:bCs/>
        </w:rPr>
      </w:pPr>
      <w:r w:rsidRPr="00296032">
        <w:rPr>
          <w:rFonts w:cs="Arial"/>
          <w:bCs/>
        </w:rPr>
        <w:t>Artikel 3.6a</w:t>
      </w:r>
    </w:p>
    <w:p w:rsidR="00296032" w:rsidRPr="00620047" w:rsidRDefault="00296032">
      <w:pPr>
        <w:pStyle w:val="art1enivo"/>
        <w:rPr>
          <w:rFonts w:cs="Arial"/>
        </w:rPr>
      </w:pPr>
      <w:r w:rsidRPr="00620047">
        <w:rPr>
          <w:rFonts w:cs="Arial"/>
        </w:rPr>
        <w:t>1.</w:t>
      </w:r>
      <w:r w:rsidRPr="00620047">
        <w:rPr>
          <w:rFonts w:cs="Arial"/>
        </w:rPr>
        <w:tab/>
        <w:t>Bij het lozen ten gevolge van reinigingswerkzaamheden, conserveringswerkzaamheden of andere onderhoudswerkzaamheden aan vaste objecten wordt ten minste voldaan aan het tweede tot en met het vijfde lid.</w:t>
      </w:r>
    </w:p>
    <w:p w:rsidR="00296032" w:rsidRPr="00620047" w:rsidRDefault="00296032">
      <w:pPr>
        <w:pStyle w:val="art1enivo"/>
        <w:rPr>
          <w:rFonts w:cs="Arial"/>
        </w:rPr>
      </w:pPr>
      <w:r w:rsidRPr="00620047">
        <w:rPr>
          <w:rFonts w:cs="Arial"/>
        </w:rPr>
        <w:t>2.</w:t>
      </w:r>
      <w:r w:rsidRPr="00620047">
        <w:rPr>
          <w:rFonts w:cs="Arial"/>
        </w:rPr>
        <w:tab/>
        <w:t>Indien bij de werkzaamheden, bedoeld in het eerste lid, lozen in een oppervlaktewaterlichaam kan plaatsvinden, worden bij ministeriële regeling aangegeven maatregelen getroffen om het in dat oppervlaktewaterlichaam lozen van stoffen, die bij de werkzaamheden worden gebruikt dan wel van het vast object vrijkomen, te voorkomen dan wel, voor zover dat redelijkerwijs niet mogelijk is, zoveel mogelijk te beperken. Indien voorkomen redelijkerwijs niet mogelijk is, is na het treffen van maatregelen bedoeld in de eerste volzin lozen in een oppervlaktewaterlichaam toegestaan.</w:t>
      </w:r>
    </w:p>
    <w:p w:rsidR="00296032" w:rsidRPr="00620047" w:rsidRDefault="00296032">
      <w:pPr>
        <w:pStyle w:val="art1enivo"/>
        <w:rPr>
          <w:rFonts w:cs="Arial"/>
        </w:rPr>
      </w:pPr>
      <w:r w:rsidRPr="00620047">
        <w:rPr>
          <w:rFonts w:cs="Arial"/>
        </w:rPr>
        <w:t>3.</w:t>
      </w:r>
      <w:r w:rsidRPr="00620047">
        <w:rPr>
          <w:rFonts w:cs="Arial"/>
        </w:rPr>
        <w:tab/>
        <w:t>Het lozen in een vuilwaterriool is verboden, tenzij het lozen betreft als bedoeld in het vierde lid.</w:t>
      </w:r>
    </w:p>
    <w:p w:rsidR="00296032" w:rsidRPr="00620047" w:rsidRDefault="00296032">
      <w:pPr>
        <w:pStyle w:val="art1enivo"/>
        <w:rPr>
          <w:rFonts w:cs="Arial"/>
        </w:rPr>
      </w:pPr>
      <w:r w:rsidRPr="00620047">
        <w:rPr>
          <w:rFonts w:cs="Arial"/>
        </w:rPr>
        <w:t>4.</w:t>
      </w:r>
      <w:r w:rsidRPr="00620047">
        <w:rPr>
          <w:rFonts w:cs="Arial"/>
        </w:rPr>
        <w:tab/>
        <w:t>Bij reinigingswerkzaamheden, die periodiek worden uitgevoerd en waarbij uitsluitend vuilafzetting wordt verwijderd, is het lozen van reinigingswater in een voorziening voor de inzameling en het transport van afvalwater en op of in de bodem toegestaan.</w:t>
      </w:r>
    </w:p>
    <w:p w:rsidR="00296032" w:rsidRPr="00620047" w:rsidRDefault="00296032">
      <w:pPr>
        <w:pStyle w:val="art1enivo"/>
        <w:rPr>
          <w:rFonts w:cs="Arial"/>
        </w:rPr>
      </w:pPr>
      <w:r w:rsidRPr="00620047">
        <w:rPr>
          <w:rFonts w:cs="Arial"/>
        </w:rPr>
        <w:t>5.</w:t>
      </w:r>
      <w:r w:rsidRPr="00620047">
        <w:rPr>
          <w:rFonts w:cs="Arial"/>
        </w:rPr>
        <w:tab/>
        <w:t>Het bevoegd gezag kan bij maatwerkvoorschrift afwijken van het derde lid en het lozen ten gevolge van gevelreiniging en graffitiverwijdering in een vuilwaterriool toestaan, indien het belang van de bescherming van het milieu zich gelet op de samenstelling, hoeveelheid en eigenschappen van het afvalwater niet tegen het lozen in een vuilwaterriool verzet. Artikel 2.2, vierde lid, is van overeenkomstige toepassing.</w:t>
      </w:r>
    </w:p>
    <w:p w:rsidR="00296032" w:rsidRPr="00296032" w:rsidRDefault="00296032">
      <w:pPr>
        <w:pStyle w:val="artikelkop"/>
        <w:rPr>
          <w:rFonts w:cs="Arial"/>
          <w:bCs/>
        </w:rPr>
      </w:pPr>
      <w:r w:rsidRPr="00296032">
        <w:rPr>
          <w:rFonts w:cs="Arial"/>
          <w:bCs/>
        </w:rPr>
        <w:t>Artikel 3.6b</w:t>
      </w:r>
    </w:p>
    <w:p w:rsidR="00296032" w:rsidRPr="00620047" w:rsidRDefault="00296032">
      <w:pPr>
        <w:pStyle w:val="art1enivo"/>
        <w:rPr>
          <w:rFonts w:cs="Arial"/>
        </w:rPr>
      </w:pPr>
      <w:r w:rsidRPr="00620047">
        <w:rPr>
          <w:rFonts w:cs="Arial"/>
        </w:rPr>
        <w:t>1.</w:t>
      </w:r>
      <w:r w:rsidRPr="00620047">
        <w:rPr>
          <w:rFonts w:cs="Arial"/>
        </w:rPr>
        <w:tab/>
        <w:t xml:space="preserve">Bij het lozen in een oppervlaktewaterlichaam ten gevolge van </w:t>
      </w:r>
      <w:r w:rsidRPr="00620047">
        <w:t>sloop-, of renovatiewerkzaamheden aan of nieuwbouw van vaste objecten</w:t>
      </w:r>
      <w:r w:rsidRPr="00620047">
        <w:rPr>
          <w:rFonts w:cs="Arial"/>
        </w:rPr>
        <w:t xml:space="preserve"> wordt ten minste voldaan aan het tweede en derde lid.</w:t>
      </w:r>
    </w:p>
    <w:p w:rsidR="00296032" w:rsidRPr="00620047" w:rsidRDefault="00296032">
      <w:pPr>
        <w:pStyle w:val="art1enivo"/>
        <w:rPr>
          <w:rFonts w:cs="Arial"/>
        </w:rPr>
      </w:pPr>
      <w:r w:rsidRPr="00620047">
        <w:rPr>
          <w:rFonts w:cs="Arial"/>
        </w:rPr>
        <w:t>2.</w:t>
      </w:r>
      <w:r w:rsidRPr="00620047">
        <w:rPr>
          <w:rFonts w:cs="Arial"/>
        </w:rPr>
        <w:tab/>
        <w:t>Het lozen, dat gelet op de locatie van de in het eerste lid bedoelde werkzaamheden redelijkerwijs niet kan worden voorkomen, is toegestaan.</w:t>
      </w:r>
    </w:p>
    <w:p w:rsidR="00296032" w:rsidRDefault="00296032">
      <w:pPr>
        <w:pStyle w:val="art1enivo"/>
        <w:rPr>
          <w:rFonts w:cs="Arial"/>
        </w:rPr>
      </w:pPr>
      <w:r w:rsidRPr="00620047">
        <w:rPr>
          <w:rFonts w:cs="Arial"/>
        </w:rPr>
        <w:t>3.</w:t>
      </w:r>
      <w:r w:rsidRPr="00620047">
        <w:rPr>
          <w:rFonts w:cs="Arial"/>
        </w:rPr>
        <w:tab/>
        <w:t>Bij de werkzaamheden, bedoeld in het eerste lid, worden maatregelen getroffen om het lozen te voorkomen dan wel, voor zover dat niet mogelijk is, zoveel mogelijk te beperken. De maatregelen worden beschreven in een werkplan.</w:t>
      </w:r>
    </w:p>
    <w:p w:rsidR="001114BD" w:rsidRDefault="001114BD" w:rsidP="001114BD">
      <w:pPr>
        <w:pStyle w:val="paragraaf"/>
        <w:shd w:val="clear" w:color="auto" w:fill="D9D9D9" w:themeFill="background1" w:themeFillShade="D9"/>
      </w:pPr>
      <w:bookmarkStart w:id="63" w:name="_Toc431375566"/>
      <w:r>
        <w:t>§ 3.1.3.</w:t>
      </w:r>
      <w:r>
        <w:tab/>
        <w:t>Lozen ten gevolge van werkzaamheden aan vaste objecten in of nabij een oppervlaktewaterlichaam</w:t>
      </w:r>
      <w:bookmarkEnd w:id="63"/>
      <w:r>
        <w:t xml:space="preserve"> </w:t>
      </w:r>
    </w:p>
    <w:p w:rsidR="001114BD" w:rsidRDefault="001114BD" w:rsidP="001114BD">
      <w:pPr>
        <w:pStyle w:val="artikelkop"/>
        <w:shd w:val="clear" w:color="auto" w:fill="D9D9D9" w:themeFill="background1" w:themeFillShade="D9"/>
      </w:pPr>
      <w:r>
        <w:t>Artikel 3.4h</w:t>
      </w:r>
    </w:p>
    <w:p w:rsidR="001114BD" w:rsidRDefault="001114BD" w:rsidP="001114BD">
      <w:pPr>
        <w:pStyle w:val="artplat"/>
        <w:shd w:val="clear" w:color="auto" w:fill="D9D9D9" w:themeFill="background1" w:themeFillShade="D9"/>
        <w:suppressAutoHyphens/>
        <w:rPr>
          <w:rFonts w:cs="Arial"/>
        </w:rPr>
      </w:pPr>
      <w:r>
        <w:rPr>
          <w:rFonts w:cs="Arial"/>
        </w:rPr>
        <w:t xml:space="preserve">In deze paragraaf wordt verstaan onder: </w:t>
      </w:r>
    </w:p>
    <w:p w:rsidR="001114BD" w:rsidRDefault="001114BD" w:rsidP="001114BD">
      <w:pPr>
        <w:pStyle w:val="artplatletter"/>
        <w:shd w:val="clear" w:color="auto" w:fill="D9D9D9" w:themeFill="background1" w:themeFillShade="D9"/>
        <w:suppressAutoHyphens/>
        <w:rPr>
          <w:rFonts w:cs="Arial"/>
        </w:rPr>
      </w:pPr>
      <w:r>
        <w:rPr>
          <w:rFonts w:cs="Arial"/>
        </w:rPr>
        <w:t>a.</w:t>
      </w:r>
      <w:r>
        <w:rPr>
          <w:rFonts w:cs="Arial"/>
        </w:rPr>
        <w:tab/>
        <w:t xml:space="preserve">hulpconstructie: constructie waarop of waarin reinigings- of conserveringswerkzaamheden aan een vast object plaatsvinden; </w:t>
      </w:r>
    </w:p>
    <w:p w:rsidR="001114BD" w:rsidRDefault="001114BD" w:rsidP="001114BD">
      <w:pPr>
        <w:pStyle w:val="artplatletter"/>
        <w:shd w:val="clear" w:color="auto" w:fill="D9D9D9" w:themeFill="background1" w:themeFillShade="D9"/>
        <w:suppressAutoHyphens/>
        <w:rPr>
          <w:rFonts w:cs="Arial"/>
        </w:rPr>
      </w:pPr>
      <w:r>
        <w:rPr>
          <w:rFonts w:cs="Arial"/>
        </w:rPr>
        <w:t>b.</w:t>
      </w:r>
      <w:r>
        <w:rPr>
          <w:rFonts w:cs="Arial"/>
        </w:rPr>
        <w:tab/>
        <w:t xml:space="preserve">stofdichte wand: afdichting gericht op het voorkomen van emissie van stofdelen uit de hulpconstructie; </w:t>
      </w:r>
    </w:p>
    <w:p w:rsidR="001114BD" w:rsidRDefault="001114BD" w:rsidP="001114BD">
      <w:pPr>
        <w:pStyle w:val="artplatletter"/>
        <w:shd w:val="clear" w:color="auto" w:fill="D9D9D9" w:themeFill="background1" w:themeFillShade="D9"/>
        <w:suppressAutoHyphens/>
        <w:rPr>
          <w:rFonts w:cs="Arial"/>
        </w:rPr>
      </w:pPr>
      <w:r>
        <w:rPr>
          <w:rFonts w:cs="Arial"/>
        </w:rPr>
        <w:t>c.</w:t>
      </w:r>
      <w:r>
        <w:rPr>
          <w:rFonts w:cs="Arial"/>
        </w:rPr>
        <w:tab/>
        <w:t xml:space="preserve">vloeistofdichte wand: afdichting gericht op het voorkomen van emissie van vloeistof of nevel uit de hulpconstructie; </w:t>
      </w:r>
    </w:p>
    <w:p w:rsidR="001114BD" w:rsidRDefault="001114BD" w:rsidP="001114BD">
      <w:pPr>
        <w:pStyle w:val="artplatletter"/>
        <w:shd w:val="clear" w:color="auto" w:fill="D9D9D9" w:themeFill="background1" w:themeFillShade="D9"/>
        <w:suppressAutoHyphens/>
        <w:rPr>
          <w:rFonts w:cs="Arial"/>
        </w:rPr>
      </w:pPr>
      <w:r>
        <w:rPr>
          <w:rFonts w:cs="Arial"/>
        </w:rPr>
        <w:t>d.</w:t>
      </w:r>
      <w:r>
        <w:rPr>
          <w:rFonts w:cs="Arial"/>
        </w:rPr>
        <w:tab/>
        <w:t xml:space="preserve">winddichte wand: afdichting gericht op het voorkomen van invloed van wind op de emissie van stofdelen, vloeistof of nevel uit de hulpconstructie; </w:t>
      </w:r>
    </w:p>
    <w:p w:rsidR="001114BD" w:rsidRDefault="001114BD" w:rsidP="001114BD">
      <w:pPr>
        <w:pStyle w:val="artplatletter"/>
        <w:shd w:val="clear" w:color="auto" w:fill="D9D9D9" w:themeFill="background1" w:themeFillShade="D9"/>
        <w:suppressAutoHyphens/>
        <w:rPr>
          <w:rFonts w:cs="Arial"/>
        </w:rPr>
      </w:pPr>
      <w:r>
        <w:rPr>
          <w:rFonts w:cs="Arial"/>
        </w:rPr>
        <w:t>e.</w:t>
      </w:r>
      <w:r>
        <w:rPr>
          <w:rFonts w:cs="Arial"/>
        </w:rPr>
        <w:tab/>
        <w:t>stoffen: afvalstoffen, verontreinigende of schadelijke stoffen, die bij reinigings- of conserveringswerkzaamheden worden gebruikt dan wel van het vast object vrijkomen.</w:t>
      </w:r>
    </w:p>
    <w:p w:rsidR="001114BD" w:rsidRDefault="001114BD" w:rsidP="001114BD">
      <w:pPr>
        <w:pStyle w:val="artikelkop"/>
        <w:shd w:val="clear" w:color="auto" w:fill="D9D9D9" w:themeFill="background1" w:themeFillShade="D9"/>
      </w:pPr>
      <w:r>
        <w:t>Artikel 3.4i</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Als reinigingswerkzaamheden als bedoeld in artikel 3.6a, tweede lid, van het besluit worden aangewezen:</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R1 technieken;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R2 technieken;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R3 technieken;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R4 technieken;</w:t>
      </w:r>
    </w:p>
    <w:p w:rsidR="001114BD" w:rsidRDefault="001114BD" w:rsidP="001114BD">
      <w:pPr>
        <w:pStyle w:val="art2enivo"/>
        <w:shd w:val="clear" w:color="auto" w:fill="D9D9D9" w:themeFill="background1" w:themeFillShade="D9"/>
        <w:suppressAutoHyphens/>
        <w:rPr>
          <w:rFonts w:cs="Arial"/>
        </w:rPr>
      </w:pPr>
      <w:r>
        <w:rPr>
          <w:rFonts w:cs="Arial"/>
        </w:rPr>
        <w:t>e.</w:t>
      </w:r>
      <w:r>
        <w:rPr>
          <w:rFonts w:cs="Arial"/>
        </w:rPr>
        <w:tab/>
        <w:t>R5 technieken.</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Als R1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afwassen met water;</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schoonspuiten met water onder een druk van ten hoogste 200 bar zonder toevoeging van ontvetters;</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stoomreinigen onder een druk van ten hoogste 200 bar zonder toevoeging van ontvetters;</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ontvetten met doeken en een ontvetter.</w:t>
      </w:r>
    </w:p>
    <w:p w:rsidR="001114BD" w:rsidRDefault="001114BD" w:rsidP="001114BD">
      <w:pPr>
        <w:pStyle w:val="art1enivo"/>
        <w:shd w:val="clear" w:color="auto" w:fill="D9D9D9" w:themeFill="background1" w:themeFillShade="D9"/>
        <w:suppressAutoHyphens/>
        <w:rPr>
          <w:rFonts w:cs="Arial"/>
        </w:rPr>
      </w:pPr>
      <w:r>
        <w:rPr>
          <w:rFonts w:cs="Arial"/>
        </w:rPr>
        <w:t>3.</w:t>
      </w:r>
      <w:r>
        <w:rPr>
          <w:rFonts w:cs="Arial"/>
        </w:rPr>
        <w:tab/>
        <w:t>Als R2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bevochtigd handmatig schuren met schuurpapier of met een handschuurapparaat;</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borstelen;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beitelen;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bikken;</w:t>
      </w:r>
    </w:p>
    <w:p w:rsidR="001114BD" w:rsidRDefault="001114BD" w:rsidP="001114BD">
      <w:pPr>
        <w:pStyle w:val="art2enivo"/>
        <w:shd w:val="clear" w:color="auto" w:fill="D9D9D9" w:themeFill="background1" w:themeFillShade="D9"/>
        <w:suppressAutoHyphens/>
        <w:rPr>
          <w:rFonts w:cs="Arial"/>
        </w:rPr>
      </w:pPr>
      <w:r>
        <w:rPr>
          <w:rFonts w:cs="Arial"/>
        </w:rPr>
        <w:t>e.</w:t>
      </w:r>
      <w:r>
        <w:rPr>
          <w:rFonts w:cs="Arial"/>
        </w:rPr>
        <w:tab/>
        <w:t>schrapen;</w:t>
      </w:r>
    </w:p>
    <w:p w:rsidR="001114BD" w:rsidRDefault="001114BD" w:rsidP="001114BD">
      <w:pPr>
        <w:pStyle w:val="art2enivo"/>
        <w:shd w:val="clear" w:color="auto" w:fill="D9D9D9" w:themeFill="background1" w:themeFillShade="D9"/>
        <w:suppressAutoHyphens/>
        <w:rPr>
          <w:rFonts w:cs="Arial"/>
        </w:rPr>
      </w:pPr>
      <w:r>
        <w:rPr>
          <w:rFonts w:cs="Arial"/>
        </w:rPr>
        <w:t>f.</w:t>
      </w:r>
      <w:r>
        <w:rPr>
          <w:rFonts w:cs="Arial"/>
        </w:rPr>
        <w:tab/>
        <w:t>steken;</w:t>
      </w:r>
    </w:p>
    <w:p w:rsidR="001114BD" w:rsidRDefault="001114BD" w:rsidP="001114BD">
      <w:pPr>
        <w:pStyle w:val="art2enivo"/>
        <w:shd w:val="clear" w:color="auto" w:fill="D9D9D9" w:themeFill="background1" w:themeFillShade="D9"/>
        <w:suppressAutoHyphens/>
        <w:rPr>
          <w:rFonts w:cs="Arial"/>
        </w:rPr>
      </w:pPr>
      <w:r>
        <w:rPr>
          <w:rFonts w:cs="Arial"/>
        </w:rPr>
        <w:t>g.</w:t>
      </w:r>
      <w:r>
        <w:rPr>
          <w:rFonts w:cs="Arial"/>
        </w:rPr>
        <w:tab/>
        <w:t>slijpen;</w:t>
      </w:r>
    </w:p>
    <w:p w:rsidR="001114BD" w:rsidRDefault="001114BD" w:rsidP="001114BD">
      <w:pPr>
        <w:pStyle w:val="art2enivo"/>
        <w:shd w:val="clear" w:color="auto" w:fill="D9D9D9" w:themeFill="background1" w:themeFillShade="D9"/>
        <w:suppressAutoHyphens/>
        <w:rPr>
          <w:rFonts w:cs="Arial"/>
        </w:rPr>
      </w:pPr>
      <w:r>
        <w:rPr>
          <w:rFonts w:cs="Arial"/>
        </w:rPr>
        <w:t>h.</w:t>
      </w:r>
      <w:r>
        <w:rPr>
          <w:rFonts w:cs="Arial"/>
        </w:rPr>
        <w:tab/>
        <w:t>branden;</w:t>
      </w:r>
    </w:p>
    <w:p w:rsidR="001114BD" w:rsidRDefault="001114BD" w:rsidP="001114BD">
      <w:pPr>
        <w:pStyle w:val="art2enivo"/>
        <w:shd w:val="clear" w:color="auto" w:fill="D9D9D9" w:themeFill="background1" w:themeFillShade="D9"/>
        <w:suppressAutoHyphens/>
        <w:rPr>
          <w:rFonts w:cs="Arial"/>
        </w:rPr>
      </w:pPr>
      <w:r>
        <w:rPr>
          <w:rFonts w:cs="Arial"/>
        </w:rPr>
        <w:t>i.</w:t>
      </w:r>
      <w:r>
        <w:rPr>
          <w:rFonts w:cs="Arial"/>
        </w:rPr>
        <w:tab/>
        <w:t>afkrabben;</w:t>
      </w:r>
    </w:p>
    <w:p w:rsidR="001114BD" w:rsidRDefault="001114BD" w:rsidP="001114BD">
      <w:pPr>
        <w:pStyle w:val="art2enivo"/>
        <w:shd w:val="clear" w:color="auto" w:fill="D9D9D9" w:themeFill="background1" w:themeFillShade="D9"/>
        <w:suppressAutoHyphens/>
        <w:rPr>
          <w:rFonts w:cs="Arial"/>
        </w:rPr>
      </w:pPr>
      <w:r>
        <w:rPr>
          <w:rFonts w:cs="Arial"/>
        </w:rPr>
        <w:t>j.</w:t>
      </w:r>
      <w:r>
        <w:rPr>
          <w:rFonts w:cs="Arial"/>
        </w:rPr>
        <w:tab/>
        <w:t>gebruiken van naaldhamer of bikhamer;</w:t>
      </w:r>
    </w:p>
    <w:p w:rsidR="001114BD" w:rsidRDefault="001114BD" w:rsidP="001114BD">
      <w:pPr>
        <w:pStyle w:val="art2enivo"/>
        <w:shd w:val="clear" w:color="auto" w:fill="D9D9D9" w:themeFill="background1" w:themeFillShade="D9"/>
        <w:suppressAutoHyphens/>
        <w:rPr>
          <w:rFonts w:cs="Arial"/>
        </w:rPr>
      </w:pPr>
      <w:r>
        <w:rPr>
          <w:rFonts w:cs="Arial"/>
        </w:rPr>
        <w:t>k.</w:t>
      </w:r>
      <w:r>
        <w:rPr>
          <w:rFonts w:cs="Arial"/>
        </w:rPr>
        <w:tab/>
        <w:t>schuren of borstelen met roterende schuurmachines met bronafzuiging;</w:t>
      </w:r>
    </w:p>
    <w:p w:rsidR="001114BD" w:rsidRDefault="001114BD" w:rsidP="001114BD">
      <w:pPr>
        <w:pStyle w:val="art2enivo"/>
        <w:shd w:val="clear" w:color="auto" w:fill="D9D9D9" w:themeFill="background1" w:themeFillShade="D9"/>
        <w:suppressAutoHyphens/>
        <w:rPr>
          <w:rFonts w:cs="Arial"/>
        </w:rPr>
      </w:pPr>
      <w:r>
        <w:rPr>
          <w:rFonts w:cs="Arial"/>
        </w:rPr>
        <w:t>l.</w:t>
      </w:r>
      <w:r>
        <w:rPr>
          <w:rFonts w:cs="Arial"/>
        </w:rPr>
        <w:tab/>
        <w:t>mobiel werpstralen;</w:t>
      </w:r>
    </w:p>
    <w:p w:rsidR="001114BD" w:rsidRDefault="001114BD" w:rsidP="001114BD">
      <w:pPr>
        <w:pStyle w:val="art2enivo"/>
        <w:shd w:val="clear" w:color="auto" w:fill="D9D9D9" w:themeFill="background1" w:themeFillShade="D9"/>
        <w:suppressAutoHyphens/>
        <w:rPr>
          <w:rFonts w:cs="Arial"/>
        </w:rPr>
      </w:pPr>
      <w:r>
        <w:rPr>
          <w:rFonts w:cs="Arial"/>
        </w:rPr>
        <w:t>m.</w:t>
      </w:r>
      <w:r>
        <w:rPr>
          <w:rFonts w:cs="Arial"/>
        </w:rPr>
        <w:tab/>
        <w:t>vacuümstralen met bronafzuiging;</w:t>
      </w:r>
    </w:p>
    <w:p w:rsidR="001114BD" w:rsidRDefault="001114BD" w:rsidP="001114BD">
      <w:pPr>
        <w:pStyle w:val="art2enivo"/>
        <w:shd w:val="clear" w:color="auto" w:fill="D9D9D9" w:themeFill="background1" w:themeFillShade="D9"/>
        <w:suppressAutoHyphens/>
        <w:rPr>
          <w:rFonts w:cs="Arial"/>
        </w:rPr>
      </w:pPr>
      <w:r>
        <w:rPr>
          <w:rFonts w:cs="Arial"/>
        </w:rPr>
        <w:t>n.</w:t>
      </w:r>
      <w:r>
        <w:rPr>
          <w:rFonts w:cs="Arial"/>
        </w:rPr>
        <w:tab/>
        <w:t>afblazen met perslucht tot 8 bar.</w:t>
      </w:r>
    </w:p>
    <w:p w:rsidR="001114BD" w:rsidRDefault="001114BD" w:rsidP="001114BD">
      <w:pPr>
        <w:pStyle w:val="art1enivo"/>
        <w:shd w:val="clear" w:color="auto" w:fill="D9D9D9" w:themeFill="background1" w:themeFillShade="D9"/>
        <w:suppressAutoHyphens/>
        <w:rPr>
          <w:rFonts w:cs="Arial"/>
        </w:rPr>
      </w:pPr>
      <w:r>
        <w:rPr>
          <w:rFonts w:cs="Arial"/>
        </w:rPr>
        <w:t>4.</w:t>
      </w:r>
      <w:r>
        <w:rPr>
          <w:rFonts w:cs="Arial"/>
        </w:rPr>
        <w:tab/>
        <w:t>Als R3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droog aanstralen;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droog integraal stralen;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integraal opruwen door stralen;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roestvrij maken van oppervlakken door stralen of ministralen;</w:t>
      </w:r>
    </w:p>
    <w:p w:rsidR="001114BD" w:rsidRDefault="001114BD" w:rsidP="001114BD">
      <w:pPr>
        <w:pStyle w:val="art2enivo"/>
        <w:shd w:val="clear" w:color="auto" w:fill="D9D9D9" w:themeFill="background1" w:themeFillShade="D9"/>
        <w:suppressAutoHyphens/>
        <w:rPr>
          <w:rFonts w:cs="Arial"/>
          <w:lang w:val="en-US"/>
        </w:rPr>
      </w:pPr>
      <w:r>
        <w:rPr>
          <w:rFonts w:cs="Arial"/>
          <w:lang w:val="en-US"/>
        </w:rPr>
        <w:t>e.</w:t>
      </w:r>
      <w:r>
        <w:rPr>
          <w:rFonts w:cs="Arial"/>
          <w:lang w:val="en-US"/>
        </w:rPr>
        <w:tab/>
        <w:t>droog ijs- of CO2-stralen.</w:t>
      </w:r>
    </w:p>
    <w:p w:rsidR="001114BD" w:rsidRDefault="001114BD" w:rsidP="001114BD">
      <w:pPr>
        <w:pStyle w:val="art1enivo"/>
        <w:shd w:val="clear" w:color="auto" w:fill="D9D9D9" w:themeFill="background1" w:themeFillShade="D9"/>
        <w:suppressAutoHyphens/>
        <w:rPr>
          <w:rFonts w:cs="Arial"/>
        </w:rPr>
      </w:pPr>
      <w:r>
        <w:rPr>
          <w:rFonts w:cs="Arial"/>
        </w:rPr>
        <w:t>5.</w:t>
      </w:r>
      <w:r>
        <w:rPr>
          <w:rFonts w:cs="Arial"/>
        </w:rPr>
        <w:tab/>
        <w:t>Als R4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chemisch reinigen;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chemisch ontvetten;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schoonspuiten met water met toevoeging van ontvetters;</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stoomreinigen met toevoeging van ontvetters.</w:t>
      </w:r>
    </w:p>
    <w:p w:rsidR="001114BD" w:rsidRDefault="001114BD" w:rsidP="001114BD">
      <w:pPr>
        <w:pStyle w:val="art1enivo"/>
        <w:shd w:val="clear" w:color="auto" w:fill="D9D9D9" w:themeFill="background1" w:themeFillShade="D9"/>
        <w:suppressAutoHyphens/>
        <w:rPr>
          <w:rFonts w:cs="Arial"/>
        </w:rPr>
      </w:pPr>
      <w:r>
        <w:rPr>
          <w:rFonts w:cs="Arial"/>
        </w:rPr>
        <w:t>6.</w:t>
      </w:r>
      <w:r>
        <w:rPr>
          <w:rFonts w:cs="Arial"/>
        </w:rPr>
        <w:tab/>
        <w:t>Als R5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watergritreinigen;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lage druk watergritstralen;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lage druk vochtig stralen;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handmatig hoge druk water(grit)stralen;</w:t>
      </w:r>
    </w:p>
    <w:p w:rsidR="001114BD" w:rsidRDefault="001114BD" w:rsidP="001114BD">
      <w:pPr>
        <w:pStyle w:val="art2enivo"/>
        <w:shd w:val="clear" w:color="auto" w:fill="D9D9D9" w:themeFill="background1" w:themeFillShade="D9"/>
        <w:suppressAutoHyphens/>
        <w:rPr>
          <w:rFonts w:cs="Arial"/>
        </w:rPr>
      </w:pPr>
      <w:r>
        <w:rPr>
          <w:rFonts w:cs="Arial"/>
        </w:rPr>
        <w:t>e.</w:t>
      </w:r>
      <w:r>
        <w:rPr>
          <w:rFonts w:cs="Arial"/>
        </w:rPr>
        <w:tab/>
        <w:t>mechanisch hoge druk water(grit)stralen.</w:t>
      </w:r>
    </w:p>
    <w:p w:rsidR="001114BD" w:rsidRDefault="001114BD" w:rsidP="001114BD">
      <w:pPr>
        <w:pStyle w:val="artikelkop"/>
        <w:shd w:val="clear" w:color="auto" w:fill="D9D9D9" w:themeFill="background1" w:themeFillShade="D9"/>
      </w:pPr>
      <w:r>
        <w:t>Artikel 3.4j</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Als conserveringswerkzaamheden als bedoeld in artikel 3.6a, tweede lid van het besluit worden aangewezen:</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C1 technieken;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C2 technieken;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C3 technieken.</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Als C1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aanbrengen van verflagen of conserveringslagen met behulp van kwast, spaan of roller;</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HVLP-spuiten;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elektrostatisch spuiten;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hot elektrostatisch spuiten.</w:t>
      </w:r>
    </w:p>
    <w:p w:rsidR="001114BD" w:rsidRDefault="001114BD" w:rsidP="001114BD">
      <w:pPr>
        <w:pStyle w:val="art1enivo"/>
        <w:shd w:val="clear" w:color="auto" w:fill="D9D9D9" w:themeFill="background1" w:themeFillShade="D9"/>
        <w:suppressAutoHyphens/>
        <w:rPr>
          <w:rFonts w:cs="Arial"/>
        </w:rPr>
      </w:pPr>
      <w:r>
        <w:rPr>
          <w:rFonts w:cs="Arial"/>
        </w:rPr>
        <w:t>3.</w:t>
      </w:r>
      <w:r>
        <w:rPr>
          <w:rFonts w:cs="Arial"/>
        </w:rPr>
        <w:tab/>
        <w:t>Als C2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aanbrengen van verflagen of conserveringslagen met behulp van een kneedmortelpomp;</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 xml:space="preserve">spuiten van kleine oppervlakten; </w:t>
      </w:r>
    </w:p>
    <w:p w:rsidR="001114BD" w:rsidRDefault="001114BD" w:rsidP="001114BD">
      <w:pPr>
        <w:pStyle w:val="art1enivo"/>
        <w:shd w:val="clear" w:color="auto" w:fill="D9D9D9" w:themeFill="background1" w:themeFillShade="D9"/>
        <w:suppressAutoHyphens/>
        <w:rPr>
          <w:rFonts w:cs="Arial"/>
        </w:rPr>
      </w:pPr>
      <w:r>
        <w:rPr>
          <w:rFonts w:cs="Arial"/>
        </w:rPr>
        <w:t>4.</w:t>
      </w:r>
      <w:r>
        <w:rPr>
          <w:rFonts w:cs="Arial"/>
        </w:rPr>
        <w:tab/>
        <w:t>Als C3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airless spuiten;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airmix spuiten;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pneumatisch spuiten;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twee componenten spuiten.</w:t>
      </w:r>
    </w:p>
    <w:p w:rsidR="001114BD" w:rsidRDefault="001114BD" w:rsidP="001114BD">
      <w:pPr>
        <w:pStyle w:val="artikelkop"/>
        <w:shd w:val="clear" w:color="auto" w:fill="D9D9D9" w:themeFill="background1" w:themeFillShade="D9"/>
      </w:pPr>
      <w:r>
        <w:t>Artikel 3.4k</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Als stoffen als bedoeld in artikel 3.6a, tweede lid, van het besluit worden aangewezen:</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stoffen uit categorie A;</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stoffen uit categorie B;</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stoffen uit categorie C.</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Als stoffen uit categorie A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 xml:space="preserve">basalt; </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 xml:space="preserve">beton en betonmortel; </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 xml:space="preserve">schoonmetselwerk; </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 xml:space="preserve">cementgebonden deklagen; </w:t>
      </w:r>
    </w:p>
    <w:p w:rsidR="001114BD" w:rsidRDefault="001114BD" w:rsidP="001114BD">
      <w:pPr>
        <w:pStyle w:val="art2enivo"/>
        <w:shd w:val="clear" w:color="auto" w:fill="D9D9D9" w:themeFill="background1" w:themeFillShade="D9"/>
        <w:suppressAutoHyphens/>
        <w:rPr>
          <w:rFonts w:cs="Arial"/>
        </w:rPr>
      </w:pPr>
      <w:r>
        <w:rPr>
          <w:rFonts w:cs="Arial"/>
        </w:rPr>
        <w:t>e.</w:t>
      </w:r>
      <w:r>
        <w:rPr>
          <w:rFonts w:cs="Arial"/>
        </w:rPr>
        <w:tab/>
        <w:t xml:space="preserve">niet verduurzaamd hout; </w:t>
      </w:r>
    </w:p>
    <w:p w:rsidR="001114BD" w:rsidRDefault="001114BD" w:rsidP="001114BD">
      <w:pPr>
        <w:pStyle w:val="art2enivo"/>
        <w:shd w:val="clear" w:color="auto" w:fill="D9D9D9" w:themeFill="background1" w:themeFillShade="D9"/>
        <w:suppressAutoHyphens/>
        <w:rPr>
          <w:rFonts w:cs="Arial"/>
        </w:rPr>
      </w:pPr>
      <w:r>
        <w:rPr>
          <w:rFonts w:cs="Arial"/>
        </w:rPr>
        <w:t>f.</w:t>
      </w:r>
      <w:r>
        <w:rPr>
          <w:rFonts w:cs="Arial"/>
        </w:rPr>
        <w:tab/>
        <w:t xml:space="preserve">steenachtige ondergronden; </w:t>
      </w:r>
    </w:p>
    <w:p w:rsidR="001114BD" w:rsidRDefault="001114BD" w:rsidP="001114BD">
      <w:pPr>
        <w:pStyle w:val="art2enivo"/>
        <w:shd w:val="clear" w:color="auto" w:fill="D9D9D9" w:themeFill="background1" w:themeFillShade="D9"/>
        <w:suppressAutoHyphens/>
        <w:rPr>
          <w:rFonts w:cs="Arial"/>
        </w:rPr>
      </w:pPr>
      <w:r>
        <w:rPr>
          <w:rFonts w:cs="Arial"/>
        </w:rPr>
        <w:t>g.</w:t>
      </w:r>
      <w:r>
        <w:rPr>
          <w:rFonts w:cs="Arial"/>
        </w:rPr>
        <w:tab/>
        <w:t>metallische ondergronden met uitzondering van zink, tin, koper of legeringen van die metalen.</w:t>
      </w:r>
    </w:p>
    <w:p w:rsidR="001114BD" w:rsidRDefault="001114BD" w:rsidP="001114BD">
      <w:pPr>
        <w:pStyle w:val="art1enivo"/>
        <w:shd w:val="clear" w:color="auto" w:fill="D9D9D9" w:themeFill="background1" w:themeFillShade="D9"/>
        <w:suppressAutoHyphens/>
        <w:rPr>
          <w:rFonts w:cs="Arial"/>
        </w:rPr>
      </w:pPr>
      <w:r>
        <w:rPr>
          <w:rFonts w:cs="Arial"/>
        </w:rPr>
        <w:t>3.</w:t>
      </w:r>
      <w:r>
        <w:rPr>
          <w:rFonts w:cs="Arial"/>
        </w:rPr>
        <w:tab/>
        <w:t>Als stoffen uit categorie C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 xml:space="preserve">koolteer of koolteerderivaten; </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 xml:space="preserve">lood- of chromaathoudende pigmenten; </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antifoulings;</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andere verven op basis van cadmium, tin of kwik dan genoemd in de onderdelen a tot en met c van dit lid.</w:t>
      </w:r>
    </w:p>
    <w:p w:rsidR="001114BD" w:rsidRDefault="001114BD" w:rsidP="001114BD">
      <w:pPr>
        <w:pStyle w:val="art1enivo"/>
        <w:shd w:val="clear" w:color="auto" w:fill="D9D9D9" w:themeFill="background1" w:themeFillShade="D9"/>
        <w:suppressAutoHyphens/>
        <w:rPr>
          <w:rFonts w:cs="Arial"/>
        </w:rPr>
      </w:pPr>
      <w:r>
        <w:rPr>
          <w:rFonts w:cs="Arial"/>
        </w:rPr>
        <w:t>4.</w:t>
      </w:r>
      <w:r>
        <w:rPr>
          <w:rFonts w:cs="Arial"/>
        </w:rPr>
        <w:tab/>
        <w:t>Als stoffen uit categorie B worden aangemerkt stoffen die niet zijn aangemerkt als stoffen uit categorie A of C.</w:t>
      </w:r>
    </w:p>
    <w:p w:rsidR="001114BD" w:rsidRDefault="001114BD" w:rsidP="001114BD">
      <w:pPr>
        <w:pStyle w:val="artikelkop"/>
        <w:shd w:val="clear" w:color="auto" w:fill="D9D9D9" w:themeFill="background1" w:themeFillShade="D9"/>
      </w:pPr>
      <w:r>
        <w:t>Artikel 3.4l</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Indien reinigingswerkzaamheden worden uitgevoerd met behulp van een R1-techniek dan wel conserveringswerkzaamheden worden uitgevoerd waarbij geen stoffen uit categorie B of C worden gebruikt, behoeft, onverminderd artikel 2.1, een eventueel aanwezige hulpconstructie geen voorzieningen te bevatten ter voorkoming van het lozen in een oppervlaktewaterlichaam.</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Indien reinigingswerkzaamheden worden uitgevoerd met behulp van een R1-, R2- of R3-techniek dan wel conserveringswerkzaamheden worden uitgevoerd waarbij geen stoffen uit categorie B of C worden gebruikt, en de afstand van het te behandelen deel van het oppervlak tot het wateroppervlak minder dan 50 centimeter bedraagt, behoeft, onverminderd artikel 2.1, een eventueel aanwezige hulpconstructie geen voorzieningen te bevatten ter voorkoming van het lozen in een oppervlaktewaterlichaam.</w:t>
      </w:r>
    </w:p>
    <w:p w:rsidR="001114BD" w:rsidRDefault="001114BD" w:rsidP="001114BD">
      <w:pPr>
        <w:pStyle w:val="artikelkop"/>
        <w:shd w:val="clear" w:color="auto" w:fill="D9D9D9" w:themeFill="background1" w:themeFillShade="D9"/>
      </w:pPr>
      <w:r>
        <w:t>Artikel 3.4m</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Indien reinigingswerkzaamheden worden uitgevoerd met behulp van een R2 techniek dan wel conserveringswerkzaamheden worden uitgevoerd met behulp van een C1 techniek waarbij een stof uit categorie B wordt gebruikt, worden die werkzaamheden uitgevoerd boven een hulpconstructie waarvan de vloer stofdicht is, is voorzien van opstaande randen met een hoogte van ten minste 20 centimeter en voor zover mogelijk aan alle zijden uitsteekt buiten het te behandelen object</w:t>
      </w:r>
      <w:r>
        <w:rPr>
          <w:rStyle w:val="apple-style-span"/>
          <w:rFonts w:cs="Arial"/>
          <w:color w:val="000000"/>
          <w:sz w:val="14"/>
          <w:szCs w:val="14"/>
        </w:rPr>
        <w:t>.</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Indien conserveringswerkzaamheden worden uitgevoerd met behulp van een C1-techniek waarbij een stof uit categorie C wordt gebruikt en bij een windsnelheid hoger dan 8 meter per seconde, wordt de hulpconstructie als bedoeld in het eerste lid ten minste uitgebreid met zijwanden van gaasnetten met een maaswijdte van ten hoogste 0,4 bij 0,4 millimeter of zeilen, die aansluiten op de vloer en minimaal 1 meter boven het te behandelen deel van het object uitsteken.</w:t>
      </w:r>
    </w:p>
    <w:p w:rsidR="001114BD" w:rsidRDefault="001114BD" w:rsidP="001114BD">
      <w:pPr>
        <w:pStyle w:val="artikelkop"/>
        <w:shd w:val="clear" w:color="auto" w:fill="D9D9D9" w:themeFill="background1" w:themeFillShade="D9"/>
      </w:pPr>
      <w:r>
        <w:t>Artikel 3.4n</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Indien reinigingswerkzaamheden worden uitgevoerd met behulp van een R3-techniek, waarbij een stof uit categorie A vrijkomt wordt in aanvulling op de maatregelen bedoeld in artikel 3.4m, tweede lid, de hulpconstructie ook aan de bovenzijde afgesloten.</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Indien reinigingswerkzaamheden worden uitgevoerd met behulp van een R3-techniek, waarbij een metallisch straalmiddel wordt gebruikt en een stof uit categorie B vrijkomt, worden de zijwanden en bovenafsluiting van de hulpconstructie als bedoeld in het eerste lid winddicht uitgevoerd.</w:t>
      </w:r>
    </w:p>
    <w:p w:rsidR="001114BD" w:rsidRDefault="001114BD" w:rsidP="001114BD">
      <w:pPr>
        <w:pStyle w:val="art1enivo"/>
        <w:shd w:val="clear" w:color="auto" w:fill="D9D9D9" w:themeFill="background1" w:themeFillShade="D9"/>
        <w:suppressAutoHyphens/>
        <w:rPr>
          <w:rFonts w:cs="Arial"/>
        </w:rPr>
      </w:pPr>
      <w:r>
        <w:rPr>
          <w:rFonts w:cs="Arial"/>
        </w:rPr>
        <w:t>3.</w:t>
      </w:r>
      <w:r>
        <w:rPr>
          <w:rFonts w:cs="Arial"/>
        </w:rPr>
        <w:tab/>
        <w:t>Indien reinigingswerkzaamheden worden uitgevoerd met behulp van een R3-techniek waarbij smeltslakgrit of een mineraal straalmiddel wordt gebruikt en een stof uit categorie B vrijkomt dan wel waarbij metallisch straalmiddel wordt gebruikt en een stof uit categorie C vrijkomt, wordt in aanvulling op het tweede lid tijdens de werkzaamheden gezorgd voor een permanente onderdruk in de hulpconstructie. In de daarbij geëmitteerde lucht mag het stofgehalte niet meer bedragen dan 10 mg/Nm3, bepaald volgens NEN-EN 9096.</w:t>
      </w:r>
    </w:p>
    <w:p w:rsidR="001114BD" w:rsidRDefault="001114BD" w:rsidP="001114BD">
      <w:pPr>
        <w:pStyle w:val="art1enivo"/>
        <w:shd w:val="clear" w:color="auto" w:fill="D9D9D9" w:themeFill="background1" w:themeFillShade="D9"/>
        <w:suppressAutoHyphens/>
        <w:rPr>
          <w:rFonts w:cs="Arial"/>
        </w:rPr>
      </w:pPr>
      <w:r>
        <w:rPr>
          <w:rFonts w:cs="Arial"/>
        </w:rPr>
        <w:t>4.</w:t>
      </w:r>
      <w:r>
        <w:rPr>
          <w:rFonts w:cs="Arial"/>
        </w:rPr>
        <w:tab/>
        <w:t>Indien reinigingswerkzaamheden worden uitgevoerd met behulp van een R3-techniek, waarbij smeltslakgrit of een mineraal straalmiddel wordt gebruikt en een stof uit categorie C vrijkomt dan wel conserveringswerkzaamheden die worden uitgevoerd met behulp van een C3-techniek, waarbij een stof uit categorie C wordt gebruikt, worden in aanvulling op het derde lid, de zijwanden en bovenzijde van de hulpconstructie als bedoeld in het derde lid, stofdicht uitgevoerd.</w:t>
      </w:r>
    </w:p>
    <w:p w:rsidR="001114BD" w:rsidRDefault="001114BD" w:rsidP="001114BD">
      <w:pPr>
        <w:pStyle w:val="artikelkop"/>
        <w:shd w:val="clear" w:color="auto" w:fill="D9D9D9" w:themeFill="background1" w:themeFillShade="D9"/>
      </w:pPr>
      <w:r>
        <w:t>Artikel 3.4o</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Indien reinigingswerkzaamheden worden uitgevoerd met behulp van een R4 techniek wordt de vloer van de hulpconstructie als bedoeld in artikel 3.4m, eerste lid vloeistofdicht uitgevoerd en wordt de hulpconstructie uitgebreid met zijwanden van gaasnetten met een maaswijdte van ten hoogste 0,4 bij 0,4 millimeter, die aansluiten op de vloer en minimaal 1 meter boven het te behandelen deel van het object uitsteken.</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Bij het lozen van de in de hulpconstructie opgevangen vloeistof bedraagt het gehalte aan onopgeloste bestanddelen niet meer dan 50 milligram per liter.</w:t>
      </w:r>
    </w:p>
    <w:p w:rsidR="001114BD" w:rsidRDefault="001114BD" w:rsidP="001114BD">
      <w:pPr>
        <w:pStyle w:val="artikelkop"/>
        <w:shd w:val="clear" w:color="auto" w:fill="D9D9D9" w:themeFill="background1" w:themeFillShade="D9"/>
      </w:pPr>
      <w:r>
        <w:t>Artikel 3.4p</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b/>
        </w:rPr>
        <w:tab/>
      </w:r>
      <w:r>
        <w:rPr>
          <w:rFonts w:cs="Arial"/>
        </w:rPr>
        <w:t>Indien reinigingswerkzaamheden worden uitgevoerd met behulp van een R5-techniek waarbij een stof uit categorie A vrijkomt is artikel 3.4o van overeenkomstige toepassing.</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Indien reinigingswerkzaamheden worden uitgevoerd met behulp van een R5-techniek waarbij smeltslakgrit of mineraal straalmiddel wordt gebruikt, wordt de hulpconstructie als bedoeld in artikel 3.4o ook aan de bovenzijde afgesloten.</w:t>
      </w:r>
    </w:p>
    <w:p w:rsidR="001114BD" w:rsidRDefault="001114BD" w:rsidP="001114BD">
      <w:pPr>
        <w:pStyle w:val="art1enivo"/>
        <w:shd w:val="clear" w:color="auto" w:fill="D9D9D9" w:themeFill="background1" w:themeFillShade="D9"/>
        <w:suppressAutoHyphens/>
        <w:rPr>
          <w:rFonts w:cs="Arial"/>
        </w:rPr>
      </w:pPr>
      <w:r>
        <w:rPr>
          <w:rFonts w:cs="Arial"/>
        </w:rPr>
        <w:t>3.</w:t>
      </w:r>
      <w:r>
        <w:rPr>
          <w:rFonts w:cs="Arial"/>
        </w:rPr>
        <w:tab/>
        <w:t>Indien reinigingswerkzaamheden worden uitgevoerd met behulp van een R5-techniek, waarbij een stof uit categorie B vrijkomt of conserveringswerkzaamheden worden uitgevoerd met behulp van een C2-techniek waarbij een stof uit categorie B wordt gebruikt, worden de zijwanden en de bovenzijde als bedoeld in het tweede lid, vloeistofdicht uitgevoerd.</w:t>
      </w:r>
    </w:p>
    <w:p w:rsidR="001114BD" w:rsidRDefault="001114BD" w:rsidP="001114BD">
      <w:pPr>
        <w:pStyle w:val="art1enivo"/>
        <w:shd w:val="clear" w:color="auto" w:fill="D9D9D9" w:themeFill="background1" w:themeFillShade="D9"/>
        <w:suppressAutoHyphens/>
        <w:rPr>
          <w:rFonts w:cs="Arial"/>
        </w:rPr>
      </w:pPr>
      <w:r>
        <w:rPr>
          <w:rFonts w:cs="Arial"/>
        </w:rPr>
        <w:t>4.</w:t>
      </w:r>
      <w:r>
        <w:rPr>
          <w:rFonts w:cs="Arial"/>
        </w:rPr>
        <w:tab/>
        <w:t>Indien reinigingswerkzaamheden worden uitgevoerd met behulp van een R5-techniek waarbij een stof uit categorie C vrijkomt of conserveringswerkzaamheden worden uitgevoerd met behulp van een C2-techniek waarbij een stof uit categorie C wordt gebruikt of conserveringswerkzaamheden worden uitgevoerd met behulp van een C3-techniek waarbij een stof uit categorie B wordt gebruikt, wordt in aanvulling op het derde lid tijdens de werkzaamheden gezorgd voor een permanente onderdruk in de hulpconstructie. In de daarbij geëmitteerde lucht bedraagt het stofgehalte niet meer dan 10 mg/Nm</w:t>
      </w:r>
      <w:r>
        <w:rPr>
          <w:rFonts w:cs="Arial"/>
          <w:vertAlign w:val="superscript"/>
        </w:rPr>
        <w:t>3</w:t>
      </w:r>
      <w:r>
        <w:rPr>
          <w:rFonts w:cs="Arial"/>
        </w:rPr>
        <w:t>, bepaald volgens NEN-EN 9096.</w:t>
      </w:r>
    </w:p>
    <w:p w:rsidR="001114BD" w:rsidRDefault="001114BD" w:rsidP="001114BD">
      <w:pPr>
        <w:pStyle w:val="artikelkop"/>
        <w:shd w:val="clear" w:color="auto" w:fill="D9D9D9" w:themeFill="background1" w:themeFillShade="D9"/>
      </w:pPr>
      <w:r>
        <w:t>Artikel 3.4q</w:t>
      </w:r>
    </w:p>
    <w:p w:rsidR="001114BD" w:rsidRDefault="001114BD" w:rsidP="001114BD">
      <w:pPr>
        <w:pStyle w:val="artplat"/>
        <w:shd w:val="clear" w:color="auto" w:fill="D9D9D9" w:themeFill="background1" w:themeFillShade="D9"/>
        <w:suppressAutoHyphens/>
        <w:rPr>
          <w:rFonts w:cs="Arial"/>
        </w:rPr>
      </w:pPr>
      <w:r>
        <w:rPr>
          <w:rFonts w:cs="Arial"/>
        </w:rPr>
        <w:t>Indien reinigingswerkzaamheden of conserveringswerkzaamheden worden uitgevoerd aan spoorbruggen, bevat de hulpconstructie in afwijking van de artikelen 3.4l tot en met 3.4p aan de bovenzijde geen hulpconstructie en aan de in- en uitrijrichting geen zijwand en lopen de zijwanden maximaal twee meter boven het te behandelen deel van het object door.</w:t>
      </w:r>
    </w:p>
    <w:p w:rsidR="001114BD" w:rsidRDefault="001114BD" w:rsidP="001114BD">
      <w:pPr>
        <w:pStyle w:val="artikelkop"/>
        <w:shd w:val="clear" w:color="auto" w:fill="D9D9D9" w:themeFill="background1" w:themeFillShade="D9"/>
      </w:pPr>
      <w:r>
        <w:t>Artikel 3.4r</w:t>
      </w:r>
    </w:p>
    <w:p w:rsidR="001114BD" w:rsidRDefault="001114BD" w:rsidP="001114BD">
      <w:pPr>
        <w:pStyle w:val="artplat"/>
        <w:shd w:val="clear" w:color="auto" w:fill="D9D9D9" w:themeFill="background1" w:themeFillShade="D9"/>
        <w:suppressAutoHyphens/>
        <w:rPr>
          <w:rFonts w:cs="Arial"/>
        </w:rPr>
      </w:pPr>
      <w:r>
        <w:rPr>
          <w:rFonts w:cs="Arial"/>
        </w:rPr>
        <w:t>Indien reinigingswerkzaamheden of conserveringswerkzaamheden worden uitgevoerd aan vaste objecten die direct in contact staan met een oppervlaktewaterlichaam, omsluit de hulpconstructie in afwijking van de artikelen 3.4l tot en met 3.4p de ruimte waarin wordt gewerkt zoveel mogelijk.</w:t>
      </w:r>
    </w:p>
    <w:p w:rsidR="001114BD" w:rsidRDefault="001114BD" w:rsidP="001114BD">
      <w:pPr>
        <w:pStyle w:val="artikelkop"/>
        <w:shd w:val="clear" w:color="auto" w:fill="D9D9D9" w:themeFill="background1" w:themeFillShade="D9"/>
      </w:pPr>
      <w:r>
        <w:t>Artikel 3.4s</w:t>
      </w:r>
    </w:p>
    <w:p w:rsidR="001114BD" w:rsidRDefault="001114BD" w:rsidP="001114BD">
      <w:pPr>
        <w:pStyle w:val="artplat"/>
        <w:shd w:val="clear" w:color="auto" w:fill="D9D9D9" w:themeFill="background1" w:themeFillShade="D9"/>
        <w:suppressAutoHyphens/>
        <w:rPr>
          <w:rFonts w:cs="Arial"/>
        </w:rPr>
      </w:pPr>
      <w:r>
        <w:rPr>
          <w:rFonts w:cs="Arial"/>
        </w:rPr>
        <w:t>Indien reinigingswerkzaamheden of conserveringswerkzaamheden worden uitgevoerd aan een vast object dat door het aanbrengen van een hulpconstructie beperkt stabiel wordt, omsluit de hulpconstructie in afwijking van de artikelen 3.4l tot en met 3.4p de ruimte waarin wordt gewerkt zoveel mogelijk.</w:t>
      </w:r>
    </w:p>
    <w:p w:rsidR="001114BD" w:rsidRDefault="001114BD" w:rsidP="001114BD">
      <w:pPr>
        <w:shd w:val="clear" w:color="auto" w:fill="D9D9D9" w:themeFill="background1" w:themeFillShade="D9"/>
      </w:pPr>
    </w:p>
    <w:p w:rsidR="001114BD" w:rsidRDefault="001114BD" w:rsidP="001114BD">
      <w:pPr>
        <w:pStyle w:val="artikelkop"/>
        <w:shd w:val="clear" w:color="auto" w:fill="D9D9D9" w:themeFill="background1" w:themeFillShade="D9"/>
      </w:pPr>
      <w:r>
        <w:t>Artikel 3.4h</w:t>
      </w:r>
    </w:p>
    <w:p w:rsidR="001114BD" w:rsidRDefault="001114BD" w:rsidP="001114BD">
      <w:pPr>
        <w:pStyle w:val="artplat"/>
        <w:shd w:val="clear" w:color="auto" w:fill="D9D9D9" w:themeFill="background1" w:themeFillShade="D9"/>
        <w:suppressAutoHyphens/>
        <w:rPr>
          <w:rFonts w:cs="Arial"/>
        </w:rPr>
      </w:pPr>
      <w:r>
        <w:rPr>
          <w:rFonts w:cs="Arial"/>
        </w:rPr>
        <w:t xml:space="preserve">In deze paragraaf wordt verstaan onder: </w:t>
      </w:r>
    </w:p>
    <w:p w:rsidR="001114BD" w:rsidRDefault="001114BD" w:rsidP="001114BD">
      <w:pPr>
        <w:pStyle w:val="artplatletter"/>
        <w:shd w:val="clear" w:color="auto" w:fill="D9D9D9" w:themeFill="background1" w:themeFillShade="D9"/>
        <w:suppressAutoHyphens/>
        <w:rPr>
          <w:rFonts w:cs="Arial"/>
        </w:rPr>
      </w:pPr>
      <w:r>
        <w:rPr>
          <w:rFonts w:cs="Arial"/>
        </w:rPr>
        <w:t>a.</w:t>
      </w:r>
      <w:r>
        <w:rPr>
          <w:rFonts w:cs="Arial"/>
        </w:rPr>
        <w:tab/>
        <w:t xml:space="preserve">hulpconstructie: constructie waarop of waarin reinigings- of conserveringswerkzaamheden aan een vast object plaatsvinden; </w:t>
      </w:r>
    </w:p>
    <w:p w:rsidR="001114BD" w:rsidRDefault="001114BD" w:rsidP="001114BD">
      <w:pPr>
        <w:pStyle w:val="artplatletter"/>
        <w:shd w:val="clear" w:color="auto" w:fill="D9D9D9" w:themeFill="background1" w:themeFillShade="D9"/>
        <w:suppressAutoHyphens/>
        <w:rPr>
          <w:rFonts w:cs="Arial"/>
        </w:rPr>
      </w:pPr>
      <w:r>
        <w:rPr>
          <w:rFonts w:cs="Arial"/>
        </w:rPr>
        <w:t>b.</w:t>
      </w:r>
      <w:r>
        <w:rPr>
          <w:rFonts w:cs="Arial"/>
        </w:rPr>
        <w:tab/>
        <w:t xml:space="preserve">stofdichte wand: afdichting gericht op het voorkomen van emissie van stofdelen uit de hulpconstructie; </w:t>
      </w:r>
    </w:p>
    <w:p w:rsidR="001114BD" w:rsidRDefault="001114BD" w:rsidP="001114BD">
      <w:pPr>
        <w:pStyle w:val="artplatletter"/>
        <w:shd w:val="clear" w:color="auto" w:fill="D9D9D9" w:themeFill="background1" w:themeFillShade="D9"/>
        <w:suppressAutoHyphens/>
        <w:rPr>
          <w:rFonts w:cs="Arial"/>
        </w:rPr>
      </w:pPr>
      <w:r>
        <w:rPr>
          <w:rFonts w:cs="Arial"/>
        </w:rPr>
        <w:t>c.</w:t>
      </w:r>
      <w:r>
        <w:rPr>
          <w:rFonts w:cs="Arial"/>
        </w:rPr>
        <w:tab/>
        <w:t xml:space="preserve">vloeistofdichte wand: afdichting gericht op het voorkomen van emissie van vloeistof of nevel uit de hulpconstructie; </w:t>
      </w:r>
    </w:p>
    <w:p w:rsidR="001114BD" w:rsidRDefault="001114BD" w:rsidP="001114BD">
      <w:pPr>
        <w:pStyle w:val="artplatletter"/>
        <w:shd w:val="clear" w:color="auto" w:fill="D9D9D9" w:themeFill="background1" w:themeFillShade="D9"/>
        <w:suppressAutoHyphens/>
        <w:rPr>
          <w:rFonts w:cs="Arial"/>
        </w:rPr>
      </w:pPr>
      <w:r>
        <w:rPr>
          <w:rFonts w:cs="Arial"/>
        </w:rPr>
        <w:t>d.</w:t>
      </w:r>
      <w:r>
        <w:rPr>
          <w:rFonts w:cs="Arial"/>
        </w:rPr>
        <w:tab/>
        <w:t xml:space="preserve">winddichte wand: afdichting gericht op het voorkomen van invloed van wind op de emissie van stofdelen, vloeistof of nevel uit de hulpconstructie; </w:t>
      </w:r>
    </w:p>
    <w:p w:rsidR="001114BD" w:rsidRDefault="001114BD" w:rsidP="001114BD">
      <w:pPr>
        <w:pStyle w:val="artplatletter"/>
        <w:shd w:val="clear" w:color="auto" w:fill="D9D9D9" w:themeFill="background1" w:themeFillShade="D9"/>
        <w:suppressAutoHyphens/>
        <w:rPr>
          <w:rFonts w:cs="Arial"/>
        </w:rPr>
      </w:pPr>
      <w:r>
        <w:rPr>
          <w:rFonts w:cs="Arial"/>
        </w:rPr>
        <w:t>e.</w:t>
      </w:r>
      <w:r>
        <w:rPr>
          <w:rFonts w:cs="Arial"/>
        </w:rPr>
        <w:tab/>
        <w:t>stoffen: afvalstoffen, verontreinigende of schadelijke stoffen, die bij reinigings- of conserveringswerkzaamheden worden gebruikt dan wel van het vast object vrijkomen.</w:t>
      </w:r>
    </w:p>
    <w:p w:rsidR="001114BD" w:rsidRDefault="001114BD" w:rsidP="001114BD">
      <w:pPr>
        <w:pStyle w:val="artikelkop"/>
        <w:shd w:val="clear" w:color="auto" w:fill="D9D9D9" w:themeFill="background1" w:themeFillShade="D9"/>
      </w:pPr>
      <w:r>
        <w:t>Artikel 3.4i</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Als reinigingswerkzaamheden als bedoeld in artikel 3.6a, tweede lid, van het besluit worden aangewezen:</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R1 technieken;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R2 technieken;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R3 technieken;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R4 technieken;</w:t>
      </w:r>
    </w:p>
    <w:p w:rsidR="001114BD" w:rsidRDefault="001114BD" w:rsidP="001114BD">
      <w:pPr>
        <w:pStyle w:val="art2enivo"/>
        <w:shd w:val="clear" w:color="auto" w:fill="D9D9D9" w:themeFill="background1" w:themeFillShade="D9"/>
        <w:suppressAutoHyphens/>
        <w:rPr>
          <w:rFonts w:cs="Arial"/>
        </w:rPr>
      </w:pPr>
      <w:r>
        <w:rPr>
          <w:rFonts w:cs="Arial"/>
        </w:rPr>
        <w:t>e.</w:t>
      </w:r>
      <w:r>
        <w:rPr>
          <w:rFonts w:cs="Arial"/>
        </w:rPr>
        <w:tab/>
        <w:t>R5 technieken.</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Als R1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afwassen met water;</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schoonspuiten met water onder een druk van ten hoogste 200 bar zonder toevoeging van ontvetters;</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stoomreinigen onder een druk van ten hoogste 200 bar zonder toevoeging van ontvetters;</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ontvetten met doeken en een ontvetter.</w:t>
      </w:r>
    </w:p>
    <w:p w:rsidR="001114BD" w:rsidRDefault="001114BD" w:rsidP="001114BD">
      <w:pPr>
        <w:pStyle w:val="art1enivo"/>
        <w:shd w:val="clear" w:color="auto" w:fill="D9D9D9" w:themeFill="background1" w:themeFillShade="D9"/>
        <w:suppressAutoHyphens/>
        <w:rPr>
          <w:rFonts w:cs="Arial"/>
        </w:rPr>
      </w:pPr>
      <w:r>
        <w:rPr>
          <w:rFonts w:cs="Arial"/>
        </w:rPr>
        <w:t>3.</w:t>
      </w:r>
      <w:r>
        <w:rPr>
          <w:rFonts w:cs="Arial"/>
        </w:rPr>
        <w:tab/>
        <w:t>Als R2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bevochtigd handmatig schuren met schuurpapier of met een handschuurapparaat;</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borstelen;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beitelen;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bikken;</w:t>
      </w:r>
    </w:p>
    <w:p w:rsidR="001114BD" w:rsidRDefault="001114BD" w:rsidP="001114BD">
      <w:pPr>
        <w:pStyle w:val="art2enivo"/>
        <w:shd w:val="clear" w:color="auto" w:fill="D9D9D9" w:themeFill="background1" w:themeFillShade="D9"/>
        <w:suppressAutoHyphens/>
        <w:rPr>
          <w:rFonts w:cs="Arial"/>
        </w:rPr>
      </w:pPr>
      <w:r>
        <w:rPr>
          <w:rFonts w:cs="Arial"/>
        </w:rPr>
        <w:t>e.</w:t>
      </w:r>
      <w:r>
        <w:rPr>
          <w:rFonts w:cs="Arial"/>
        </w:rPr>
        <w:tab/>
        <w:t>schrapen;</w:t>
      </w:r>
    </w:p>
    <w:p w:rsidR="001114BD" w:rsidRDefault="001114BD" w:rsidP="001114BD">
      <w:pPr>
        <w:pStyle w:val="art2enivo"/>
        <w:shd w:val="clear" w:color="auto" w:fill="D9D9D9" w:themeFill="background1" w:themeFillShade="D9"/>
        <w:suppressAutoHyphens/>
        <w:rPr>
          <w:rFonts w:cs="Arial"/>
        </w:rPr>
      </w:pPr>
      <w:r>
        <w:rPr>
          <w:rFonts w:cs="Arial"/>
        </w:rPr>
        <w:t>f.</w:t>
      </w:r>
      <w:r>
        <w:rPr>
          <w:rFonts w:cs="Arial"/>
        </w:rPr>
        <w:tab/>
        <w:t>steken;</w:t>
      </w:r>
    </w:p>
    <w:p w:rsidR="001114BD" w:rsidRDefault="001114BD" w:rsidP="001114BD">
      <w:pPr>
        <w:pStyle w:val="art2enivo"/>
        <w:shd w:val="clear" w:color="auto" w:fill="D9D9D9" w:themeFill="background1" w:themeFillShade="D9"/>
        <w:suppressAutoHyphens/>
        <w:rPr>
          <w:rFonts w:cs="Arial"/>
        </w:rPr>
      </w:pPr>
      <w:r>
        <w:rPr>
          <w:rFonts w:cs="Arial"/>
        </w:rPr>
        <w:t>g.</w:t>
      </w:r>
      <w:r>
        <w:rPr>
          <w:rFonts w:cs="Arial"/>
        </w:rPr>
        <w:tab/>
        <w:t>slijpen;</w:t>
      </w:r>
    </w:p>
    <w:p w:rsidR="001114BD" w:rsidRDefault="001114BD" w:rsidP="001114BD">
      <w:pPr>
        <w:pStyle w:val="art2enivo"/>
        <w:shd w:val="clear" w:color="auto" w:fill="D9D9D9" w:themeFill="background1" w:themeFillShade="D9"/>
        <w:suppressAutoHyphens/>
        <w:rPr>
          <w:rFonts w:cs="Arial"/>
        </w:rPr>
      </w:pPr>
      <w:r>
        <w:rPr>
          <w:rFonts w:cs="Arial"/>
        </w:rPr>
        <w:t>h.</w:t>
      </w:r>
      <w:r>
        <w:rPr>
          <w:rFonts w:cs="Arial"/>
        </w:rPr>
        <w:tab/>
        <w:t>branden;</w:t>
      </w:r>
    </w:p>
    <w:p w:rsidR="001114BD" w:rsidRDefault="001114BD" w:rsidP="001114BD">
      <w:pPr>
        <w:pStyle w:val="art2enivo"/>
        <w:shd w:val="clear" w:color="auto" w:fill="D9D9D9" w:themeFill="background1" w:themeFillShade="D9"/>
        <w:suppressAutoHyphens/>
        <w:rPr>
          <w:rFonts w:cs="Arial"/>
        </w:rPr>
      </w:pPr>
      <w:r>
        <w:rPr>
          <w:rFonts w:cs="Arial"/>
        </w:rPr>
        <w:t>i.</w:t>
      </w:r>
      <w:r>
        <w:rPr>
          <w:rFonts w:cs="Arial"/>
        </w:rPr>
        <w:tab/>
        <w:t>afkrabben;</w:t>
      </w:r>
    </w:p>
    <w:p w:rsidR="001114BD" w:rsidRDefault="001114BD" w:rsidP="001114BD">
      <w:pPr>
        <w:pStyle w:val="art2enivo"/>
        <w:shd w:val="clear" w:color="auto" w:fill="D9D9D9" w:themeFill="background1" w:themeFillShade="D9"/>
        <w:suppressAutoHyphens/>
        <w:rPr>
          <w:rFonts w:cs="Arial"/>
        </w:rPr>
      </w:pPr>
      <w:r>
        <w:rPr>
          <w:rFonts w:cs="Arial"/>
        </w:rPr>
        <w:t>j.</w:t>
      </w:r>
      <w:r>
        <w:rPr>
          <w:rFonts w:cs="Arial"/>
        </w:rPr>
        <w:tab/>
        <w:t>gebruiken van naaldhamer of bikhamer;</w:t>
      </w:r>
    </w:p>
    <w:p w:rsidR="001114BD" w:rsidRDefault="001114BD" w:rsidP="001114BD">
      <w:pPr>
        <w:pStyle w:val="art2enivo"/>
        <w:shd w:val="clear" w:color="auto" w:fill="D9D9D9" w:themeFill="background1" w:themeFillShade="D9"/>
        <w:suppressAutoHyphens/>
        <w:rPr>
          <w:rFonts w:cs="Arial"/>
        </w:rPr>
      </w:pPr>
      <w:r>
        <w:rPr>
          <w:rFonts w:cs="Arial"/>
        </w:rPr>
        <w:t>k.</w:t>
      </w:r>
      <w:r>
        <w:rPr>
          <w:rFonts w:cs="Arial"/>
        </w:rPr>
        <w:tab/>
        <w:t>schuren of borstelen met roterende schuurmachines met bronafzuiging;</w:t>
      </w:r>
    </w:p>
    <w:p w:rsidR="001114BD" w:rsidRDefault="001114BD" w:rsidP="001114BD">
      <w:pPr>
        <w:pStyle w:val="art2enivo"/>
        <w:shd w:val="clear" w:color="auto" w:fill="D9D9D9" w:themeFill="background1" w:themeFillShade="D9"/>
        <w:suppressAutoHyphens/>
        <w:rPr>
          <w:rFonts w:cs="Arial"/>
        </w:rPr>
      </w:pPr>
      <w:r>
        <w:rPr>
          <w:rFonts w:cs="Arial"/>
        </w:rPr>
        <w:t>l.</w:t>
      </w:r>
      <w:r>
        <w:rPr>
          <w:rFonts w:cs="Arial"/>
        </w:rPr>
        <w:tab/>
        <w:t>mobiel werpstralen;</w:t>
      </w:r>
    </w:p>
    <w:p w:rsidR="001114BD" w:rsidRDefault="001114BD" w:rsidP="001114BD">
      <w:pPr>
        <w:pStyle w:val="art2enivo"/>
        <w:shd w:val="clear" w:color="auto" w:fill="D9D9D9" w:themeFill="background1" w:themeFillShade="D9"/>
        <w:suppressAutoHyphens/>
        <w:rPr>
          <w:rFonts w:cs="Arial"/>
        </w:rPr>
      </w:pPr>
      <w:r>
        <w:rPr>
          <w:rFonts w:cs="Arial"/>
        </w:rPr>
        <w:t>m.</w:t>
      </w:r>
      <w:r>
        <w:rPr>
          <w:rFonts w:cs="Arial"/>
        </w:rPr>
        <w:tab/>
        <w:t>vacuümstralen met bronafzuiging;</w:t>
      </w:r>
    </w:p>
    <w:p w:rsidR="001114BD" w:rsidRDefault="001114BD" w:rsidP="001114BD">
      <w:pPr>
        <w:pStyle w:val="art2enivo"/>
        <w:shd w:val="clear" w:color="auto" w:fill="D9D9D9" w:themeFill="background1" w:themeFillShade="D9"/>
        <w:suppressAutoHyphens/>
        <w:rPr>
          <w:rFonts w:cs="Arial"/>
        </w:rPr>
      </w:pPr>
      <w:r>
        <w:rPr>
          <w:rFonts w:cs="Arial"/>
        </w:rPr>
        <w:t>n.</w:t>
      </w:r>
      <w:r>
        <w:rPr>
          <w:rFonts w:cs="Arial"/>
        </w:rPr>
        <w:tab/>
        <w:t>afblazen met perslucht tot 8 bar.</w:t>
      </w:r>
    </w:p>
    <w:p w:rsidR="001114BD" w:rsidRDefault="001114BD" w:rsidP="001114BD">
      <w:pPr>
        <w:pStyle w:val="art1enivo"/>
        <w:shd w:val="clear" w:color="auto" w:fill="D9D9D9" w:themeFill="background1" w:themeFillShade="D9"/>
        <w:suppressAutoHyphens/>
        <w:rPr>
          <w:rFonts w:cs="Arial"/>
        </w:rPr>
      </w:pPr>
      <w:r>
        <w:rPr>
          <w:rFonts w:cs="Arial"/>
        </w:rPr>
        <w:t>4.</w:t>
      </w:r>
      <w:r>
        <w:rPr>
          <w:rFonts w:cs="Arial"/>
        </w:rPr>
        <w:tab/>
        <w:t>Als R3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droog aanstralen;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droog integraal stralen;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integraal opruwen door stralen;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roestvrij maken van oppervlakken door stralen of ministralen;</w:t>
      </w:r>
    </w:p>
    <w:p w:rsidR="001114BD" w:rsidRDefault="001114BD" w:rsidP="001114BD">
      <w:pPr>
        <w:pStyle w:val="art2enivo"/>
        <w:shd w:val="clear" w:color="auto" w:fill="D9D9D9" w:themeFill="background1" w:themeFillShade="D9"/>
        <w:suppressAutoHyphens/>
        <w:rPr>
          <w:rFonts w:cs="Arial"/>
          <w:lang w:val="en-US"/>
        </w:rPr>
      </w:pPr>
      <w:r>
        <w:rPr>
          <w:rFonts w:cs="Arial"/>
          <w:lang w:val="en-US"/>
        </w:rPr>
        <w:t>e.</w:t>
      </w:r>
      <w:r>
        <w:rPr>
          <w:rFonts w:cs="Arial"/>
          <w:lang w:val="en-US"/>
        </w:rPr>
        <w:tab/>
        <w:t>droog ijs- of CO2-stralen.</w:t>
      </w:r>
    </w:p>
    <w:p w:rsidR="001114BD" w:rsidRDefault="001114BD" w:rsidP="001114BD">
      <w:pPr>
        <w:pStyle w:val="art1enivo"/>
        <w:shd w:val="clear" w:color="auto" w:fill="D9D9D9" w:themeFill="background1" w:themeFillShade="D9"/>
        <w:suppressAutoHyphens/>
        <w:rPr>
          <w:rFonts w:cs="Arial"/>
        </w:rPr>
      </w:pPr>
      <w:r>
        <w:rPr>
          <w:rFonts w:cs="Arial"/>
        </w:rPr>
        <w:t>5.</w:t>
      </w:r>
      <w:r>
        <w:rPr>
          <w:rFonts w:cs="Arial"/>
        </w:rPr>
        <w:tab/>
        <w:t>Als R4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chemisch reinigen;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chemisch ontvetten;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schoonspuiten met water met toevoeging van ontvetters;</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stoomreinigen met toevoeging van ontvetters.</w:t>
      </w:r>
    </w:p>
    <w:p w:rsidR="001114BD" w:rsidRDefault="001114BD" w:rsidP="001114BD">
      <w:pPr>
        <w:pStyle w:val="art1enivo"/>
        <w:shd w:val="clear" w:color="auto" w:fill="D9D9D9" w:themeFill="background1" w:themeFillShade="D9"/>
        <w:suppressAutoHyphens/>
        <w:rPr>
          <w:rFonts w:cs="Arial"/>
        </w:rPr>
      </w:pPr>
      <w:r>
        <w:rPr>
          <w:rFonts w:cs="Arial"/>
        </w:rPr>
        <w:t>6.</w:t>
      </w:r>
      <w:r>
        <w:rPr>
          <w:rFonts w:cs="Arial"/>
        </w:rPr>
        <w:tab/>
        <w:t>Als R5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watergritreinigen;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lage druk watergritstralen;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lage druk vochtig stralen;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handmatig hoge druk water(grit)stralen;</w:t>
      </w:r>
    </w:p>
    <w:p w:rsidR="001114BD" w:rsidRDefault="001114BD" w:rsidP="001114BD">
      <w:pPr>
        <w:pStyle w:val="art2enivo"/>
        <w:shd w:val="clear" w:color="auto" w:fill="D9D9D9" w:themeFill="background1" w:themeFillShade="D9"/>
        <w:suppressAutoHyphens/>
        <w:rPr>
          <w:rFonts w:cs="Arial"/>
        </w:rPr>
      </w:pPr>
      <w:r>
        <w:rPr>
          <w:rFonts w:cs="Arial"/>
        </w:rPr>
        <w:t>e.</w:t>
      </w:r>
      <w:r>
        <w:rPr>
          <w:rFonts w:cs="Arial"/>
        </w:rPr>
        <w:tab/>
        <w:t>mechanisch hoge druk water(grit)stralen.</w:t>
      </w:r>
    </w:p>
    <w:p w:rsidR="001114BD" w:rsidRDefault="001114BD" w:rsidP="001114BD">
      <w:pPr>
        <w:pStyle w:val="artikelkop"/>
        <w:shd w:val="clear" w:color="auto" w:fill="D9D9D9" w:themeFill="background1" w:themeFillShade="D9"/>
      </w:pPr>
      <w:r>
        <w:t>Artikel 3.4j</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Als conserveringswerkzaamheden als bedoeld in artikel 3.6a, tweede lid van het besluit worden aangewezen:</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C1 technieken;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C2 technieken;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C3 technieken.</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Als C1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aanbrengen van verflagen of conserveringslagen met behulp van kwast, spaan of roller;</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HVLP-spuiten;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elektrostatisch spuiten;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hot elektrostatisch spuiten.</w:t>
      </w:r>
    </w:p>
    <w:p w:rsidR="001114BD" w:rsidRDefault="001114BD" w:rsidP="001114BD">
      <w:pPr>
        <w:pStyle w:val="art1enivo"/>
        <w:shd w:val="clear" w:color="auto" w:fill="D9D9D9" w:themeFill="background1" w:themeFillShade="D9"/>
        <w:suppressAutoHyphens/>
        <w:rPr>
          <w:rFonts w:cs="Arial"/>
        </w:rPr>
      </w:pPr>
      <w:r>
        <w:rPr>
          <w:rFonts w:cs="Arial"/>
        </w:rPr>
        <w:t>3.</w:t>
      </w:r>
      <w:r>
        <w:rPr>
          <w:rFonts w:cs="Arial"/>
        </w:rPr>
        <w:tab/>
        <w:t>Als C2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aanbrengen van verflagen of conserveringslagen met behulp van een kneedmortelpomp;</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 xml:space="preserve">spuiten van kleine oppervlakten; </w:t>
      </w:r>
    </w:p>
    <w:p w:rsidR="001114BD" w:rsidRDefault="001114BD" w:rsidP="001114BD">
      <w:pPr>
        <w:pStyle w:val="art1enivo"/>
        <w:shd w:val="clear" w:color="auto" w:fill="D9D9D9" w:themeFill="background1" w:themeFillShade="D9"/>
        <w:suppressAutoHyphens/>
        <w:rPr>
          <w:rFonts w:cs="Arial"/>
        </w:rPr>
      </w:pPr>
      <w:r>
        <w:rPr>
          <w:rFonts w:cs="Arial"/>
        </w:rPr>
        <w:t>4.</w:t>
      </w:r>
      <w:r>
        <w:rPr>
          <w:rFonts w:cs="Arial"/>
        </w:rPr>
        <w:tab/>
        <w:t>Als C3 technieken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airless spuiten;</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airmix spuiten;</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pneumatisch spuiten;</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twee componenten spuiten.</w:t>
      </w:r>
    </w:p>
    <w:p w:rsidR="001114BD" w:rsidRDefault="001114BD" w:rsidP="001114BD">
      <w:pPr>
        <w:pStyle w:val="artikelkop"/>
        <w:shd w:val="clear" w:color="auto" w:fill="D9D9D9" w:themeFill="background1" w:themeFillShade="D9"/>
      </w:pPr>
      <w:r>
        <w:t>Artikel 3.4k</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Als stoffen als bedoeld in artikel 3.6a, tweede lid, van het besluit worden aangewezen:</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stoffen uit categorie A;</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stoffen uit categorie B;</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stoffen uit categorie C.</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Als stoffen uit categorie A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 xml:space="preserve">basalt; </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 xml:space="preserve">beton en betonmortel; </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 xml:space="preserve">schoonmetselwerk; </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 xml:space="preserve">cementgebonden deklagen; </w:t>
      </w:r>
    </w:p>
    <w:p w:rsidR="001114BD" w:rsidRDefault="001114BD" w:rsidP="001114BD">
      <w:pPr>
        <w:pStyle w:val="art2enivo"/>
        <w:shd w:val="clear" w:color="auto" w:fill="D9D9D9" w:themeFill="background1" w:themeFillShade="D9"/>
        <w:suppressAutoHyphens/>
        <w:rPr>
          <w:rFonts w:cs="Arial"/>
        </w:rPr>
      </w:pPr>
      <w:r>
        <w:rPr>
          <w:rFonts w:cs="Arial"/>
        </w:rPr>
        <w:t>e.</w:t>
      </w:r>
      <w:r>
        <w:rPr>
          <w:rFonts w:cs="Arial"/>
        </w:rPr>
        <w:tab/>
        <w:t xml:space="preserve">niet verduurzaamd hout; </w:t>
      </w:r>
    </w:p>
    <w:p w:rsidR="001114BD" w:rsidRDefault="001114BD" w:rsidP="001114BD">
      <w:pPr>
        <w:pStyle w:val="art2enivo"/>
        <w:shd w:val="clear" w:color="auto" w:fill="D9D9D9" w:themeFill="background1" w:themeFillShade="D9"/>
        <w:suppressAutoHyphens/>
        <w:rPr>
          <w:rFonts w:cs="Arial"/>
        </w:rPr>
      </w:pPr>
      <w:r>
        <w:rPr>
          <w:rFonts w:cs="Arial"/>
        </w:rPr>
        <w:t>f.</w:t>
      </w:r>
      <w:r>
        <w:rPr>
          <w:rFonts w:cs="Arial"/>
        </w:rPr>
        <w:tab/>
        <w:t xml:space="preserve">steenachtige ondergronden; </w:t>
      </w:r>
    </w:p>
    <w:p w:rsidR="001114BD" w:rsidRDefault="001114BD" w:rsidP="001114BD">
      <w:pPr>
        <w:pStyle w:val="art2enivo"/>
        <w:shd w:val="clear" w:color="auto" w:fill="D9D9D9" w:themeFill="background1" w:themeFillShade="D9"/>
        <w:suppressAutoHyphens/>
        <w:rPr>
          <w:rFonts w:cs="Arial"/>
        </w:rPr>
      </w:pPr>
      <w:r>
        <w:rPr>
          <w:rFonts w:cs="Arial"/>
        </w:rPr>
        <w:t>g.</w:t>
      </w:r>
      <w:r>
        <w:rPr>
          <w:rFonts w:cs="Arial"/>
        </w:rPr>
        <w:tab/>
        <w:t>metallische ondergronden met uitzondering van zink, tin, koper of legeringen van die metalen.</w:t>
      </w:r>
    </w:p>
    <w:p w:rsidR="001114BD" w:rsidRDefault="001114BD" w:rsidP="001114BD">
      <w:pPr>
        <w:pStyle w:val="art1enivo"/>
        <w:shd w:val="clear" w:color="auto" w:fill="D9D9D9" w:themeFill="background1" w:themeFillShade="D9"/>
        <w:suppressAutoHyphens/>
        <w:rPr>
          <w:rFonts w:cs="Arial"/>
        </w:rPr>
      </w:pPr>
      <w:r>
        <w:rPr>
          <w:rFonts w:cs="Arial"/>
        </w:rPr>
        <w:t>3.</w:t>
      </w:r>
      <w:r>
        <w:rPr>
          <w:rFonts w:cs="Arial"/>
        </w:rPr>
        <w:tab/>
        <w:t>Als stoffen uit categorie C worden aangemerkt:</w:t>
      </w:r>
    </w:p>
    <w:p w:rsidR="001114BD" w:rsidRDefault="001114BD" w:rsidP="001114BD">
      <w:pPr>
        <w:pStyle w:val="art2enivo"/>
        <w:shd w:val="clear" w:color="auto" w:fill="D9D9D9" w:themeFill="background1" w:themeFillShade="D9"/>
        <w:suppressAutoHyphens/>
        <w:rPr>
          <w:rFonts w:cs="Arial"/>
        </w:rPr>
      </w:pPr>
      <w:r>
        <w:rPr>
          <w:rFonts w:cs="Arial"/>
        </w:rPr>
        <w:t>a.</w:t>
      </w:r>
      <w:r>
        <w:rPr>
          <w:rFonts w:cs="Arial"/>
        </w:rPr>
        <w:tab/>
        <w:t xml:space="preserve">koolteer of koolteerderivaten; </w:t>
      </w:r>
    </w:p>
    <w:p w:rsidR="001114BD" w:rsidRDefault="001114BD" w:rsidP="001114BD">
      <w:pPr>
        <w:pStyle w:val="art2enivo"/>
        <w:shd w:val="clear" w:color="auto" w:fill="D9D9D9" w:themeFill="background1" w:themeFillShade="D9"/>
        <w:suppressAutoHyphens/>
        <w:rPr>
          <w:rFonts w:cs="Arial"/>
        </w:rPr>
      </w:pPr>
      <w:r>
        <w:rPr>
          <w:rFonts w:cs="Arial"/>
        </w:rPr>
        <w:t>b.</w:t>
      </w:r>
      <w:r>
        <w:rPr>
          <w:rFonts w:cs="Arial"/>
        </w:rPr>
        <w:tab/>
        <w:t xml:space="preserve">lood- of chromaathoudende pigmenten; </w:t>
      </w:r>
    </w:p>
    <w:p w:rsidR="001114BD" w:rsidRDefault="001114BD" w:rsidP="001114BD">
      <w:pPr>
        <w:pStyle w:val="art2enivo"/>
        <w:shd w:val="clear" w:color="auto" w:fill="D9D9D9" w:themeFill="background1" w:themeFillShade="D9"/>
        <w:suppressAutoHyphens/>
        <w:rPr>
          <w:rFonts w:cs="Arial"/>
        </w:rPr>
      </w:pPr>
      <w:r>
        <w:rPr>
          <w:rFonts w:cs="Arial"/>
        </w:rPr>
        <w:t>c.</w:t>
      </w:r>
      <w:r>
        <w:rPr>
          <w:rFonts w:cs="Arial"/>
        </w:rPr>
        <w:tab/>
        <w:t>antifoulings;</w:t>
      </w:r>
    </w:p>
    <w:p w:rsidR="001114BD" w:rsidRDefault="001114BD" w:rsidP="001114BD">
      <w:pPr>
        <w:pStyle w:val="art2enivo"/>
        <w:shd w:val="clear" w:color="auto" w:fill="D9D9D9" w:themeFill="background1" w:themeFillShade="D9"/>
        <w:suppressAutoHyphens/>
        <w:rPr>
          <w:rFonts w:cs="Arial"/>
        </w:rPr>
      </w:pPr>
      <w:r>
        <w:rPr>
          <w:rFonts w:cs="Arial"/>
        </w:rPr>
        <w:t>d.</w:t>
      </w:r>
      <w:r>
        <w:rPr>
          <w:rFonts w:cs="Arial"/>
        </w:rPr>
        <w:tab/>
        <w:t>andere verven op basis van cadmium, tin of kwik dan genoemd in de onderdelen a tot en met c van dit lid.</w:t>
      </w:r>
    </w:p>
    <w:p w:rsidR="001114BD" w:rsidRDefault="001114BD" w:rsidP="001114BD">
      <w:pPr>
        <w:pStyle w:val="art1enivo"/>
        <w:shd w:val="clear" w:color="auto" w:fill="D9D9D9" w:themeFill="background1" w:themeFillShade="D9"/>
        <w:suppressAutoHyphens/>
        <w:rPr>
          <w:rFonts w:cs="Arial"/>
        </w:rPr>
      </w:pPr>
      <w:r>
        <w:rPr>
          <w:rFonts w:cs="Arial"/>
        </w:rPr>
        <w:t>4.</w:t>
      </w:r>
      <w:r>
        <w:rPr>
          <w:rFonts w:cs="Arial"/>
        </w:rPr>
        <w:tab/>
        <w:t>Als stoffen uit categorie B worden aangemerkt stoffen die niet zijn aangemerkt als stoffen uit categorie A of C.</w:t>
      </w:r>
    </w:p>
    <w:p w:rsidR="001114BD" w:rsidRDefault="001114BD" w:rsidP="001114BD">
      <w:pPr>
        <w:pStyle w:val="artikelkop"/>
        <w:shd w:val="clear" w:color="auto" w:fill="D9D9D9" w:themeFill="background1" w:themeFillShade="D9"/>
      </w:pPr>
      <w:r>
        <w:t>Artikel 3.4l</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Indien reinigingswerkzaamheden worden uitgevoerd met behulp van een R1-techniek dan wel conserveringswerkzaamheden worden uitgevoerd waarbij geen stoffen uit categorie B of C worden gebruikt, behoeft, onverminderd artikel 2.1, een eventueel aanwezige hulpconstructie geen voorzieningen te bevatten ter voorkoming van het lozen in een oppervlaktewaterlichaam.</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Indien reinigingswerkzaamheden worden uitgevoerd met behulp van een R1-, R2- of R3-techniek dan wel conserveringswerkzaamheden worden uitgevoerd waarbij geen stoffen uit categorie B of C worden gebruikt, en de afstand van het te behandelen deel van het oppervlak tot het wateroppervlak minder dan 50 centimeter bedraagt, behoeft, onverminderd artikel 2.1, een eventueel aanwezige hulpconstructie geen voorzieningen te bevatten ter voorkoming van het lozen in een oppervlaktewaterlichaam.</w:t>
      </w:r>
    </w:p>
    <w:p w:rsidR="001114BD" w:rsidRDefault="001114BD" w:rsidP="001114BD">
      <w:pPr>
        <w:pStyle w:val="artikelkop"/>
        <w:shd w:val="clear" w:color="auto" w:fill="D9D9D9" w:themeFill="background1" w:themeFillShade="D9"/>
      </w:pPr>
      <w:r>
        <w:t>Artikel 3.4m</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Indien reinigingswerkzaamheden worden uitgevoerd met behulp van een R2 techniek dan wel conserveringswerkzaamheden worden uitgevoerd met behulp van een C1 techniek waarbij een stof uit categorie B wordt gebruikt, worden die werkzaamheden uitgevoerd boven een hulpconstructie waarvan de vloer stofdicht is, is voorzien van opstaande randen met een hoogte van ten minste 20 centimeter en voor zover mogelijk aan alle zijden uitsteekt buiten het te behandelen object</w:t>
      </w:r>
      <w:r>
        <w:rPr>
          <w:rStyle w:val="apple-style-span"/>
          <w:rFonts w:cs="Arial"/>
          <w:color w:val="000000"/>
          <w:sz w:val="14"/>
          <w:szCs w:val="14"/>
        </w:rPr>
        <w:t>.</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Indien conserveringswerkzaamheden worden uitgevoerd met behulp van een C1-techniek waarbij een stof uit categorie C wordt gebruikt en bij een windsnelheid hoger dan 8 meter per seconde, wordt de hulpconstructie als bedoeld in het eerste lid ten minste uitgebreid met zijwanden van gaasnetten met een maaswijdte van ten hoogste 0,4 bij 0,4 millimeter of zeilen, die aansluiten op de vloer en minimaal 1 meter boven het te behandelen deel van het object uitsteken.</w:t>
      </w:r>
    </w:p>
    <w:p w:rsidR="001114BD" w:rsidRDefault="001114BD" w:rsidP="001114BD">
      <w:pPr>
        <w:pStyle w:val="artikelkop"/>
        <w:shd w:val="clear" w:color="auto" w:fill="D9D9D9" w:themeFill="background1" w:themeFillShade="D9"/>
      </w:pPr>
      <w:r>
        <w:t>Artikel 3.4n</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Indien reinigingswerkzaamheden worden uitgevoerd met behulp van een R3-techniek, waarbij een stof uit categorie A vrijkomt wordt in aanvulling op de maatregelen bedoeld in artikel 3.4m, tweede lid, de hulpconstructie ook aan de bovenzijde afgesloten.</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Indien reinigingswerkzaamheden worden uitgevoerd met behulp van een R3-techniek, waarbij een metallisch straalmiddel wordt gebruikt en een stof uit categorie B vrijkomt, worden de zijwanden en bovenafsluiting van de hulpconstructie als bedoeld in het eerste lid winddicht uitgevoerd.</w:t>
      </w:r>
    </w:p>
    <w:p w:rsidR="001114BD" w:rsidRDefault="001114BD" w:rsidP="001114BD">
      <w:pPr>
        <w:pStyle w:val="art1enivo"/>
        <w:shd w:val="clear" w:color="auto" w:fill="D9D9D9" w:themeFill="background1" w:themeFillShade="D9"/>
        <w:suppressAutoHyphens/>
        <w:rPr>
          <w:rFonts w:cs="Arial"/>
        </w:rPr>
      </w:pPr>
      <w:r>
        <w:rPr>
          <w:rFonts w:cs="Arial"/>
        </w:rPr>
        <w:t>3.</w:t>
      </w:r>
      <w:r>
        <w:rPr>
          <w:rFonts w:cs="Arial"/>
        </w:rPr>
        <w:tab/>
        <w:t>Indien reinigingswerkzaamheden worden uitgevoerd met behulp van een R3-techniek waarbij smeltslakgrit of een mineraal straalmiddel wordt gebruikt en een stof uit categorie B vrijkomt dan wel waarbij metallisch straalmiddel wordt gebruikt en een stof uit categorie C vrijkomt, wordt in aanvulling op het tweede lid tijdens de werkzaamheden gezorgd voor een permanente onderdruk in de hulpconstructie. In de daarbij geëmitteerde lucht mag het stofgehalte niet meer bedragen dan 10 mg/Nm3, bepaald volgens NEN-EN 9096.</w:t>
      </w:r>
    </w:p>
    <w:p w:rsidR="001114BD" w:rsidRDefault="001114BD" w:rsidP="001114BD">
      <w:pPr>
        <w:pStyle w:val="art1enivo"/>
        <w:shd w:val="clear" w:color="auto" w:fill="D9D9D9" w:themeFill="background1" w:themeFillShade="D9"/>
        <w:suppressAutoHyphens/>
        <w:rPr>
          <w:rFonts w:cs="Arial"/>
        </w:rPr>
      </w:pPr>
      <w:r>
        <w:rPr>
          <w:rFonts w:cs="Arial"/>
        </w:rPr>
        <w:t>4.</w:t>
      </w:r>
      <w:r>
        <w:rPr>
          <w:rFonts w:cs="Arial"/>
        </w:rPr>
        <w:tab/>
        <w:t>Indien reinigingswerkzaamheden worden uitgevoerd met behulp van een R3-techniek, waarbij smeltslakgrit of een mineraal straalmiddel wordt gebruikt en een stof uit categorie C vrijkomt dan wel conserveringswerkzaamheden die worden uitgevoerd met behulp van een C3-techniek, waarbij een stof uit categorie C wordt gebruikt, worden in aanvulling op het derde lid, de zijwanden en bovenzijde van de hulpconstructie als bedoeld in het derde lid, stofdicht uitgevoerd.</w:t>
      </w:r>
    </w:p>
    <w:p w:rsidR="001114BD" w:rsidRDefault="001114BD" w:rsidP="001114BD">
      <w:pPr>
        <w:pStyle w:val="artikelkop"/>
        <w:shd w:val="clear" w:color="auto" w:fill="D9D9D9" w:themeFill="background1" w:themeFillShade="D9"/>
      </w:pPr>
      <w:r>
        <w:t>Artikel 3.4o</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rPr>
        <w:tab/>
        <w:t>Indien reinigingswerkzaamheden worden uitgevoerd met behulp van een R4 techniek wordt de vloer van de hulpconstructie als bedoeld in artikel 3.4m, eerste lid vloeistofdicht uitgevoerd en wordt de hulpconstructie uitgebreid met zijwanden van gaasnetten met een maaswijdte van ten hoogste 0,4 bij 0,4 millimeter, die aansluiten op de vloer en minimaal 1 meter boven het te behandelen deel van het object uitsteken.</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Bij het lozen van de in de hulpconstructie opgevangen vloeistof bedraagt het gehalte aan onopgeloste bestanddelen niet meer dan 50 milligram per liter.</w:t>
      </w:r>
    </w:p>
    <w:p w:rsidR="001114BD" w:rsidRDefault="001114BD" w:rsidP="001114BD">
      <w:pPr>
        <w:pStyle w:val="artikelkop"/>
        <w:shd w:val="clear" w:color="auto" w:fill="D9D9D9" w:themeFill="background1" w:themeFillShade="D9"/>
      </w:pPr>
      <w:r>
        <w:t>Artikel 3.4p</w:t>
      </w:r>
    </w:p>
    <w:p w:rsidR="001114BD" w:rsidRDefault="001114BD" w:rsidP="001114BD">
      <w:pPr>
        <w:pStyle w:val="art1enivo"/>
        <w:shd w:val="clear" w:color="auto" w:fill="D9D9D9" w:themeFill="background1" w:themeFillShade="D9"/>
        <w:suppressAutoHyphens/>
        <w:rPr>
          <w:rFonts w:cs="Arial"/>
        </w:rPr>
      </w:pPr>
      <w:r>
        <w:rPr>
          <w:rFonts w:cs="Arial"/>
        </w:rPr>
        <w:t>1.</w:t>
      </w:r>
      <w:r>
        <w:rPr>
          <w:rFonts w:cs="Arial"/>
          <w:b/>
        </w:rPr>
        <w:tab/>
      </w:r>
      <w:r>
        <w:rPr>
          <w:rFonts w:cs="Arial"/>
        </w:rPr>
        <w:t>Indien reinigingswerkzaamheden worden uitgevoerd met behulp van een R5-techniek waarbij een stof uit categorie A vrijkomt is artikel 3.4o van overeenkomstige toepassing.</w:t>
      </w:r>
    </w:p>
    <w:p w:rsidR="001114BD" w:rsidRDefault="001114BD" w:rsidP="001114BD">
      <w:pPr>
        <w:pStyle w:val="art1enivo"/>
        <w:shd w:val="clear" w:color="auto" w:fill="D9D9D9" w:themeFill="background1" w:themeFillShade="D9"/>
        <w:suppressAutoHyphens/>
        <w:rPr>
          <w:rFonts w:cs="Arial"/>
        </w:rPr>
      </w:pPr>
      <w:r>
        <w:rPr>
          <w:rFonts w:cs="Arial"/>
        </w:rPr>
        <w:t>2.</w:t>
      </w:r>
      <w:r>
        <w:rPr>
          <w:rFonts w:cs="Arial"/>
        </w:rPr>
        <w:tab/>
        <w:t>Indien reinigingswerkzaamheden worden uitgevoerd met behulp van een R5-techniek waarbij smeltslakgrit of mineraal straalmiddel wordt gebruikt, wordt de hulpconstructie als bedoeld in artikel 3.4o ook aan de bovenzijde afgesloten.</w:t>
      </w:r>
    </w:p>
    <w:p w:rsidR="001114BD" w:rsidRDefault="001114BD" w:rsidP="001114BD">
      <w:pPr>
        <w:pStyle w:val="art1enivo"/>
        <w:shd w:val="clear" w:color="auto" w:fill="D9D9D9" w:themeFill="background1" w:themeFillShade="D9"/>
        <w:suppressAutoHyphens/>
        <w:rPr>
          <w:rFonts w:cs="Arial"/>
        </w:rPr>
      </w:pPr>
      <w:r>
        <w:rPr>
          <w:rFonts w:cs="Arial"/>
        </w:rPr>
        <w:t>3.</w:t>
      </w:r>
      <w:r>
        <w:rPr>
          <w:rFonts w:cs="Arial"/>
        </w:rPr>
        <w:tab/>
        <w:t>Indien reinigingswerkzaamheden worden uitgevoerd met behulp van een R5-techniek, waarbij een stof uit categorie B vrijkomt of conserveringswerkzaamheden worden uitgevoerd met behulp van een C2-techniek waarbij een stof uit categorie B wordt gebruikt, worden de zijwanden en de bovenzijde als bedoeld in het tweede lid, vloeistofdicht uitgevoerd.</w:t>
      </w:r>
    </w:p>
    <w:p w:rsidR="001114BD" w:rsidRDefault="001114BD" w:rsidP="001114BD">
      <w:pPr>
        <w:pStyle w:val="art1enivo"/>
        <w:shd w:val="clear" w:color="auto" w:fill="D9D9D9" w:themeFill="background1" w:themeFillShade="D9"/>
        <w:suppressAutoHyphens/>
        <w:rPr>
          <w:rFonts w:cs="Arial"/>
        </w:rPr>
      </w:pPr>
      <w:r>
        <w:rPr>
          <w:rFonts w:cs="Arial"/>
        </w:rPr>
        <w:t>4.</w:t>
      </w:r>
      <w:r>
        <w:rPr>
          <w:rFonts w:cs="Arial"/>
        </w:rPr>
        <w:tab/>
        <w:t>Indien reinigingswerkzaamheden worden uitgevoerd met behulp van een R5-techniek waarbij een stof uit categorie C vrijkomt of conserveringswerkzaamheden worden uitgevoerd met behulp van een C2-techniek waarbij een stof uit categorie C wordt gebruikt of conserveringswerkzaamheden worden uitgevoerd met behulp van een C3-techniek waarbij een stof uit categorie B wordt gebruikt, wordt in aanvulling op het derde lid tijdens de werkzaamheden gezorgd voor een permanente onderdruk in de hulpconstructie. In de daarbij geëmitteerde lucht bedraagt het stofgehalte niet meer dan 10 mg/Nm</w:t>
      </w:r>
      <w:r>
        <w:rPr>
          <w:rFonts w:cs="Arial"/>
          <w:vertAlign w:val="superscript"/>
        </w:rPr>
        <w:t>3</w:t>
      </w:r>
      <w:r>
        <w:rPr>
          <w:rFonts w:cs="Arial"/>
        </w:rPr>
        <w:t>, bepaald volgens NEN-EN 9096.</w:t>
      </w:r>
    </w:p>
    <w:p w:rsidR="001114BD" w:rsidRDefault="001114BD" w:rsidP="001114BD">
      <w:pPr>
        <w:pStyle w:val="artikelkop"/>
        <w:shd w:val="clear" w:color="auto" w:fill="D9D9D9" w:themeFill="background1" w:themeFillShade="D9"/>
      </w:pPr>
      <w:r>
        <w:t>Artikel 3.4q</w:t>
      </w:r>
    </w:p>
    <w:p w:rsidR="001114BD" w:rsidRDefault="001114BD" w:rsidP="001114BD">
      <w:pPr>
        <w:pStyle w:val="artplat"/>
        <w:shd w:val="clear" w:color="auto" w:fill="D9D9D9" w:themeFill="background1" w:themeFillShade="D9"/>
        <w:suppressAutoHyphens/>
        <w:rPr>
          <w:rFonts w:cs="Arial"/>
        </w:rPr>
      </w:pPr>
      <w:r>
        <w:rPr>
          <w:rFonts w:cs="Arial"/>
        </w:rPr>
        <w:t>Indien reinigingswerkzaamheden of conserveringswerkzaamheden worden uitgevoerd aan spoorbruggen, bevat de hulpconstructie in afwijking van de artikelen 3.4l tot en met 3.4p aan de bovenzijde geen hulpconstructie en aan de in- en uitrijrichting geen zijwand en lopen de zijwanden maximaal twee meter boven het te behandelen deel van het object door.</w:t>
      </w:r>
    </w:p>
    <w:p w:rsidR="001114BD" w:rsidRDefault="001114BD" w:rsidP="001114BD">
      <w:pPr>
        <w:pStyle w:val="artikelkop"/>
        <w:shd w:val="clear" w:color="auto" w:fill="D9D9D9" w:themeFill="background1" w:themeFillShade="D9"/>
      </w:pPr>
      <w:r>
        <w:t>Artikel 3.4r</w:t>
      </w:r>
    </w:p>
    <w:p w:rsidR="001114BD" w:rsidRDefault="001114BD" w:rsidP="001114BD">
      <w:pPr>
        <w:pStyle w:val="artplat"/>
        <w:shd w:val="clear" w:color="auto" w:fill="D9D9D9" w:themeFill="background1" w:themeFillShade="D9"/>
        <w:suppressAutoHyphens/>
        <w:rPr>
          <w:rFonts w:cs="Arial"/>
        </w:rPr>
      </w:pPr>
      <w:r>
        <w:rPr>
          <w:rFonts w:cs="Arial"/>
        </w:rPr>
        <w:t>Indien reinigingswerkzaamheden of conserveringswerkzaamheden worden uitgevoerd aan vaste objecten die direct in contact staan met een oppervlaktewaterlichaam, omsluit de hulpconstructie in afwijking van de artikelen 3.4l tot en met 3.4p de ruimte waarin wordt gewerkt zoveel mogelijk.</w:t>
      </w:r>
    </w:p>
    <w:p w:rsidR="001114BD" w:rsidRDefault="001114BD" w:rsidP="001114BD">
      <w:pPr>
        <w:pStyle w:val="artikelkop"/>
        <w:shd w:val="clear" w:color="auto" w:fill="D9D9D9" w:themeFill="background1" w:themeFillShade="D9"/>
      </w:pPr>
      <w:r>
        <w:t>Artikel 3.4s</w:t>
      </w:r>
    </w:p>
    <w:p w:rsidR="001114BD" w:rsidRDefault="001114BD" w:rsidP="001114BD">
      <w:pPr>
        <w:pStyle w:val="artplat"/>
        <w:shd w:val="clear" w:color="auto" w:fill="D9D9D9" w:themeFill="background1" w:themeFillShade="D9"/>
        <w:suppressAutoHyphens/>
        <w:rPr>
          <w:rFonts w:cs="Arial"/>
        </w:rPr>
      </w:pPr>
      <w:r>
        <w:rPr>
          <w:rFonts w:cs="Arial"/>
        </w:rPr>
        <w:t>Indien reinigingswerkzaamheden of conserveringswerkzaamheden worden uitgevoerd aan een vast object dat door het aanbrengen van een hulpconstructie beperkt stabiel wordt, omsluit de hulpconstructie in afwijking van de artikelen 3.4l tot en met 3.4p de ruimte waarin wordt gewerkt zoveel mogelijk.</w:t>
      </w:r>
    </w:p>
    <w:p w:rsidR="001114BD" w:rsidRDefault="001114BD" w:rsidP="001114BD">
      <w:pPr>
        <w:shd w:val="clear" w:color="auto" w:fill="D9D9D9" w:themeFill="background1" w:themeFillShade="D9"/>
      </w:pPr>
    </w:p>
    <w:p w:rsidR="001114BD" w:rsidRPr="001114BD" w:rsidRDefault="001114BD" w:rsidP="001114BD"/>
    <w:p w:rsidR="00296032" w:rsidRPr="00296032" w:rsidRDefault="00296032">
      <w:pPr>
        <w:pStyle w:val="paragraaf"/>
        <w:rPr>
          <w:rFonts w:cs="Arial"/>
          <w:bCs/>
          <w:szCs w:val="20"/>
        </w:rPr>
      </w:pPr>
      <w:bookmarkStart w:id="64" w:name="_Toc431375567"/>
      <w:r w:rsidRPr="00296032">
        <w:rPr>
          <w:rFonts w:cs="Arial"/>
          <w:bCs/>
          <w:szCs w:val="20"/>
        </w:rPr>
        <w:t>§ 3.1.7</w:t>
      </w:r>
      <w:r w:rsidR="00C667E9">
        <w:rPr>
          <w:rFonts w:cs="Arial"/>
          <w:bCs/>
          <w:szCs w:val="20"/>
        </w:rPr>
        <w:t>.</w:t>
      </w:r>
      <w:r w:rsidR="00C667E9">
        <w:rPr>
          <w:rFonts w:cs="Arial"/>
          <w:bCs/>
          <w:szCs w:val="20"/>
        </w:rPr>
        <w:tab/>
      </w:r>
      <w:r w:rsidRPr="00296032">
        <w:rPr>
          <w:rFonts w:cs="Arial"/>
          <w:bCs/>
          <w:szCs w:val="20"/>
        </w:rPr>
        <w:t xml:space="preserve">Handelingen in </w:t>
      </w:r>
      <w:r w:rsidRPr="00296032">
        <w:rPr>
          <w:rFonts w:cs="Arial"/>
        </w:rPr>
        <w:t>een</w:t>
      </w:r>
      <w:r w:rsidRPr="00296032">
        <w:rPr>
          <w:rFonts w:cs="Arial"/>
          <w:bCs/>
          <w:szCs w:val="20"/>
        </w:rPr>
        <w:t xml:space="preserve"> oppervlaktewaterlichaam</w:t>
      </w:r>
      <w:bookmarkEnd w:id="64"/>
    </w:p>
    <w:p w:rsidR="00296032" w:rsidRPr="00296032" w:rsidRDefault="00296032">
      <w:pPr>
        <w:pStyle w:val="artikelkop"/>
      </w:pPr>
      <w:r w:rsidRPr="00296032">
        <w:t>Artikel 3.6c</w:t>
      </w:r>
    </w:p>
    <w:p w:rsidR="00296032" w:rsidRPr="00620047" w:rsidRDefault="00296032">
      <w:pPr>
        <w:pStyle w:val="art1enivo"/>
      </w:pPr>
      <w:r w:rsidRPr="00620047">
        <w:t xml:space="preserve">1. </w:t>
      </w:r>
      <w:r w:rsidRPr="00620047">
        <w:tab/>
        <w:t>Deze paragraaf is van toepassing op ontgravingen of baggerwerkzaamheden in een oppervlaktewaterlichaam.</w:t>
      </w:r>
    </w:p>
    <w:p w:rsidR="00296032" w:rsidRPr="00620047" w:rsidRDefault="00296032">
      <w:pPr>
        <w:pStyle w:val="art1enivo"/>
      </w:pPr>
      <w:r w:rsidRPr="00620047">
        <w:t xml:space="preserve">2. </w:t>
      </w:r>
      <w:r w:rsidRPr="00620047">
        <w:tab/>
        <w:t xml:space="preserve">Deze paragraaf is tevens van toepassing op andere werkzaamheden in een oppervlaktewaterlichaam indien die plaatsvinden door of vanwege de beheerder in het kader van het beheer van dat oppervlaktewaterlichaam. </w:t>
      </w:r>
    </w:p>
    <w:p w:rsidR="00296032" w:rsidRPr="00296032" w:rsidRDefault="00296032">
      <w:pPr>
        <w:pStyle w:val="artikelkop"/>
      </w:pPr>
      <w:r w:rsidRPr="00296032">
        <w:t>Artikel 3.6d</w:t>
      </w:r>
    </w:p>
    <w:p w:rsidR="00296032" w:rsidRPr="00620047" w:rsidRDefault="00296032">
      <w:pPr>
        <w:pStyle w:val="art1enivo"/>
      </w:pPr>
      <w:r w:rsidRPr="00620047">
        <w:t xml:space="preserve">1. </w:t>
      </w:r>
      <w:r w:rsidRPr="00620047">
        <w:tab/>
        <w:t>Het lozen in een oppervlaktewaterlichaam ten gevolge van ontgravingen of baggerwerkzaamheden in dat oppervlaktewaterlichaam is toegestaan.</w:t>
      </w:r>
    </w:p>
    <w:p w:rsidR="00296032" w:rsidRDefault="00296032">
      <w:pPr>
        <w:pStyle w:val="art1enivo"/>
      </w:pPr>
      <w:r w:rsidRPr="00620047">
        <w:t xml:space="preserve">2. </w:t>
      </w:r>
      <w:r w:rsidRPr="00620047">
        <w:tab/>
        <w:t>Indien bij ontgravingen of baggerwerkzaamheden in een oppervlaktewaterlichaam de kwaliteit van de te baggeren of ontgraven waterbodem een bij ministeriële regeling aan te wijzen interventiewaarde overschrijdt, worden de werkzaamheden uitgevoerd overeenkomstig een werkplan, waarin maatregelen zijn beschreven waarmee het lozen zo veel mogelijk wordt beperkt. Het werkplan bevat in ieder geval de beschrijving van de toe te passen baggertechniek en de bij het gebruik van die techniek gehanteerde werkwijze.</w:t>
      </w:r>
    </w:p>
    <w:p w:rsidR="004178A7" w:rsidRDefault="004178A7" w:rsidP="004178A7"/>
    <w:p w:rsidR="004178A7" w:rsidRDefault="004178A7" w:rsidP="004178A7">
      <w:pPr>
        <w:pStyle w:val="artikelkop"/>
        <w:shd w:val="clear" w:color="auto" w:fill="D9D9D9" w:themeFill="background1" w:themeFillShade="D9"/>
        <w:rPr>
          <w:rFonts w:eastAsiaTheme="minorEastAsia"/>
          <w:lang w:eastAsia="nl-NL"/>
        </w:rPr>
      </w:pPr>
      <w:r>
        <w:rPr>
          <w:rFonts w:eastAsiaTheme="minorEastAsia"/>
          <w:lang w:eastAsia="nl-NL"/>
        </w:rPr>
        <w:t xml:space="preserve">Artikel 3.4t </w:t>
      </w:r>
    </w:p>
    <w:p w:rsidR="004178A7" w:rsidRDefault="004178A7" w:rsidP="004178A7">
      <w:pPr>
        <w:pStyle w:val="artplat"/>
        <w:shd w:val="clear" w:color="auto" w:fill="D9D9D9" w:themeFill="background1" w:themeFillShade="D9"/>
        <w:rPr>
          <w:rFonts w:eastAsiaTheme="minorEastAsia"/>
          <w:lang w:eastAsia="nl-NL"/>
        </w:rPr>
      </w:pPr>
      <w:r>
        <w:rPr>
          <w:rFonts w:eastAsiaTheme="minorEastAsia"/>
          <w:lang w:eastAsia="nl-NL"/>
        </w:rPr>
        <w:t>De interventiewaarden, bedoeld in artikel 3.6d, tweede lid, van het besluit zijn de waarden van de stoffen die zijn opgenomen in tabel 2 van bijlage B, behorende bij de Regeling bodemkwaliteit.</w:t>
      </w:r>
    </w:p>
    <w:p w:rsidR="004178A7" w:rsidRPr="004178A7" w:rsidRDefault="004178A7" w:rsidP="004178A7"/>
    <w:p w:rsidR="00296032" w:rsidRPr="00296032" w:rsidRDefault="00296032">
      <w:pPr>
        <w:pStyle w:val="artikelkop"/>
      </w:pPr>
      <w:r w:rsidRPr="00296032">
        <w:t>Artikel 3.6e</w:t>
      </w:r>
    </w:p>
    <w:p w:rsidR="00296032" w:rsidRDefault="00296032">
      <w:pPr>
        <w:pStyle w:val="artplat"/>
      </w:pPr>
      <w:r w:rsidRPr="00620047">
        <w:t xml:space="preserve">Het lozen in een oppervlaktewaterlichaam ten gevolge van andere werkzaamheden dan bedoeld in artikel 3.6c, is toegestaan indien die werkzaamheden plaatsvinden door of vanwege de beheerder in het kader van het beheer van dat oppervlaktewaterlichaam. </w:t>
      </w:r>
    </w:p>
    <w:p w:rsidR="004178A7" w:rsidRPr="00620047" w:rsidRDefault="004178A7">
      <w:pPr>
        <w:pStyle w:val="artplat"/>
      </w:pPr>
    </w:p>
    <w:p w:rsidR="00296032" w:rsidRPr="00296032" w:rsidRDefault="00296032">
      <w:pPr>
        <w:pStyle w:val="paragraaf"/>
        <w:rPr>
          <w:rFonts w:cs="Arial"/>
          <w:bCs/>
          <w:szCs w:val="20"/>
        </w:rPr>
      </w:pPr>
      <w:bookmarkStart w:id="65" w:name="_Toc431375568"/>
      <w:r w:rsidRPr="00296032">
        <w:rPr>
          <w:rFonts w:cs="Arial"/>
          <w:bCs/>
          <w:szCs w:val="20"/>
        </w:rPr>
        <w:t>§ 3.1.8</w:t>
      </w:r>
      <w:r w:rsidR="00C667E9">
        <w:rPr>
          <w:rFonts w:cs="Arial"/>
          <w:bCs/>
          <w:szCs w:val="20"/>
        </w:rPr>
        <w:t>.</w:t>
      </w:r>
      <w:r w:rsidR="00C667E9">
        <w:rPr>
          <w:rFonts w:cs="Arial"/>
          <w:bCs/>
          <w:szCs w:val="20"/>
        </w:rPr>
        <w:tab/>
      </w:r>
      <w:r w:rsidRPr="00296032">
        <w:rPr>
          <w:rFonts w:cs="Arial"/>
          <w:bCs/>
          <w:szCs w:val="20"/>
        </w:rPr>
        <w:t xml:space="preserve">Lozen ten gevolge </w:t>
      </w:r>
      <w:r w:rsidRPr="00296032">
        <w:rPr>
          <w:rFonts w:cs="Arial"/>
        </w:rPr>
        <w:t>van</w:t>
      </w:r>
      <w:r w:rsidRPr="00296032">
        <w:rPr>
          <w:rFonts w:cs="Arial"/>
          <w:bCs/>
          <w:szCs w:val="20"/>
        </w:rPr>
        <w:t xml:space="preserve"> schoonmaken drinkwaterleidingen</w:t>
      </w:r>
      <w:bookmarkEnd w:id="65"/>
    </w:p>
    <w:p w:rsidR="00296032" w:rsidRPr="00296032" w:rsidRDefault="00296032">
      <w:pPr>
        <w:pStyle w:val="artikelkop"/>
      </w:pPr>
      <w:r w:rsidRPr="00296032">
        <w:t>Artikel 3.6f</w:t>
      </w:r>
    </w:p>
    <w:p w:rsidR="00296032" w:rsidRPr="00620047" w:rsidRDefault="00296032">
      <w:pPr>
        <w:pStyle w:val="art1enivo"/>
      </w:pPr>
      <w:r w:rsidRPr="00620047">
        <w:t>1.</w:t>
      </w:r>
      <w:r w:rsidRPr="00620047">
        <w:tab/>
        <w:t>Deze paragraaf is van toepassing op het lozen ten gevolge van het schoonmaken en in gebruik nemen van de middelen voor het opslaan, transporteren en de distribueren van drinkwater of warm tapwater als bedoeld in artikel 1 van de Drinkwaterwet of van huishoudwater als bedoeld in artikel 1 van het Drinkwaterbesluit. Bij het lozen wordt ten minste voldaan aan het tweede tot en met het vijfde lid.</w:t>
      </w:r>
    </w:p>
    <w:p w:rsidR="00296032" w:rsidRPr="00620047" w:rsidRDefault="00296032">
      <w:pPr>
        <w:pStyle w:val="art1enivo"/>
      </w:pPr>
      <w:r w:rsidRPr="00620047">
        <w:t>2.</w:t>
      </w:r>
      <w:r w:rsidRPr="00620047">
        <w:tab/>
        <w:t>Het lozen op of in de bodem is toegestaan indien aan het drinkwater, warm tapwater of huishoudwater geen chemicaliën zijn toegevoegd en als gevolg van het lozen geen wateroverlast ontstaat.</w:t>
      </w:r>
    </w:p>
    <w:p w:rsidR="00296032" w:rsidRPr="00620047" w:rsidRDefault="00296032">
      <w:pPr>
        <w:pStyle w:val="art1enivo"/>
      </w:pPr>
      <w:r w:rsidRPr="00620047">
        <w:t>3.</w:t>
      </w:r>
      <w:r w:rsidRPr="00620047">
        <w:tab/>
        <w:t>Het lozen in een oppervlaktewaterlichaam of in een voorziening voor de inzameling en het transport van afvalwater, niet zijnde een vuilwaterriool, is toegestaan, indien aan het drinkwater, warm tapwater of huishoudwater geen chemicaliën zijn toegevoegd.</w:t>
      </w:r>
    </w:p>
    <w:p w:rsidR="00296032" w:rsidRPr="00620047" w:rsidRDefault="00296032">
      <w:pPr>
        <w:pStyle w:val="art1enivo"/>
      </w:pPr>
      <w:r w:rsidRPr="00620047">
        <w:t>4.</w:t>
      </w:r>
      <w:r w:rsidRPr="00620047">
        <w:tab/>
        <w:t>Het lozen vindt slechts dan in een vuilwaterriool plaats, indien het lozen, bedoeld in het tweede en derde lid, redelijkerwijs niet mogelijk is.</w:t>
      </w:r>
    </w:p>
    <w:p w:rsidR="00296032" w:rsidRPr="00620047" w:rsidRDefault="00296032">
      <w:pPr>
        <w:pStyle w:val="art1enivo"/>
      </w:pPr>
      <w:r w:rsidRPr="00620047">
        <w:t>5.</w:t>
      </w:r>
      <w:r w:rsidRPr="00620047">
        <w:tab/>
        <w:t>In afwijking van het tweede en derde lid kan het bevoegd gezag het lozen van afvalwater, bedoeld in het eerste lid, met geringe concentraties chemicaliën bij maatwerkvoorschrift toestaan indien het belang van de bescherming van het milieu zich daartegen niet verzet.</w:t>
      </w:r>
    </w:p>
    <w:p w:rsidR="00296032" w:rsidRPr="00296032" w:rsidRDefault="00296032">
      <w:pPr>
        <w:pStyle w:val="paragraaf"/>
        <w:rPr>
          <w:rFonts w:cs="Arial"/>
          <w:bCs/>
          <w:szCs w:val="20"/>
        </w:rPr>
      </w:pPr>
      <w:bookmarkStart w:id="66" w:name="_Toc431375569"/>
      <w:r w:rsidRPr="00296032">
        <w:rPr>
          <w:rFonts w:cs="Arial"/>
          <w:bCs/>
          <w:szCs w:val="20"/>
        </w:rPr>
        <w:t>§ 3.1.9</w:t>
      </w:r>
      <w:r w:rsidR="00C667E9">
        <w:rPr>
          <w:rFonts w:cs="Arial"/>
          <w:bCs/>
          <w:szCs w:val="20"/>
        </w:rPr>
        <w:t>.</w:t>
      </w:r>
      <w:r w:rsidR="00C667E9">
        <w:rPr>
          <w:rFonts w:cs="Arial"/>
          <w:bCs/>
          <w:szCs w:val="20"/>
        </w:rPr>
        <w:tab/>
      </w:r>
      <w:r w:rsidRPr="00296032">
        <w:rPr>
          <w:rFonts w:cs="Arial"/>
          <w:bCs/>
          <w:szCs w:val="20"/>
        </w:rPr>
        <w:t xml:space="preserve">Lozen van afvalwater ten </w:t>
      </w:r>
      <w:r w:rsidRPr="00296032">
        <w:rPr>
          <w:rFonts w:cs="Arial"/>
        </w:rPr>
        <w:t>gevolge</w:t>
      </w:r>
      <w:r w:rsidRPr="00296032">
        <w:rPr>
          <w:rFonts w:cs="Arial"/>
          <w:bCs/>
          <w:szCs w:val="20"/>
        </w:rPr>
        <w:t xml:space="preserve"> van calamiteitenoefeningen</w:t>
      </w:r>
      <w:bookmarkEnd w:id="66"/>
    </w:p>
    <w:p w:rsidR="00296032" w:rsidRPr="00296032" w:rsidRDefault="00296032">
      <w:pPr>
        <w:pStyle w:val="artikelkop"/>
      </w:pPr>
      <w:r w:rsidRPr="00296032">
        <w:t>Artikel 3.6g</w:t>
      </w:r>
    </w:p>
    <w:p w:rsidR="00296032" w:rsidRPr="00620047" w:rsidRDefault="00296032">
      <w:pPr>
        <w:pStyle w:val="art1enivo"/>
      </w:pPr>
      <w:r w:rsidRPr="00620047">
        <w:t xml:space="preserve">1. </w:t>
      </w:r>
      <w:r w:rsidRPr="00620047">
        <w:tab/>
        <w:t xml:space="preserve">Deze paragraaf is van toepassing op het lozen van afvalwater dat vrijkomt bij een calamiteitenoefening met uitzondering van inrichtingen voor het oefenen van brandbestrijdingstechnieken als bedoeld in categorie 26 van onderdeel C van bijlage I bij het Besluit omgevingsrecht. </w:t>
      </w:r>
    </w:p>
    <w:p w:rsidR="00296032" w:rsidRPr="00620047" w:rsidRDefault="00296032">
      <w:pPr>
        <w:pStyle w:val="art1enivo"/>
      </w:pPr>
      <w:r w:rsidRPr="00620047">
        <w:t xml:space="preserve">2. </w:t>
      </w:r>
      <w:r w:rsidRPr="00620047">
        <w:tab/>
        <w:t>Het lozen van afvalwater is toegestaan.</w:t>
      </w:r>
    </w:p>
    <w:p w:rsidR="00296032" w:rsidRPr="00620047" w:rsidRDefault="00296032"/>
    <w:p w:rsidR="00296032" w:rsidRPr="00620047" w:rsidRDefault="00296032">
      <w:pPr>
        <w:pStyle w:val="afdeling"/>
        <w:rPr>
          <w:rFonts w:cs="Arial"/>
        </w:rPr>
      </w:pPr>
      <w:bookmarkStart w:id="67" w:name="_Toc277243194"/>
      <w:bookmarkStart w:id="68" w:name="_Toc431375570"/>
      <w:r w:rsidRPr="00620047">
        <w:rPr>
          <w:rFonts w:cs="Arial"/>
        </w:rPr>
        <w:t>Afdeling 3.2. Installaties</w:t>
      </w:r>
      <w:bookmarkEnd w:id="67"/>
      <w:bookmarkEnd w:id="68"/>
    </w:p>
    <w:p w:rsidR="00296032" w:rsidRPr="00296032" w:rsidRDefault="00296032">
      <w:pPr>
        <w:pStyle w:val="paragraaf"/>
      </w:pPr>
      <w:bookmarkStart w:id="69" w:name="_Toc431375571"/>
      <w:bookmarkStart w:id="70" w:name="_Toc277243195"/>
      <w:r w:rsidRPr="00296032">
        <w:t>§ 3.2.1.</w:t>
      </w:r>
      <w:r w:rsidRPr="00296032">
        <w:tab/>
        <w:t>Het in werking hebben van een stookinstallatie, niet zijnde een grote stookinstallatie.</w:t>
      </w:r>
      <w:bookmarkEnd w:id="69"/>
    </w:p>
    <w:p w:rsidR="00296032" w:rsidRPr="00296032" w:rsidRDefault="00296032">
      <w:pPr>
        <w:pStyle w:val="artikelkop"/>
      </w:pPr>
      <w:r w:rsidRPr="00296032">
        <w:t>Artikel 3.7</w:t>
      </w:r>
    </w:p>
    <w:p w:rsidR="00296032" w:rsidRPr="00620047" w:rsidRDefault="00296032">
      <w:pPr>
        <w:pStyle w:val="art1enivo"/>
      </w:pPr>
      <w:r w:rsidRPr="00620047">
        <w:t>1.</w:t>
      </w:r>
      <w:r w:rsidRPr="00620047">
        <w:tab/>
        <w:t>De artikelen 3.10 tot en met 3.10j en 3.10q tot en met 3.10t inzake emissies naar de lucht zijn van toepassing op het in werking hebben van een gasmotor, gasturbine, ketelinstallatie of dieselmotor, tenzij het betreft:</w:t>
      </w:r>
    </w:p>
    <w:p w:rsidR="00296032" w:rsidRPr="00620047" w:rsidRDefault="00296032">
      <w:pPr>
        <w:pStyle w:val="art2enivo"/>
      </w:pPr>
      <w:r w:rsidRPr="00620047">
        <w:t>a.</w:t>
      </w:r>
      <w:r w:rsidRPr="00620047">
        <w:tab/>
        <w:t>een gasmotor, gasturbine, ketelinstallatie of dieselmotor die blijkens een daarvoor aan de inrichting verleende omgevingsvergunning worden gebruikt voor het onderzoeken, beproeven of demonstreren van experimentele verbrandingstechnieken of van technieken ter bestrijding van de uitworp van zwaveldioxide (SO2), stikstofoxiden (NOx) of totaal stof;</w:t>
      </w:r>
    </w:p>
    <w:p w:rsidR="00296032" w:rsidRPr="00620047" w:rsidRDefault="00296032">
      <w:pPr>
        <w:pStyle w:val="art2enivo"/>
      </w:pPr>
      <w:r w:rsidRPr="00620047">
        <w:t>b.</w:t>
      </w:r>
      <w:r w:rsidRPr="00620047">
        <w:tab/>
        <w:t>een gasmotor, gasturbine, ketelinstallatie of dieselmotor die ten hoogste 500 uren per jaar in gebruik is, met uitzondering van dieselmotoren die worden gebruikt voor de opwekking van elektriciteit in gevallen anders dan noodgevallen;</w:t>
      </w:r>
    </w:p>
    <w:p w:rsidR="00296032" w:rsidRPr="00620047" w:rsidRDefault="00296032">
      <w:pPr>
        <w:pStyle w:val="art2enivo"/>
      </w:pPr>
      <w:r w:rsidRPr="00620047">
        <w:t>c.</w:t>
      </w:r>
      <w:r w:rsidRPr="00620047">
        <w:tab/>
        <w:t>een ketelinstallatie met een nominaal vermogen van minder dan 400 kilowatt waarin andere brandstoffen dan biomassa worden toegepast;</w:t>
      </w:r>
    </w:p>
    <w:p w:rsidR="00296032" w:rsidRPr="00620047" w:rsidRDefault="00296032">
      <w:pPr>
        <w:pStyle w:val="art2enivo"/>
      </w:pPr>
      <w:r w:rsidRPr="00620047">
        <w:t>d.</w:t>
      </w:r>
      <w:r w:rsidRPr="00620047">
        <w:tab/>
        <w:t>een grote stookinstallatie;</w:t>
      </w:r>
    </w:p>
    <w:p w:rsidR="00296032" w:rsidRPr="00620047" w:rsidRDefault="00296032">
      <w:pPr>
        <w:pStyle w:val="art2enivo"/>
      </w:pPr>
      <w:r w:rsidRPr="00620047">
        <w:t>e.</w:t>
      </w:r>
      <w:r w:rsidRPr="00620047">
        <w:tab/>
        <w:t>een afvalverbrandingsinstallatie of afvalmeeverbrandingsinstallatie waarop paragraaf 5.2 van toepassing is, of</w:t>
      </w:r>
    </w:p>
    <w:p w:rsidR="00296032" w:rsidRPr="00620047" w:rsidRDefault="00296032">
      <w:pPr>
        <w:pStyle w:val="art2enivo"/>
      </w:pPr>
      <w:r w:rsidRPr="00620047">
        <w:t>f.</w:t>
      </w:r>
      <w:r w:rsidRPr="00620047">
        <w:tab/>
        <w:t>een mobiele stookinstallatie.</w:t>
      </w:r>
    </w:p>
    <w:p w:rsidR="00296032" w:rsidRPr="00620047" w:rsidRDefault="00296032">
      <w:pPr>
        <w:pStyle w:val="art1enivo"/>
      </w:pPr>
      <w:r w:rsidRPr="00620047">
        <w:t>2.</w:t>
      </w:r>
      <w:r w:rsidRPr="00620047">
        <w:tab/>
        <w:t>De artikelen 3.10k, 3.10n en 3.10o inzake het doelmatig beheer van afvalwater, het realiseren van een verwaarloosbaar bodemrisico en het doelmatig beheer van afval, zijn van toepassing op het in werking hebben van een stookinstallatie, tenzij het betreft:</w:t>
      </w:r>
    </w:p>
    <w:p w:rsidR="00296032" w:rsidRPr="00620047" w:rsidRDefault="00296032">
      <w:pPr>
        <w:pStyle w:val="art2enivo"/>
      </w:pPr>
      <w:r w:rsidRPr="00620047">
        <w:t>a.</w:t>
      </w:r>
      <w:r w:rsidRPr="00620047">
        <w:tab/>
        <w:t>een grote stookinstallatie;</w:t>
      </w:r>
    </w:p>
    <w:p w:rsidR="00296032" w:rsidRPr="00620047" w:rsidRDefault="00296032">
      <w:pPr>
        <w:pStyle w:val="art2enivo"/>
      </w:pPr>
      <w:r w:rsidRPr="00620047">
        <w:t>b.</w:t>
      </w:r>
      <w:r w:rsidRPr="00620047">
        <w:tab/>
        <w:t>een afvalverbrandingsinstallatie of afvalmeeverbrandingsinstallatie waarop paragraaf 5.2 van toepassing is, of</w:t>
      </w:r>
    </w:p>
    <w:p w:rsidR="00296032" w:rsidRPr="00620047" w:rsidRDefault="00296032">
      <w:pPr>
        <w:pStyle w:val="art2enivo"/>
      </w:pPr>
      <w:r w:rsidRPr="00620047">
        <w:t>c.</w:t>
      </w:r>
      <w:r w:rsidRPr="00620047">
        <w:tab/>
        <w:t>een mobiele stookinstallatie.</w:t>
      </w:r>
    </w:p>
    <w:p w:rsidR="00296032" w:rsidRPr="00620047" w:rsidRDefault="00296032">
      <w:pPr>
        <w:pStyle w:val="art1enivo"/>
      </w:pPr>
      <w:r w:rsidRPr="00620047">
        <w:t>3.</w:t>
      </w:r>
      <w:r w:rsidRPr="00620047">
        <w:tab/>
        <w:t>De artikelen 3.10l en 3.10m inzake een doelmatig gebruik van energie, zijn van toepassing op inrichtingen waarin zich geen broeikasgasinstallaties als bedoeld in artikel 16.1 van de wet bevinden en waarbij sprake is van het gelijktijdig produceren van elektrische energie en thermische energie door middel van een warmtekrachtinstallatie, tenzij:</w:t>
      </w:r>
    </w:p>
    <w:p w:rsidR="00296032" w:rsidRPr="00620047" w:rsidRDefault="00296032">
      <w:pPr>
        <w:pStyle w:val="art2enivo"/>
      </w:pPr>
      <w:r w:rsidRPr="00620047">
        <w:t>a.</w:t>
      </w:r>
      <w:r w:rsidRPr="00620047">
        <w:tab/>
        <w:t>het een warmtekrachtinstallatie betreft waarin vergistinggas wordt gebruikt;</w:t>
      </w:r>
    </w:p>
    <w:p w:rsidR="00296032" w:rsidRPr="00620047" w:rsidRDefault="00296032">
      <w:pPr>
        <w:pStyle w:val="art2enivo"/>
      </w:pPr>
      <w:r w:rsidRPr="00620047">
        <w:t>b.</w:t>
      </w:r>
      <w:r w:rsidRPr="00620047">
        <w:tab/>
        <w:t>de warmtekrachtinstallatie een grote stookinstallatie betreft;</w:t>
      </w:r>
    </w:p>
    <w:p w:rsidR="00296032" w:rsidRPr="00620047" w:rsidRDefault="00296032">
      <w:pPr>
        <w:pStyle w:val="art2enivo"/>
      </w:pPr>
      <w:r w:rsidRPr="00620047">
        <w:t>c.</w:t>
      </w:r>
      <w:r w:rsidRPr="00620047">
        <w:tab/>
        <w:t>de warmtekrachtinstallatie een afvalverbrandingsinstallatie of afvalmeeverbrandingsinstallatie betreft waarop paragraaf 5.2 van toepassing is, of</w:t>
      </w:r>
    </w:p>
    <w:p w:rsidR="00296032" w:rsidRPr="00620047" w:rsidRDefault="00296032">
      <w:pPr>
        <w:pStyle w:val="art2enivo"/>
      </w:pPr>
      <w:r w:rsidRPr="00620047">
        <w:t>d.</w:t>
      </w:r>
      <w:r w:rsidRPr="00620047">
        <w:tab/>
        <w:t>de warmtekrachtinstallatie een mobiele stookinstallatie betreft.</w:t>
      </w:r>
    </w:p>
    <w:p w:rsidR="00296032" w:rsidRPr="00620047" w:rsidRDefault="00296032">
      <w:pPr>
        <w:pStyle w:val="art1enivo"/>
      </w:pPr>
      <w:r w:rsidRPr="00620047">
        <w:t>4.</w:t>
      </w:r>
      <w:r w:rsidRPr="00620047">
        <w:tab/>
        <w:t>Artikel 3.10p inzake keuring en onderhoud van een stookinstallatie is van toepassing op het in werking hebben van een stookinstallatie, tenzij het betreft:</w:t>
      </w:r>
    </w:p>
    <w:p w:rsidR="00296032" w:rsidRPr="00620047" w:rsidRDefault="00296032">
      <w:pPr>
        <w:pStyle w:val="art2enivo"/>
      </w:pPr>
      <w:r w:rsidRPr="00620047">
        <w:t>a.</w:t>
      </w:r>
      <w:r w:rsidRPr="00620047">
        <w:tab/>
        <w:t>een stookinstallatie die blijkens een daarvoor aan de inrichting verleende omgevingsvergunning wordt gebruikt voor het onderzoeken, beproeven of demonstreren van experimentele verbrandingstechnieken of van technieken ter bestrijding van de uitworp van zwaveldioxide (SO2), stikstofoxiden (NOx) of totaal stof;</w:t>
      </w:r>
    </w:p>
    <w:p w:rsidR="00296032" w:rsidRPr="00620047" w:rsidRDefault="00296032">
      <w:pPr>
        <w:pStyle w:val="art2enivo"/>
      </w:pPr>
      <w:r w:rsidRPr="00620047">
        <w:t>b.</w:t>
      </w:r>
      <w:r w:rsidRPr="00620047">
        <w:tab/>
        <w:t>een grote stookinstallatie;</w:t>
      </w:r>
    </w:p>
    <w:p w:rsidR="00296032" w:rsidRPr="00620047" w:rsidRDefault="00296032">
      <w:pPr>
        <w:pStyle w:val="art2enivo"/>
      </w:pPr>
      <w:r w:rsidRPr="00620047">
        <w:t>c.</w:t>
      </w:r>
      <w:r w:rsidRPr="00620047">
        <w:tab/>
        <w:t>een afvalverbrandingsinstallatie;</w:t>
      </w:r>
    </w:p>
    <w:p w:rsidR="00296032" w:rsidRPr="00620047" w:rsidRDefault="00296032">
      <w:pPr>
        <w:pStyle w:val="art2enivo"/>
      </w:pPr>
      <w:r w:rsidRPr="00620047">
        <w:t>d.</w:t>
      </w:r>
      <w:r w:rsidRPr="00620047">
        <w:tab/>
        <w:t>een afvalmeeverbrandingsinstallatie waarop paragraaf 5.2 van toepassing is, of</w:t>
      </w:r>
    </w:p>
    <w:p w:rsidR="00296032" w:rsidRPr="00620047" w:rsidRDefault="00296032">
      <w:pPr>
        <w:pStyle w:val="art2enivo"/>
      </w:pPr>
      <w:r w:rsidRPr="00620047">
        <w:t>e.</w:t>
      </w:r>
      <w:r w:rsidRPr="00620047">
        <w:tab/>
        <w:t>een mobiele stookinstallatie.</w:t>
      </w:r>
    </w:p>
    <w:p w:rsidR="00296032" w:rsidRPr="00620047" w:rsidRDefault="00296032">
      <w:pPr>
        <w:pStyle w:val="art1enivo"/>
      </w:pPr>
      <w:r w:rsidRPr="00620047">
        <w:t>5.</w:t>
      </w:r>
      <w:r w:rsidRPr="00620047">
        <w:tab/>
        <w:t>Deze paragraaf is niet van toepassing op het stoken van stookinstallaties die ingevolge bijlage I, onderdeel C, categorie 1.4, onder a, van het Besluit omgevingsrecht er toe leiden, dat een inrichting vergunningplichtig is.</w:t>
      </w:r>
    </w:p>
    <w:p w:rsidR="00296032" w:rsidRPr="00296032" w:rsidRDefault="00296032">
      <w:pPr>
        <w:pStyle w:val="artikelkop"/>
      </w:pPr>
      <w:r w:rsidRPr="00296032">
        <w:t>Artikel 3.8</w:t>
      </w:r>
    </w:p>
    <w:p w:rsidR="00296032" w:rsidRPr="00620047" w:rsidRDefault="00296032">
      <w:pPr>
        <w:pStyle w:val="artplat"/>
      </w:pPr>
      <w:r w:rsidRPr="00620047">
        <w:t>Een stookinstallatie kan gelegen zijn binnen de Nederlandse exclusieve economische zone.</w:t>
      </w:r>
    </w:p>
    <w:p w:rsidR="00296032" w:rsidRPr="00296032" w:rsidRDefault="00296032">
      <w:pPr>
        <w:pStyle w:val="artikelkop"/>
      </w:pPr>
      <w:r w:rsidRPr="00296032">
        <w:t>Artikel 3.9</w:t>
      </w:r>
    </w:p>
    <w:p w:rsidR="00296032" w:rsidRPr="00620047" w:rsidRDefault="00296032">
      <w:pPr>
        <w:pStyle w:val="art1enivo"/>
      </w:pPr>
      <w:r w:rsidRPr="00620047">
        <w:t xml:space="preserve">1. </w:t>
      </w:r>
      <w:r w:rsidRPr="00620047">
        <w:tab/>
        <w:t>Voor zover stookinstallaties onder de werkingssfeer van deze paragraaf vallen, zijn de artikelen 2.5, 2.7 en 2.8, derde tot en met negende lid, niet van toepassing.</w:t>
      </w:r>
    </w:p>
    <w:p w:rsidR="00296032" w:rsidRPr="00620047" w:rsidRDefault="00296032">
      <w:pPr>
        <w:pStyle w:val="art1enivo"/>
      </w:pPr>
      <w:r w:rsidRPr="00620047">
        <w:t xml:space="preserve">2. </w:t>
      </w:r>
      <w:r w:rsidRPr="00620047">
        <w:tab/>
        <w:t>Onverminderd de emissie-eisen in deze paragraaf kan het bevoegd gezag in het belang van de bescherming van het milieu bij maatwerkvoorschrift eisen stellen aan de emissies van een stookinstallatie..</w:t>
      </w:r>
    </w:p>
    <w:p w:rsidR="00296032" w:rsidRPr="00296032" w:rsidRDefault="00296032">
      <w:pPr>
        <w:pStyle w:val="artikelkop"/>
      </w:pPr>
      <w:r w:rsidRPr="00296032">
        <w:t>Artikel 3.10</w:t>
      </w:r>
    </w:p>
    <w:p w:rsidR="00296032" w:rsidRPr="00620047" w:rsidRDefault="00296032">
      <w:pPr>
        <w:pStyle w:val="artplat"/>
      </w:pPr>
      <w:r w:rsidRPr="00620047">
        <w:t>Het rookgas van een ketelinstallatie met een nominaal vermogen van 1 Megawatt of meer voldoet aan de emissiegrenswaarden, genoemd in tabel 3.10.</w:t>
      </w:r>
    </w:p>
    <w:p w:rsidR="00296032" w:rsidRPr="00620047" w:rsidRDefault="00296032">
      <w:pPr>
        <w:pStyle w:val="tabelkop"/>
      </w:pPr>
      <w:r w:rsidRPr="00620047">
        <w:t>Tabel 3.10</w:t>
      </w:r>
    </w:p>
    <w:tbl>
      <w:tblPr>
        <w:tblStyle w:val="Tabelraster"/>
        <w:tblW w:w="8988" w:type="dxa"/>
        <w:tblInd w:w="0" w:type="dxa"/>
        <w:tblLook w:val="04A0" w:firstRow="1" w:lastRow="0" w:firstColumn="1" w:lastColumn="0" w:noHBand="0" w:noVBand="1"/>
      </w:tblPr>
      <w:tblGrid>
        <w:gridCol w:w="2463"/>
        <w:gridCol w:w="2550"/>
        <w:gridCol w:w="1417"/>
        <w:gridCol w:w="1133"/>
        <w:gridCol w:w="1425"/>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8988" w:type="dxa"/>
            <w:gridSpan w:val="5"/>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r w:rsidRPr="00620047">
              <w:t>Ketelinstallatie met een nominaal vermogen van 1 megawatt of meer</w:t>
            </w:r>
          </w:p>
        </w:tc>
      </w:tr>
      <w:tr w:rsidR="00296032" w:rsidRPr="001F4D4E">
        <w:trPr>
          <w:cnfStyle w:val="100000000000" w:firstRow="1" w:lastRow="0" w:firstColumn="0" w:lastColumn="0" w:oddVBand="0" w:evenVBand="0" w:oddHBand="0" w:evenHBand="0" w:firstRowFirstColumn="0" w:firstRowLastColumn="0" w:lastRowFirstColumn="0" w:lastRowLastColumn="0"/>
          <w:cantSplit/>
          <w:tblHeader/>
        </w:trPr>
        <w:tc>
          <w:tcPr>
            <w:tcW w:w="2467" w:type="dxa"/>
            <w:tcBorders>
              <w:top w:val="single" w:sz="4" w:space="0" w:color="7F7F7F"/>
              <w:left w:val="single" w:sz="4" w:space="0" w:color="7F7F7F"/>
              <w:bottom w:val="single" w:sz="4" w:space="0" w:color="7F7F7F"/>
              <w:right w:val="single" w:sz="4" w:space="0" w:color="7F7F7F"/>
            </w:tcBorders>
            <w:hideMark/>
          </w:tcPr>
          <w:p w:rsidR="00296032" w:rsidRPr="001F4D4E" w:rsidRDefault="00296032">
            <w:pPr>
              <w:rPr>
                <w:b w:val="0"/>
              </w:rPr>
            </w:pPr>
            <w:r w:rsidRPr="001F4D4E">
              <w:rPr>
                <w:b w:val="0"/>
                <w:i/>
              </w:rPr>
              <w:t>Brandstof</w:t>
            </w:r>
          </w:p>
        </w:tc>
        <w:tc>
          <w:tcPr>
            <w:tcW w:w="2552" w:type="dxa"/>
            <w:tcBorders>
              <w:top w:val="single" w:sz="4" w:space="0" w:color="7F7F7F"/>
              <w:left w:val="single" w:sz="4" w:space="0" w:color="7F7F7F"/>
              <w:bottom w:val="single" w:sz="4" w:space="0" w:color="7F7F7F"/>
              <w:right w:val="single" w:sz="4" w:space="0" w:color="7F7F7F"/>
            </w:tcBorders>
            <w:hideMark/>
          </w:tcPr>
          <w:p w:rsidR="001F4D4E" w:rsidRDefault="001F4D4E">
            <w:pPr>
              <w:rPr>
                <w:b w:val="0"/>
              </w:rPr>
            </w:pPr>
            <w:r w:rsidRPr="001F4D4E">
              <w:rPr>
                <w:b w:val="0"/>
                <w:i/>
              </w:rPr>
              <w:t>Stikstofoxiden (NO</w:t>
            </w:r>
            <w:r w:rsidRPr="001F4D4E">
              <w:rPr>
                <w:b w:val="0"/>
                <w:i/>
                <w:vertAlign w:val="subscript"/>
              </w:rPr>
              <w:t>x</w:t>
            </w:r>
            <w:r w:rsidRPr="001F4D4E">
              <w:rPr>
                <w:b w:val="0"/>
                <w:i/>
              </w:rPr>
              <w:t>)</w:t>
            </w:r>
            <w:r w:rsidRPr="001F4D4E">
              <w:rPr>
                <w:b w:val="0"/>
              </w:rPr>
              <w:t xml:space="preserve"> </w:t>
            </w:r>
          </w:p>
          <w:p w:rsidR="00296032" w:rsidRPr="001F4D4E" w:rsidRDefault="001F4D4E">
            <w:pPr>
              <w:rPr>
                <w:b w:val="0"/>
              </w:rPr>
            </w:pPr>
            <w:r w:rsidRPr="001F4D4E">
              <w:rPr>
                <w:b w:val="0"/>
              </w:rPr>
              <w:t>(mg per normaal kubieke meter)</w:t>
            </w:r>
          </w:p>
        </w:tc>
        <w:tc>
          <w:tcPr>
            <w:tcW w:w="1417" w:type="dxa"/>
            <w:tcBorders>
              <w:top w:val="single" w:sz="4" w:space="0" w:color="7F7F7F"/>
              <w:left w:val="single" w:sz="4" w:space="0" w:color="7F7F7F"/>
              <w:bottom w:val="single" w:sz="4" w:space="0" w:color="7F7F7F"/>
              <w:right w:val="single" w:sz="4" w:space="0" w:color="7F7F7F"/>
            </w:tcBorders>
            <w:hideMark/>
          </w:tcPr>
          <w:p w:rsidR="001F4D4E" w:rsidRDefault="001F4D4E" w:rsidP="001F4D4E">
            <w:pPr>
              <w:rPr>
                <w:b w:val="0"/>
                <w:i/>
              </w:rPr>
            </w:pPr>
            <w:r w:rsidRPr="002C0536">
              <w:rPr>
                <w:b w:val="0"/>
                <w:i/>
              </w:rPr>
              <w:t>Zwaveldioxide (SO</w:t>
            </w:r>
            <w:r w:rsidRPr="001F4D4E">
              <w:rPr>
                <w:b w:val="0"/>
                <w:i/>
                <w:vertAlign w:val="subscript"/>
              </w:rPr>
              <w:t>2</w:t>
            </w:r>
            <w:r w:rsidRPr="002C0536">
              <w:rPr>
                <w:b w:val="0"/>
                <w:i/>
              </w:rPr>
              <w:t xml:space="preserve">) </w:t>
            </w:r>
          </w:p>
          <w:p w:rsidR="00296032" w:rsidRPr="001F4D4E" w:rsidRDefault="001F4D4E" w:rsidP="001F4D4E">
            <w:pPr>
              <w:rPr>
                <w:b w:val="0"/>
              </w:rPr>
            </w:pPr>
            <w:r w:rsidRPr="001F4D4E">
              <w:rPr>
                <w:b w:val="0"/>
              </w:rPr>
              <w:t>(mg per normaal kubieke meter)</w:t>
            </w:r>
          </w:p>
        </w:tc>
        <w:tc>
          <w:tcPr>
            <w:tcW w:w="1134" w:type="dxa"/>
            <w:tcBorders>
              <w:top w:val="single" w:sz="4" w:space="0" w:color="7F7F7F"/>
              <w:left w:val="single" w:sz="4" w:space="0" w:color="7F7F7F"/>
              <w:bottom w:val="single" w:sz="4" w:space="0" w:color="7F7F7F"/>
              <w:right w:val="single" w:sz="4" w:space="0" w:color="7F7F7F"/>
            </w:tcBorders>
            <w:hideMark/>
          </w:tcPr>
          <w:p w:rsidR="001F4D4E" w:rsidRDefault="001F4D4E" w:rsidP="001F4D4E">
            <w:pPr>
              <w:rPr>
                <w:i/>
              </w:rPr>
            </w:pPr>
            <w:r w:rsidRPr="002C0536">
              <w:rPr>
                <w:b w:val="0"/>
                <w:i/>
              </w:rPr>
              <w:t xml:space="preserve">Totaal stof </w:t>
            </w:r>
          </w:p>
          <w:p w:rsidR="00296032" w:rsidRPr="001F4D4E" w:rsidRDefault="001F4D4E" w:rsidP="001F4D4E">
            <w:pPr>
              <w:rPr>
                <w:b w:val="0"/>
              </w:rPr>
            </w:pPr>
            <w:r w:rsidRPr="001F4D4E">
              <w:rPr>
                <w:b w:val="0"/>
              </w:rPr>
              <w:t>(mg per normaal kubieke meter)</w:t>
            </w:r>
          </w:p>
        </w:tc>
        <w:tc>
          <w:tcPr>
            <w:tcW w:w="1418" w:type="dxa"/>
            <w:tcBorders>
              <w:top w:val="single" w:sz="4" w:space="0" w:color="7F7F7F"/>
              <w:left w:val="single" w:sz="4" w:space="0" w:color="7F7F7F"/>
              <w:bottom w:val="single" w:sz="4" w:space="0" w:color="7F7F7F"/>
              <w:right w:val="single" w:sz="4" w:space="0" w:color="7F7F7F"/>
            </w:tcBorders>
            <w:hideMark/>
          </w:tcPr>
          <w:p w:rsidR="001F4D4E" w:rsidRPr="001F4D4E" w:rsidRDefault="001F4D4E" w:rsidP="001F4D4E">
            <w:pPr>
              <w:rPr>
                <w:b w:val="0"/>
                <w:i/>
              </w:rPr>
            </w:pPr>
            <w:r w:rsidRPr="001F4D4E">
              <w:rPr>
                <w:b w:val="0"/>
                <w:i/>
              </w:rPr>
              <w:t>onverbrande koolwaterstoffen (C</w:t>
            </w:r>
            <w:r w:rsidRPr="001F4D4E">
              <w:rPr>
                <w:b w:val="0"/>
                <w:i/>
                <w:vertAlign w:val="subscript"/>
              </w:rPr>
              <w:t>x</w:t>
            </w:r>
            <w:r w:rsidR="00201B12" w:rsidRPr="001F4D4E">
              <w:rPr>
                <w:b w:val="0"/>
                <w:i/>
              </w:rPr>
              <w:t>)</w:t>
            </w:r>
            <w:r w:rsidRPr="001F4D4E">
              <w:rPr>
                <w:b w:val="0"/>
                <w:i/>
              </w:rPr>
              <w:t>H</w:t>
            </w:r>
            <w:r w:rsidRPr="001F4D4E">
              <w:rPr>
                <w:b w:val="0"/>
                <w:i/>
                <w:vertAlign w:val="subscript"/>
              </w:rPr>
              <w:t>y</w:t>
            </w:r>
            <w:r w:rsidRPr="001F4D4E">
              <w:rPr>
                <w:b w:val="0"/>
                <w:i/>
              </w:rPr>
              <w:t xml:space="preserve">) </w:t>
            </w:r>
          </w:p>
          <w:p w:rsidR="00296032" w:rsidRPr="001F4D4E" w:rsidRDefault="001F4D4E" w:rsidP="001F4D4E">
            <w:pPr>
              <w:rPr>
                <w:b w:val="0"/>
              </w:rPr>
            </w:pPr>
            <w:r w:rsidRPr="001F4D4E">
              <w:rPr>
                <w:b w:val="0"/>
              </w:rPr>
              <w:t>(mg per normaal kubieke meter)</w:t>
            </w:r>
          </w:p>
        </w:tc>
      </w:tr>
      <w:tr w:rsidR="00296032" w:rsidRPr="00620047">
        <w:trPr>
          <w:cantSplit/>
        </w:trPr>
        <w:tc>
          <w:tcPr>
            <w:tcW w:w="24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Brandstof in vaste vorm, met uitzondering van biomassa</w:t>
            </w:r>
          </w:p>
        </w:tc>
        <w:tc>
          <w:tcPr>
            <w:tcW w:w="2552"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100</w:t>
            </w:r>
          </w:p>
        </w:tc>
        <w:tc>
          <w:tcPr>
            <w:tcW w:w="141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200</w:t>
            </w:r>
          </w:p>
        </w:tc>
        <w:tc>
          <w:tcPr>
            <w:tcW w:w="113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5</w:t>
            </w:r>
          </w:p>
        </w:tc>
        <w:tc>
          <w:tcPr>
            <w:tcW w:w="141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r w:rsidR="00296032" w:rsidRPr="00620047">
        <w:trPr>
          <w:cantSplit/>
        </w:trPr>
        <w:tc>
          <w:tcPr>
            <w:tcW w:w="24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Brandstof in vloeibare vorm, met uitzondering van biomassa</w:t>
            </w:r>
          </w:p>
        </w:tc>
        <w:tc>
          <w:tcPr>
            <w:tcW w:w="2552"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120</w:t>
            </w:r>
          </w:p>
        </w:tc>
        <w:tc>
          <w:tcPr>
            <w:tcW w:w="141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200</w:t>
            </w:r>
          </w:p>
        </w:tc>
        <w:tc>
          <w:tcPr>
            <w:tcW w:w="113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5</w:t>
            </w:r>
          </w:p>
        </w:tc>
        <w:tc>
          <w:tcPr>
            <w:tcW w:w="141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r w:rsidR="00296032" w:rsidRPr="00620047">
        <w:trPr>
          <w:cantSplit/>
        </w:trPr>
        <w:tc>
          <w:tcPr>
            <w:tcW w:w="24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Biomassa, voor zover de ketelinstallatie een thermisch vermogen kleiner dan 5 megawatt heeft</w:t>
            </w:r>
          </w:p>
        </w:tc>
        <w:tc>
          <w:tcPr>
            <w:tcW w:w="2552"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275</w:t>
            </w:r>
          </w:p>
        </w:tc>
        <w:tc>
          <w:tcPr>
            <w:tcW w:w="141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200</w:t>
            </w:r>
          </w:p>
        </w:tc>
        <w:tc>
          <w:tcPr>
            <w:tcW w:w="113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20</w:t>
            </w:r>
          </w:p>
        </w:tc>
        <w:tc>
          <w:tcPr>
            <w:tcW w:w="141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r w:rsidR="00296032" w:rsidRPr="00620047">
        <w:trPr>
          <w:cantSplit/>
        </w:trPr>
        <w:tc>
          <w:tcPr>
            <w:tcW w:w="24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Biomassa, voor zover de ketelinstallatie een thermisch vermogen van 5 megawatt of groter heeft</w:t>
            </w:r>
          </w:p>
        </w:tc>
        <w:tc>
          <w:tcPr>
            <w:tcW w:w="2552"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145</w:t>
            </w:r>
          </w:p>
        </w:tc>
        <w:tc>
          <w:tcPr>
            <w:tcW w:w="141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200</w:t>
            </w:r>
          </w:p>
        </w:tc>
        <w:tc>
          <w:tcPr>
            <w:tcW w:w="113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5</w:t>
            </w:r>
          </w:p>
        </w:tc>
        <w:tc>
          <w:tcPr>
            <w:tcW w:w="141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r w:rsidR="00296032" w:rsidRPr="00620047">
        <w:trPr>
          <w:cantSplit/>
        </w:trPr>
        <w:tc>
          <w:tcPr>
            <w:tcW w:w="24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Vergistinggas</w:t>
            </w:r>
          </w:p>
        </w:tc>
        <w:tc>
          <w:tcPr>
            <w:tcW w:w="2552"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70</w:t>
            </w:r>
          </w:p>
        </w:tc>
        <w:tc>
          <w:tcPr>
            <w:tcW w:w="141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200</w:t>
            </w:r>
          </w:p>
        </w:tc>
        <w:tc>
          <w:tcPr>
            <w:tcW w:w="113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c>
          <w:tcPr>
            <w:tcW w:w="141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r w:rsidR="00296032" w:rsidRPr="00620047">
        <w:trPr>
          <w:cantSplit/>
        </w:trPr>
        <w:tc>
          <w:tcPr>
            <w:tcW w:w="24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Aardgas</w:t>
            </w:r>
          </w:p>
        </w:tc>
        <w:tc>
          <w:tcPr>
            <w:tcW w:w="2552"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70</w:t>
            </w:r>
          </w:p>
        </w:tc>
        <w:tc>
          <w:tcPr>
            <w:tcW w:w="141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tc>
        <w:tc>
          <w:tcPr>
            <w:tcW w:w="113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c>
          <w:tcPr>
            <w:tcW w:w="141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r w:rsidR="00296032" w:rsidRPr="00620047">
        <w:trPr>
          <w:cantSplit/>
        </w:trPr>
        <w:tc>
          <w:tcPr>
            <w:tcW w:w="24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Brandstof in gasvorm, met uitzondering van aardgas en vergistinggas</w:t>
            </w:r>
          </w:p>
        </w:tc>
        <w:tc>
          <w:tcPr>
            <w:tcW w:w="2552"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70 vermenigvuldigd met een factor die gelijk is aan de verhouding van de onderste verbrandingswaarde van de ingezette brandstof, uitgedrukt in MJ per normaal kubieke meter , tot een verbrandingswaarde van 31,65 MJ per normaal kubieke meter , waarbij de laatstgenoemde factor minimaal 0,9 en maximaal 2,0 bedraagt</w:t>
            </w:r>
          </w:p>
        </w:tc>
        <w:tc>
          <w:tcPr>
            <w:tcW w:w="141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tc>
        <w:tc>
          <w:tcPr>
            <w:tcW w:w="113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c>
          <w:tcPr>
            <w:tcW w:w="141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bl>
    <w:p w:rsidR="00296032" w:rsidRPr="00620047" w:rsidRDefault="00296032">
      <w:pPr>
        <w:pStyle w:val="tabelkop"/>
      </w:pPr>
    </w:p>
    <w:p w:rsidR="00296032" w:rsidRPr="00296032" w:rsidRDefault="00296032">
      <w:pPr>
        <w:pStyle w:val="artikelkop"/>
      </w:pPr>
      <w:r w:rsidRPr="00296032">
        <w:t>Artikel 3.10a</w:t>
      </w:r>
    </w:p>
    <w:p w:rsidR="00296032" w:rsidRPr="00620047" w:rsidRDefault="00296032">
      <w:pPr>
        <w:pStyle w:val="artplat"/>
      </w:pPr>
      <w:r w:rsidRPr="00620047">
        <w:t>Het rookgas van een ketelinstallatie met een nominaal vermogen groter dan 400 kilowatt en kleiner dan 1 megawatt voldoet aan de emissiegrenswaarden, genoemd in tabel 3.10a.</w:t>
      </w:r>
    </w:p>
    <w:p w:rsidR="00296032" w:rsidRPr="00620047" w:rsidRDefault="00296032">
      <w:pPr>
        <w:pStyle w:val="tabelkop"/>
      </w:pPr>
      <w:r w:rsidRPr="00620047">
        <w:t>Tabel 3.10a</w:t>
      </w:r>
    </w:p>
    <w:tbl>
      <w:tblPr>
        <w:tblStyle w:val="Tabelraster"/>
        <w:tblW w:w="9054" w:type="dxa"/>
        <w:tblInd w:w="0" w:type="dxa"/>
        <w:tblLook w:val="04A0" w:firstRow="1" w:lastRow="0" w:firstColumn="1" w:lastColumn="0" w:noHBand="0" w:noVBand="1"/>
      </w:tblPr>
      <w:tblGrid>
        <w:gridCol w:w="2184"/>
        <w:gridCol w:w="2126"/>
        <w:gridCol w:w="2126"/>
        <w:gridCol w:w="1193"/>
        <w:gridCol w:w="1425"/>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9054" w:type="dxa"/>
            <w:gridSpan w:val="5"/>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r w:rsidRPr="00620047">
              <w:t>Ketelinstallatie met een nominaal vermogen tussen de 400 kilowatt en de 1 Megawatt</w:t>
            </w:r>
          </w:p>
        </w:tc>
      </w:tr>
      <w:tr w:rsidR="00296032" w:rsidRPr="001F4D4E" w:rsidTr="001F4D4E">
        <w:trPr>
          <w:cnfStyle w:val="100000000000" w:firstRow="1" w:lastRow="0" w:firstColumn="0" w:lastColumn="0" w:oddVBand="0" w:evenVBand="0" w:oddHBand="0" w:evenHBand="0" w:firstRowFirstColumn="0" w:firstRowLastColumn="0" w:lastRowFirstColumn="0" w:lastRowLastColumn="0"/>
          <w:cantSplit/>
          <w:tblHeader/>
        </w:trPr>
        <w:tc>
          <w:tcPr>
            <w:tcW w:w="2184" w:type="dxa"/>
            <w:tcBorders>
              <w:top w:val="single" w:sz="4" w:space="0" w:color="7F7F7F"/>
              <w:left w:val="single" w:sz="4" w:space="0" w:color="7F7F7F"/>
              <w:bottom w:val="single" w:sz="4" w:space="0" w:color="7F7F7F"/>
              <w:right w:val="single" w:sz="4" w:space="0" w:color="7F7F7F"/>
            </w:tcBorders>
            <w:hideMark/>
          </w:tcPr>
          <w:p w:rsidR="00296032" w:rsidRPr="001F4D4E" w:rsidRDefault="00296032">
            <w:pPr>
              <w:rPr>
                <w:b w:val="0"/>
              </w:rPr>
            </w:pPr>
            <w:r w:rsidRPr="001F4D4E">
              <w:rPr>
                <w:b w:val="0"/>
                <w:i/>
              </w:rPr>
              <w:t>Brandstof</w:t>
            </w:r>
          </w:p>
        </w:tc>
        <w:tc>
          <w:tcPr>
            <w:tcW w:w="2126" w:type="dxa"/>
            <w:tcBorders>
              <w:top w:val="single" w:sz="4" w:space="0" w:color="7F7F7F"/>
              <w:left w:val="single" w:sz="4" w:space="0" w:color="7F7F7F"/>
              <w:bottom w:val="single" w:sz="4" w:space="0" w:color="7F7F7F"/>
              <w:right w:val="single" w:sz="4" w:space="0" w:color="7F7F7F"/>
            </w:tcBorders>
            <w:hideMark/>
          </w:tcPr>
          <w:p w:rsidR="001F4D4E" w:rsidRDefault="001F4D4E">
            <w:pPr>
              <w:rPr>
                <w:b w:val="0"/>
              </w:rPr>
            </w:pPr>
            <w:r w:rsidRPr="001F4D4E">
              <w:rPr>
                <w:b w:val="0"/>
                <w:i/>
              </w:rPr>
              <w:t>Stikstofoxiden (NO</w:t>
            </w:r>
            <w:r w:rsidRPr="001F4D4E">
              <w:rPr>
                <w:b w:val="0"/>
                <w:i/>
                <w:vertAlign w:val="subscript"/>
              </w:rPr>
              <w:t>x</w:t>
            </w:r>
            <w:r w:rsidRPr="001F4D4E">
              <w:rPr>
                <w:b w:val="0"/>
                <w:i/>
              </w:rPr>
              <w:t>)</w:t>
            </w:r>
            <w:r w:rsidRPr="001F4D4E">
              <w:rPr>
                <w:b w:val="0"/>
              </w:rPr>
              <w:t xml:space="preserve"> </w:t>
            </w:r>
          </w:p>
          <w:p w:rsidR="00296032" w:rsidRPr="001F4D4E" w:rsidRDefault="001F4D4E">
            <w:pPr>
              <w:rPr>
                <w:b w:val="0"/>
              </w:rPr>
            </w:pPr>
            <w:r w:rsidRPr="001F4D4E">
              <w:rPr>
                <w:b w:val="0"/>
              </w:rPr>
              <w:t>(mg per normaal kubieke meter)</w:t>
            </w:r>
          </w:p>
        </w:tc>
        <w:tc>
          <w:tcPr>
            <w:tcW w:w="2126" w:type="dxa"/>
            <w:tcBorders>
              <w:top w:val="single" w:sz="4" w:space="0" w:color="7F7F7F"/>
              <w:left w:val="single" w:sz="4" w:space="0" w:color="7F7F7F"/>
              <w:bottom w:val="single" w:sz="4" w:space="0" w:color="7F7F7F"/>
              <w:right w:val="single" w:sz="4" w:space="0" w:color="7F7F7F"/>
            </w:tcBorders>
            <w:hideMark/>
          </w:tcPr>
          <w:p w:rsidR="001F4D4E" w:rsidRDefault="001F4D4E">
            <w:pPr>
              <w:rPr>
                <w:b w:val="0"/>
                <w:i/>
              </w:rPr>
            </w:pPr>
            <w:r w:rsidRPr="002C0536">
              <w:rPr>
                <w:b w:val="0"/>
                <w:i/>
              </w:rPr>
              <w:t>Zwaveldioxide (SO</w:t>
            </w:r>
            <w:r w:rsidRPr="001F4D4E">
              <w:rPr>
                <w:b w:val="0"/>
                <w:i/>
                <w:vertAlign w:val="subscript"/>
              </w:rPr>
              <w:t>2</w:t>
            </w:r>
            <w:r w:rsidRPr="002C0536">
              <w:rPr>
                <w:b w:val="0"/>
                <w:i/>
              </w:rPr>
              <w:t xml:space="preserve">) </w:t>
            </w:r>
          </w:p>
          <w:p w:rsidR="00296032" w:rsidRPr="001F4D4E" w:rsidRDefault="001F4D4E">
            <w:pPr>
              <w:rPr>
                <w:b w:val="0"/>
              </w:rPr>
            </w:pPr>
            <w:r w:rsidRPr="001F4D4E">
              <w:rPr>
                <w:b w:val="0"/>
              </w:rPr>
              <w:t>(mg per normaal kubieke meter)</w:t>
            </w:r>
          </w:p>
        </w:tc>
        <w:tc>
          <w:tcPr>
            <w:tcW w:w="1193" w:type="dxa"/>
            <w:tcBorders>
              <w:top w:val="single" w:sz="4" w:space="0" w:color="7F7F7F"/>
              <w:left w:val="single" w:sz="4" w:space="0" w:color="7F7F7F"/>
              <w:bottom w:val="single" w:sz="4" w:space="0" w:color="7F7F7F"/>
              <w:right w:val="single" w:sz="4" w:space="0" w:color="7F7F7F"/>
            </w:tcBorders>
            <w:hideMark/>
          </w:tcPr>
          <w:p w:rsidR="001F4D4E" w:rsidRDefault="001F4D4E" w:rsidP="001F4D4E">
            <w:pPr>
              <w:rPr>
                <w:i/>
              </w:rPr>
            </w:pPr>
            <w:r w:rsidRPr="002C0536">
              <w:rPr>
                <w:b w:val="0"/>
                <w:i/>
              </w:rPr>
              <w:t xml:space="preserve">Totaal stof </w:t>
            </w:r>
          </w:p>
          <w:p w:rsidR="00296032" w:rsidRPr="001F4D4E" w:rsidRDefault="001F4D4E" w:rsidP="001F4D4E">
            <w:pPr>
              <w:rPr>
                <w:b w:val="0"/>
              </w:rPr>
            </w:pPr>
            <w:r w:rsidRPr="001F4D4E">
              <w:rPr>
                <w:b w:val="0"/>
              </w:rPr>
              <w:t>(mg per normaal kubieke meter)</w:t>
            </w:r>
          </w:p>
        </w:tc>
        <w:tc>
          <w:tcPr>
            <w:tcW w:w="1425" w:type="dxa"/>
            <w:tcBorders>
              <w:top w:val="single" w:sz="4" w:space="0" w:color="7F7F7F"/>
              <w:left w:val="single" w:sz="4" w:space="0" w:color="7F7F7F"/>
              <w:bottom w:val="single" w:sz="4" w:space="0" w:color="7F7F7F"/>
              <w:right w:val="single" w:sz="4" w:space="0" w:color="7F7F7F"/>
            </w:tcBorders>
            <w:hideMark/>
          </w:tcPr>
          <w:p w:rsidR="001F4D4E" w:rsidRPr="001F4D4E" w:rsidRDefault="001F4D4E" w:rsidP="001F4D4E">
            <w:pPr>
              <w:rPr>
                <w:b w:val="0"/>
                <w:i/>
              </w:rPr>
            </w:pPr>
            <w:r w:rsidRPr="001F4D4E">
              <w:rPr>
                <w:b w:val="0"/>
                <w:i/>
              </w:rPr>
              <w:t>onverbrande koolwaterstoffen (C</w:t>
            </w:r>
            <w:r w:rsidRPr="001F4D4E">
              <w:rPr>
                <w:b w:val="0"/>
                <w:i/>
                <w:vertAlign w:val="subscript"/>
              </w:rPr>
              <w:t>x</w:t>
            </w:r>
            <w:r w:rsidRPr="001F4D4E">
              <w:rPr>
                <w:b w:val="0"/>
                <w:i/>
              </w:rPr>
              <w:t>H</w:t>
            </w:r>
            <w:r w:rsidRPr="001F4D4E">
              <w:rPr>
                <w:b w:val="0"/>
                <w:i/>
                <w:vertAlign w:val="subscript"/>
              </w:rPr>
              <w:t>y</w:t>
            </w:r>
            <w:r w:rsidRPr="001F4D4E">
              <w:rPr>
                <w:b w:val="0"/>
                <w:i/>
              </w:rPr>
              <w:t xml:space="preserve">) </w:t>
            </w:r>
          </w:p>
          <w:p w:rsidR="00296032" w:rsidRPr="001F4D4E" w:rsidRDefault="001F4D4E" w:rsidP="001F4D4E">
            <w:pPr>
              <w:rPr>
                <w:b w:val="0"/>
              </w:rPr>
            </w:pPr>
            <w:r w:rsidRPr="001F4D4E">
              <w:rPr>
                <w:b w:val="0"/>
              </w:rPr>
              <w:t>(mg per normaal kubieke meter)</w:t>
            </w:r>
          </w:p>
        </w:tc>
      </w:tr>
      <w:tr w:rsidR="00296032" w:rsidRPr="00620047" w:rsidTr="001F4D4E">
        <w:trPr>
          <w:cnfStyle w:val="100000000000" w:firstRow="1" w:lastRow="0" w:firstColumn="0" w:lastColumn="0" w:oddVBand="0" w:evenVBand="0" w:oddHBand="0" w:evenHBand="0" w:firstRowFirstColumn="0" w:firstRowLastColumn="0" w:lastRowFirstColumn="0" w:lastRowLastColumn="0"/>
          <w:cantSplit/>
          <w:tblHeader/>
        </w:trPr>
        <w:tc>
          <w:tcPr>
            <w:tcW w:w="218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Brandstof in vloeibare vorm, met uitzondering van biomassa</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120</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200</w:t>
            </w:r>
          </w:p>
        </w:tc>
        <w:tc>
          <w:tcPr>
            <w:tcW w:w="119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20</w:t>
            </w:r>
          </w:p>
        </w:tc>
        <w:tc>
          <w:tcPr>
            <w:tcW w:w="14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w:t>
            </w:r>
          </w:p>
        </w:tc>
      </w:tr>
      <w:tr w:rsidR="00296032" w:rsidRPr="00620047" w:rsidTr="001F4D4E">
        <w:trPr>
          <w:cnfStyle w:val="100000000000" w:firstRow="1" w:lastRow="0" w:firstColumn="0" w:lastColumn="0" w:oddVBand="0" w:evenVBand="0" w:oddHBand="0" w:evenHBand="0" w:firstRowFirstColumn="0" w:firstRowLastColumn="0" w:lastRowFirstColumn="0" w:lastRowLastColumn="0"/>
          <w:cantSplit/>
          <w:tblHeader/>
        </w:trPr>
        <w:tc>
          <w:tcPr>
            <w:tcW w:w="218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Biomassa</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300</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200</w:t>
            </w:r>
          </w:p>
        </w:tc>
        <w:tc>
          <w:tcPr>
            <w:tcW w:w="119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40</w:t>
            </w:r>
          </w:p>
        </w:tc>
        <w:tc>
          <w:tcPr>
            <w:tcW w:w="14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w:t>
            </w:r>
          </w:p>
        </w:tc>
      </w:tr>
      <w:tr w:rsidR="00296032" w:rsidRPr="00620047" w:rsidTr="001F4D4E">
        <w:trPr>
          <w:cnfStyle w:val="100000000000" w:firstRow="1" w:lastRow="0" w:firstColumn="0" w:lastColumn="0" w:oddVBand="0" w:evenVBand="0" w:oddHBand="0" w:evenHBand="0" w:firstRowFirstColumn="0" w:firstRowLastColumn="0" w:lastRowFirstColumn="0" w:lastRowLastColumn="0"/>
          <w:cantSplit/>
          <w:tblHeader/>
        </w:trPr>
        <w:tc>
          <w:tcPr>
            <w:tcW w:w="218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Vergistinggas</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70</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200</w:t>
            </w:r>
          </w:p>
        </w:tc>
        <w:tc>
          <w:tcPr>
            <w:tcW w:w="119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w:t>
            </w:r>
          </w:p>
        </w:tc>
        <w:tc>
          <w:tcPr>
            <w:tcW w:w="14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w:t>
            </w:r>
          </w:p>
        </w:tc>
      </w:tr>
      <w:tr w:rsidR="00296032" w:rsidRPr="00620047" w:rsidTr="001F4D4E">
        <w:trPr>
          <w:cnfStyle w:val="100000000000" w:firstRow="1" w:lastRow="0" w:firstColumn="0" w:lastColumn="0" w:oddVBand="0" w:evenVBand="0" w:oddHBand="0" w:evenHBand="0" w:firstRowFirstColumn="0" w:firstRowLastColumn="0" w:lastRowFirstColumn="0" w:lastRowLastColumn="0"/>
          <w:cantSplit/>
          <w:tblHeader/>
        </w:trPr>
        <w:tc>
          <w:tcPr>
            <w:tcW w:w="218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Aardgas</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70</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p>
        </w:tc>
        <w:tc>
          <w:tcPr>
            <w:tcW w:w="119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w:t>
            </w:r>
          </w:p>
        </w:tc>
        <w:tc>
          <w:tcPr>
            <w:tcW w:w="14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w:t>
            </w:r>
          </w:p>
        </w:tc>
      </w:tr>
      <w:tr w:rsidR="00296032" w:rsidRPr="00620047" w:rsidTr="001F4D4E">
        <w:trPr>
          <w:cnfStyle w:val="100000000000" w:firstRow="1" w:lastRow="0" w:firstColumn="0" w:lastColumn="0" w:oddVBand="0" w:evenVBand="0" w:oddHBand="0" w:evenHBand="0" w:firstRowFirstColumn="0" w:firstRowLastColumn="0" w:lastRowFirstColumn="0" w:lastRowLastColumn="0"/>
          <w:cantSplit/>
          <w:tblHeader/>
        </w:trPr>
        <w:tc>
          <w:tcPr>
            <w:tcW w:w="218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Brandstof in gasvorm, met uitzondering van aardgas en vergistinggas</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70 vermenigvuldigd met een factor die gelijk is aan de verhouding van de onderste verbrandingswaarde van de ingezette brandstof, uitgedrukt in MJ per normaal kubieke meter, tot een verbrandingswaarde van 31,65 MJ per normaal kubieke meter, waarbij de laatstgenoemde factor minimaal 0,9 en maximaal 2,0 bedraagt</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p>
        </w:tc>
        <w:tc>
          <w:tcPr>
            <w:tcW w:w="119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w:t>
            </w:r>
          </w:p>
        </w:tc>
        <w:tc>
          <w:tcPr>
            <w:tcW w:w="14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w:t>
            </w:r>
          </w:p>
        </w:tc>
      </w:tr>
      <w:tr w:rsidR="00296032" w:rsidRPr="00620047" w:rsidTr="001F4D4E">
        <w:trPr>
          <w:cnfStyle w:val="100000000000" w:firstRow="1" w:lastRow="0" w:firstColumn="0" w:lastColumn="0" w:oddVBand="0" w:evenVBand="0" w:oddHBand="0" w:evenHBand="0" w:firstRowFirstColumn="0" w:firstRowLastColumn="0" w:lastRowFirstColumn="0" w:lastRowLastColumn="0"/>
          <w:cantSplit/>
          <w:tblHeader/>
        </w:trPr>
        <w:tc>
          <w:tcPr>
            <w:tcW w:w="218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Houtpellets voor zover het geen biomassa betreft</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300</w:t>
            </w:r>
          </w:p>
        </w:tc>
        <w:tc>
          <w:tcPr>
            <w:tcW w:w="212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200</w:t>
            </w:r>
          </w:p>
        </w:tc>
        <w:tc>
          <w:tcPr>
            <w:tcW w:w="119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40</w:t>
            </w:r>
          </w:p>
        </w:tc>
        <w:tc>
          <w:tcPr>
            <w:tcW w:w="14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rPr>
                <w:b w:val="0"/>
              </w:rPr>
            </w:pPr>
            <w:r w:rsidRPr="00620047">
              <w:rPr>
                <w:b w:val="0"/>
              </w:rPr>
              <w:t>-</w:t>
            </w:r>
          </w:p>
        </w:tc>
      </w:tr>
    </w:tbl>
    <w:p w:rsidR="00296032" w:rsidRPr="00296032" w:rsidRDefault="00296032">
      <w:pPr>
        <w:pStyle w:val="artikelkop"/>
      </w:pPr>
      <w:r w:rsidRPr="00296032">
        <w:t>Artikel 3.10b</w:t>
      </w:r>
    </w:p>
    <w:p w:rsidR="00296032" w:rsidRPr="00620047" w:rsidRDefault="00296032">
      <w:pPr>
        <w:pStyle w:val="artplat"/>
      </w:pPr>
      <w:r w:rsidRPr="00620047">
        <w:t>Het rookgas van een ketelinstallatie met een nominaal vermogen gelijk aan of kleiner dan 400 kilowatt voldoet aan de emissiegrenswaarden, genoemd in tabel 3.10b.</w:t>
      </w:r>
    </w:p>
    <w:p w:rsidR="00296032" w:rsidRPr="00620047" w:rsidRDefault="00296032">
      <w:pPr>
        <w:pStyle w:val="tabelkop"/>
      </w:pPr>
      <w:r w:rsidRPr="00620047">
        <w:t>Tabel 3.10b</w:t>
      </w:r>
    </w:p>
    <w:tbl>
      <w:tblPr>
        <w:tblStyle w:val="Tabelraster"/>
        <w:tblW w:w="9129" w:type="dxa"/>
        <w:tblInd w:w="0" w:type="dxa"/>
        <w:tblLook w:val="04A0" w:firstRow="1" w:lastRow="0" w:firstColumn="1" w:lastColumn="0" w:noHBand="0" w:noVBand="1"/>
      </w:tblPr>
      <w:tblGrid>
        <w:gridCol w:w="1751"/>
        <w:gridCol w:w="1844"/>
        <w:gridCol w:w="1845"/>
        <w:gridCol w:w="1844"/>
        <w:gridCol w:w="1845"/>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9129" w:type="dxa"/>
            <w:gridSpan w:val="5"/>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r w:rsidRPr="00620047">
              <w:t>Ketelinstallatie met een nominaal vermogen gelijk aan of kleiner dan 400 kilowatt</w:t>
            </w:r>
          </w:p>
        </w:tc>
      </w:tr>
      <w:tr w:rsidR="00296032" w:rsidRPr="001F4D4E">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1F4D4E" w:rsidRDefault="00296032">
            <w:pPr>
              <w:rPr>
                <w:b w:val="0"/>
              </w:rPr>
            </w:pPr>
            <w:r w:rsidRPr="001F4D4E">
              <w:rPr>
                <w:b w:val="0"/>
                <w:i/>
              </w:rPr>
              <w:t>Brandstof</w:t>
            </w:r>
          </w:p>
        </w:tc>
        <w:tc>
          <w:tcPr>
            <w:tcW w:w="1844" w:type="dxa"/>
            <w:tcBorders>
              <w:top w:val="single" w:sz="4" w:space="0" w:color="7F7F7F"/>
              <w:left w:val="single" w:sz="4" w:space="0" w:color="7F7F7F"/>
              <w:bottom w:val="single" w:sz="4" w:space="0" w:color="7F7F7F"/>
              <w:right w:val="single" w:sz="4" w:space="0" w:color="7F7F7F"/>
            </w:tcBorders>
            <w:hideMark/>
          </w:tcPr>
          <w:p w:rsidR="00296032" w:rsidRPr="001F4D4E" w:rsidRDefault="001F4D4E">
            <w:pPr>
              <w:rPr>
                <w:b w:val="0"/>
              </w:rPr>
            </w:pPr>
            <w:r w:rsidRPr="001F4D4E">
              <w:rPr>
                <w:b w:val="0"/>
                <w:i/>
              </w:rPr>
              <w:t>Stikstofoxiden (NO</w:t>
            </w:r>
            <w:r w:rsidRPr="001F4D4E">
              <w:rPr>
                <w:b w:val="0"/>
                <w:i/>
                <w:vertAlign w:val="subscript"/>
              </w:rPr>
              <w:t>x</w:t>
            </w:r>
            <w:r w:rsidRPr="001F4D4E">
              <w:rPr>
                <w:b w:val="0"/>
                <w:i/>
              </w:rPr>
              <w:t>)</w:t>
            </w:r>
            <w:r w:rsidRPr="001F4D4E">
              <w:rPr>
                <w:b w:val="0"/>
              </w:rPr>
              <w:t xml:space="preserve"> (mg per normaal kubieke meter)</w:t>
            </w:r>
          </w:p>
        </w:tc>
        <w:tc>
          <w:tcPr>
            <w:tcW w:w="1845" w:type="dxa"/>
            <w:tcBorders>
              <w:top w:val="single" w:sz="4" w:space="0" w:color="7F7F7F"/>
              <w:left w:val="single" w:sz="4" w:space="0" w:color="7F7F7F"/>
              <w:bottom w:val="single" w:sz="4" w:space="0" w:color="7F7F7F"/>
              <w:right w:val="single" w:sz="4" w:space="0" w:color="7F7F7F"/>
            </w:tcBorders>
            <w:hideMark/>
          </w:tcPr>
          <w:p w:rsidR="00296032" w:rsidRPr="001F4D4E" w:rsidRDefault="001F4D4E">
            <w:pPr>
              <w:rPr>
                <w:b w:val="0"/>
              </w:rPr>
            </w:pPr>
            <w:r w:rsidRPr="002C0536">
              <w:rPr>
                <w:b w:val="0"/>
                <w:i/>
              </w:rPr>
              <w:t>Zwaveldioxide (SO</w:t>
            </w:r>
            <w:r w:rsidRPr="001F4D4E">
              <w:rPr>
                <w:b w:val="0"/>
                <w:i/>
                <w:vertAlign w:val="subscript"/>
              </w:rPr>
              <w:t>2</w:t>
            </w:r>
            <w:r w:rsidRPr="002C0536">
              <w:rPr>
                <w:b w:val="0"/>
                <w:i/>
              </w:rPr>
              <w:t xml:space="preserve">) </w:t>
            </w:r>
            <w:r w:rsidRPr="001F4D4E">
              <w:rPr>
                <w:b w:val="0"/>
              </w:rPr>
              <w:t>(mg per normaal kubieke meter)</w:t>
            </w:r>
          </w:p>
        </w:tc>
        <w:tc>
          <w:tcPr>
            <w:tcW w:w="1844" w:type="dxa"/>
            <w:tcBorders>
              <w:top w:val="single" w:sz="4" w:space="0" w:color="7F7F7F"/>
              <w:left w:val="single" w:sz="4" w:space="0" w:color="7F7F7F"/>
              <w:bottom w:val="single" w:sz="4" w:space="0" w:color="7F7F7F"/>
              <w:right w:val="single" w:sz="4" w:space="0" w:color="7F7F7F"/>
            </w:tcBorders>
            <w:hideMark/>
          </w:tcPr>
          <w:p w:rsidR="001F4D4E" w:rsidRDefault="001F4D4E" w:rsidP="001F4D4E">
            <w:pPr>
              <w:rPr>
                <w:i/>
              </w:rPr>
            </w:pPr>
            <w:r w:rsidRPr="002C0536">
              <w:rPr>
                <w:b w:val="0"/>
                <w:i/>
              </w:rPr>
              <w:t xml:space="preserve">Totaal stof </w:t>
            </w:r>
          </w:p>
          <w:p w:rsidR="00296032" w:rsidRPr="001F4D4E" w:rsidRDefault="001F4D4E" w:rsidP="001F4D4E">
            <w:pPr>
              <w:rPr>
                <w:b w:val="0"/>
              </w:rPr>
            </w:pPr>
            <w:r w:rsidRPr="001F4D4E">
              <w:rPr>
                <w:b w:val="0"/>
              </w:rPr>
              <w:t>(mg per normaal kubieke meter)</w:t>
            </w:r>
          </w:p>
        </w:tc>
        <w:tc>
          <w:tcPr>
            <w:tcW w:w="1845" w:type="dxa"/>
            <w:tcBorders>
              <w:top w:val="single" w:sz="4" w:space="0" w:color="7F7F7F"/>
              <w:left w:val="single" w:sz="4" w:space="0" w:color="7F7F7F"/>
              <w:bottom w:val="single" w:sz="4" w:space="0" w:color="7F7F7F"/>
              <w:right w:val="single" w:sz="4" w:space="0" w:color="7F7F7F"/>
            </w:tcBorders>
            <w:hideMark/>
          </w:tcPr>
          <w:p w:rsidR="001F4D4E" w:rsidRPr="001F4D4E" w:rsidRDefault="001F4D4E" w:rsidP="001F4D4E">
            <w:pPr>
              <w:rPr>
                <w:b w:val="0"/>
                <w:i/>
              </w:rPr>
            </w:pPr>
            <w:r w:rsidRPr="001F4D4E">
              <w:rPr>
                <w:b w:val="0"/>
                <w:i/>
              </w:rPr>
              <w:t>onverbrande koolwaterstoffen (C</w:t>
            </w:r>
            <w:r w:rsidRPr="001F4D4E">
              <w:rPr>
                <w:b w:val="0"/>
                <w:i/>
                <w:vertAlign w:val="subscript"/>
              </w:rPr>
              <w:t>x</w:t>
            </w:r>
            <w:r w:rsidRPr="001F4D4E">
              <w:rPr>
                <w:b w:val="0"/>
                <w:i/>
              </w:rPr>
              <w:t>H</w:t>
            </w:r>
            <w:r w:rsidRPr="001F4D4E">
              <w:rPr>
                <w:b w:val="0"/>
                <w:i/>
                <w:vertAlign w:val="subscript"/>
              </w:rPr>
              <w:t>y</w:t>
            </w:r>
            <w:r w:rsidRPr="001F4D4E">
              <w:rPr>
                <w:b w:val="0"/>
                <w:i/>
              </w:rPr>
              <w:t xml:space="preserve">) </w:t>
            </w:r>
          </w:p>
          <w:p w:rsidR="00296032" w:rsidRPr="001F4D4E" w:rsidRDefault="001F4D4E" w:rsidP="001F4D4E">
            <w:pPr>
              <w:rPr>
                <w:b w:val="0"/>
              </w:rPr>
            </w:pPr>
            <w:r w:rsidRPr="001F4D4E">
              <w:rPr>
                <w:b w:val="0"/>
              </w:rPr>
              <w:t>(mg per normaal kubieke meter)</w:t>
            </w:r>
          </w:p>
        </w:tc>
      </w:tr>
      <w:tr w:rsidR="00296032" w:rsidRPr="00620047">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Biomassa</w:t>
            </w:r>
          </w:p>
        </w:tc>
        <w:tc>
          <w:tcPr>
            <w:tcW w:w="18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300</w:t>
            </w:r>
          </w:p>
        </w:tc>
        <w:tc>
          <w:tcPr>
            <w:tcW w:w="184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200</w:t>
            </w:r>
          </w:p>
        </w:tc>
        <w:tc>
          <w:tcPr>
            <w:tcW w:w="18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40</w:t>
            </w:r>
          </w:p>
        </w:tc>
        <w:tc>
          <w:tcPr>
            <w:tcW w:w="184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r w:rsidR="00296032" w:rsidRPr="00620047">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Houtpellets voor zover het geen biomassa betreft</w:t>
            </w:r>
          </w:p>
        </w:tc>
        <w:tc>
          <w:tcPr>
            <w:tcW w:w="18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300</w:t>
            </w:r>
          </w:p>
        </w:tc>
        <w:tc>
          <w:tcPr>
            <w:tcW w:w="184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200</w:t>
            </w:r>
          </w:p>
        </w:tc>
        <w:tc>
          <w:tcPr>
            <w:tcW w:w="184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40</w:t>
            </w:r>
          </w:p>
        </w:tc>
        <w:tc>
          <w:tcPr>
            <w:tcW w:w="184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bl>
    <w:p w:rsidR="00296032" w:rsidRPr="002C0536" w:rsidRDefault="00296032" w:rsidP="002C0536"/>
    <w:p w:rsidR="00296032" w:rsidRPr="00296032" w:rsidRDefault="00296032">
      <w:pPr>
        <w:pStyle w:val="artikelkop"/>
      </w:pPr>
      <w:r w:rsidRPr="00296032">
        <w:t>Artikel 3.10c</w:t>
      </w:r>
    </w:p>
    <w:p w:rsidR="00296032" w:rsidRPr="00620047" w:rsidRDefault="00296032">
      <w:pPr>
        <w:pStyle w:val="art1enivo"/>
      </w:pPr>
      <w:r w:rsidRPr="00620047">
        <w:t>1.</w:t>
      </w:r>
      <w:r w:rsidRPr="00620047">
        <w:tab/>
        <w:t>Bij gelijktijdig gebruik van verschillende soorten brandstof in een ketelinstallatie geldt als emissiegrenswaarde voor stikstofoxiden (NO</w:t>
      </w:r>
      <w:r w:rsidRPr="002C0536">
        <w:rPr>
          <w:vertAlign w:val="subscript"/>
        </w:rPr>
        <w:t>x</w:t>
      </w:r>
      <w:r w:rsidRPr="00620047">
        <w:t>), zwaveldioxide (SO</w:t>
      </w:r>
      <w:r w:rsidRPr="002C0536">
        <w:rPr>
          <w:vertAlign w:val="subscript"/>
        </w:rPr>
        <w:t>2</w:t>
      </w:r>
      <w:r w:rsidRPr="00620047">
        <w:t>) en totaal stof, het gewogen gemiddelde van de emissiegrenswaarden die op grond van de artikelen 3.10 tot en met 3.10b voor elk van de brandstoffen afzonderlijk zouden gelden.</w:t>
      </w:r>
    </w:p>
    <w:p w:rsidR="00296032" w:rsidRPr="00620047" w:rsidRDefault="00296032">
      <w:pPr>
        <w:pStyle w:val="art1enivo"/>
      </w:pPr>
      <w:r w:rsidRPr="00620047">
        <w:t>2.</w:t>
      </w:r>
      <w:r w:rsidRPr="00620047">
        <w:tab/>
        <w:t>Het in het eerste lid bedoelde gewogen gemiddelde wordt per tijdseenheid berekend naar het aandeel van elk van de brandstoffen in de energetische inhoud van de toegevoerde brandstoffen.</w:t>
      </w:r>
    </w:p>
    <w:p w:rsidR="00296032" w:rsidRPr="00296032" w:rsidRDefault="00296032">
      <w:pPr>
        <w:pStyle w:val="artikelkop"/>
      </w:pPr>
      <w:r w:rsidRPr="00296032">
        <w:t>Artikel 3.10d</w:t>
      </w:r>
    </w:p>
    <w:p w:rsidR="00296032" w:rsidRPr="00620047" w:rsidRDefault="00296032">
      <w:pPr>
        <w:pStyle w:val="artplat"/>
      </w:pPr>
      <w:r w:rsidRPr="00620047">
        <w:t>Het rookgas van een gasturbine voldoet aan de emissiegrenswaarden, genoemd in tabel 3.10d.</w:t>
      </w:r>
    </w:p>
    <w:p w:rsidR="002C0536" w:rsidRPr="00620047" w:rsidRDefault="00296032">
      <w:pPr>
        <w:pStyle w:val="tabelkop"/>
      </w:pPr>
      <w:r w:rsidRPr="00620047">
        <w:t>Tabel 3.10d</w:t>
      </w:r>
    </w:p>
    <w:tbl>
      <w:tblPr>
        <w:tblStyle w:val="Tabelraster"/>
        <w:tblW w:w="9129" w:type="dxa"/>
        <w:tblInd w:w="0" w:type="dxa"/>
        <w:tblLook w:val="04A0" w:firstRow="1" w:lastRow="0" w:firstColumn="1" w:lastColumn="0" w:noHBand="0" w:noVBand="1"/>
      </w:tblPr>
      <w:tblGrid>
        <w:gridCol w:w="1953"/>
        <w:gridCol w:w="1794"/>
        <w:gridCol w:w="1794"/>
        <w:gridCol w:w="1794"/>
        <w:gridCol w:w="1794"/>
      </w:tblGrid>
      <w:tr w:rsidR="00296032" w:rsidRPr="00620047" w:rsidTr="002C0536">
        <w:trPr>
          <w:cnfStyle w:val="100000000000" w:firstRow="1" w:lastRow="0" w:firstColumn="0" w:lastColumn="0" w:oddVBand="0" w:evenVBand="0" w:oddHBand="0" w:evenHBand="0" w:firstRowFirstColumn="0" w:firstRowLastColumn="0" w:lastRowFirstColumn="0" w:lastRowLastColumn="0"/>
          <w:cantSplit/>
          <w:tblHeader/>
        </w:trPr>
        <w:tc>
          <w:tcPr>
            <w:tcW w:w="9129" w:type="dxa"/>
            <w:gridSpan w:val="5"/>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r w:rsidRPr="00620047">
              <w:t>Gasturbine</w:t>
            </w:r>
          </w:p>
        </w:tc>
      </w:tr>
      <w:tr w:rsidR="00296032" w:rsidRPr="002C0536" w:rsidTr="002C0536">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2C0536" w:rsidRDefault="00296032">
            <w:pPr>
              <w:rPr>
                <w:i/>
              </w:rPr>
            </w:pPr>
            <w:r w:rsidRPr="002C0536">
              <w:rPr>
                <w:i/>
              </w:rPr>
              <w:t>Brandstof</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1F4D4E">
            <w:pPr>
              <w:rPr>
                <w:i/>
              </w:rPr>
            </w:pPr>
            <w:r w:rsidRPr="002C0536">
              <w:rPr>
                <w:i/>
              </w:rPr>
              <w:t>Stikstofoxiden (NO</w:t>
            </w:r>
            <w:r w:rsidRPr="001F4D4E">
              <w:rPr>
                <w:i/>
                <w:vertAlign w:val="subscript"/>
              </w:rPr>
              <w:t>x</w:t>
            </w:r>
            <w:r w:rsidRPr="002C0536">
              <w:rPr>
                <w:i/>
              </w:rPr>
              <w:t>)</w:t>
            </w:r>
            <w:r w:rsidRPr="002C0536">
              <w:t xml:space="preserve"> (mg per normaal kubieke meter)</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pPr>
              <w:rPr>
                <w:i/>
              </w:rPr>
            </w:pPr>
            <w:r w:rsidRPr="002C0536">
              <w:rPr>
                <w:i/>
              </w:rPr>
              <w:t>Zwaveldioxide (SO</w:t>
            </w:r>
            <w:r w:rsidRPr="001F4D4E">
              <w:rPr>
                <w:i/>
                <w:vertAlign w:val="subscript"/>
              </w:rPr>
              <w:t>2</w:t>
            </w:r>
            <w:r w:rsidRPr="002C0536">
              <w:rPr>
                <w:i/>
              </w:rPr>
              <w:t xml:space="preserve">) </w:t>
            </w:r>
            <w:r w:rsidRPr="001F4D4E">
              <w:t>(mg per normaal kubieke meter)</w:t>
            </w:r>
          </w:p>
        </w:tc>
        <w:tc>
          <w:tcPr>
            <w:tcW w:w="1794" w:type="dxa"/>
            <w:tcBorders>
              <w:top w:val="single" w:sz="4" w:space="0" w:color="7F7F7F"/>
              <w:left w:val="single" w:sz="4" w:space="0" w:color="7F7F7F"/>
              <w:bottom w:val="single" w:sz="4" w:space="0" w:color="7F7F7F"/>
              <w:right w:val="single" w:sz="4" w:space="0" w:color="7F7F7F"/>
            </w:tcBorders>
            <w:hideMark/>
          </w:tcPr>
          <w:p w:rsidR="001F4D4E" w:rsidRDefault="00296032">
            <w:pPr>
              <w:rPr>
                <w:i/>
              </w:rPr>
            </w:pPr>
            <w:r w:rsidRPr="002C0536">
              <w:rPr>
                <w:i/>
              </w:rPr>
              <w:t xml:space="preserve">Totaal stof </w:t>
            </w:r>
          </w:p>
          <w:p w:rsidR="00296032" w:rsidRPr="001F4D4E" w:rsidRDefault="00296032">
            <w:r w:rsidRPr="001F4D4E">
              <w:t>(mg per normaal kubieke meter)</w:t>
            </w:r>
          </w:p>
        </w:tc>
        <w:tc>
          <w:tcPr>
            <w:tcW w:w="1794" w:type="dxa"/>
            <w:tcBorders>
              <w:top w:val="single" w:sz="4" w:space="0" w:color="7F7F7F"/>
              <w:left w:val="single" w:sz="4" w:space="0" w:color="7F7F7F"/>
              <w:bottom w:val="single" w:sz="4" w:space="0" w:color="7F7F7F"/>
              <w:right w:val="single" w:sz="4" w:space="0" w:color="7F7F7F"/>
            </w:tcBorders>
            <w:hideMark/>
          </w:tcPr>
          <w:p w:rsidR="001F4D4E" w:rsidRDefault="00296032">
            <w:pPr>
              <w:rPr>
                <w:i/>
              </w:rPr>
            </w:pPr>
            <w:r w:rsidRPr="002C0536">
              <w:rPr>
                <w:i/>
              </w:rPr>
              <w:t>onverbrande koolwaterstoffen (C</w:t>
            </w:r>
            <w:r w:rsidRPr="001F4D4E">
              <w:rPr>
                <w:i/>
                <w:vertAlign w:val="subscript"/>
              </w:rPr>
              <w:t>x</w:t>
            </w:r>
            <w:r w:rsidR="00464C24" w:rsidRPr="001F4D4E">
              <w:rPr>
                <w:i/>
              </w:rPr>
              <w:t>)</w:t>
            </w:r>
            <w:r w:rsidRPr="002C0536">
              <w:rPr>
                <w:i/>
              </w:rPr>
              <w:t>H</w:t>
            </w:r>
            <w:r w:rsidRPr="001F4D4E">
              <w:rPr>
                <w:i/>
                <w:vertAlign w:val="subscript"/>
              </w:rPr>
              <w:t>y</w:t>
            </w:r>
            <w:r w:rsidRPr="002C0536">
              <w:rPr>
                <w:i/>
              </w:rPr>
              <w:t xml:space="preserve">) </w:t>
            </w:r>
          </w:p>
          <w:p w:rsidR="00296032" w:rsidRPr="002C0536" w:rsidRDefault="00296032">
            <w:pPr>
              <w:rPr>
                <w:i/>
              </w:rPr>
            </w:pPr>
            <w:r w:rsidRPr="001F4D4E">
              <w:t>(mg per normaal kubieke meter)</w:t>
            </w:r>
          </w:p>
        </w:tc>
      </w:tr>
      <w:tr w:rsidR="00296032" w:rsidRPr="002C0536" w:rsidTr="002C0536">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Brandstof in vloeibare vorm</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140, teruggerekend naar de ISO-luchtcondities</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200</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15</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w:t>
            </w:r>
          </w:p>
        </w:tc>
      </w:tr>
      <w:tr w:rsidR="00296032" w:rsidRPr="002C0536" w:rsidTr="002C0536">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aardgas</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140, teruggerekend naar de ISO-luchtcondities</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w:t>
            </w:r>
          </w:p>
        </w:tc>
      </w:tr>
      <w:tr w:rsidR="00296032" w:rsidRPr="002C0536" w:rsidTr="002C0536">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Brandstof, met uitzondering van brandstof in vloeibare vorm en aardgas</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140, teruggerekend naar de ISO-luchtcondities</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200</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w:t>
            </w:r>
          </w:p>
        </w:tc>
        <w:tc>
          <w:tcPr>
            <w:tcW w:w="1794"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w:t>
            </w:r>
          </w:p>
        </w:tc>
      </w:tr>
    </w:tbl>
    <w:p w:rsidR="00296032" w:rsidRPr="00620047" w:rsidRDefault="00296032"/>
    <w:p w:rsidR="00296032" w:rsidRPr="00296032" w:rsidRDefault="00296032">
      <w:pPr>
        <w:pStyle w:val="artikelkop"/>
      </w:pPr>
      <w:r w:rsidRPr="00296032">
        <w:t>Artikel 3.10e</w:t>
      </w:r>
    </w:p>
    <w:p w:rsidR="00296032" w:rsidRPr="00620047" w:rsidRDefault="00296032">
      <w:pPr>
        <w:pStyle w:val="art1enivo"/>
      </w:pPr>
      <w:r w:rsidRPr="00620047">
        <w:t>1.</w:t>
      </w:r>
      <w:r w:rsidRPr="00620047">
        <w:tab/>
        <w:t>Het rookgas van een dieselmotor voldoet aan de emissiegrenswaarden, genoemd in tabel 3.10e.</w:t>
      </w:r>
    </w:p>
    <w:p w:rsidR="00296032" w:rsidRPr="00620047" w:rsidRDefault="00296032">
      <w:pPr>
        <w:pStyle w:val="tabelkop"/>
      </w:pPr>
      <w:r w:rsidRPr="00620047">
        <w:t>Tabel 3.10e</w:t>
      </w:r>
    </w:p>
    <w:tbl>
      <w:tblPr>
        <w:tblStyle w:val="Tabelraster"/>
        <w:tblW w:w="9129" w:type="dxa"/>
        <w:tblInd w:w="0" w:type="dxa"/>
        <w:tblLook w:val="04A0" w:firstRow="1" w:lastRow="0" w:firstColumn="1" w:lastColumn="0" w:noHBand="0" w:noVBand="1"/>
      </w:tblPr>
      <w:tblGrid>
        <w:gridCol w:w="1214"/>
        <w:gridCol w:w="1978"/>
        <w:gridCol w:w="1979"/>
        <w:gridCol w:w="1979"/>
        <w:gridCol w:w="1979"/>
      </w:tblGrid>
      <w:tr w:rsidR="00296032" w:rsidRPr="00620047">
        <w:trPr>
          <w:cnfStyle w:val="100000000000" w:firstRow="1" w:lastRow="0" w:firstColumn="0" w:lastColumn="0" w:oddVBand="0" w:evenVBand="0" w:oddHBand="0" w:evenHBand="0" w:firstRowFirstColumn="0" w:firstRowLastColumn="0" w:lastRowFirstColumn="0" w:lastRowLastColumn="0"/>
          <w:cantSplit/>
        </w:trPr>
        <w:tc>
          <w:tcPr>
            <w:tcW w:w="9129" w:type="dxa"/>
            <w:gridSpan w:val="5"/>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r w:rsidRPr="00620047">
              <w:t>Dieselmotor</w:t>
            </w:r>
          </w:p>
        </w:tc>
      </w:tr>
      <w:tr w:rsidR="00296032" w:rsidRPr="002C0536">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rPr>
                <w:i/>
              </w:rPr>
              <w:t>Brandstof</w:t>
            </w:r>
          </w:p>
        </w:tc>
        <w:tc>
          <w:tcPr>
            <w:tcW w:w="1978" w:type="dxa"/>
            <w:tcBorders>
              <w:top w:val="single" w:sz="4" w:space="0" w:color="7F7F7F"/>
              <w:left w:val="single" w:sz="4" w:space="0" w:color="7F7F7F"/>
              <w:bottom w:val="single" w:sz="4" w:space="0" w:color="7F7F7F"/>
              <w:right w:val="single" w:sz="4" w:space="0" w:color="7F7F7F"/>
            </w:tcBorders>
            <w:hideMark/>
          </w:tcPr>
          <w:p w:rsidR="00296032" w:rsidRPr="002C0536" w:rsidRDefault="001F4D4E">
            <w:r w:rsidRPr="002C0536">
              <w:rPr>
                <w:i/>
              </w:rPr>
              <w:t>Stikstofoxiden (NO</w:t>
            </w:r>
            <w:r w:rsidRPr="001F4D4E">
              <w:rPr>
                <w:i/>
                <w:vertAlign w:val="subscript"/>
              </w:rPr>
              <w:t>x</w:t>
            </w:r>
            <w:r w:rsidRPr="002C0536">
              <w:rPr>
                <w:i/>
              </w:rPr>
              <w:t>)</w:t>
            </w:r>
            <w:r w:rsidRPr="002C0536">
              <w:t xml:space="preserve"> (mg per normaal kubieke meter)</w:t>
            </w:r>
          </w:p>
        </w:tc>
        <w:tc>
          <w:tcPr>
            <w:tcW w:w="1979" w:type="dxa"/>
            <w:tcBorders>
              <w:top w:val="single" w:sz="4" w:space="0" w:color="7F7F7F"/>
              <w:left w:val="single" w:sz="4" w:space="0" w:color="7F7F7F"/>
              <w:bottom w:val="single" w:sz="4" w:space="0" w:color="7F7F7F"/>
              <w:right w:val="single" w:sz="4" w:space="0" w:color="7F7F7F"/>
            </w:tcBorders>
            <w:hideMark/>
          </w:tcPr>
          <w:p w:rsidR="00296032" w:rsidRPr="002C0536" w:rsidRDefault="001F4D4E">
            <w:r w:rsidRPr="002C0536">
              <w:rPr>
                <w:i/>
              </w:rPr>
              <w:t>Zwaveldioxide (SO</w:t>
            </w:r>
            <w:r w:rsidRPr="001F4D4E">
              <w:rPr>
                <w:i/>
                <w:vertAlign w:val="subscript"/>
              </w:rPr>
              <w:t>2</w:t>
            </w:r>
            <w:r w:rsidRPr="002C0536">
              <w:rPr>
                <w:i/>
              </w:rPr>
              <w:t xml:space="preserve">) </w:t>
            </w:r>
            <w:r w:rsidRPr="001F4D4E">
              <w:t>(mg per normaal kubieke meter)</w:t>
            </w:r>
          </w:p>
        </w:tc>
        <w:tc>
          <w:tcPr>
            <w:tcW w:w="1979"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rPr>
                <w:i/>
              </w:rPr>
              <w:t>Totaal stof</w:t>
            </w:r>
            <w:r w:rsidRPr="002C0536">
              <w:t xml:space="preserve"> </w:t>
            </w:r>
            <w:r w:rsidR="002C0536">
              <w:br/>
            </w:r>
            <w:r w:rsidRPr="002C0536">
              <w:t>(mg per normaal kubieke meter)</w:t>
            </w:r>
          </w:p>
        </w:tc>
        <w:tc>
          <w:tcPr>
            <w:tcW w:w="1979" w:type="dxa"/>
            <w:tcBorders>
              <w:top w:val="single" w:sz="4" w:space="0" w:color="7F7F7F"/>
              <w:left w:val="single" w:sz="4" w:space="0" w:color="7F7F7F"/>
              <w:bottom w:val="single" w:sz="4" w:space="0" w:color="7F7F7F"/>
              <w:right w:val="single" w:sz="4" w:space="0" w:color="7F7F7F"/>
            </w:tcBorders>
            <w:hideMark/>
          </w:tcPr>
          <w:p w:rsidR="001F4D4E" w:rsidRDefault="001F4D4E" w:rsidP="001F4D4E">
            <w:pPr>
              <w:rPr>
                <w:i/>
              </w:rPr>
            </w:pPr>
            <w:r w:rsidRPr="002C0536">
              <w:rPr>
                <w:i/>
              </w:rPr>
              <w:t>onverbrande koolwaterstoffen (C</w:t>
            </w:r>
            <w:r w:rsidRPr="001F4D4E">
              <w:rPr>
                <w:i/>
                <w:vertAlign w:val="subscript"/>
              </w:rPr>
              <w:t>x</w:t>
            </w:r>
            <w:r w:rsidRPr="002C0536">
              <w:rPr>
                <w:i/>
              </w:rPr>
              <w:t>H</w:t>
            </w:r>
            <w:r w:rsidRPr="001F4D4E">
              <w:rPr>
                <w:i/>
                <w:vertAlign w:val="subscript"/>
              </w:rPr>
              <w:t>y</w:t>
            </w:r>
            <w:r w:rsidRPr="002C0536">
              <w:rPr>
                <w:i/>
              </w:rPr>
              <w:t xml:space="preserve">) </w:t>
            </w:r>
          </w:p>
          <w:p w:rsidR="00296032" w:rsidRPr="002C0536" w:rsidRDefault="001F4D4E" w:rsidP="001F4D4E">
            <w:r w:rsidRPr="001F4D4E">
              <w:t>(mg per normaal kubieke meter)</w:t>
            </w:r>
          </w:p>
        </w:tc>
      </w:tr>
      <w:tr w:rsidR="00296032" w:rsidRPr="002C0536">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Alle brandstoffen</w:t>
            </w:r>
          </w:p>
        </w:tc>
        <w:tc>
          <w:tcPr>
            <w:tcW w:w="1978"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450, teruggerekend naar de ISO-luchtcondities</w:t>
            </w:r>
          </w:p>
        </w:tc>
        <w:tc>
          <w:tcPr>
            <w:tcW w:w="1979"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200</w:t>
            </w:r>
          </w:p>
        </w:tc>
        <w:tc>
          <w:tcPr>
            <w:tcW w:w="1979"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50</w:t>
            </w:r>
          </w:p>
        </w:tc>
        <w:tc>
          <w:tcPr>
            <w:tcW w:w="1979" w:type="dxa"/>
            <w:tcBorders>
              <w:top w:val="single" w:sz="4" w:space="0" w:color="7F7F7F"/>
              <w:left w:val="single" w:sz="4" w:space="0" w:color="7F7F7F"/>
              <w:bottom w:val="single" w:sz="4" w:space="0" w:color="7F7F7F"/>
              <w:right w:val="single" w:sz="4" w:space="0" w:color="7F7F7F"/>
            </w:tcBorders>
            <w:hideMark/>
          </w:tcPr>
          <w:p w:rsidR="00296032" w:rsidRPr="002C0536" w:rsidRDefault="00296032">
            <w:r w:rsidRPr="002C0536">
              <w:t>-</w:t>
            </w:r>
          </w:p>
        </w:tc>
      </w:tr>
    </w:tbl>
    <w:p w:rsidR="00296032" w:rsidRPr="00620047" w:rsidRDefault="00296032">
      <w:pPr>
        <w:pStyle w:val="art1enivo"/>
      </w:pPr>
      <w:r w:rsidRPr="00620047">
        <w:t>2.</w:t>
      </w:r>
      <w:r w:rsidRPr="00620047">
        <w:tab/>
        <w:t>In afwijking van het eerste lid kan het bevoegd gezag bij maatwerkvoorschrift een hogere emissiegrenswaarde voor stikstofoxiden vaststellen voor een dieselmotor met een thermisch vermogen van minder dan 600 kilowatt gelegen op een platform dat is gelegen binnen de Nederlandse exclusieve economische zone. De afwijkende emissiegrenswaarde voor stikstofoxiden bedraagt ten hoogste 2</w:t>
      </w:r>
      <w:r w:rsidR="00B75FF2">
        <w:t>.</w:t>
      </w:r>
      <w:r w:rsidRPr="00620047">
        <w:t>800 milligram per normaal kubieke meter.</w:t>
      </w:r>
    </w:p>
    <w:p w:rsidR="00296032" w:rsidRPr="00620047" w:rsidRDefault="00296032">
      <w:pPr>
        <w:pStyle w:val="art1enivo"/>
      </w:pPr>
      <w:r w:rsidRPr="00620047">
        <w:t>3.</w:t>
      </w:r>
      <w:r w:rsidRPr="00620047">
        <w:tab/>
        <w:t>Degene die een inrichting drijft waartoe een dieselmotor als bedoeld in het tweede lid behoort, overlegt elke vijf jaar ten behoeve van het maatwerkvoorschrift een haalbaarheidsstudie, naar vermindering van de NOx-emissies door toepassing van emissiebeperkende maatregelen of alternatieve technieken, zoals zonne- en windenergie, gasmotoren en -turbines, Van de haalbaarheidsstudie maakt een kosteneffectiviteitsberekening deel uit.</w:t>
      </w:r>
    </w:p>
    <w:p w:rsidR="00296032" w:rsidRPr="00620047" w:rsidRDefault="00296032">
      <w:pPr>
        <w:pStyle w:val="art1enivo"/>
      </w:pPr>
      <w:r w:rsidRPr="00620047">
        <w:t>4.</w:t>
      </w:r>
      <w:r w:rsidRPr="00620047">
        <w:tab/>
        <w:t>In afwijking van het derde lid kan het bevoegd gezag bepalen dat kan worden volstaan met een kosteneffectiviteitsberekening indien de resterende levensduur van de installatie daartoe aanleiding geeft.</w:t>
      </w:r>
    </w:p>
    <w:p w:rsidR="00296032" w:rsidRPr="00620047" w:rsidRDefault="00296032">
      <w:pPr>
        <w:pStyle w:val="art1enivo"/>
      </w:pPr>
      <w:r w:rsidRPr="00620047">
        <w:t>5.</w:t>
      </w:r>
      <w:r w:rsidRPr="00620047">
        <w:tab/>
        <w:t>Bij de beoordeling van de kosteneffectiviteitsberekening gaat het bevoegd gezag uit van een kosteneffectiviteit als bedoeld in artikel 2.7, derde tot en met zesde lid.</w:t>
      </w:r>
    </w:p>
    <w:p w:rsidR="00296032" w:rsidRPr="00296032" w:rsidRDefault="00296032">
      <w:pPr>
        <w:pStyle w:val="artikelkop"/>
      </w:pPr>
      <w:r w:rsidRPr="00296032">
        <w:t>Artikel 3.10f</w:t>
      </w:r>
    </w:p>
    <w:p w:rsidR="00296032" w:rsidRPr="00620047" w:rsidRDefault="00296032">
      <w:pPr>
        <w:pStyle w:val="artplat"/>
      </w:pPr>
      <w:r w:rsidRPr="00620047">
        <w:t>Het rookgas van een gasmotor voldoet aan de emissiegrenswaarden, genoemd in tabel 3.10f.</w:t>
      </w:r>
    </w:p>
    <w:p w:rsidR="00296032" w:rsidRPr="00620047" w:rsidRDefault="00296032">
      <w:pPr>
        <w:pStyle w:val="tabelkop"/>
      </w:pPr>
      <w:r w:rsidRPr="00620047">
        <w:t>Tabel 3.10f</w:t>
      </w:r>
    </w:p>
    <w:tbl>
      <w:tblPr>
        <w:tblStyle w:val="Tabelraster"/>
        <w:tblW w:w="9053" w:type="dxa"/>
        <w:tblInd w:w="0" w:type="dxa"/>
        <w:tblLook w:val="04A0" w:firstRow="1" w:lastRow="0" w:firstColumn="1" w:lastColumn="0" w:noHBand="0" w:noVBand="1"/>
      </w:tblPr>
      <w:tblGrid>
        <w:gridCol w:w="2626"/>
        <w:gridCol w:w="1606"/>
        <w:gridCol w:w="1607"/>
        <w:gridCol w:w="1607"/>
        <w:gridCol w:w="1607"/>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9053" w:type="dxa"/>
            <w:gridSpan w:val="5"/>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r w:rsidRPr="00620047">
              <w:t>Gasmotor</w:t>
            </w:r>
          </w:p>
        </w:tc>
      </w:tr>
      <w:tr w:rsidR="00296032" w:rsidRPr="002C0536">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2C0536" w:rsidRDefault="00296032">
            <w:pPr>
              <w:rPr>
                <w:b w:val="0"/>
                <w:i/>
              </w:rPr>
            </w:pPr>
            <w:r w:rsidRPr="002C0536">
              <w:rPr>
                <w:b w:val="0"/>
                <w:i/>
              </w:rPr>
              <w:t>Brandstof / vermogen</w:t>
            </w:r>
          </w:p>
        </w:tc>
        <w:tc>
          <w:tcPr>
            <w:tcW w:w="1606" w:type="dxa"/>
            <w:tcBorders>
              <w:top w:val="single" w:sz="4" w:space="0" w:color="7F7F7F"/>
              <w:left w:val="single" w:sz="4" w:space="0" w:color="7F7F7F"/>
              <w:bottom w:val="single" w:sz="4" w:space="0" w:color="7F7F7F"/>
              <w:right w:val="single" w:sz="4" w:space="0" w:color="7F7F7F"/>
            </w:tcBorders>
            <w:hideMark/>
          </w:tcPr>
          <w:p w:rsidR="001F4D4E" w:rsidRDefault="00296032">
            <w:pPr>
              <w:rPr>
                <w:b w:val="0"/>
                <w:i/>
              </w:rPr>
            </w:pPr>
            <w:r w:rsidRPr="002C0536">
              <w:rPr>
                <w:b w:val="0"/>
                <w:i/>
              </w:rPr>
              <w:t>Stikstofoxiden (NO</w:t>
            </w:r>
            <w:r w:rsidRPr="001F4D4E">
              <w:rPr>
                <w:b w:val="0"/>
                <w:i/>
                <w:vertAlign w:val="subscript"/>
              </w:rPr>
              <w:t>x</w:t>
            </w:r>
            <w:r w:rsidRPr="002C0536">
              <w:rPr>
                <w:b w:val="0"/>
                <w:i/>
              </w:rPr>
              <w:t xml:space="preserve">) </w:t>
            </w:r>
          </w:p>
          <w:p w:rsidR="00296032" w:rsidRPr="002C0536" w:rsidRDefault="00296032">
            <w:pPr>
              <w:rPr>
                <w:b w:val="0"/>
                <w:i/>
              </w:rPr>
            </w:pPr>
            <w:r w:rsidRPr="002C0536">
              <w:rPr>
                <w:b w:val="0"/>
              </w:rPr>
              <w:t>(mg per normaal kubieke meter)</w:t>
            </w:r>
          </w:p>
        </w:tc>
        <w:tc>
          <w:tcPr>
            <w:tcW w:w="1607" w:type="dxa"/>
            <w:tcBorders>
              <w:top w:val="single" w:sz="4" w:space="0" w:color="7F7F7F"/>
              <w:left w:val="single" w:sz="4" w:space="0" w:color="7F7F7F"/>
              <w:bottom w:val="single" w:sz="4" w:space="0" w:color="7F7F7F"/>
              <w:right w:val="single" w:sz="4" w:space="0" w:color="7F7F7F"/>
            </w:tcBorders>
            <w:hideMark/>
          </w:tcPr>
          <w:p w:rsidR="001F4D4E" w:rsidRDefault="001F4D4E">
            <w:pPr>
              <w:rPr>
                <w:b w:val="0"/>
                <w:i/>
              </w:rPr>
            </w:pPr>
            <w:r w:rsidRPr="002C0536">
              <w:rPr>
                <w:b w:val="0"/>
                <w:i/>
              </w:rPr>
              <w:t>Zwaveldioxide (SO</w:t>
            </w:r>
            <w:r w:rsidRPr="001F4D4E">
              <w:rPr>
                <w:b w:val="0"/>
                <w:i/>
                <w:vertAlign w:val="subscript"/>
              </w:rPr>
              <w:t>2</w:t>
            </w:r>
            <w:r w:rsidRPr="002C0536">
              <w:rPr>
                <w:b w:val="0"/>
                <w:i/>
              </w:rPr>
              <w:t xml:space="preserve">) </w:t>
            </w:r>
          </w:p>
          <w:p w:rsidR="00296032" w:rsidRPr="002C0536" w:rsidRDefault="001F4D4E">
            <w:pPr>
              <w:rPr>
                <w:b w:val="0"/>
                <w:i/>
              </w:rPr>
            </w:pPr>
            <w:r w:rsidRPr="001F4D4E">
              <w:rPr>
                <w:b w:val="0"/>
              </w:rPr>
              <w:t>(mg per normaal kubieke meter)</w:t>
            </w:r>
          </w:p>
        </w:tc>
        <w:tc>
          <w:tcPr>
            <w:tcW w:w="1607" w:type="dxa"/>
            <w:tcBorders>
              <w:top w:val="single" w:sz="4" w:space="0" w:color="7F7F7F"/>
              <w:left w:val="single" w:sz="4" w:space="0" w:color="7F7F7F"/>
              <w:bottom w:val="single" w:sz="4" w:space="0" w:color="7F7F7F"/>
              <w:right w:val="single" w:sz="4" w:space="0" w:color="7F7F7F"/>
            </w:tcBorders>
            <w:hideMark/>
          </w:tcPr>
          <w:p w:rsidR="001F4D4E" w:rsidRDefault="00296032">
            <w:pPr>
              <w:rPr>
                <w:b w:val="0"/>
                <w:i/>
              </w:rPr>
            </w:pPr>
            <w:r w:rsidRPr="002C0536">
              <w:rPr>
                <w:b w:val="0"/>
                <w:i/>
              </w:rPr>
              <w:t xml:space="preserve">Totaal stof </w:t>
            </w:r>
          </w:p>
          <w:p w:rsidR="00296032" w:rsidRPr="002C0536" w:rsidRDefault="00296032">
            <w:pPr>
              <w:rPr>
                <w:b w:val="0"/>
                <w:i/>
              </w:rPr>
            </w:pPr>
            <w:r w:rsidRPr="002C0536">
              <w:rPr>
                <w:b w:val="0"/>
              </w:rPr>
              <w:t>(mg per normaal kubieke meter)</w:t>
            </w:r>
          </w:p>
        </w:tc>
        <w:tc>
          <w:tcPr>
            <w:tcW w:w="1607" w:type="dxa"/>
            <w:tcBorders>
              <w:top w:val="single" w:sz="4" w:space="0" w:color="7F7F7F"/>
              <w:left w:val="single" w:sz="4" w:space="0" w:color="7F7F7F"/>
              <w:bottom w:val="single" w:sz="4" w:space="0" w:color="7F7F7F"/>
              <w:right w:val="single" w:sz="4" w:space="0" w:color="7F7F7F"/>
            </w:tcBorders>
            <w:hideMark/>
          </w:tcPr>
          <w:p w:rsidR="001F4D4E" w:rsidRDefault="001F4D4E" w:rsidP="001F4D4E">
            <w:pPr>
              <w:rPr>
                <w:i/>
              </w:rPr>
            </w:pPr>
            <w:r w:rsidRPr="002C0536">
              <w:rPr>
                <w:b w:val="0"/>
                <w:i/>
              </w:rPr>
              <w:t>onverbrande koolwaterstoffen (C</w:t>
            </w:r>
            <w:r w:rsidRPr="001F4D4E">
              <w:rPr>
                <w:b w:val="0"/>
                <w:i/>
                <w:vertAlign w:val="subscript"/>
              </w:rPr>
              <w:t>x</w:t>
            </w:r>
            <w:r w:rsidR="00560918" w:rsidRPr="001F4D4E">
              <w:rPr>
                <w:b w:val="0"/>
                <w:i/>
              </w:rPr>
              <w:t>)</w:t>
            </w:r>
            <w:r w:rsidRPr="002C0536">
              <w:rPr>
                <w:b w:val="0"/>
                <w:i/>
              </w:rPr>
              <w:t>H</w:t>
            </w:r>
            <w:r w:rsidRPr="001F4D4E">
              <w:rPr>
                <w:b w:val="0"/>
                <w:i/>
                <w:vertAlign w:val="subscript"/>
              </w:rPr>
              <w:t>y</w:t>
            </w:r>
            <w:r w:rsidRPr="002C0536">
              <w:rPr>
                <w:b w:val="0"/>
                <w:i/>
              </w:rPr>
              <w:t xml:space="preserve">) </w:t>
            </w:r>
          </w:p>
          <w:p w:rsidR="00296032" w:rsidRPr="002C0536" w:rsidRDefault="001F4D4E" w:rsidP="001F4D4E">
            <w:pPr>
              <w:rPr>
                <w:b w:val="0"/>
                <w:i/>
              </w:rPr>
            </w:pPr>
            <w:r w:rsidRPr="001F4D4E">
              <w:rPr>
                <w:b w:val="0"/>
              </w:rPr>
              <w:t>(mg per normaal kubieke meter)</w:t>
            </w:r>
          </w:p>
        </w:tc>
      </w:tr>
      <w:tr w:rsidR="00296032" w:rsidRPr="00620047">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Thermisch vermogen kleiner dan 2,5 megawatt, met uitzondering van vergistinggas</w:t>
            </w:r>
          </w:p>
        </w:tc>
        <w:tc>
          <w:tcPr>
            <w:tcW w:w="160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340</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r w:rsidR="00296032" w:rsidRPr="00620047">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Thermisch vermogen van 2,5 megawatt of groter, met uitzondering van vergistinggas</w:t>
            </w:r>
          </w:p>
        </w:tc>
        <w:tc>
          <w:tcPr>
            <w:tcW w:w="160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100</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1</w:t>
            </w:r>
            <w:r w:rsidR="00560918">
              <w:t>.</w:t>
            </w:r>
            <w:r w:rsidRPr="00620047">
              <w:t>500</w:t>
            </w:r>
          </w:p>
        </w:tc>
      </w:tr>
      <w:tr w:rsidR="00296032" w:rsidRPr="00620047">
        <w:trPr>
          <w:cantSplit/>
        </w:trPr>
        <w:tc>
          <w:tcPr>
            <w:tcW w:w="0" w:type="auto"/>
            <w:tcBorders>
              <w:top w:val="single" w:sz="4" w:space="0" w:color="7F7F7F"/>
              <w:left w:val="single" w:sz="4" w:space="0" w:color="7F7F7F"/>
              <w:bottom w:val="single" w:sz="4" w:space="0" w:color="7F7F7F"/>
              <w:right w:val="single" w:sz="4" w:space="0" w:color="7F7F7F"/>
            </w:tcBorders>
          </w:tcPr>
          <w:p w:rsidR="00296032" w:rsidRPr="00620047" w:rsidRDefault="00296032"/>
        </w:tc>
        <w:tc>
          <w:tcPr>
            <w:tcW w:w="1606" w:type="dxa"/>
            <w:tcBorders>
              <w:top w:val="single" w:sz="4" w:space="0" w:color="7F7F7F"/>
              <w:left w:val="single" w:sz="4" w:space="0" w:color="7F7F7F"/>
              <w:bottom w:val="single" w:sz="4" w:space="0" w:color="7F7F7F"/>
              <w:right w:val="single" w:sz="4" w:space="0" w:color="7F7F7F"/>
            </w:tcBorders>
          </w:tcPr>
          <w:p w:rsidR="00296032" w:rsidRPr="00620047" w:rsidRDefault="00296032"/>
        </w:tc>
        <w:tc>
          <w:tcPr>
            <w:tcW w:w="1607" w:type="dxa"/>
            <w:tcBorders>
              <w:top w:val="single" w:sz="4" w:space="0" w:color="7F7F7F"/>
              <w:left w:val="single" w:sz="4" w:space="0" w:color="7F7F7F"/>
              <w:bottom w:val="single" w:sz="4" w:space="0" w:color="7F7F7F"/>
              <w:right w:val="single" w:sz="4" w:space="0" w:color="7F7F7F"/>
            </w:tcBorders>
          </w:tcPr>
          <w:p w:rsidR="00296032" w:rsidRPr="00620047" w:rsidRDefault="00296032"/>
        </w:tc>
        <w:tc>
          <w:tcPr>
            <w:tcW w:w="1607" w:type="dxa"/>
            <w:tcBorders>
              <w:top w:val="single" w:sz="4" w:space="0" w:color="7F7F7F"/>
              <w:left w:val="single" w:sz="4" w:space="0" w:color="7F7F7F"/>
              <w:bottom w:val="single" w:sz="4" w:space="0" w:color="7F7F7F"/>
              <w:right w:val="single" w:sz="4" w:space="0" w:color="7F7F7F"/>
            </w:tcBorders>
          </w:tcPr>
          <w:p w:rsidR="00296032" w:rsidRPr="00620047" w:rsidRDefault="00296032"/>
        </w:tc>
        <w:tc>
          <w:tcPr>
            <w:tcW w:w="1607" w:type="dxa"/>
            <w:tcBorders>
              <w:top w:val="single" w:sz="4" w:space="0" w:color="7F7F7F"/>
              <w:left w:val="single" w:sz="4" w:space="0" w:color="7F7F7F"/>
              <w:bottom w:val="single" w:sz="4" w:space="0" w:color="7F7F7F"/>
              <w:right w:val="single" w:sz="4" w:space="0" w:color="7F7F7F"/>
            </w:tcBorders>
          </w:tcPr>
          <w:p w:rsidR="00296032" w:rsidRPr="00620047" w:rsidRDefault="00296032"/>
        </w:tc>
      </w:tr>
      <w:tr w:rsidR="00296032" w:rsidRPr="00620047">
        <w:trPr>
          <w:cantSplit/>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Vergistinggas</w:t>
            </w:r>
          </w:p>
        </w:tc>
        <w:tc>
          <w:tcPr>
            <w:tcW w:w="160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340</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200</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c>
          <w:tcPr>
            <w:tcW w:w="160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r w:rsidRPr="00620047">
              <w:t>-</w:t>
            </w:r>
          </w:p>
        </w:tc>
      </w:tr>
    </w:tbl>
    <w:p w:rsidR="00296032" w:rsidRPr="00296032" w:rsidRDefault="00296032">
      <w:pPr>
        <w:pStyle w:val="artikelkop"/>
      </w:pPr>
      <w:r w:rsidRPr="00296032">
        <w:t>Artikel 3.10g</w:t>
      </w:r>
    </w:p>
    <w:p w:rsidR="00296032" w:rsidRPr="00620047" w:rsidRDefault="00296032">
      <w:pPr>
        <w:pStyle w:val="art1enivo"/>
      </w:pPr>
      <w:r w:rsidRPr="00620047">
        <w:t>1.</w:t>
      </w:r>
      <w:r w:rsidRPr="00620047">
        <w:tab/>
        <w:t>Een stookinstallatie waarvan het rookgas vanwege een storing niet voldoet aan de emissiegrenswaarden die op grond van deze paragraaf voor die stookinstallatie gelden, wordt zo spoedig mogelijk opgelost en mag ten hoogste 120 achtereenvolgende uren na het optreden van de storing in gebruik blijven, met een maximum van 120 uur per kalenderjaar.</w:t>
      </w:r>
    </w:p>
    <w:p w:rsidR="00296032" w:rsidRPr="00620047" w:rsidRDefault="00296032">
      <w:pPr>
        <w:pStyle w:val="art1enivo"/>
      </w:pPr>
      <w:r w:rsidRPr="00620047">
        <w:t>2.</w:t>
      </w:r>
      <w:r w:rsidRPr="00620047">
        <w:tab/>
        <w:t>Indien een storing als bedoeld in het eerste lid niet binnen 120 uur op een zodanige wijze is opgeheven dat het rookgas van de stookinstallatie weer aan de van toepassing zijnde emissiegrenswaarden voldoet, wordt de stookinstallatie door de drijver van de inrichting buiten bedrijf gesteld.</w:t>
      </w:r>
    </w:p>
    <w:p w:rsidR="00296032" w:rsidRPr="00620047" w:rsidRDefault="00296032">
      <w:pPr>
        <w:pStyle w:val="art1enivo"/>
      </w:pPr>
      <w:r w:rsidRPr="00620047">
        <w:t>3.</w:t>
      </w:r>
      <w:r w:rsidRPr="00620047">
        <w:tab/>
        <w:t>Het tweede lid blijft buiten toepassing indien het een stookinstallatie betreft die zich binnen de Nederlandse exclusieve economische zone bevindt, de storing redelijkerwijs niet binnen het in het eerste lid genoemde aantal uren kan worden hersteld en deze omstandigheid voor het verstrijken van dat aantal uren schriftelijk en met opgave van redenen is gemeld bij het Staatstoezicht op de mijnen. Het Staatstoezicht op de mijnen stelt in dat geval een termijn waarbinnen de storing wordt hersteld. De storing wordt zo spoedig mogelijk opgelost. Indien de storing niet wordt hersteld binnen de door het Staatstoezicht op de mijnen gestelde termijn, wordt de betreffende stookinstallatie alsnog buiten bedrijf gesteld.</w:t>
      </w:r>
    </w:p>
    <w:p w:rsidR="00296032" w:rsidRPr="00620047" w:rsidRDefault="00296032">
      <w:pPr>
        <w:pStyle w:val="art1enivo"/>
      </w:pPr>
      <w:r w:rsidRPr="00620047">
        <w:t>4.</w:t>
      </w:r>
      <w:r w:rsidRPr="00620047">
        <w:tab/>
        <w:t>Indien een storing samenhangt met de brandstof die in een stookinstallatie wordt verstookt mag gedurende het aantal uren, genoemd in het eerste lid, een andere brandstof worden gebruikt en blijven de emissiegrenswaarden, die gelden op grond van deze paragraaf, gedurende die uren buiten toepassing.</w:t>
      </w:r>
    </w:p>
    <w:p w:rsidR="00296032" w:rsidRPr="00296032" w:rsidRDefault="00296032">
      <w:pPr>
        <w:pStyle w:val="artikelkop"/>
      </w:pPr>
      <w:r w:rsidRPr="00296032">
        <w:t>Artikel 3.10h</w:t>
      </w:r>
    </w:p>
    <w:p w:rsidR="00296032" w:rsidRPr="00620047" w:rsidRDefault="00296032">
      <w:pPr>
        <w:pStyle w:val="artplat"/>
      </w:pPr>
      <w:r w:rsidRPr="00620047">
        <w:t>Een stookinstallatie die strekt tot vervanging voor ten hoogste zes maanden van een stookinstallatie die buiten bedrijf is gesteld in verband met onderhoud, reparatie of definitieve vervanging en die is afgekoppeld van de brandstoftoevoer of van het stoom- of elektriciteitsnet waaraan zij levert, voldoet ten minste aan de emissiegrenswaarden die gelden voor de buiten bedrijf gestelde stookinstallatie.</w:t>
      </w:r>
    </w:p>
    <w:p w:rsidR="00296032" w:rsidRPr="00296032" w:rsidRDefault="00296032">
      <w:pPr>
        <w:pStyle w:val="artikelkop"/>
      </w:pPr>
      <w:r w:rsidRPr="00296032">
        <w:t>Artikel 3.10i</w:t>
      </w:r>
    </w:p>
    <w:p w:rsidR="00296032" w:rsidRPr="00620047" w:rsidRDefault="00296032">
      <w:pPr>
        <w:pStyle w:val="art1enivo"/>
      </w:pPr>
      <w:r w:rsidRPr="00620047">
        <w:t>1.</w:t>
      </w:r>
      <w:r w:rsidRPr="00620047">
        <w:tab/>
        <w:t>Voor de berekening van de uitworp van rookgas door een stookinstallatie wordt de massaconcentratie van stikstofoxiden (NO</w:t>
      </w:r>
      <w:r w:rsidRPr="00620047">
        <w:rPr>
          <w:position w:val="-2"/>
        </w:rPr>
        <w:t>x</w:t>
      </w:r>
      <w:r w:rsidRPr="00620047">
        <w:t>), zwaveldioxide (SO</w:t>
      </w:r>
      <w:r w:rsidRPr="00620047">
        <w:rPr>
          <w:position w:val="-2"/>
        </w:rPr>
        <w:t>2</w:t>
      </w:r>
      <w:r w:rsidRPr="00620047">
        <w:t>), totaal stof en onverbrande koolwaterstoffen (C</w:t>
      </w:r>
      <w:r w:rsidRPr="00620047">
        <w:rPr>
          <w:position w:val="-2"/>
        </w:rPr>
        <w:t>x</w:t>
      </w:r>
      <w:r w:rsidRPr="00620047">
        <w:t>H</w:t>
      </w:r>
      <w:r w:rsidRPr="00620047">
        <w:rPr>
          <w:position w:val="-2"/>
        </w:rPr>
        <w:t>y</w:t>
      </w:r>
      <w:r w:rsidRPr="00620047">
        <w:t>, uitgedrukt in C) in het rookgas herleid op rookgas met een volumegehalte aan zuurstof van:</w:t>
      </w:r>
    </w:p>
    <w:p w:rsidR="00296032" w:rsidRPr="00620047" w:rsidRDefault="00296032">
      <w:pPr>
        <w:pStyle w:val="art2enivo"/>
      </w:pPr>
      <w:r w:rsidRPr="00620047">
        <w:t>a.</w:t>
      </w:r>
      <w:r w:rsidRPr="00620047">
        <w:tab/>
        <w:t>6 procent, indien het een stookinstallatie met vaste brandstof betreft, of</w:t>
      </w:r>
    </w:p>
    <w:p w:rsidR="00296032" w:rsidRPr="00620047" w:rsidRDefault="00296032">
      <w:pPr>
        <w:pStyle w:val="art2enivo"/>
      </w:pPr>
      <w:r w:rsidRPr="00620047">
        <w:t>b.</w:t>
      </w:r>
      <w:r w:rsidRPr="00620047">
        <w:tab/>
        <w:t>3 procent, indien het een stookinstallatie met een gasvormige of vloeibare brandstof betreft.</w:t>
      </w:r>
    </w:p>
    <w:p w:rsidR="00296032" w:rsidRPr="00620047" w:rsidRDefault="00296032">
      <w:pPr>
        <w:pStyle w:val="art1enivo"/>
      </w:pPr>
      <w:r w:rsidRPr="00620047">
        <w:t>2.</w:t>
      </w:r>
      <w:r w:rsidRPr="00620047">
        <w:tab/>
        <w:t>Voor de berekening van de uitworp van rookgas door een stookinstallatie, wordt de massaconcentratie aan stikstofoxiden (NO</w:t>
      </w:r>
      <w:r w:rsidRPr="00620047">
        <w:rPr>
          <w:position w:val="-2"/>
        </w:rPr>
        <w:t>x</w:t>
      </w:r>
      <w:r w:rsidRPr="00620047">
        <w:t>) in het rookgas berekend als massaconcentratie van stikstofdioxide.</w:t>
      </w:r>
    </w:p>
    <w:p w:rsidR="00296032" w:rsidRPr="00296032" w:rsidRDefault="00296032">
      <w:pPr>
        <w:pStyle w:val="artikelkop"/>
      </w:pPr>
      <w:r w:rsidRPr="00296032">
        <w:t>Artikel 3.10j</w:t>
      </w:r>
    </w:p>
    <w:p w:rsidR="00296032" w:rsidRPr="00620047" w:rsidRDefault="00296032">
      <w:pPr>
        <w:pStyle w:val="art1enivo"/>
      </w:pPr>
      <w:r w:rsidRPr="00620047">
        <w:t>1.</w:t>
      </w:r>
      <w:r w:rsidRPr="00620047">
        <w:tab/>
        <w:t>De concentratie aan stikstofoxiden (NO</w:t>
      </w:r>
      <w:r w:rsidRPr="00620047">
        <w:rPr>
          <w:position w:val="-2"/>
        </w:rPr>
        <w:t>x</w:t>
      </w:r>
      <w:r w:rsidRPr="00620047">
        <w:t>), zwaveldioxide (SO</w:t>
      </w:r>
      <w:r w:rsidRPr="00620047">
        <w:rPr>
          <w:position w:val="-2"/>
        </w:rPr>
        <w:t>2</w:t>
      </w:r>
      <w:r w:rsidRPr="00620047">
        <w:t>), totaal stof en onverbrande koolwaterstoffen (C</w:t>
      </w:r>
      <w:r w:rsidRPr="00620047">
        <w:rPr>
          <w:position w:val="-2"/>
        </w:rPr>
        <w:t>x</w:t>
      </w:r>
      <w:r w:rsidRPr="00620047">
        <w:t>H</w:t>
      </w:r>
      <w:r w:rsidRPr="00620047">
        <w:rPr>
          <w:position w:val="-2"/>
        </w:rPr>
        <w:t>y</w:t>
      </w:r>
      <w:r w:rsidRPr="00620047">
        <w:t>, uitgedrukt in C) in het rookgas dat wordt uitgeworpen door een stookinstallatie waarvoor in deze paragraaf emissiegrenswaarden zijn gesteld, wordt door de drijver van de inrichting bepaald door een meting.</w:t>
      </w:r>
    </w:p>
    <w:p w:rsidR="00296032" w:rsidRPr="00620047" w:rsidRDefault="00296032">
      <w:pPr>
        <w:pStyle w:val="art1enivo"/>
      </w:pPr>
      <w:r w:rsidRPr="00620047">
        <w:t>2.</w:t>
      </w:r>
      <w:r w:rsidRPr="00620047">
        <w:tab/>
        <w:t>In afwijking van het eerste lid behoeft geen meting te worden verricht van zwaveldioxide (SO</w:t>
      </w:r>
      <w:r w:rsidRPr="00620047">
        <w:rPr>
          <w:position w:val="-2"/>
        </w:rPr>
        <w:t>2</w:t>
      </w:r>
      <w:r w:rsidRPr="00620047">
        <w:t>), indien het in acht nemen van de emissiegrenswaarden geschiedt door het stoken van brandstof met een bekend zwavelgehalte en de stookinstallatie niet is uitgerust met apparatuur voor het reduceren van de emissie van zwaveldioxide.</w:t>
      </w:r>
    </w:p>
    <w:p w:rsidR="00296032" w:rsidRPr="00620047" w:rsidRDefault="00296032">
      <w:pPr>
        <w:pStyle w:val="art1enivo"/>
      </w:pPr>
      <w:r w:rsidRPr="00620047">
        <w:t>3.</w:t>
      </w:r>
      <w:r w:rsidRPr="00620047">
        <w:tab/>
        <w:t>De meting, bedoeld in het eerste lid, waaronder tevens begrepen wordt de berekening, registratie en rapportage van de meting, voldoet aan de bij ministeriële regeling gestelde eisen</w:t>
      </w:r>
    </w:p>
    <w:p w:rsidR="00296032" w:rsidRPr="00296032" w:rsidRDefault="00296032">
      <w:pPr>
        <w:pStyle w:val="artikelkop"/>
      </w:pPr>
      <w:r w:rsidRPr="00296032">
        <w:t>Artikel 3.10k</w:t>
      </w:r>
    </w:p>
    <w:p w:rsidR="00296032" w:rsidRPr="00620047" w:rsidRDefault="00296032">
      <w:pPr>
        <w:pStyle w:val="art1enivo"/>
      </w:pPr>
      <w:r w:rsidRPr="00620047">
        <w:t>1.</w:t>
      </w:r>
      <w:r w:rsidRPr="00620047">
        <w:tab/>
        <w:t>Het spuien van een stoomketel van een stookinstallatie geschiedt in een geschikte spuitank dan wel in een andere geschikte voorziening die ten behoeve van het doelmatig beheer van afvalwater ten minste voldoet aan de bij ministeriële regeling gestelde eisen.</w:t>
      </w:r>
    </w:p>
    <w:p w:rsidR="00296032" w:rsidRPr="00620047" w:rsidRDefault="00296032">
      <w:pPr>
        <w:pStyle w:val="art1enivo"/>
      </w:pPr>
      <w:r w:rsidRPr="00620047">
        <w:t>2.</w:t>
      </w:r>
      <w:r w:rsidRPr="00620047">
        <w:tab/>
        <w:t>Het lozen van spuiwater van een stoomketel of condensaat van rookgassen van een stookinstallatie op of in de bodem of in een oppervlaktewaterlichaam is toegestaan, indien niet in een vuilwaterriool kan worden geloosd.</w:t>
      </w:r>
    </w:p>
    <w:p w:rsidR="00296032" w:rsidRPr="00296032" w:rsidRDefault="00296032">
      <w:pPr>
        <w:pStyle w:val="artikelkop"/>
      </w:pPr>
      <w:r w:rsidRPr="00296032">
        <w:t>Artikel 3.10l</w:t>
      </w:r>
    </w:p>
    <w:p w:rsidR="00296032" w:rsidRPr="00620047" w:rsidRDefault="00296032">
      <w:pPr>
        <w:pStyle w:val="art1enivo"/>
      </w:pPr>
      <w:r w:rsidRPr="00620047">
        <w:t>1.</w:t>
      </w:r>
      <w:r w:rsidRPr="00620047">
        <w:tab/>
        <w:t>Van een warmtekrachtinstallatie is het jaargemiddeld rendement ten minste 65%, berekend volgens de formule: de som van het energetisch rendement van de opwekking van kracht plus tweederde deel van het energetisch rendement van de productie van nuttig aan te wenden warmte.</w:t>
      </w:r>
    </w:p>
    <w:p w:rsidR="00296032" w:rsidRPr="00620047" w:rsidRDefault="00296032">
      <w:pPr>
        <w:pStyle w:val="art1enivo"/>
      </w:pPr>
      <w:r w:rsidRPr="00620047">
        <w:t>2.</w:t>
      </w:r>
      <w:r w:rsidRPr="00620047">
        <w:tab/>
        <w:t>De warmtekrachtinstallatie wordt zodanig in bedrijf gehouden dat de hoeveelheid warmte die nuttig gebruikt wordt zo hoog mogelijk is en de hoeveelheid warmte die ongebruikt aan de omgeving wordt afgegeven zo klein mogelijk is. Onder ongebruikte warmte wordt mede verstaan de warmte die door de noodkoeler wordt afgegeven.</w:t>
      </w:r>
    </w:p>
    <w:p w:rsidR="00296032" w:rsidRPr="00296032" w:rsidRDefault="00296032">
      <w:pPr>
        <w:pStyle w:val="artikelkop"/>
      </w:pPr>
      <w:r w:rsidRPr="00296032">
        <w:t>Artikel 3.10m</w:t>
      </w:r>
    </w:p>
    <w:p w:rsidR="00296032" w:rsidRPr="00620047" w:rsidRDefault="00296032">
      <w:pPr>
        <w:pStyle w:val="art1enivo"/>
      </w:pPr>
      <w:r w:rsidRPr="00620047">
        <w:t>1.</w:t>
      </w:r>
      <w:r w:rsidRPr="00620047">
        <w:tab/>
        <w:t>Jaarlijks wordt het brandstofverbruik en de geproduceerde elektriciteit van een warmtekrachtinstallatie geregistreerd.</w:t>
      </w:r>
    </w:p>
    <w:p w:rsidR="00296032" w:rsidRPr="00620047" w:rsidRDefault="00296032">
      <w:pPr>
        <w:pStyle w:val="art1enivo"/>
      </w:pPr>
      <w:r w:rsidRPr="00620047">
        <w:t>2.</w:t>
      </w:r>
      <w:r w:rsidRPr="00620047">
        <w:tab/>
        <w:t>Indien de warmtekrachtinstallatie is aangesloten op een noodkoeler wordt jaarlijks de hoeveelheid nuttig toegepaste warmte geregistreerd.</w:t>
      </w:r>
    </w:p>
    <w:p w:rsidR="00296032" w:rsidRPr="00620047" w:rsidRDefault="00296032">
      <w:pPr>
        <w:pStyle w:val="art1enivo"/>
      </w:pPr>
      <w:r w:rsidRPr="00620047">
        <w:t>3.</w:t>
      </w:r>
      <w:r w:rsidRPr="00620047">
        <w:tab/>
        <w:t>Indien de warmtekrachtinstallatie niet is aangesloten op een noodkoeler wordt het thermisch rendement eenmaal per vier jaar vastgesteld.</w:t>
      </w:r>
    </w:p>
    <w:p w:rsidR="00296032" w:rsidRPr="00620047" w:rsidRDefault="00296032">
      <w:pPr>
        <w:pStyle w:val="art1enivo"/>
      </w:pPr>
      <w:r w:rsidRPr="00620047">
        <w:t>4.</w:t>
      </w:r>
      <w:r w:rsidRPr="00620047">
        <w:tab/>
        <w:t>De registraties, bedoeld in het eerste en tweede lid, worden gedurende vijf kalenderjaren na dagtekening bewaard en zijn in de inrichting aanwezig of binnen een termijn die wordt gesteld door het bevoegd gezag voor deze beschikbaar.</w:t>
      </w:r>
    </w:p>
    <w:p w:rsidR="00296032" w:rsidRPr="00296032" w:rsidRDefault="00296032">
      <w:pPr>
        <w:pStyle w:val="artikelkop"/>
      </w:pPr>
      <w:r w:rsidRPr="00296032">
        <w:t>Artikel 3.10n</w:t>
      </w:r>
    </w:p>
    <w:p w:rsidR="00296032" w:rsidRPr="00620047" w:rsidRDefault="00296032">
      <w:pPr>
        <w:pStyle w:val="art1enivo"/>
      </w:pPr>
      <w:r w:rsidRPr="00620047">
        <w:t>1.</w:t>
      </w:r>
      <w:r w:rsidRPr="00620047">
        <w:tab/>
        <w:t xml:space="preserve">In afwijking van artikel 2.14a, eerste lid, is </w:t>
      </w:r>
      <w:r w:rsidR="00560918">
        <w:t>h</w:t>
      </w:r>
      <w:r w:rsidRPr="00620047">
        <w:t>et verbranden van biomassa die tevens afvalstof is, toegestaan indien:</w:t>
      </w:r>
    </w:p>
    <w:p w:rsidR="00296032" w:rsidRPr="00620047" w:rsidRDefault="00296032">
      <w:pPr>
        <w:pStyle w:val="art2enivo"/>
      </w:pPr>
      <w:r w:rsidRPr="00620047">
        <w:t xml:space="preserve">a. </w:t>
      </w:r>
      <w:r w:rsidRPr="00620047">
        <w:tab/>
        <w:t>het de verbranding in een stookinstallatie met een thermisch vermogen van 15 megawatt of minder betreft;</w:t>
      </w:r>
    </w:p>
    <w:p w:rsidR="00296032" w:rsidRPr="00620047" w:rsidRDefault="00296032">
      <w:pPr>
        <w:pStyle w:val="art2enivo"/>
      </w:pPr>
      <w:r w:rsidRPr="00620047">
        <w:t xml:space="preserve">b. </w:t>
      </w:r>
      <w:r w:rsidRPr="00620047">
        <w:tab/>
        <w:t xml:space="preserve">het verbranden van de biomassa materiaalhergebruik niet belemmert, en </w:t>
      </w:r>
    </w:p>
    <w:p w:rsidR="00296032" w:rsidRPr="00620047" w:rsidRDefault="00296032">
      <w:pPr>
        <w:pStyle w:val="art2enivo"/>
      </w:pPr>
      <w:r w:rsidRPr="00620047">
        <w:t xml:space="preserve">c. </w:t>
      </w:r>
      <w:r w:rsidRPr="00620047">
        <w:tab/>
        <w:t>de vrijkomende warmte nuttig wordt gebruikt.</w:t>
      </w:r>
    </w:p>
    <w:p w:rsidR="00296032" w:rsidRPr="00620047" w:rsidRDefault="00296032">
      <w:pPr>
        <w:pStyle w:val="art1enivo"/>
      </w:pPr>
      <w:r w:rsidRPr="00620047">
        <w:t>2.</w:t>
      </w:r>
      <w:r w:rsidRPr="00620047">
        <w:tab/>
        <w:t xml:space="preserve">In afwijking van artikel 2.12, tweede en derde lid, is het toegestaan verschillende categorieën van afvalstoffen, zijnde biomassa, te mengen bij de verbranding van biomassa mits wordt voldaan aan het eerste lid. </w:t>
      </w:r>
    </w:p>
    <w:p w:rsidR="00296032" w:rsidRPr="00296032" w:rsidRDefault="00296032">
      <w:pPr>
        <w:pStyle w:val="artikelkop"/>
      </w:pPr>
      <w:r w:rsidRPr="00296032">
        <w:t xml:space="preserve"> Artikel 3.10o</w:t>
      </w:r>
    </w:p>
    <w:p w:rsidR="00296032" w:rsidRPr="00620047" w:rsidRDefault="00296032">
      <w:pPr>
        <w:pStyle w:val="artplat"/>
      </w:pPr>
      <w:r w:rsidRPr="00620047">
        <w:t>Een stookinstallatie waarin vloeibare brandstof wordt verbrand, voldoet ten behoeve van het realiseren van een verwaarloosbaar bodemrisico aan de bij ministeriële regeling gestelde eisen.</w:t>
      </w:r>
    </w:p>
    <w:p w:rsidR="00296032" w:rsidRPr="00296032" w:rsidRDefault="00296032">
      <w:pPr>
        <w:pStyle w:val="artikelkop"/>
      </w:pPr>
      <w:r w:rsidRPr="00296032">
        <w:t>Artikel 3.10p</w:t>
      </w:r>
    </w:p>
    <w:p w:rsidR="00296032" w:rsidRPr="00620047" w:rsidRDefault="00296032">
      <w:pPr>
        <w:pStyle w:val="artplat"/>
      </w:pPr>
      <w:r w:rsidRPr="00620047">
        <w:t>Een stookinstallatie voldoet ten behoeve van het veilig functioneren, een optimale verbranding en energiezuinigheid van deze stookinstallatie aan de bij ministeriële regeling inzake keuring en onderhoud gestelde eisen.</w:t>
      </w:r>
    </w:p>
    <w:p w:rsidR="00296032" w:rsidRPr="00296032" w:rsidRDefault="00296032">
      <w:pPr>
        <w:pStyle w:val="artikelkop"/>
      </w:pPr>
      <w:r w:rsidRPr="00296032">
        <w:t>Artikel 3.10q [Dit artikel vervalt met ingang van 1 januari 2019]</w:t>
      </w:r>
    </w:p>
    <w:p w:rsidR="00296032" w:rsidRPr="00620047" w:rsidRDefault="00296032">
      <w:pPr>
        <w:pStyle w:val="art1enivo"/>
      </w:pPr>
      <w:r w:rsidRPr="00620047">
        <w:t>1.</w:t>
      </w:r>
      <w:r w:rsidRPr="00620047">
        <w:tab/>
        <w:t>In afwijking van de artikelen 3.10, 3.10d, 3.10e of 3.10f, voldoet het rookgas van een stookinstallatie die voor 1 april 2010 is geplaatst of in gebruik is genomen, tot de datum, genoemd in het tweede of derde lid, aan de emissiegrenswaarden die op 31 maart 2010 voor die installatie golden ingevolge het Besluit emissie-eisen stookinstallaties milieubeheer B of het Besluit emissie-eisen stookinstallaties milieubeheer A, dan wel aan de daarvan afwijkende emissiegrenswaarden, die voor die stookinstallatie golden op grond van een daarvoor verleende omgevingsvergunning.</w:t>
      </w:r>
    </w:p>
    <w:p w:rsidR="00296032" w:rsidRPr="00620047" w:rsidRDefault="00296032">
      <w:pPr>
        <w:pStyle w:val="art1enivo"/>
      </w:pPr>
      <w:r w:rsidRPr="00620047">
        <w:t>2.</w:t>
      </w:r>
      <w:r w:rsidRPr="00620047">
        <w:tab/>
        <w:t>Het rookgas in een stookinstallatie als bedoeld in het eerste lid, voldoet met ingang van 1 januari 2017 aan de emissiegrenswaarden, genoemd in de artikelen 3.10, 3.10d, 3.10e of 3.10f.</w:t>
      </w:r>
    </w:p>
    <w:p w:rsidR="00296032" w:rsidRPr="00620047" w:rsidRDefault="00296032">
      <w:pPr>
        <w:pStyle w:val="art1enivo"/>
      </w:pPr>
      <w:r w:rsidRPr="00620047">
        <w:t>3.</w:t>
      </w:r>
      <w:r w:rsidRPr="00620047">
        <w:tab/>
        <w:t>In afwijking van het tweede lid voldoet het rookgas in een stookinstallatie als bedoeld in het eerste lid voor zover die zich binnen de Nederlandse exclusieve economische zone bevindt dan wel deel uitmaakt van een inrichting waarin kooldioxide (CO2), afkomstig van een andere inrichting, wordt ingezet ten behoeve van de bemesting van gewassen teneinde het gebruik van brandstof te verminderen, met ingang van 1 januari 2019 aan de in de artikelen 3.10, 3.10d, 3.10e of 3.10f genoemde emissiegrenswaarden.</w:t>
      </w:r>
    </w:p>
    <w:p w:rsidR="00296032" w:rsidRPr="00620047" w:rsidRDefault="00296032">
      <w:pPr>
        <w:pStyle w:val="art1enivo"/>
      </w:pPr>
      <w:r w:rsidRPr="00620047">
        <w:t>4.</w:t>
      </w:r>
      <w:r w:rsidRPr="00620047">
        <w:tab/>
        <w:t xml:space="preserve">Op het in werking hebben van een stookinstallatie die voor 1 januari 2014 is geplaatst of in gebruik is genomen en waarop titel 16.3 van de wet van toepassing was, zijn de op grond van de artikelen 3.10 tot en met 3.10j en 3.10q tot en met 3.10t geldende emissiegrenswaarden en meetmethoden voor stikstofoxiden (NOx) tot de datum, genoemd in het tweede of derde lid, niet van toepassing. Het bevoegd gezag kan voor deze stookinstallaties tot de in het tweede of derde lid genoemde data bij maatwerkvoorschrift emissiegrenswaarden en meetmethoden voor stikstofoxiden (NOx) in het rookgas van de stookinstallatie vaststellen, indien de lokale luchtkwaliteit dat vergt. </w:t>
      </w:r>
    </w:p>
    <w:p w:rsidR="00296032" w:rsidRPr="00620047" w:rsidRDefault="00296032">
      <w:pPr>
        <w:pStyle w:val="art1enivo"/>
      </w:pPr>
      <w:r w:rsidRPr="00620047">
        <w:t>5.</w:t>
      </w:r>
      <w:r w:rsidRPr="00620047">
        <w:tab/>
        <w:t>Indien ingevolge het eerste lid de emissiegrenswaarden van het Besluit emissie-eisen stookinstallaties milieubeheer A van toepassing zijn, zijn in afwijking van artikel 3.10p tevens de regels inzake keuring en onderhoud van dat besluit van toepassing.</w:t>
      </w:r>
    </w:p>
    <w:p w:rsidR="00296032" w:rsidRPr="00296032" w:rsidRDefault="00296032">
      <w:pPr>
        <w:pStyle w:val="artikelkop"/>
      </w:pPr>
      <w:r w:rsidRPr="00296032">
        <w:t>Artikel 3.10r</w:t>
      </w:r>
    </w:p>
    <w:p w:rsidR="00296032" w:rsidRPr="00620047" w:rsidRDefault="00296032">
      <w:pPr>
        <w:pStyle w:val="art1enivo"/>
      </w:pPr>
      <w:r w:rsidRPr="00620047">
        <w:t>1.</w:t>
      </w:r>
      <w:r w:rsidRPr="00620047">
        <w:tab/>
        <w:t>In afwijking van de artikelen 3.10a of 3.10b, voldoet het rookgas van een ketelinstallatie met een nominaal vermogen kleiner dan 1 megawatt die voor 1 januari 2013 is geplaatst of in gebruik is genomen, totdat het tweede lid van toepassing wordt, aan de emissiegrenswaarden die tot 1 januari 2013 voor die installatie golden ingevolge het Besluit typekeuring verwarmingstoestellen luchtverontreiniging stikstofoxiden, dan wel aan de daarvan afwijkende emissiegrenswaarden, die voor die stookinstallatie golden ingevolge een daarvoor verleende omgevingsvergunning of ingevolge het derde of vierde lid.</w:t>
      </w:r>
    </w:p>
    <w:p w:rsidR="00296032" w:rsidRPr="00620047" w:rsidRDefault="00296032">
      <w:pPr>
        <w:pStyle w:val="art1enivo"/>
      </w:pPr>
      <w:r w:rsidRPr="00620047">
        <w:t>2.</w:t>
      </w:r>
      <w:r w:rsidRPr="00620047">
        <w:tab/>
        <w:t>Het rookgas van een ketelinstallatie als bedoeld in het eerste lid, voldoet aan de in de artikelen 3.10a of 3.10b genoemde emissiegrenswaarden vanaf het tijdstip dat:</w:t>
      </w:r>
    </w:p>
    <w:p w:rsidR="00296032" w:rsidRPr="00620047" w:rsidRDefault="00296032">
      <w:pPr>
        <w:pStyle w:val="art2enivo"/>
      </w:pPr>
      <w:r w:rsidRPr="00620047">
        <w:t>a.</w:t>
      </w:r>
      <w:r w:rsidRPr="00620047">
        <w:tab/>
        <w:t>de branders zijn vervangen;</w:t>
      </w:r>
    </w:p>
    <w:p w:rsidR="00296032" w:rsidRPr="00620047" w:rsidRDefault="00296032">
      <w:pPr>
        <w:pStyle w:val="art2enivo"/>
      </w:pPr>
      <w:r w:rsidRPr="00620047">
        <w:t>b.</w:t>
      </w:r>
      <w:r w:rsidRPr="00620047">
        <w:tab/>
        <w:t>wijzigingen zijn aangebracht die met nieuwbouw van de ketelinstallatie overeenkomen, of</w:t>
      </w:r>
    </w:p>
    <w:p w:rsidR="00296032" w:rsidRPr="00620047" w:rsidRDefault="00296032">
      <w:pPr>
        <w:pStyle w:val="art2enivo"/>
      </w:pPr>
      <w:r w:rsidRPr="00620047">
        <w:t>c.</w:t>
      </w:r>
      <w:r w:rsidRPr="00620047">
        <w:tab/>
        <w:t>een wijziging wordt doorgevoerd, die leidt tot een toename van emissies van de stoffen, genoemd in de artikelen 3.10a of 3.10b, met meer dan 10 procent.</w:t>
      </w:r>
    </w:p>
    <w:p w:rsidR="00296032" w:rsidRPr="00620047" w:rsidRDefault="00296032">
      <w:pPr>
        <w:pStyle w:val="art1enivo"/>
      </w:pPr>
      <w:r w:rsidRPr="00620047">
        <w:t>3.</w:t>
      </w:r>
      <w:r w:rsidRPr="00620047">
        <w:tab/>
        <w:t>In afwijking van artikel 3.10a en onverminderd het eerste lid, voldoet het rookgas van een ketelinstallatie met een nominaal vermogen tussen de 500 kilowatt en de 1 megawatt, waarin biomassa wordt verbrand of waarin houtpellets, voor zover het geen biomassa betreft worden verbrand, die in gebruik is genomen tussen 1 januari 2013 en 1 januari 2015, aan de emissiegrenswaarden, herleid op rookgas met een volumegehalte aan zuurstof van 6%, genoemd in tabel 3.10r (1), totdat aan een van de criteria, bedoeld in het tweede lid, wordt voldaan.</w:t>
      </w:r>
    </w:p>
    <w:p w:rsidR="00296032" w:rsidRPr="00620047" w:rsidRDefault="00296032"/>
    <w:p w:rsidR="00296032" w:rsidRPr="00620047" w:rsidRDefault="00296032">
      <w:pPr>
        <w:pStyle w:val="tabelkop"/>
      </w:pPr>
      <w:r w:rsidRPr="00620047">
        <w:t>Tabel 3.10r (1)</w:t>
      </w:r>
    </w:p>
    <w:tbl>
      <w:tblPr>
        <w:tblStyle w:val="Tabelraster"/>
        <w:tblW w:w="0" w:type="auto"/>
        <w:tblInd w:w="0" w:type="dxa"/>
        <w:tblLook w:val="04A0" w:firstRow="1" w:lastRow="0" w:firstColumn="1" w:lastColumn="0" w:noHBand="0" w:noVBand="1"/>
      </w:tblPr>
      <w:tblGrid>
        <w:gridCol w:w="1599"/>
        <w:gridCol w:w="2108"/>
        <w:gridCol w:w="2011"/>
        <w:gridCol w:w="1260"/>
        <w:gridCol w:w="2094"/>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9072" w:type="dxa"/>
            <w:gridSpan w:val="5"/>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sz w:val="20"/>
                <w:szCs w:val="20"/>
              </w:rPr>
              <w:t xml:space="preserve">Ketelinstallatie met een nominaal vermogen tussen de 500 kilowatt en de 1 megawatt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159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i/>
                <w:iCs/>
                <w:sz w:val="20"/>
                <w:szCs w:val="20"/>
              </w:rPr>
              <w:t>Brandstof</w:t>
            </w:r>
            <w:r w:rsidRPr="00620047">
              <w:rPr>
                <w:rFonts w:cs="Arial"/>
                <w:sz w:val="20"/>
                <w:szCs w:val="20"/>
              </w:rPr>
              <w:t xml:space="preserve"> </w:t>
            </w:r>
          </w:p>
        </w:tc>
        <w:tc>
          <w:tcPr>
            <w:tcW w:w="210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i/>
                <w:iCs/>
                <w:sz w:val="20"/>
                <w:szCs w:val="20"/>
              </w:rPr>
              <w:t>Stikstofoxiden (NO</w:t>
            </w:r>
            <w:r w:rsidRPr="00620047">
              <w:rPr>
                <w:rFonts w:cs="Arial"/>
                <w:i/>
                <w:iCs/>
                <w:sz w:val="20"/>
                <w:szCs w:val="20"/>
                <w:vertAlign w:val="subscript"/>
              </w:rPr>
              <w:t>x</w:t>
            </w:r>
            <w:r w:rsidRPr="00620047">
              <w:rPr>
                <w:rFonts w:cs="Arial"/>
                <w:i/>
                <w:iCs/>
                <w:sz w:val="20"/>
                <w:szCs w:val="20"/>
              </w:rPr>
              <w:t>)</w:t>
            </w:r>
            <w:r w:rsidRPr="00620047">
              <w:rPr>
                <w:rFonts w:cs="Arial"/>
                <w:sz w:val="20"/>
                <w:szCs w:val="20"/>
              </w:rPr>
              <w:t xml:space="preserve"> (mg per normaal kubieke meter) </w:t>
            </w:r>
          </w:p>
        </w:tc>
        <w:tc>
          <w:tcPr>
            <w:tcW w:w="201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i/>
                <w:iCs/>
                <w:sz w:val="20"/>
                <w:szCs w:val="20"/>
              </w:rPr>
              <w:t>Zwaveldioxide (SO</w:t>
            </w:r>
            <w:r w:rsidRPr="00620047">
              <w:rPr>
                <w:rFonts w:cs="Arial"/>
                <w:i/>
                <w:iCs/>
                <w:sz w:val="20"/>
                <w:szCs w:val="20"/>
                <w:vertAlign w:val="subscript"/>
              </w:rPr>
              <w:t>2</w:t>
            </w:r>
            <w:r w:rsidRPr="00620047">
              <w:rPr>
                <w:rFonts w:cs="Arial"/>
                <w:i/>
                <w:iCs/>
                <w:sz w:val="20"/>
                <w:szCs w:val="20"/>
              </w:rPr>
              <w:t>)</w:t>
            </w:r>
            <w:r w:rsidRPr="00620047">
              <w:rPr>
                <w:rFonts w:cs="Arial"/>
                <w:sz w:val="20"/>
                <w:szCs w:val="20"/>
              </w:rPr>
              <w:t xml:space="preserve"> (mg per normaal kubieke meter) </w:t>
            </w:r>
          </w:p>
        </w:tc>
        <w:tc>
          <w:tcPr>
            <w:tcW w:w="126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bCs/>
                <w:sz w:val="20"/>
                <w:szCs w:val="20"/>
              </w:rPr>
              <w:t>Totaal stof</w:t>
            </w:r>
            <w:r w:rsidRPr="00620047">
              <w:rPr>
                <w:rFonts w:cs="Arial"/>
                <w:sz w:val="20"/>
                <w:szCs w:val="20"/>
              </w:rPr>
              <w:t xml:space="preserve"> (mg per normaal kubieke meter) </w:t>
            </w:r>
          </w:p>
        </w:tc>
        <w:tc>
          <w:tcPr>
            <w:tcW w:w="209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i/>
                <w:iCs/>
                <w:sz w:val="20"/>
                <w:szCs w:val="20"/>
              </w:rPr>
              <w:t>onverbrande koolwaterstoffen (C</w:t>
            </w:r>
            <w:r w:rsidRPr="00620047">
              <w:rPr>
                <w:rFonts w:cs="Arial"/>
                <w:i/>
                <w:iCs/>
                <w:sz w:val="20"/>
                <w:szCs w:val="20"/>
                <w:vertAlign w:val="subscript"/>
              </w:rPr>
              <w:t>x</w:t>
            </w:r>
            <w:r w:rsidR="000C0460" w:rsidRPr="00620047">
              <w:rPr>
                <w:rFonts w:cs="Arial"/>
                <w:sz w:val="20"/>
                <w:szCs w:val="20"/>
              </w:rPr>
              <w:t>)</w:t>
            </w:r>
            <w:r w:rsidRPr="00620047">
              <w:rPr>
                <w:rFonts w:cs="Arial"/>
                <w:i/>
                <w:iCs/>
                <w:sz w:val="20"/>
                <w:szCs w:val="20"/>
              </w:rPr>
              <w:t>H</w:t>
            </w:r>
            <w:r w:rsidRPr="00620047">
              <w:rPr>
                <w:rFonts w:cs="Arial"/>
                <w:i/>
                <w:iCs/>
                <w:sz w:val="20"/>
                <w:szCs w:val="20"/>
                <w:vertAlign w:val="subscript"/>
              </w:rPr>
              <w:t>y</w:t>
            </w:r>
            <w:r w:rsidRPr="00620047">
              <w:rPr>
                <w:rFonts w:cs="Arial"/>
                <w:i/>
                <w:iCs/>
                <w:sz w:val="20"/>
                <w:szCs w:val="20"/>
              </w:rPr>
              <w:t>)</w:t>
            </w:r>
            <w:r w:rsidRPr="00620047">
              <w:rPr>
                <w:rFonts w:cs="Arial"/>
                <w:sz w:val="20"/>
                <w:szCs w:val="20"/>
              </w:rPr>
              <w:t xml:space="preserve"> (mg per normaal kubieke meter)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159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sz w:val="20"/>
                <w:szCs w:val="20"/>
              </w:rPr>
              <w:t xml:space="preserve">Biomassa en houtpellets voor zover het geen biomassa betreft </w:t>
            </w:r>
          </w:p>
        </w:tc>
        <w:tc>
          <w:tcPr>
            <w:tcW w:w="210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szCs w:val="20"/>
              </w:rPr>
              <w:t>-</w:t>
            </w:r>
            <w:r w:rsidRPr="00620047">
              <w:rPr>
                <w:rFonts w:cs="Arial"/>
                <w:sz w:val="20"/>
                <w:szCs w:val="20"/>
              </w:rPr>
              <w:t xml:space="preserve"> </w:t>
            </w:r>
          </w:p>
        </w:tc>
        <w:tc>
          <w:tcPr>
            <w:tcW w:w="201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szCs w:val="20"/>
              </w:rPr>
              <w:t>-</w:t>
            </w:r>
          </w:p>
        </w:tc>
        <w:tc>
          <w:tcPr>
            <w:tcW w:w="126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sz w:val="20"/>
                <w:szCs w:val="20"/>
              </w:rPr>
              <w:t xml:space="preserve">75 </w:t>
            </w:r>
          </w:p>
        </w:tc>
        <w:tc>
          <w:tcPr>
            <w:tcW w:w="209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i/>
                <w:iCs/>
                <w:szCs w:val="20"/>
              </w:rPr>
              <w:t>-</w:t>
            </w:r>
          </w:p>
        </w:tc>
      </w:tr>
    </w:tbl>
    <w:p w:rsidR="00296032" w:rsidRPr="00620047" w:rsidRDefault="00296032">
      <w:pPr>
        <w:widowControl w:val="0"/>
        <w:autoSpaceDE w:val="0"/>
        <w:autoSpaceDN w:val="0"/>
        <w:adjustRightInd w:val="0"/>
        <w:rPr>
          <w:rFonts w:cs="Arial"/>
          <w:szCs w:val="20"/>
        </w:rPr>
      </w:pPr>
    </w:p>
    <w:p w:rsidR="00296032" w:rsidRPr="00620047" w:rsidRDefault="00296032">
      <w:pPr>
        <w:pStyle w:val="art1enivo"/>
      </w:pPr>
      <w:r w:rsidRPr="00620047">
        <w:t xml:space="preserve">4. </w:t>
      </w:r>
      <w:r w:rsidRPr="00620047">
        <w:tab/>
        <w:t>In afwijking van de artikelen 3.10a en 3.10b en onverminderd het eerste lid, voldoet het rookgas van een ketelinstallatie met een nominaal vermogen kleiner dan 500 kilowatt waarin biomassa wordt of houtpellets voor zover het geen biomassa betreft worden verbrand, die in gebruik zijn genomen tussen 1 januari 2013 en 1 januari 2015 aan de emissiegrenswaarden, herleid op rookgas met een volumegehalte aan zuurstof van 6%, genoemd in tabel 3.10r (2) totdat aan een van de criteria, bedoeld in het tweede lid, wordt voldaan.</w:t>
      </w:r>
    </w:p>
    <w:p w:rsidR="00296032" w:rsidRPr="00620047" w:rsidRDefault="00296032"/>
    <w:p w:rsidR="00296032" w:rsidRPr="00620047" w:rsidRDefault="00296032">
      <w:pPr>
        <w:pStyle w:val="tabelkop"/>
      </w:pPr>
      <w:r w:rsidRPr="00620047">
        <w:t>Tabel 3.10r (2)</w:t>
      </w:r>
    </w:p>
    <w:tbl>
      <w:tblPr>
        <w:tblStyle w:val="Tabelraster"/>
        <w:tblW w:w="0" w:type="auto"/>
        <w:tblInd w:w="0" w:type="dxa"/>
        <w:tblLook w:val="04A0" w:firstRow="1" w:lastRow="0" w:firstColumn="1" w:lastColumn="0" w:noHBand="0" w:noVBand="1"/>
      </w:tblPr>
      <w:tblGrid>
        <w:gridCol w:w="1599"/>
        <w:gridCol w:w="2108"/>
        <w:gridCol w:w="2011"/>
        <w:gridCol w:w="1260"/>
        <w:gridCol w:w="2094"/>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9072" w:type="dxa"/>
            <w:gridSpan w:val="5"/>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sz w:val="20"/>
                <w:szCs w:val="20"/>
              </w:rPr>
              <w:t>Ketelinstallatie met een nominaal vermogen kleiner of gelijk aan 500 kilowatt</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159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i/>
                <w:iCs/>
                <w:sz w:val="20"/>
                <w:szCs w:val="20"/>
              </w:rPr>
              <w:t>Brandstof</w:t>
            </w:r>
            <w:r w:rsidRPr="00620047">
              <w:rPr>
                <w:rFonts w:cs="Arial"/>
                <w:sz w:val="20"/>
                <w:szCs w:val="20"/>
              </w:rPr>
              <w:t xml:space="preserve"> </w:t>
            </w:r>
          </w:p>
        </w:tc>
        <w:tc>
          <w:tcPr>
            <w:tcW w:w="210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i/>
                <w:iCs/>
                <w:sz w:val="20"/>
                <w:szCs w:val="20"/>
              </w:rPr>
              <w:t>Stikstofoxiden (NO</w:t>
            </w:r>
            <w:r w:rsidRPr="00620047">
              <w:rPr>
                <w:rFonts w:cs="Arial"/>
                <w:i/>
                <w:iCs/>
                <w:sz w:val="20"/>
                <w:szCs w:val="20"/>
                <w:vertAlign w:val="subscript"/>
              </w:rPr>
              <w:t>x</w:t>
            </w:r>
            <w:r w:rsidRPr="00620047">
              <w:rPr>
                <w:rFonts w:cs="Arial"/>
                <w:i/>
                <w:iCs/>
                <w:sz w:val="20"/>
                <w:szCs w:val="20"/>
              </w:rPr>
              <w:t>)</w:t>
            </w:r>
            <w:r w:rsidRPr="00620047">
              <w:rPr>
                <w:rFonts w:cs="Arial"/>
                <w:sz w:val="20"/>
                <w:szCs w:val="20"/>
              </w:rPr>
              <w:t xml:space="preserve"> (mg per normaal kubieke meter) </w:t>
            </w:r>
          </w:p>
        </w:tc>
        <w:tc>
          <w:tcPr>
            <w:tcW w:w="201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i/>
                <w:iCs/>
                <w:sz w:val="20"/>
                <w:szCs w:val="20"/>
              </w:rPr>
              <w:t>Zwaveldioxide (SO</w:t>
            </w:r>
            <w:r w:rsidRPr="00620047">
              <w:rPr>
                <w:rFonts w:cs="Arial"/>
                <w:i/>
                <w:iCs/>
                <w:sz w:val="20"/>
                <w:szCs w:val="20"/>
                <w:vertAlign w:val="subscript"/>
              </w:rPr>
              <w:t>2</w:t>
            </w:r>
            <w:r w:rsidRPr="00620047">
              <w:rPr>
                <w:rFonts w:cs="Arial"/>
                <w:i/>
                <w:iCs/>
                <w:sz w:val="20"/>
                <w:szCs w:val="20"/>
              </w:rPr>
              <w:t>)</w:t>
            </w:r>
            <w:r w:rsidRPr="00620047">
              <w:rPr>
                <w:rFonts w:cs="Arial"/>
                <w:sz w:val="20"/>
                <w:szCs w:val="20"/>
              </w:rPr>
              <w:t xml:space="preserve"> (mg per normaal kubieke meter) </w:t>
            </w:r>
          </w:p>
        </w:tc>
        <w:tc>
          <w:tcPr>
            <w:tcW w:w="126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bCs/>
                <w:sz w:val="20"/>
                <w:szCs w:val="20"/>
              </w:rPr>
              <w:t>Totaal stof</w:t>
            </w:r>
            <w:r w:rsidRPr="00620047">
              <w:rPr>
                <w:rFonts w:cs="Arial"/>
                <w:sz w:val="20"/>
                <w:szCs w:val="20"/>
              </w:rPr>
              <w:t xml:space="preserve"> (mg per normaal kubieke meter) </w:t>
            </w:r>
          </w:p>
        </w:tc>
        <w:tc>
          <w:tcPr>
            <w:tcW w:w="209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i/>
                <w:iCs/>
                <w:sz w:val="20"/>
                <w:szCs w:val="20"/>
              </w:rPr>
              <w:t>onverbrande koolwaterstoffen (C</w:t>
            </w:r>
            <w:r w:rsidRPr="00620047">
              <w:rPr>
                <w:rFonts w:cs="Arial"/>
                <w:i/>
                <w:iCs/>
                <w:sz w:val="20"/>
                <w:szCs w:val="20"/>
                <w:vertAlign w:val="subscript"/>
              </w:rPr>
              <w:t>x</w:t>
            </w:r>
            <w:r w:rsidR="000C0460" w:rsidRPr="00620047">
              <w:rPr>
                <w:rFonts w:cs="Arial"/>
                <w:sz w:val="20"/>
                <w:szCs w:val="20"/>
              </w:rPr>
              <w:t>)</w:t>
            </w:r>
            <w:r w:rsidRPr="00620047">
              <w:rPr>
                <w:rFonts w:cs="Arial"/>
                <w:i/>
                <w:iCs/>
                <w:sz w:val="20"/>
                <w:szCs w:val="20"/>
              </w:rPr>
              <w:t>H</w:t>
            </w:r>
            <w:r w:rsidRPr="00620047">
              <w:rPr>
                <w:rFonts w:cs="Arial"/>
                <w:i/>
                <w:iCs/>
                <w:sz w:val="20"/>
                <w:szCs w:val="20"/>
                <w:vertAlign w:val="subscript"/>
              </w:rPr>
              <w:t>y</w:t>
            </w:r>
            <w:r w:rsidRPr="00620047">
              <w:rPr>
                <w:rFonts w:cs="Arial"/>
                <w:i/>
                <w:iCs/>
                <w:sz w:val="20"/>
                <w:szCs w:val="20"/>
              </w:rPr>
              <w:t>)</w:t>
            </w:r>
            <w:r w:rsidRPr="00620047">
              <w:rPr>
                <w:rFonts w:cs="Arial"/>
                <w:sz w:val="20"/>
                <w:szCs w:val="20"/>
              </w:rPr>
              <w:t xml:space="preserve"> (mg per normaal kubieke meter)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159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sz w:val="20"/>
                <w:szCs w:val="20"/>
              </w:rPr>
              <w:t xml:space="preserve">Biomassa en houtpellets voor zover het geen biomassa betreft </w:t>
            </w:r>
          </w:p>
        </w:tc>
        <w:tc>
          <w:tcPr>
            <w:tcW w:w="2108"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szCs w:val="20"/>
              </w:rPr>
              <w:t>-</w:t>
            </w:r>
            <w:r w:rsidRPr="00620047">
              <w:rPr>
                <w:rFonts w:cs="Arial"/>
                <w:sz w:val="20"/>
                <w:szCs w:val="20"/>
              </w:rPr>
              <w:t xml:space="preserve"> </w:t>
            </w:r>
          </w:p>
        </w:tc>
        <w:tc>
          <w:tcPr>
            <w:tcW w:w="201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szCs w:val="20"/>
              </w:rPr>
              <w:t>-</w:t>
            </w:r>
          </w:p>
        </w:tc>
        <w:tc>
          <w:tcPr>
            <w:tcW w:w="126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sz w:val="20"/>
                <w:szCs w:val="20"/>
              </w:rPr>
              <w:t>150</w:t>
            </w:r>
          </w:p>
        </w:tc>
        <w:tc>
          <w:tcPr>
            <w:tcW w:w="209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widowControl w:val="0"/>
              <w:autoSpaceDE w:val="0"/>
              <w:autoSpaceDN w:val="0"/>
              <w:adjustRightInd w:val="0"/>
              <w:rPr>
                <w:rFonts w:cs="Arial"/>
                <w:sz w:val="20"/>
                <w:szCs w:val="20"/>
              </w:rPr>
            </w:pPr>
            <w:r w:rsidRPr="00620047">
              <w:rPr>
                <w:rFonts w:cs="Arial"/>
                <w:i/>
                <w:iCs/>
                <w:szCs w:val="20"/>
              </w:rPr>
              <w:t>-</w:t>
            </w:r>
          </w:p>
        </w:tc>
      </w:tr>
    </w:tbl>
    <w:p w:rsidR="00296032" w:rsidRPr="00296032" w:rsidRDefault="00296032">
      <w:pPr>
        <w:pStyle w:val="artikelkop"/>
      </w:pPr>
      <w:r w:rsidRPr="00296032">
        <w:t>Artikel 3.10s</w:t>
      </w:r>
    </w:p>
    <w:p w:rsidR="00296032" w:rsidRPr="00620047" w:rsidRDefault="00296032">
      <w:pPr>
        <w:pStyle w:val="artplat"/>
      </w:pPr>
      <w:r w:rsidRPr="00620047">
        <w:t>Indien aan een stookinstallatie als bedoeld in artikel 3.10q, eerste of derde lid, of artikel 3.10r, eerste lid, voor 1 januari 2017 onderscheidenlijk 1 januari 2019 een wijziging van het nominaal vermogen wordt aangebracht die leidt tot een toename van emissies van de stoffen, genoemd in deze paragraaf, met meer dan 10 procent, wordt die wijziging zodanig uitgevoerd dat aan de emissiegrenswaarden, genoemd in de artikelen 3.10, 3.10a, 3.10b, 3.10d, 3.10e of 3.10f, wordt voldaan.</w:t>
      </w:r>
    </w:p>
    <w:p w:rsidR="00296032" w:rsidRPr="00296032" w:rsidRDefault="00296032">
      <w:pPr>
        <w:pStyle w:val="artikelkop"/>
      </w:pPr>
      <w:r w:rsidRPr="00296032">
        <w:t>Artikel 3.10t</w:t>
      </w:r>
    </w:p>
    <w:p w:rsidR="00296032" w:rsidRPr="00620047" w:rsidRDefault="00296032">
      <w:pPr>
        <w:pStyle w:val="artplat"/>
      </w:pPr>
      <w:r w:rsidRPr="00620047">
        <w:t>Artikel 3.10c is van overeenkomstige toepassing op het in werking hebben van een stookinstallatie als bedoeld in artikel 3.10q, eerste of derde lid, of artikel 3.10r, eerste lid.</w:t>
      </w:r>
    </w:p>
    <w:p w:rsidR="00296032" w:rsidRPr="00296032" w:rsidRDefault="00296032">
      <w:pPr>
        <w:pStyle w:val="artikelkop"/>
      </w:pPr>
      <w:r w:rsidRPr="00296032">
        <w:t>Artikel 3.10u</w:t>
      </w:r>
    </w:p>
    <w:p w:rsidR="00296032" w:rsidRDefault="00296032">
      <w:pPr>
        <w:pStyle w:val="artplat"/>
      </w:pPr>
      <w:r w:rsidRPr="00620047">
        <w:t>In afwijking van artikel 3.10l, eerste lid, haalt een warmtekrachtinstallatie die in gebruik is genomen voor 1 januari 2008, een jaargemiddeld rendement van ten minste 60% berekend volgens de formule, bedoeld in dat lid.</w:t>
      </w:r>
    </w:p>
    <w:p w:rsidR="004178A7" w:rsidRDefault="004178A7">
      <w:pPr>
        <w:pStyle w:val="artplat"/>
      </w:pPr>
    </w:p>
    <w:p w:rsidR="004178A7" w:rsidRDefault="004178A7" w:rsidP="004178A7">
      <w:pPr>
        <w:pStyle w:val="paragraaf"/>
        <w:shd w:val="clear" w:color="auto" w:fill="D9D9D9" w:themeFill="background1" w:themeFillShade="D9"/>
      </w:pPr>
      <w:bookmarkStart w:id="71" w:name="_Toc431375572"/>
      <w:r>
        <w:t>§ 3.2.1. Het in werking hebben van een stookinstallatie, niet zijnde een grote stookinstallatie</w:t>
      </w:r>
      <w:bookmarkEnd w:id="71"/>
    </w:p>
    <w:p w:rsidR="004178A7" w:rsidRDefault="004178A7" w:rsidP="004178A7">
      <w:pPr>
        <w:pStyle w:val="artikelkop"/>
        <w:shd w:val="clear" w:color="auto" w:fill="D9D9D9" w:themeFill="background1" w:themeFillShade="D9"/>
      </w:pPr>
      <w:r>
        <w:t>Artikel 3.5</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Aan de artikelen 3.10 en 3.10a van het besluit wordt voor zover het betreft de uitstoot van totaal stof bij de verbranding van brandstof in vloeibare vorm in ieder geval voldaan indien het asgehalte van de brandstof in massaprocent lager is dan de toepasselijke emissie-eis gedeeld door 800 en door middel van een keuring als bedoeld in artikel 3.7m kan worden aangetoond dat de concentratie van koolstof-monoxide (CO) in het rookgas lager ligt dan 100 mg/Nm3.</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Aan de artikelen 3.10a en 3.10b van het besluit wordt voor zover het betreft de uitstoot van totaal stof bij de verbranding van hout, in ieder geval voldaan indien:</w:t>
      </w:r>
    </w:p>
    <w:p w:rsidR="004178A7" w:rsidRDefault="004178A7" w:rsidP="004178A7">
      <w:pPr>
        <w:pStyle w:val="art2enivo"/>
        <w:shd w:val="clear" w:color="auto" w:fill="D9D9D9" w:themeFill="background1" w:themeFillShade="D9"/>
        <w:suppressAutoHyphens/>
        <w:rPr>
          <w:rFonts w:cs="Arial"/>
        </w:rPr>
      </w:pPr>
      <w:r>
        <w:rPr>
          <w:rFonts w:cs="Arial"/>
        </w:rPr>
        <w:t>a.</w:t>
      </w:r>
      <w:r>
        <w:rPr>
          <w:rFonts w:cs="Arial"/>
        </w:rPr>
        <w:tab/>
        <w:t>de afgezogen stofemissies die vrijkomen worden gevoerd door een elektrostatische E-filter waarvan door middel van een rapport van de leverancier kan worden aangetoond dat aan de emissie-eisen in artikel 3.10a of 3.10b van het besluit kan worden voldaan; en</w:t>
      </w:r>
    </w:p>
    <w:p w:rsidR="004178A7" w:rsidRDefault="004178A7" w:rsidP="004178A7">
      <w:pPr>
        <w:pStyle w:val="art2enivo"/>
        <w:shd w:val="clear" w:color="auto" w:fill="D9D9D9" w:themeFill="background1" w:themeFillShade="D9"/>
        <w:suppressAutoHyphens/>
        <w:rPr>
          <w:rFonts w:cs="Arial"/>
        </w:rPr>
      </w:pPr>
      <w:r>
        <w:rPr>
          <w:rFonts w:cs="Arial"/>
        </w:rPr>
        <w:t>b.</w:t>
      </w:r>
      <w:r>
        <w:rPr>
          <w:rFonts w:cs="Arial"/>
        </w:rPr>
        <w:tab/>
        <w:t>de elektrostatische E-filter in goede staat van onderhoud verkeert, periodiek gecontroleerd wordt en zo vaak als voor de goede werking nodig is, wordt schoongemaakt en vervangen.</w:t>
      </w:r>
    </w:p>
    <w:p w:rsidR="004178A7" w:rsidRDefault="004178A7" w:rsidP="004178A7">
      <w:pPr>
        <w:pStyle w:val="art1enivo"/>
        <w:shd w:val="clear" w:color="auto" w:fill="D9D9D9" w:themeFill="background1" w:themeFillShade="D9"/>
        <w:suppressAutoHyphens/>
        <w:rPr>
          <w:rFonts w:cs="Arial"/>
        </w:rPr>
      </w:pPr>
      <w:r>
        <w:rPr>
          <w:rFonts w:cs="Arial"/>
        </w:rPr>
        <w:t>3.</w:t>
      </w:r>
      <w:r>
        <w:rPr>
          <w:rFonts w:cs="Arial"/>
        </w:rPr>
        <w:tab/>
        <w:t>Aan de artikelen 3.10a en 3.10b van het besluit wordt voor zover het betreft de uitstoot van stikstofoxiden (NO</w:t>
      </w:r>
      <w:r>
        <w:rPr>
          <w:rFonts w:cs="Arial"/>
          <w:vertAlign w:val="subscript"/>
        </w:rPr>
        <w:t>x</w:t>
      </w:r>
      <w:r>
        <w:rPr>
          <w:rFonts w:cs="Arial"/>
        </w:rPr>
        <w:t>) bij de verbranding van hout, in ieder geval voldaan indien:</w:t>
      </w:r>
    </w:p>
    <w:p w:rsidR="004178A7" w:rsidRDefault="004178A7" w:rsidP="004178A7">
      <w:pPr>
        <w:pStyle w:val="art2enivo"/>
        <w:shd w:val="clear" w:color="auto" w:fill="D9D9D9" w:themeFill="background1" w:themeFillShade="D9"/>
        <w:suppressAutoHyphens/>
        <w:rPr>
          <w:rFonts w:cs="Arial"/>
        </w:rPr>
      </w:pPr>
      <w:r>
        <w:rPr>
          <w:rFonts w:cs="Arial"/>
        </w:rPr>
        <w:t>a.</w:t>
      </w:r>
      <w:r>
        <w:rPr>
          <w:rFonts w:cs="Arial"/>
        </w:rPr>
        <w:tab/>
        <w:t>de inrichtinghouder een meetrapport van de leverancier kan overleggen waaruit blijkt dat aan de in artikel 3.10a of 3.10b opgenomen emissiegrenswaarden van het besluit kan worden voldaan; en</w:t>
      </w:r>
    </w:p>
    <w:p w:rsidR="004178A7" w:rsidRDefault="004178A7" w:rsidP="004178A7">
      <w:pPr>
        <w:pStyle w:val="art2enivo"/>
        <w:shd w:val="clear" w:color="auto" w:fill="D9D9D9" w:themeFill="background1" w:themeFillShade="D9"/>
        <w:suppressAutoHyphens/>
        <w:rPr>
          <w:rFonts w:cs="Arial"/>
        </w:rPr>
      </w:pPr>
      <w:r>
        <w:rPr>
          <w:rFonts w:cs="Arial"/>
        </w:rPr>
        <w:t>b.</w:t>
      </w:r>
      <w:r>
        <w:rPr>
          <w:rFonts w:cs="Arial"/>
        </w:rPr>
        <w:tab/>
        <w:t>in de ketelinstallatie het houttype wordt gestookt waarop het onder a bedoelde rapport is betrokken.</w:t>
      </w:r>
    </w:p>
    <w:p w:rsidR="004178A7" w:rsidRDefault="004178A7" w:rsidP="004178A7">
      <w:pPr>
        <w:pStyle w:val="art1enivo"/>
        <w:shd w:val="clear" w:color="auto" w:fill="D9D9D9" w:themeFill="background1" w:themeFillShade="D9"/>
      </w:pPr>
      <w:r>
        <w:t xml:space="preserve">4. </w:t>
      </w:r>
      <w:r>
        <w:tab/>
        <w:t>Aan artikel 3.10b van het besluit wordt, voor zover het betreft de uitstoot van stof bij de verbranding van biomassa en houtpellets voor zover het geen biomassa betreft, in ieder geval voldaan indien:</w:t>
      </w:r>
    </w:p>
    <w:p w:rsidR="004178A7" w:rsidRDefault="004178A7" w:rsidP="004178A7">
      <w:pPr>
        <w:pStyle w:val="art2enivo"/>
        <w:shd w:val="clear" w:color="auto" w:fill="D9D9D9" w:themeFill="background1" w:themeFillShade="D9"/>
      </w:pPr>
      <w:r>
        <w:t xml:space="preserve">a. </w:t>
      </w:r>
      <w:r>
        <w:tab/>
        <w:t>de drijver van de inrichting een meetrapport van de leverancier kan overleggen waaruit blijkt dat aan de emissiegrenswaarden in dat artikel kan worden voldaan, en</w:t>
      </w:r>
    </w:p>
    <w:p w:rsidR="004178A7" w:rsidRDefault="004178A7" w:rsidP="004178A7">
      <w:pPr>
        <w:pStyle w:val="art2enivo"/>
        <w:shd w:val="clear" w:color="auto" w:fill="D9D9D9" w:themeFill="background1" w:themeFillShade="D9"/>
      </w:pPr>
      <w:r>
        <w:t>b.</w:t>
      </w:r>
      <w:r>
        <w:tab/>
        <w:t>in de ketelinstallatie het type biomassa en houtpellets voor zover het geen biomassa betreft, wordt gestookt waarop het rapport, bedoeld in onderdeel a, betrekking heeft.</w:t>
      </w:r>
    </w:p>
    <w:p w:rsidR="004178A7" w:rsidRDefault="004178A7" w:rsidP="004178A7">
      <w:pPr>
        <w:pStyle w:val="artikelkop"/>
        <w:shd w:val="clear" w:color="auto" w:fill="D9D9D9" w:themeFill="background1" w:themeFillShade="D9"/>
      </w:pPr>
      <w:r>
        <w:t>Artikel 3.6</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Een meting als bedoeld in artikel 3.10j van het besluit voldoet aan de eisen in de artikelen 3.7 tot en met 3.7j en de artikelen 3.7o en 3.7p.</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Ten behoeve van het doelmatige beheer van afvalwater, bedoeld in artikel 3.10k van het besluit voldoet het spuien van een stoomketel aan artikel 3.7k.</w:t>
      </w:r>
    </w:p>
    <w:p w:rsidR="004178A7" w:rsidRDefault="004178A7" w:rsidP="004178A7">
      <w:pPr>
        <w:pStyle w:val="art1enivo"/>
        <w:shd w:val="clear" w:color="auto" w:fill="D9D9D9" w:themeFill="background1" w:themeFillShade="D9"/>
        <w:suppressAutoHyphens/>
        <w:rPr>
          <w:rFonts w:cs="Arial"/>
        </w:rPr>
      </w:pPr>
      <w:r>
        <w:rPr>
          <w:rFonts w:cs="Arial"/>
        </w:rPr>
        <w:t>3.</w:t>
      </w:r>
      <w:r>
        <w:rPr>
          <w:rFonts w:cs="Arial"/>
        </w:rPr>
        <w:tab/>
        <w:t>Ten behoeve van het realiseren van een verwaarloosbaar bodemrisico als bedoeld in artikel 3.10o van het besluit voldoet een stookinstallatie aan artikel 3.7l.</w:t>
      </w:r>
    </w:p>
    <w:p w:rsidR="004178A7" w:rsidRDefault="004178A7" w:rsidP="004178A7">
      <w:pPr>
        <w:pStyle w:val="art1enivo"/>
        <w:shd w:val="clear" w:color="auto" w:fill="D9D9D9" w:themeFill="background1" w:themeFillShade="D9"/>
        <w:suppressAutoHyphens/>
        <w:rPr>
          <w:rFonts w:cs="Arial"/>
        </w:rPr>
      </w:pPr>
      <w:r>
        <w:rPr>
          <w:rFonts w:cs="Arial"/>
        </w:rPr>
        <w:t>4.</w:t>
      </w:r>
      <w:r>
        <w:rPr>
          <w:rFonts w:cs="Arial"/>
        </w:rPr>
        <w:tab/>
        <w:t>Ten behoeve van keuring van en onderhoud op veilig functioneren, optimale verbranding en energiezuinigheid van een stookinstallatie als bedoeld in artikel 3.10p van het besluit, voldoet een stookinstallatie aan de artikelen 3.7m tot en met 3.7p.</w:t>
      </w:r>
    </w:p>
    <w:p w:rsidR="004178A7" w:rsidRDefault="004178A7" w:rsidP="004178A7">
      <w:pPr>
        <w:pStyle w:val="art1enivo"/>
        <w:shd w:val="clear" w:color="auto" w:fill="D9D9D9" w:themeFill="background1" w:themeFillShade="D9"/>
        <w:suppressAutoHyphens/>
        <w:rPr>
          <w:rFonts w:cs="Arial"/>
        </w:rPr>
      </w:pPr>
      <w:r>
        <w:rPr>
          <w:rFonts w:cs="Arial"/>
        </w:rPr>
        <w:t>5.</w:t>
      </w:r>
      <w:r>
        <w:rPr>
          <w:rFonts w:cs="Arial"/>
        </w:rPr>
        <w:tab/>
        <w:t>Het eerste lid is niet van toepassing op de uitstoot van totaal stof, stikstofoxiden (NO</w:t>
      </w:r>
      <w:r>
        <w:rPr>
          <w:rFonts w:cs="Arial"/>
          <w:vertAlign w:val="subscript"/>
        </w:rPr>
        <w:t>x</w:t>
      </w:r>
      <w:r>
        <w:rPr>
          <w:rFonts w:cs="Arial"/>
        </w:rPr>
        <w:t>) of koolmonoxiden (CO), indien voldaan wordt aan artikel 3.5.</w:t>
      </w:r>
    </w:p>
    <w:p w:rsidR="004178A7" w:rsidRDefault="004178A7" w:rsidP="004178A7">
      <w:pPr>
        <w:pStyle w:val="artikelkop"/>
        <w:shd w:val="clear" w:color="auto" w:fill="D9D9D9" w:themeFill="background1" w:themeFillShade="D9"/>
      </w:pPr>
      <w:r>
        <w:t xml:space="preserve">Artikel 3.7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 xml:space="preserve"> De concentraties aan stikstofoxiden (NO</w:t>
      </w:r>
      <w:r>
        <w:rPr>
          <w:rFonts w:cs="Arial"/>
          <w:vertAlign w:val="subscript"/>
        </w:rPr>
        <w:t>x</w:t>
      </w:r>
      <w:r>
        <w:rPr>
          <w:rFonts w:cs="Arial"/>
        </w:rPr>
        <w:t>), zwaveldioxide (SO</w:t>
      </w:r>
      <w:r>
        <w:rPr>
          <w:rFonts w:cs="Arial"/>
          <w:vertAlign w:val="subscript"/>
        </w:rPr>
        <w:t>2</w:t>
      </w:r>
      <w:r>
        <w:rPr>
          <w:rFonts w:cs="Arial"/>
        </w:rPr>
        <w:t>), totaal stof en onverbrande koolwaterstoffen (C</w:t>
      </w:r>
      <w:r>
        <w:rPr>
          <w:rFonts w:cs="Arial"/>
          <w:vertAlign w:val="subscript"/>
        </w:rPr>
        <w:t>x</w:t>
      </w:r>
      <w:r>
        <w:rPr>
          <w:rFonts w:cs="Arial"/>
        </w:rPr>
        <w:t>H</w:t>
      </w:r>
      <w:r>
        <w:rPr>
          <w:rFonts w:cs="Arial"/>
          <w:vertAlign w:val="subscript"/>
        </w:rPr>
        <w:t>y</w:t>
      </w:r>
      <w:r>
        <w:rPr>
          <w:rFonts w:cs="Arial"/>
        </w:rPr>
        <w:t>, uitgedrukt in C) in het rookgas worden bepaald door continue of afzonderlijke meting.</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In afwijking van het eerste lid, wordt de concentratie aan stikstofoxiden (NOx) in het rookgas bepaald door continue meting, indien ter bestrijding van de uitworp van stikstofoxiden (NOx) met rookgasinjectie van water of stoom, een inert materiaal dan wel ammoniak of ureum wordt toegepast.</w:t>
      </w:r>
    </w:p>
    <w:p w:rsidR="004178A7" w:rsidRDefault="004178A7" w:rsidP="004178A7">
      <w:pPr>
        <w:pStyle w:val="art1enivo"/>
        <w:shd w:val="clear" w:color="auto" w:fill="D9D9D9" w:themeFill="background1" w:themeFillShade="D9"/>
        <w:suppressAutoHyphens/>
        <w:rPr>
          <w:rFonts w:cs="Arial"/>
        </w:rPr>
      </w:pPr>
      <w:r>
        <w:rPr>
          <w:rFonts w:cs="Arial"/>
        </w:rPr>
        <w:t>3.</w:t>
      </w:r>
      <w:r>
        <w:rPr>
          <w:rFonts w:cs="Arial"/>
        </w:rPr>
        <w:tab/>
        <w:t>In afwijking van het tweede lid mag worden volstaan met afzonderlijke meting indien een logboek wordt bijgehouden waarin de hoeveelheid geïnjecteerde stoom of water, de hoeveelheid toegepast inert materiaal of de hoeveelheid toegevoegde ammoniak of ureum gedurende een kalenderjaar wordt bijgehouden en de betreffende emissiegrenswaarden niet worden overschreden.</w:t>
      </w:r>
    </w:p>
    <w:p w:rsidR="004178A7" w:rsidRDefault="004178A7" w:rsidP="004178A7">
      <w:pPr>
        <w:pStyle w:val="art1enivo"/>
        <w:shd w:val="clear" w:color="auto" w:fill="D9D9D9" w:themeFill="background1" w:themeFillShade="D9"/>
        <w:suppressAutoHyphens/>
        <w:rPr>
          <w:rFonts w:cs="Arial"/>
        </w:rPr>
      </w:pPr>
      <w:r>
        <w:rPr>
          <w:rFonts w:cs="Arial"/>
        </w:rPr>
        <w:t>4.</w:t>
      </w:r>
      <w:r>
        <w:rPr>
          <w:rFonts w:cs="Arial"/>
        </w:rPr>
        <w:tab/>
        <w:t>De concentraties van stoffen waarvoor emissiegrenswaarden zijn vastgesteld worden voor een vervangende stookinstallatie als bedoeld in artikel 3.10h van het besluit binnen vier weken na de inbedrijfstelling van die vervangende installatie bepaald door middel van een afzonderlijke meting.</w:t>
      </w:r>
    </w:p>
    <w:p w:rsidR="004178A7" w:rsidRDefault="004178A7" w:rsidP="004178A7">
      <w:pPr>
        <w:pStyle w:val="artikelkop"/>
        <w:shd w:val="clear" w:color="auto" w:fill="D9D9D9" w:themeFill="background1" w:themeFillShade="D9"/>
      </w:pPr>
      <w:r>
        <w:t xml:space="preserve">Artikel 3.7a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Onverminderd artikel 3.7 wordt voor het bepalen van de concentraties stoffen in het rookgas, representatieve metingen verricht.</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De bemonsteringen, analyses en metingen van de parameters die nodig zijn voor het bepalen van het voldoen aan de emissiegrenswaarden alsmede de andere metingen en berekeningen die zijn voorgeschreven, worden uitgevoerd volgens onderstaande normbladen:</w:t>
      </w:r>
    </w:p>
    <w:p w:rsidR="004178A7" w:rsidRDefault="004178A7" w:rsidP="004178A7">
      <w:pPr>
        <w:pStyle w:val="art2enivo"/>
        <w:shd w:val="clear" w:color="auto" w:fill="D9D9D9" w:themeFill="background1" w:themeFillShade="D9"/>
        <w:suppressAutoHyphens/>
        <w:rPr>
          <w:rFonts w:cs="Arial"/>
        </w:rPr>
      </w:pPr>
      <w:r>
        <w:rPr>
          <w:rFonts w:cs="Arial"/>
        </w:rPr>
        <w:t>a.</w:t>
      </w:r>
      <w:r>
        <w:rPr>
          <w:rFonts w:cs="Arial"/>
        </w:rPr>
        <w:tab/>
        <w:t>emissiemeting:</w:t>
      </w:r>
    </w:p>
    <w:p w:rsidR="004178A7" w:rsidRDefault="004178A7" w:rsidP="004178A7">
      <w:pPr>
        <w:pStyle w:val="art3enivo"/>
        <w:shd w:val="clear" w:color="auto" w:fill="D9D9D9" w:themeFill="background1" w:themeFillShade="D9"/>
        <w:suppressAutoHyphens/>
      </w:pPr>
      <w:r>
        <w:t>1°.</w:t>
      </w:r>
      <w:r>
        <w:tab/>
        <w:t>stikstofoxiden (NO</w:t>
      </w:r>
      <w:r>
        <w:rPr>
          <w:vertAlign w:val="subscript"/>
        </w:rPr>
        <w:t>x</w:t>
      </w:r>
      <w:r>
        <w:t xml:space="preserve">): NEN-EN 14792; </w:t>
      </w:r>
    </w:p>
    <w:p w:rsidR="004178A7" w:rsidRDefault="004178A7" w:rsidP="004178A7">
      <w:pPr>
        <w:pStyle w:val="art3enivo"/>
        <w:shd w:val="clear" w:color="auto" w:fill="D9D9D9" w:themeFill="background1" w:themeFillShade="D9"/>
        <w:suppressAutoHyphens/>
      </w:pPr>
      <w:r>
        <w:t>2°.</w:t>
      </w:r>
      <w:r>
        <w:tab/>
        <w:t>zwaveldioxide (SO</w:t>
      </w:r>
      <w:r>
        <w:rPr>
          <w:vertAlign w:val="subscript"/>
        </w:rPr>
        <w:t>2</w:t>
      </w:r>
      <w:r>
        <w:t>): NEN-EN 14791;</w:t>
      </w:r>
    </w:p>
    <w:p w:rsidR="004178A7" w:rsidRDefault="004178A7" w:rsidP="004178A7">
      <w:pPr>
        <w:pStyle w:val="art3enivo"/>
        <w:shd w:val="clear" w:color="auto" w:fill="D9D9D9" w:themeFill="background1" w:themeFillShade="D9"/>
        <w:suppressAutoHyphens/>
      </w:pPr>
      <w:r>
        <w:t>3°.</w:t>
      </w:r>
      <w:r>
        <w:tab/>
        <w:t>onverbrande koolwaterstoffen (C</w:t>
      </w:r>
      <w:r>
        <w:rPr>
          <w:vertAlign w:val="subscript"/>
        </w:rPr>
        <w:t>x</w:t>
      </w:r>
      <w:r>
        <w:t>H</w:t>
      </w:r>
      <w:r>
        <w:rPr>
          <w:vertAlign w:val="subscript"/>
        </w:rPr>
        <w:t>y</w:t>
      </w:r>
      <w:r>
        <w:t>): NEN-EN 12619;</w:t>
      </w:r>
    </w:p>
    <w:p w:rsidR="004178A7" w:rsidRDefault="004178A7" w:rsidP="004178A7">
      <w:pPr>
        <w:pStyle w:val="art3enivo"/>
        <w:shd w:val="clear" w:color="auto" w:fill="D9D9D9" w:themeFill="background1" w:themeFillShade="D9"/>
        <w:suppressAutoHyphens/>
      </w:pPr>
      <w:r>
        <w:t>4°.</w:t>
      </w:r>
      <w:r>
        <w:tab/>
        <w:t xml:space="preserve">totaal stof: NEN-EN 13284-1 of NEN-EN 13284-2; </w:t>
      </w:r>
    </w:p>
    <w:p w:rsidR="004178A7" w:rsidRDefault="004178A7" w:rsidP="004178A7">
      <w:pPr>
        <w:pStyle w:val="art3enivo"/>
        <w:shd w:val="clear" w:color="auto" w:fill="D9D9D9" w:themeFill="background1" w:themeFillShade="D9"/>
        <w:suppressAutoHyphens/>
      </w:pPr>
      <w:r>
        <w:t>5°.</w:t>
      </w:r>
      <w:r>
        <w:tab/>
        <w:t>zuurstof (O</w:t>
      </w:r>
      <w:r>
        <w:rPr>
          <w:vertAlign w:val="subscript"/>
        </w:rPr>
        <w:t>2</w:t>
      </w:r>
      <w:r>
        <w:t>): NEN-EN 14789.</w:t>
      </w:r>
    </w:p>
    <w:p w:rsidR="004178A7" w:rsidRDefault="004178A7" w:rsidP="004178A7">
      <w:pPr>
        <w:pStyle w:val="art2enivo"/>
        <w:shd w:val="clear" w:color="auto" w:fill="D9D9D9" w:themeFill="background1" w:themeFillShade="D9"/>
        <w:suppressAutoHyphens/>
        <w:rPr>
          <w:rFonts w:cs="Arial"/>
        </w:rPr>
      </w:pPr>
      <w:r>
        <w:rPr>
          <w:rFonts w:cs="Arial"/>
        </w:rPr>
        <w:t>b.</w:t>
      </w:r>
      <w:r>
        <w:rPr>
          <w:rFonts w:cs="Arial"/>
        </w:rPr>
        <w:tab/>
        <w:t>monstername betreffende de onder a genoemde stoffen: NEN-EN 15259.</w:t>
      </w:r>
    </w:p>
    <w:p w:rsidR="004178A7" w:rsidRDefault="004178A7" w:rsidP="004178A7">
      <w:pPr>
        <w:pStyle w:val="art1enivo"/>
        <w:shd w:val="clear" w:color="auto" w:fill="D9D9D9" w:themeFill="background1" w:themeFillShade="D9"/>
        <w:suppressAutoHyphens/>
        <w:rPr>
          <w:rFonts w:cs="Arial"/>
        </w:rPr>
      </w:pPr>
      <w:r>
        <w:rPr>
          <w:rFonts w:cs="Arial"/>
        </w:rPr>
        <w:t>3.</w:t>
      </w:r>
      <w:r>
        <w:rPr>
          <w:rFonts w:cs="Arial"/>
        </w:rPr>
        <w:tab/>
        <w:t>Bij toepassing van de normbladen, bedoeld in het tweede lid, onder a, worden de regels voor de meetlocatie, bedoeld in NEN-EN 15259 toegepast.</w:t>
      </w:r>
    </w:p>
    <w:p w:rsidR="004178A7" w:rsidRDefault="004178A7" w:rsidP="004178A7">
      <w:pPr>
        <w:pStyle w:val="art1enivo"/>
        <w:shd w:val="clear" w:color="auto" w:fill="D9D9D9" w:themeFill="background1" w:themeFillShade="D9"/>
        <w:suppressAutoHyphens/>
        <w:rPr>
          <w:rFonts w:cs="Arial"/>
        </w:rPr>
      </w:pPr>
      <w:r>
        <w:rPr>
          <w:rFonts w:cs="Arial"/>
        </w:rPr>
        <w:t>4.</w:t>
      </w:r>
      <w:r>
        <w:rPr>
          <w:rFonts w:cs="Arial"/>
        </w:rPr>
        <w:tab/>
        <w:t>Het uitvoeren van afzonderlijke metingen, parallelmetingen en referentiemetingen geschiedt door een instantie die is geaccrediteerd door een accreditatie-instantie.</w:t>
      </w:r>
    </w:p>
    <w:p w:rsidR="004178A7" w:rsidRDefault="004178A7" w:rsidP="004178A7">
      <w:pPr>
        <w:pStyle w:val="art1enivo"/>
        <w:shd w:val="clear" w:color="auto" w:fill="D9D9D9" w:themeFill="background1" w:themeFillShade="D9"/>
        <w:suppressAutoHyphens/>
        <w:rPr>
          <w:rFonts w:cs="Arial"/>
        </w:rPr>
      </w:pPr>
      <w:r>
        <w:rPr>
          <w:rFonts w:cs="Arial"/>
        </w:rPr>
        <w:t>5.</w:t>
      </w:r>
      <w:r>
        <w:rPr>
          <w:rFonts w:cs="Arial"/>
        </w:rPr>
        <w:tab/>
        <w:t>In afwijking van het tweede en vierde lid, mag een afzonderlijke meting ook worden uitgevoerd door een bedrijf dat beschikt over een geldig certificaat dat is afgegeven door een instantie die is geaccrediteerd door een accreditatie-instantie teneinde uitvoering te kunnen geven aan de van de 'Certificatieregeling voor inspectie en onderhoud stookinstallaties' onderdeel uitmakende «Beoordelingrichtlijn voor het uitvoeren van onderhoud en inspecties aan stookinstallaties, Scope 6» van de Stichting Certificatie Inspectie en Onderhoud Stookinstallaties, mits hij die meting uitvoert overeenkomstig Scope 6.</w:t>
      </w:r>
    </w:p>
    <w:p w:rsidR="004178A7" w:rsidRDefault="004178A7" w:rsidP="004178A7">
      <w:pPr>
        <w:pStyle w:val="artikelkop"/>
        <w:shd w:val="clear" w:color="auto" w:fill="D9D9D9" w:themeFill="background1" w:themeFillShade="D9"/>
      </w:pPr>
      <w:r>
        <w:t xml:space="preserve">Artikel 3.7b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Indien de concentraties aan stikstofoxiden (NO</w:t>
      </w:r>
      <w:r>
        <w:rPr>
          <w:rFonts w:cs="Arial"/>
          <w:vertAlign w:val="subscript"/>
        </w:rPr>
        <w:t>x</w:t>
      </w:r>
      <w:r>
        <w:rPr>
          <w:rFonts w:cs="Arial"/>
        </w:rPr>
        <w:t>), zwaveldioxide (SO</w:t>
      </w:r>
      <w:r>
        <w:rPr>
          <w:rFonts w:cs="Arial"/>
          <w:vertAlign w:val="subscript"/>
        </w:rPr>
        <w:t>2</w:t>
      </w:r>
      <w:r>
        <w:rPr>
          <w:rFonts w:cs="Arial"/>
        </w:rPr>
        <w:t>), totaal stof of onverbrande koolwaterstoffen (C</w:t>
      </w:r>
      <w:r>
        <w:rPr>
          <w:rFonts w:cs="Arial"/>
          <w:vertAlign w:val="subscript"/>
        </w:rPr>
        <w:t>x</w:t>
      </w:r>
      <w:r>
        <w:rPr>
          <w:rFonts w:cs="Arial"/>
        </w:rPr>
        <w:t>H</w:t>
      </w:r>
      <w:r>
        <w:rPr>
          <w:rFonts w:cs="Arial"/>
          <w:vertAlign w:val="subscript"/>
        </w:rPr>
        <w:t>y</w:t>
      </w:r>
      <w:r>
        <w:rPr>
          <w:rFonts w:cs="Arial"/>
        </w:rPr>
        <w:t>, uitgedrukt in C) afzonderlijk wordt gemeten, wordt zodra een emissiegrenswaarde van toepassing is geworden, binnen vier weken nadien een afzonderlijke meting verricht.</w:t>
      </w:r>
    </w:p>
    <w:p w:rsidR="004178A7" w:rsidRDefault="004178A7" w:rsidP="004178A7">
      <w:pPr>
        <w:pStyle w:val="art1enivo"/>
        <w:shd w:val="clear" w:color="auto" w:fill="D9D9D9" w:themeFill="background1" w:themeFillShade="D9"/>
      </w:pPr>
      <w:r>
        <w:t>2.</w:t>
      </w:r>
      <w:r>
        <w:tab/>
        <w:t>Onverminderd het eerste lid kan de meting van het rookgas van een stookinstallatie als bedoeld in artikel 3.10q van het besluit worden verricht voorafgaand aan het van toepassing worden van een emissiegrenswaarde.</w:t>
      </w:r>
    </w:p>
    <w:p w:rsidR="004178A7" w:rsidRDefault="004178A7" w:rsidP="004178A7">
      <w:pPr>
        <w:pStyle w:val="art1enivo"/>
        <w:shd w:val="clear" w:color="auto" w:fill="D9D9D9" w:themeFill="background1" w:themeFillShade="D9"/>
        <w:suppressAutoHyphens/>
        <w:rPr>
          <w:rFonts w:cs="Arial"/>
        </w:rPr>
      </w:pPr>
      <w:r>
        <w:rPr>
          <w:rFonts w:cs="Arial"/>
        </w:rPr>
        <w:t>3.</w:t>
      </w:r>
      <w:r>
        <w:rPr>
          <w:rFonts w:cs="Arial"/>
        </w:rPr>
        <w:tab/>
        <w:t>Indien de concentraties aan stikstofoxiden (NO</w:t>
      </w:r>
      <w:r>
        <w:rPr>
          <w:rFonts w:cs="Arial"/>
          <w:sz w:val="18"/>
        </w:rPr>
        <w:t>x</w:t>
      </w:r>
      <w:r>
        <w:rPr>
          <w:rFonts w:cs="Arial"/>
        </w:rPr>
        <w:t>), zwaveldioxide (SO</w:t>
      </w:r>
      <w:r>
        <w:rPr>
          <w:rFonts w:cs="Arial"/>
          <w:vertAlign w:val="subscript"/>
        </w:rPr>
        <w:t>2</w:t>
      </w:r>
      <w:r>
        <w:rPr>
          <w:rFonts w:cs="Arial"/>
        </w:rPr>
        <w:t>), totaal stof of onverbrande koolwaterstoffen (C</w:t>
      </w:r>
      <w:r>
        <w:rPr>
          <w:rFonts w:cs="Arial"/>
          <w:vertAlign w:val="subscript"/>
        </w:rPr>
        <w:t>x</w:t>
      </w:r>
      <w:r>
        <w:rPr>
          <w:rFonts w:cs="Arial"/>
        </w:rPr>
        <w:t>H</w:t>
      </w:r>
      <w:r>
        <w:rPr>
          <w:rFonts w:cs="Arial"/>
          <w:vertAlign w:val="subscript"/>
        </w:rPr>
        <w:t>y</w:t>
      </w:r>
      <w:r>
        <w:rPr>
          <w:rFonts w:cs="Arial"/>
        </w:rPr>
        <w:t>, uitgedrukt in C) bij een gasturbine, een gasmotor of een dieselmotor afzonderlijk worden gemeten, wordt in aanvulling op het eerste lid, om de vier jaar een nieuwe afzonderlijke meting verricht.</w:t>
      </w:r>
    </w:p>
    <w:p w:rsidR="004178A7" w:rsidRDefault="004178A7" w:rsidP="004178A7">
      <w:pPr>
        <w:pStyle w:val="art1enivo"/>
        <w:shd w:val="clear" w:color="auto" w:fill="D9D9D9" w:themeFill="background1" w:themeFillShade="D9"/>
        <w:suppressAutoHyphens/>
        <w:rPr>
          <w:rFonts w:cs="Arial"/>
        </w:rPr>
      </w:pPr>
      <w:r>
        <w:rPr>
          <w:rFonts w:cs="Arial"/>
        </w:rPr>
        <w:t>4.</w:t>
      </w:r>
      <w:r>
        <w:rPr>
          <w:rFonts w:cs="Arial"/>
        </w:rPr>
        <w:tab/>
        <w:t>Indien door het veranderen van brandstof andere emissiegrenswaarden van toepassing worden, wordt binnen vier weken nadien een nieuwe afzonderlijke meting verricht. Het derde lid is van overeenkomstige toepassing.</w:t>
      </w:r>
    </w:p>
    <w:p w:rsidR="004178A7" w:rsidRDefault="004178A7" w:rsidP="004178A7">
      <w:pPr>
        <w:pStyle w:val="artikelkop"/>
        <w:shd w:val="clear" w:color="auto" w:fill="D9D9D9" w:themeFill="background1" w:themeFillShade="D9"/>
      </w:pPr>
      <w:r>
        <w:t xml:space="preserve">Artikel 3.7c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Een afzonderlijke meting als bedoeld in artikel 3.7b bestaat uit drie deelmetingen van ten minste vijftien minuten en ten hoogste dertig minuten.</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Indien geen van de deelmetingen, bedoeld in het eerste lid, de desbetreffende emissiegrenswaarde overschrijdt, wordt aan die emissiegrenswaarde voldaan.</w:t>
      </w:r>
    </w:p>
    <w:p w:rsidR="004178A7" w:rsidRDefault="004178A7" w:rsidP="004178A7">
      <w:pPr>
        <w:pStyle w:val="art1enivo"/>
        <w:shd w:val="clear" w:color="auto" w:fill="D9D9D9" w:themeFill="background1" w:themeFillShade="D9"/>
        <w:suppressAutoHyphens/>
        <w:rPr>
          <w:rFonts w:cs="Arial"/>
        </w:rPr>
      </w:pPr>
      <w:r>
        <w:rPr>
          <w:rFonts w:cs="Arial"/>
        </w:rPr>
        <w:t>3.</w:t>
      </w:r>
      <w:r>
        <w:rPr>
          <w:rFonts w:cs="Arial"/>
        </w:rPr>
        <w:tab/>
        <w:t>Indien één van de deelmetingen, bedoeld in het eerste lid, aangeeft dat een emissiegrenswaarde wordt overschreden, wordt de afzonderlijke meting herhaald binnen drie maanden na de laatste deelmeting van de afzonderlijke meting, bedoeld in het eerste lid.</w:t>
      </w:r>
    </w:p>
    <w:p w:rsidR="004178A7" w:rsidRDefault="004178A7" w:rsidP="004178A7">
      <w:pPr>
        <w:pStyle w:val="art1enivo"/>
        <w:shd w:val="clear" w:color="auto" w:fill="D9D9D9" w:themeFill="background1" w:themeFillShade="D9"/>
        <w:suppressAutoHyphens/>
        <w:rPr>
          <w:rFonts w:cs="Arial"/>
        </w:rPr>
      </w:pPr>
      <w:r>
        <w:rPr>
          <w:rFonts w:cs="Arial"/>
        </w:rPr>
        <w:t>4.</w:t>
      </w:r>
      <w:r>
        <w:rPr>
          <w:rFonts w:cs="Arial"/>
        </w:rPr>
        <w:tab/>
        <w:t>Indien één van de deelmetingen van de afzonderlijke meting, bedoeld in het derde lid, aangeeft dat de emissiegrenswaarde die aanleiding was voor de herhaalde afzonderlijke meting, wederom wordt overschreden, treft de drijver van de inrichting zodanige voorzieningen aan de stookinstallatie, dat verdere overschrijding van die emissiegrenswaarde wordt voorkomen.</w:t>
      </w:r>
    </w:p>
    <w:p w:rsidR="004178A7" w:rsidRDefault="004178A7" w:rsidP="004178A7">
      <w:pPr>
        <w:pStyle w:val="artikelkop"/>
        <w:shd w:val="clear" w:color="auto" w:fill="D9D9D9" w:themeFill="background1" w:themeFillShade="D9"/>
      </w:pPr>
      <w:r>
        <w:t xml:space="preserve">Artikel 3.7d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Bij een afzonderlijke meting als bedoeld in artikel 3.7b mag van een meting een door een onafhankelijke en deskundige meetinstantie aangetoond 95%-betrouwbaarheidsinterval worden afgetrokken.</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De waarde van het 95%-betrouwbaarheidsinterval, bedoeld in het eerste lid, is niet groter dan de volgende percentages van de emissiegrenswaarde voor:</w:t>
      </w:r>
    </w:p>
    <w:p w:rsidR="004178A7" w:rsidRDefault="004178A7" w:rsidP="004178A7">
      <w:pPr>
        <w:pStyle w:val="art2enivo"/>
        <w:shd w:val="clear" w:color="auto" w:fill="D9D9D9" w:themeFill="background1" w:themeFillShade="D9"/>
        <w:suppressAutoHyphens/>
        <w:rPr>
          <w:rFonts w:cs="Arial"/>
        </w:rPr>
      </w:pPr>
      <w:r>
        <w:rPr>
          <w:rFonts w:cs="Arial"/>
        </w:rPr>
        <w:t>a.</w:t>
      </w:r>
      <w:r>
        <w:rPr>
          <w:rFonts w:cs="Arial"/>
        </w:rPr>
        <w:tab/>
        <w:t>zwaveldioxide (SO</w:t>
      </w:r>
      <w:r>
        <w:rPr>
          <w:rFonts w:cs="Arial"/>
          <w:vertAlign w:val="subscript"/>
        </w:rPr>
        <w:t>2</w:t>
      </w:r>
      <w:r>
        <w:rPr>
          <w:rFonts w:cs="Arial"/>
        </w:rPr>
        <w:t>): 20;</w:t>
      </w:r>
    </w:p>
    <w:p w:rsidR="004178A7" w:rsidRDefault="004178A7" w:rsidP="004178A7">
      <w:pPr>
        <w:pStyle w:val="art2enivo"/>
        <w:shd w:val="clear" w:color="auto" w:fill="D9D9D9" w:themeFill="background1" w:themeFillShade="D9"/>
        <w:suppressAutoHyphens/>
        <w:rPr>
          <w:rFonts w:cs="Arial"/>
        </w:rPr>
      </w:pPr>
      <w:r>
        <w:rPr>
          <w:rFonts w:cs="Arial"/>
        </w:rPr>
        <w:t>b.</w:t>
      </w:r>
      <w:r>
        <w:rPr>
          <w:rFonts w:cs="Arial"/>
        </w:rPr>
        <w:tab/>
        <w:t>stikstofoxiden (NO</w:t>
      </w:r>
      <w:r>
        <w:rPr>
          <w:rFonts w:cs="Arial"/>
          <w:vertAlign w:val="subscript"/>
        </w:rPr>
        <w:t>x</w:t>
      </w:r>
      <w:r>
        <w:rPr>
          <w:rFonts w:cs="Arial"/>
        </w:rPr>
        <w:t>): 20;</w:t>
      </w:r>
    </w:p>
    <w:p w:rsidR="004178A7" w:rsidRDefault="004178A7" w:rsidP="004178A7">
      <w:pPr>
        <w:pStyle w:val="art2enivo"/>
        <w:shd w:val="clear" w:color="auto" w:fill="D9D9D9" w:themeFill="background1" w:themeFillShade="D9"/>
        <w:suppressAutoHyphens/>
        <w:rPr>
          <w:rFonts w:cs="Arial"/>
        </w:rPr>
      </w:pPr>
      <w:r>
        <w:rPr>
          <w:rFonts w:cs="Arial"/>
        </w:rPr>
        <w:t>c.</w:t>
      </w:r>
      <w:r>
        <w:rPr>
          <w:rFonts w:cs="Arial"/>
        </w:rPr>
        <w:tab/>
        <w:t>totaal stof: 30; en</w:t>
      </w:r>
    </w:p>
    <w:p w:rsidR="004178A7" w:rsidRDefault="004178A7" w:rsidP="004178A7">
      <w:pPr>
        <w:pStyle w:val="art2enivo"/>
        <w:shd w:val="clear" w:color="auto" w:fill="D9D9D9" w:themeFill="background1" w:themeFillShade="D9"/>
        <w:suppressAutoHyphens/>
        <w:rPr>
          <w:rFonts w:cs="Arial"/>
        </w:rPr>
      </w:pPr>
      <w:r>
        <w:rPr>
          <w:rFonts w:cs="Arial"/>
        </w:rPr>
        <w:t>d.</w:t>
      </w:r>
      <w:r>
        <w:rPr>
          <w:rFonts w:cs="Arial"/>
        </w:rPr>
        <w:tab/>
        <w:t>onverbrande koolwaterstoffen (C</w:t>
      </w:r>
      <w:r>
        <w:rPr>
          <w:rFonts w:cs="Arial"/>
          <w:vertAlign w:val="subscript"/>
        </w:rPr>
        <w:t>x</w:t>
      </w:r>
      <w:r>
        <w:rPr>
          <w:rFonts w:cs="Arial"/>
        </w:rPr>
        <w:t>H</w:t>
      </w:r>
      <w:r>
        <w:rPr>
          <w:rFonts w:cs="Arial"/>
          <w:vertAlign w:val="subscript"/>
        </w:rPr>
        <w:t>y</w:t>
      </w:r>
      <w:r>
        <w:rPr>
          <w:rFonts w:cs="Arial"/>
        </w:rPr>
        <w:t>, uitgedrukt in C): 20.</w:t>
      </w:r>
    </w:p>
    <w:p w:rsidR="004178A7" w:rsidRDefault="004178A7" w:rsidP="004178A7">
      <w:pPr>
        <w:pStyle w:val="art1enivo"/>
        <w:shd w:val="clear" w:color="auto" w:fill="D9D9D9" w:themeFill="background1" w:themeFillShade="D9"/>
      </w:pPr>
      <w:r>
        <w:t xml:space="preserve">3. </w:t>
      </w:r>
      <w:r>
        <w:tab/>
        <w:t>In afwijking van het tweede lid, onderdeel c, is de waarde van het 95%-betrouwbaarheidsinterval voor totaal stof niet groter dan 40% van de emissiegrenswaarde voor totaal stof, voor zover het een stookinstallatie betreft met een vermogen kleiner dan 1 Megawatt.</w:t>
      </w:r>
    </w:p>
    <w:p w:rsidR="004178A7" w:rsidRDefault="004178A7" w:rsidP="004178A7">
      <w:pPr>
        <w:pStyle w:val="artikelkop"/>
        <w:shd w:val="clear" w:color="auto" w:fill="D9D9D9" w:themeFill="background1" w:themeFillShade="D9"/>
      </w:pPr>
      <w:r>
        <w:t xml:space="preserve">Artikel 3.7e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Een afzonderlijke meting als bedoeld in artikel 3.7b bij een ketelinstallatie wordt verricht bij een belasting van meer dan 60 procent. Een afzonderlijke meting als bedoeld in artikel 3.7a bij een dieselmotor, een gasmotor of een gasturbine, wordt verricht bij de hoogste belasting, waarbij deze continu kan worden bedreven.</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Een afzonderlijke meting als bedoeld in artikel 3.7a bij een gasturbine, met een bijbehorende ketelinstallatie, wordt verricht bij een bijstook van ten hoogste 10% in de bijbehorende ketelinstallatie.</w:t>
      </w:r>
    </w:p>
    <w:p w:rsidR="004178A7" w:rsidRDefault="004178A7" w:rsidP="004178A7">
      <w:pPr>
        <w:pStyle w:val="art1enivo"/>
        <w:shd w:val="clear" w:color="auto" w:fill="D9D9D9" w:themeFill="background1" w:themeFillShade="D9"/>
        <w:suppressAutoHyphens/>
        <w:rPr>
          <w:rFonts w:cs="Arial"/>
        </w:rPr>
      </w:pPr>
      <w:r>
        <w:rPr>
          <w:rFonts w:cs="Arial"/>
        </w:rPr>
        <w:t>3.</w:t>
      </w:r>
      <w:r>
        <w:rPr>
          <w:rFonts w:cs="Arial"/>
        </w:rPr>
        <w:tab/>
        <w:t>Onder belasting wordt in deze bepaling verstaan het deel van het thermische vermogen waarbij de stookinstallatie daadwerkelijk wordt bedreven.</w:t>
      </w:r>
    </w:p>
    <w:p w:rsidR="004178A7" w:rsidRDefault="004178A7" w:rsidP="004178A7">
      <w:pPr>
        <w:pStyle w:val="artikelkop"/>
        <w:shd w:val="clear" w:color="auto" w:fill="D9D9D9" w:themeFill="background1" w:themeFillShade="D9"/>
      </w:pPr>
      <w:r>
        <w:t xml:space="preserve">Artikel 3.7f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Continue meting voor de bepaling van de concentratie van zwaveldioxide (SO</w:t>
      </w:r>
      <w:r>
        <w:rPr>
          <w:rFonts w:cs="Arial"/>
          <w:vertAlign w:val="subscript"/>
        </w:rPr>
        <w:t>2</w:t>
      </w:r>
      <w:r>
        <w:rPr>
          <w:rFonts w:cs="Arial"/>
        </w:rPr>
        <w:t>), stikstofoxiden (NO</w:t>
      </w:r>
      <w:r>
        <w:rPr>
          <w:rFonts w:cs="Arial"/>
          <w:vertAlign w:val="subscript"/>
        </w:rPr>
        <w:t>x</w:t>
      </w:r>
      <w:r>
        <w:rPr>
          <w:rFonts w:cs="Arial"/>
        </w:rPr>
        <w:t>), totaal stof of onverbrande koolwaterstoffen (C</w:t>
      </w:r>
      <w:r>
        <w:rPr>
          <w:rFonts w:cs="Arial"/>
          <w:vertAlign w:val="subscript"/>
        </w:rPr>
        <w:t>x</w:t>
      </w:r>
      <w:r>
        <w:rPr>
          <w:rFonts w:cs="Arial"/>
        </w:rPr>
        <w:t>H</w:t>
      </w:r>
      <w:r>
        <w:rPr>
          <w:rFonts w:cs="Arial"/>
          <w:vertAlign w:val="subscript"/>
        </w:rPr>
        <w:t>y</w:t>
      </w:r>
      <w:r>
        <w:rPr>
          <w:rFonts w:cs="Arial"/>
        </w:rPr>
        <w:t>, uitgedrukt in C) vindt plaats door:</w:t>
      </w:r>
    </w:p>
    <w:p w:rsidR="004178A7" w:rsidRDefault="004178A7" w:rsidP="004178A7">
      <w:pPr>
        <w:pStyle w:val="art2enivo"/>
        <w:shd w:val="clear" w:color="auto" w:fill="D9D9D9" w:themeFill="background1" w:themeFillShade="D9"/>
        <w:suppressAutoHyphens/>
        <w:rPr>
          <w:rFonts w:cs="Arial"/>
        </w:rPr>
      </w:pPr>
      <w:r>
        <w:rPr>
          <w:rFonts w:cs="Arial"/>
        </w:rPr>
        <w:t>a.</w:t>
      </w:r>
      <w:r>
        <w:rPr>
          <w:rFonts w:cs="Arial"/>
        </w:rPr>
        <w:tab/>
        <w:t>rechtstreekse continue meting van de concentratie in het rookgas, of</w:t>
      </w:r>
    </w:p>
    <w:p w:rsidR="004178A7" w:rsidRDefault="004178A7" w:rsidP="004178A7">
      <w:pPr>
        <w:pStyle w:val="art2enivo"/>
        <w:shd w:val="clear" w:color="auto" w:fill="D9D9D9" w:themeFill="background1" w:themeFillShade="D9"/>
        <w:suppressAutoHyphens/>
        <w:rPr>
          <w:rFonts w:cs="Arial"/>
        </w:rPr>
      </w:pPr>
      <w:r>
        <w:rPr>
          <w:rFonts w:cs="Arial"/>
        </w:rPr>
        <w:t>b.</w:t>
      </w:r>
      <w:r>
        <w:rPr>
          <w:rFonts w:cs="Arial"/>
        </w:rPr>
        <w:tab/>
        <w:t>continue meting van de parameters van de voor een stookinstallatie vastgestelde uitworpkarakteristiek.</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De kwaliteitsborging van de ter controle van de emissiegrenswaarden geïnstalleerde apparatuur en toegepaste uitworpkarakteristieken voldoen aan NEN-EN 14181, waarbij de kalibratie eens per vijf jaar plaatsvindt.</w:t>
      </w:r>
    </w:p>
    <w:p w:rsidR="004178A7" w:rsidRDefault="004178A7" w:rsidP="004178A7">
      <w:pPr>
        <w:pStyle w:val="artikelkop"/>
        <w:shd w:val="clear" w:color="auto" w:fill="D9D9D9" w:themeFill="background1" w:themeFillShade="D9"/>
      </w:pPr>
      <w:r>
        <w:t xml:space="preserve">Artikel 3.7g </w:t>
      </w:r>
    </w:p>
    <w:p w:rsidR="004178A7" w:rsidRDefault="004178A7" w:rsidP="004178A7">
      <w:pPr>
        <w:pStyle w:val="artplat"/>
        <w:shd w:val="clear" w:color="auto" w:fill="D9D9D9" w:themeFill="background1" w:themeFillShade="D9"/>
        <w:suppressAutoHyphens/>
        <w:rPr>
          <w:rFonts w:cs="Arial"/>
        </w:rPr>
      </w:pPr>
      <w:r>
        <w:rPr>
          <w:rFonts w:cs="Arial"/>
        </w:rPr>
        <w:t>Bij een continue meting als bedoeld in artikel 3.7f wordt aan een emissiegrenswaarde voldaan indien 100 procent van de daggemiddelden die emissiegrenswaarde niet overschrijdt.</w:t>
      </w:r>
    </w:p>
    <w:p w:rsidR="004178A7" w:rsidRDefault="004178A7" w:rsidP="004178A7">
      <w:pPr>
        <w:pStyle w:val="artikelkop"/>
        <w:shd w:val="clear" w:color="auto" w:fill="D9D9D9" w:themeFill="background1" w:themeFillShade="D9"/>
      </w:pPr>
      <w:r>
        <w:t xml:space="preserve">Artikel 3.7h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Indien de concentraties aan stikstofoxiden (NO</w:t>
      </w:r>
      <w:r>
        <w:rPr>
          <w:rFonts w:cs="Arial"/>
          <w:vertAlign w:val="subscript"/>
        </w:rPr>
        <w:t>x</w:t>
      </w:r>
      <w:r>
        <w:rPr>
          <w:rFonts w:cs="Arial"/>
        </w:rPr>
        <w:t>), zwaveldioxide (SO</w:t>
      </w:r>
      <w:r>
        <w:rPr>
          <w:rFonts w:cs="Arial"/>
          <w:vertAlign w:val="subscript"/>
        </w:rPr>
        <w:t>2</w:t>
      </w:r>
      <w:r>
        <w:rPr>
          <w:rFonts w:cs="Arial"/>
        </w:rPr>
        <w:t>), onverbrande koolwaterstoffen (C</w:t>
      </w:r>
      <w:r>
        <w:rPr>
          <w:rFonts w:cs="Arial"/>
          <w:vertAlign w:val="subscript"/>
        </w:rPr>
        <w:t>x</w:t>
      </w:r>
      <w:r>
        <w:rPr>
          <w:rFonts w:cs="Arial"/>
        </w:rPr>
        <w:t>H</w:t>
      </w:r>
      <w:r>
        <w:rPr>
          <w:rFonts w:cs="Arial"/>
          <w:vertAlign w:val="subscript"/>
        </w:rPr>
        <w:t>y</w:t>
      </w:r>
      <w:r>
        <w:rPr>
          <w:rFonts w:cs="Arial"/>
        </w:rPr>
        <w:t>, uitgedrukt in C) of totaal stof continu worden gemeten, wordt de uitworp tijdens het opstarten en stilleggen van de stookinstallatie niet meegerekend bij het bepalen of aan de desbetreffende emissiegrenswaarde wordt voldaan.</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Indien de concentratie aan stikstofoxiden (NO</w:t>
      </w:r>
      <w:r>
        <w:rPr>
          <w:rFonts w:cs="Arial"/>
          <w:vertAlign w:val="subscript"/>
        </w:rPr>
        <w:t>x</w:t>
      </w:r>
      <w:r>
        <w:rPr>
          <w:rFonts w:cs="Arial"/>
        </w:rPr>
        <w:t>), zwaveldioxide (SO</w:t>
      </w:r>
      <w:r>
        <w:rPr>
          <w:rFonts w:cs="Arial"/>
          <w:vertAlign w:val="subscript"/>
        </w:rPr>
        <w:t>2</w:t>
      </w:r>
      <w:r>
        <w:rPr>
          <w:rFonts w:cs="Arial"/>
        </w:rPr>
        <w:t>), onverbrande koolwaterstoffen (C</w:t>
      </w:r>
      <w:r>
        <w:rPr>
          <w:rFonts w:cs="Arial"/>
          <w:vertAlign w:val="subscript"/>
        </w:rPr>
        <w:t>x</w:t>
      </w:r>
      <w:r>
        <w:rPr>
          <w:rFonts w:cs="Arial"/>
        </w:rPr>
        <w:t>H</w:t>
      </w:r>
      <w:r>
        <w:rPr>
          <w:rFonts w:cs="Arial"/>
          <w:vertAlign w:val="subscript"/>
        </w:rPr>
        <w:t>y</w:t>
      </w:r>
      <w:r>
        <w:rPr>
          <w:rFonts w:cs="Arial"/>
        </w:rPr>
        <w:t>, uitgedrukt in C) of totaal stof continu wordt gemeten en de stookinstallatie is uitgerust met nageschakelde apparatuur die is bedoeld voor het verminderen van de emissie van de genoemde stoffen, wordt de uitworp tijdens perioden als bedoeld in artikel 3.10g van het besluit, niet meegerekend.</w:t>
      </w:r>
    </w:p>
    <w:p w:rsidR="004178A7" w:rsidRDefault="004178A7" w:rsidP="004178A7">
      <w:pPr>
        <w:pStyle w:val="artikelkop"/>
        <w:shd w:val="clear" w:color="auto" w:fill="D9D9D9" w:themeFill="background1" w:themeFillShade="D9"/>
      </w:pPr>
      <w:r>
        <w:t xml:space="preserve">Artikel 3.7i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De waarde van het 95%-betrouwbaarheidsinterval van individuele waarnemingen, op basis waarvan de gemiddelden worden berekend die getoetst worden aan een emissiegrenswaarde, is bij continue metingen niet groter dan de volgende percentages van de emissiegrenswaarde:</w:t>
      </w:r>
    </w:p>
    <w:p w:rsidR="004178A7" w:rsidRDefault="004178A7" w:rsidP="004178A7">
      <w:pPr>
        <w:pStyle w:val="art2enivo"/>
        <w:shd w:val="clear" w:color="auto" w:fill="D9D9D9" w:themeFill="background1" w:themeFillShade="D9"/>
        <w:suppressAutoHyphens/>
        <w:rPr>
          <w:rFonts w:cs="Arial"/>
        </w:rPr>
      </w:pPr>
      <w:r>
        <w:rPr>
          <w:rFonts w:cs="Arial"/>
        </w:rPr>
        <w:t>a.</w:t>
      </w:r>
      <w:r>
        <w:rPr>
          <w:rFonts w:cs="Arial"/>
        </w:rPr>
        <w:tab/>
        <w:t>zwaveldioxide (SO</w:t>
      </w:r>
      <w:r>
        <w:rPr>
          <w:rFonts w:cs="Arial"/>
          <w:vertAlign w:val="subscript"/>
        </w:rPr>
        <w:t>2</w:t>
      </w:r>
      <w:r>
        <w:rPr>
          <w:rFonts w:cs="Arial"/>
        </w:rPr>
        <w:t>): 20;</w:t>
      </w:r>
    </w:p>
    <w:p w:rsidR="004178A7" w:rsidRDefault="004178A7" w:rsidP="004178A7">
      <w:pPr>
        <w:pStyle w:val="art2enivo"/>
        <w:shd w:val="clear" w:color="auto" w:fill="D9D9D9" w:themeFill="background1" w:themeFillShade="D9"/>
        <w:suppressAutoHyphens/>
        <w:rPr>
          <w:rFonts w:cs="Arial"/>
        </w:rPr>
      </w:pPr>
      <w:r>
        <w:rPr>
          <w:rFonts w:cs="Arial"/>
        </w:rPr>
        <w:t>b.</w:t>
      </w:r>
      <w:r>
        <w:rPr>
          <w:rFonts w:cs="Arial"/>
        </w:rPr>
        <w:tab/>
        <w:t>stikstofoxiden (NO</w:t>
      </w:r>
      <w:r>
        <w:rPr>
          <w:rFonts w:cs="Arial"/>
          <w:vertAlign w:val="subscript"/>
        </w:rPr>
        <w:t>x</w:t>
      </w:r>
      <w:r>
        <w:rPr>
          <w:rFonts w:cs="Arial"/>
        </w:rPr>
        <w:t>): 20;</w:t>
      </w:r>
    </w:p>
    <w:p w:rsidR="004178A7" w:rsidRDefault="004178A7" w:rsidP="004178A7">
      <w:pPr>
        <w:pStyle w:val="art2enivo"/>
        <w:shd w:val="clear" w:color="auto" w:fill="D9D9D9" w:themeFill="background1" w:themeFillShade="D9"/>
        <w:suppressAutoHyphens/>
        <w:rPr>
          <w:rFonts w:cs="Arial"/>
        </w:rPr>
      </w:pPr>
      <w:r>
        <w:rPr>
          <w:rFonts w:cs="Arial"/>
        </w:rPr>
        <w:t>c.</w:t>
      </w:r>
      <w:r>
        <w:rPr>
          <w:rFonts w:cs="Arial"/>
        </w:rPr>
        <w:tab/>
        <w:t>totaal stof: 30; en</w:t>
      </w:r>
    </w:p>
    <w:p w:rsidR="004178A7" w:rsidRDefault="004178A7" w:rsidP="004178A7">
      <w:pPr>
        <w:pStyle w:val="art2enivo"/>
        <w:shd w:val="clear" w:color="auto" w:fill="D9D9D9" w:themeFill="background1" w:themeFillShade="D9"/>
        <w:suppressAutoHyphens/>
        <w:rPr>
          <w:rFonts w:cs="Arial"/>
        </w:rPr>
      </w:pPr>
      <w:r>
        <w:rPr>
          <w:rFonts w:cs="Arial"/>
        </w:rPr>
        <w:t>d.</w:t>
      </w:r>
      <w:r>
        <w:rPr>
          <w:rFonts w:cs="Arial"/>
        </w:rPr>
        <w:tab/>
        <w:t>onverbrande koolwaterstoffen (C</w:t>
      </w:r>
      <w:r>
        <w:rPr>
          <w:rFonts w:cs="Arial"/>
          <w:vertAlign w:val="subscript"/>
        </w:rPr>
        <w:t>x</w:t>
      </w:r>
      <w:r>
        <w:rPr>
          <w:rFonts w:cs="Arial"/>
        </w:rPr>
        <w:t>H</w:t>
      </w:r>
      <w:r>
        <w:rPr>
          <w:rFonts w:cs="Arial"/>
          <w:vertAlign w:val="subscript"/>
        </w:rPr>
        <w:t>y</w:t>
      </w:r>
      <w:r>
        <w:rPr>
          <w:rFonts w:cs="Arial"/>
        </w:rPr>
        <w:t>, uitgedrukt in C): 20.</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Bij continue metingen vindt toetsing aan de emissiegrenswaarden plaats op basis van het gemiddelde van de individuele waarnemingen, na aftrek van de waarde van het in het eerste lid bedoelde betrouwbaarheidsinterval.</w:t>
      </w:r>
    </w:p>
    <w:p w:rsidR="004178A7" w:rsidRDefault="004178A7" w:rsidP="004178A7">
      <w:pPr>
        <w:pStyle w:val="art1enivo"/>
        <w:shd w:val="clear" w:color="auto" w:fill="D9D9D9" w:themeFill="background1" w:themeFillShade="D9"/>
        <w:suppressAutoHyphens/>
        <w:rPr>
          <w:rFonts w:cs="Arial"/>
        </w:rPr>
      </w:pPr>
      <w:r>
        <w:rPr>
          <w:rFonts w:cs="Arial"/>
        </w:rPr>
        <w:t>3.</w:t>
      </w:r>
      <w:r>
        <w:rPr>
          <w:rFonts w:cs="Arial"/>
        </w:rPr>
        <w:tab/>
        <w:t>Indien in een dag meer dan drie uurgemiddelden ongeldig zijn wegens storing of onderhoud van het continu werkende meetsysteem, worden de metingen van die dag als ongeldig beschouwd. Indien in enig kalenderjaar de metingen van meer dan tien dagen ongeldig zijn, treft degene die de inrichting drijft passende maatregelen om de betrouwbaarheid van het continu werkende meetsysteem te verbeteren.</w:t>
      </w:r>
    </w:p>
    <w:p w:rsidR="004178A7" w:rsidRDefault="004178A7" w:rsidP="004178A7">
      <w:pPr>
        <w:pStyle w:val="artikelkop"/>
        <w:shd w:val="clear" w:color="auto" w:fill="D9D9D9" w:themeFill="background1" w:themeFillShade="D9"/>
      </w:pPr>
      <w:r>
        <w:t>Artikel 3.7j</w:t>
      </w:r>
    </w:p>
    <w:p w:rsidR="004178A7" w:rsidRDefault="004178A7" w:rsidP="004178A7">
      <w:pPr>
        <w:pStyle w:val="artplat"/>
        <w:shd w:val="clear" w:color="auto" w:fill="D9D9D9" w:themeFill="background1" w:themeFillShade="D9"/>
        <w:suppressAutoHyphens/>
        <w:rPr>
          <w:rFonts w:cs="Arial"/>
        </w:rPr>
      </w:pPr>
      <w:r>
        <w:rPr>
          <w:rFonts w:cs="Arial"/>
        </w:rPr>
        <w:t>Indien de emissie-eis is uitgedrukt bij ISO-luchtcondities worden gemeten emissies van stikstofoxiden (NO</w:t>
      </w:r>
      <w:r>
        <w:rPr>
          <w:rFonts w:cs="Arial"/>
          <w:vertAlign w:val="subscript"/>
        </w:rPr>
        <w:t>x</w:t>
      </w:r>
      <w:r>
        <w:rPr>
          <w:rFonts w:cs="Arial"/>
        </w:rPr>
        <w:t xml:space="preserve">) herleid volgens de volgende formule: </w:t>
      </w:r>
    </w:p>
    <w:p w:rsidR="004178A7" w:rsidRDefault="004178A7" w:rsidP="004178A7">
      <w:pPr>
        <w:pStyle w:val="artplatletter"/>
        <w:shd w:val="clear" w:color="auto" w:fill="D9D9D9" w:themeFill="background1" w:themeFillShade="D9"/>
        <w:suppressAutoHyphens/>
        <w:rPr>
          <w:rFonts w:cs="Arial"/>
        </w:rPr>
      </w:pPr>
    </w:p>
    <w:p w:rsidR="004178A7" w:rsidRPr="009846F6" w:rsidRDefault="004178A7" w:rsidP="004178A7">
      <w:pPr>
        <w:shd w:val="clear" w:color="auto" w:fill="D9D9D9" w:themeFill="background1" w:themeFillShade="D9"/>
        <w:suppressAutoHyphens/>
        <w:spacing w:line="240" w:lineRule="atLeast"/>
        <w:rPr>
          <w:rFonts w:cs="Arial"/>
          <w:szCs w:val="18"/>
          <w:vertAlign w:val="superscript"/>
          <w:lang w:val="de-DE"/>
        </w:rPr>
      </w:pPr>
      <w:bookmarkStart w:id="72" w:name="OLE_LINK34"/>
      <w:bookmarkStart w:id="73" w:name="OLE_LINK31"/>
      <w:r w:rsidRPr="009846F6">
        <w:rPr>
          <w:rFonts w:cs="Arial"/>
          <w:szCs w:val="18"/>
          <w:lang w:val="de-DE"/>
        </w:rPr>
        <w:t xml:space="preserve">E = Em * √(101,3/Pm) * (Tm/288) </w:t>
      </w:r>
      <w:r w:rsidRPr="009846F6">
        <w:rPr>
          <w:rFonts w:cs="Arial"/>
          <w:szCs w:val="18"/>
          <w:vertAlign w:val="superscript"/>
          <w:lang w:val="de-DE"/>
        </w:rPr>
        <w:t>–1,53</w:t>
      </w:r>
      <w:r w:rsidRPr="009846F6">
        <w:rPr>
          <w:rFonts w:cs="Arial"/>
          <w:szCs w:val="18"/>
          <w:lang w:val="de-DE"/>
        </w:rPr>
        <w:t xml:space="preserve"> * e</w:t>
      </w:r>
      <w:r w:rsidRPr="009846F6">
        <w:rPr>
          <w:rFonts w:cs="Arial"/>
          <w:szCs w:val="18"/>
          <w:vertAlign w:val="superscript"/>
          <w:lang w:val="de-DE"/>
        </w:rPr>
        <w:t>19(Xm – 0,0063)</w:t>
      </w:r>
    </w:p>
    <w:p w:rsidR="004178A7" w:rsidRPr="009846F6" w:rsidRDefault="004178A7" w:rsidP="004178A7">
      <w:pPr>
        <w:pStyle w:val="artplatletter"/>
        <w:shd w:val="clear" w:color="auto" w:fill="D9D9D9" w:themeFill="background1" w:themeFillShade="D9"/>
        <w:suppressAutoHyphens/>
        <w:rPr>
          <w:rFonts w:cs="Arial"/>
          <w:lang w:val="de-DE"/>
        </w:rPr>
      </w:pPr>
    </w:p>
    <w:bookmarkEnd w:id="72"/>
    <w:bookmarkEnd w:id="73"/>
    <w:p w:rsidR="004178A7" w:rsidRDefault="004178A7" w:rsidP="004178A7">
      <w:pPr>
        <w:pStyle w:val="artplatletter"/>
        <w:shd w:val="clear" w:color="auto" w:fill="D9D9D9" w:themeFill="background1" w:themeFillShade="D9"/>
        <w:suppressAutoHyphens/>
        <w:rPr>
          <w:rFonts w:cs="Arial"/>
        </w:rPr>
      </w:pPr>
      <w:r>
        <w:rPr>
          <w:rFonts w:cs="Arial"/>
        </w:rPr>
        <w:t>waarbij wordt verstaan onder:</w:t>
      </w:r>
    </w:p>
    <w:p w:rsidR="004178A7" w:rsidRDefault="004178A7" w:rsidP="004178A7">
      <w:pPr>
        <w:pStyle w:val="artplatletter"/>
        <w:shd w:val="clear" w:color="auto" w:fill="D9D9D9" w:themeFill="background1" w:themeFillShade="D9"/>
        <w:suppressAutoHyphens/>
        <w:rPr>
          <w:rFonts w:cs="Arial"/>
        </w:rPr>
      </w:pPr>
      <w:r>
        <w:rPr>
          <w:rFonts w:cs="Arial"/>
        </w:rPr>
        <w:t>E</w:t>
      </w:r>
      <w:r>
        <w:rPr>
          <w:rFonts w:cs="Arial"/>
        </w:rPr>
        <w:tab/>
        <w:t>= emissie van stikstofoxiden herleid naar ISO-luchtcondities;</w:t>
      </w:r>
    </w:p>
    <w:p w:rsidR="004178A7" w:rsidRDefault="004178A7" w:rsidP="004178A7">
      <w:pPr>
        <w:pStyle w:val="artplatletter"/>
        <w:shd w:val="clear" w:color="auto" w:fill="D9D9D9" w:themeFill="background1" w:themeFillShade="D9"/>
        <w:suppressAutoHyphens/>
        <w:rPr>
          <w:rFonts w:cs="Arial"/>
        </w:rPr>
      </w:pPr>
      <w:r>
        <w:rPr>
          <w:rFonts w:cs="Arial"/>
        </w:rPr>
        <w:t>Em</w:t>
      </w:r>
      <w:r>
        <w:rPr>
          <w:rFonts w:cs="Arial"/>
        </w:rPr>
        <w:tab/>
        <w:t>= gemeten emissie van stikstofoxiden;</w:t>
      </w:r>
    </w:p>
    <w:p w:rsidR="004178A7" w:rsidRDefault="004178A7" w:rsidP="004178A7">
      <w:pPr>
        <w:pStyle w:val="artplatletter"/>
        <w:shd w:val="clear" w:color="auto" w:fill="D9D9D9" w:themeFill="background1" w:themeFillShade="D9"/>
        <w:suppressAutoHyphens/>
        <w:rPr>
          <w:rFonts w:cs="Arial"/>
        </w:rPr>
      </w:pPr>
      <w:r>
        <w:rPr>
          <w:rFonts w:cs="Arial"/>
        </w:rPr>
        <w:t>Pm</w:t>
      </w:r>
      <w:r>
        <w:rPr>
          <w:rFonts w:cs="Arial"/>
        </w:rPr>
        <w:tab/>
        <w:t>= gemeten atmosferische druk bij de inlaat van de compressor (kPa);</w:t>
      </w:r>
    </w:p>
    <w:p w:rsidR="004178A7" w:rsidRDefault="004178A7" w:rsidP="004178A7">
      <w:pPr>
        <w:pStyle w:val="artplatletter"/>
        <w:shd w:val="clear" w:color="auto" w:fill="D9D9D9" w:themeFill="background1" w:themeFillShade="D9"/>
        <w:suppressAutoHyphens/>
        <w:rPr>
          <w:rFonts w:cs="Arial"/>
        </w:rPr>
      </w:pPr>
      <w:r>
        <w:rPr>
          <w:rFonts w:cs="Arial"/>
        </w:rPr>
        <w:t>Tm</w:t>
      </w:r>
      <w:r>
        <w:rPr>
          <w:rFonts w:cs="Arial"/>
        </w:rPr>
        <w:tab/>
        <w:t>= temperatuur van de inlaatlucht (Kelvin);</w:t>
      </w:r>
    </w:p>
    <w:p w:rsidR="004178A7" w:rsidRDefault="004178A7" w:rsidP="004178A7">
      <w:pPr>
        <w:pStyle w:val="artplatletter"/>
        <w:shd w:val="clear" w:color="auto" w:fill="D9D9D9" w:themeFill="background1" w:themeFillShade="D9"/>
        <w:suppressAutoHyphens/>
        <w:rPr>
          <w:rFonts w:cs="Arial"/>
        </w:rPr>
      </w:pPr>
      <w:r>
        <w:rPr>
          <w:rFonts w:cs="Arial"/>
        </w:rPr>
        <w:t>Xm</w:t>
      </w:r>
      <w:r>
        <w:rPr>
          <w:rFonts w:cs="Arial"/>
        </w:rPr>
        <w:tab/>
        <w:t>= gemeten vochtgehalte van de inlaatlucht (in kg water per kg droge lucht).</w:t>
      </w:r>
    </w:p>
    <w:p w:rsidR="004178A7" w:rsidRDefault="004178A7" w:rsidP="004178A7">
      <w:pPr>
        <w:pStyle w:val="artikelkop"/>
        <w:shd w:val="clear" w:color="auto" w:fill="D9D9D9" w:themeFill="background1" w:themeFillShade="D9"/>
      </w:pPr>
      <w:r>
        <w:t xml:space="preserve">Artikel 3.7k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Bij het spuien van een stoomketel van een stookinstallatie zijn ten minste de spuitank dan wel de andere geschikte voorziening en de leidingen waardoor het spuiwater wordt geleid bestand tegen de inwerking van het spuiwater.</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De spuitank, bedoeld in het eerste lid, is voorzien van een ontluchtingsleiding, die zodanig is bemeten, dat het bezwijken van de spuiketel door overdruk in de spuitank tijdens het spuien wordt voorkomen.</w:t>
      </w:r>
    </w:p>
    <w:p w:rsidR="004178A7" w:rsidRDefault="004178A7" w:rsidP="004178A7">
      <w:pPr>
        <w:pStyle w:val="artikelkop"/>
        <w:shd w:val="clear" w:color="auto" w:fill="D9D9D9" w:themeFill="background1" w:themeFillShade="D9"/>
      </w:pPr>
      <w:r>
        <w:t xml:space="preserve">Artikel 3.7l </w:t>
      </w:r>
    </w:p>
    <w:p w:rsidR="004178A7" w:rsidRDefault="004178A7" w:rsidP="004178A7">
      <w:pPr>
        <w:pStyle w:val="artplat"/>
        <w:shd w:val="clear" w:color="auto" w:fill="D9D9D9" w:themeFill="background1" w:themeFillShade="D9"/>
        <w:suppressAutoHyphens/>
        <w:rPr>
          <w:rFonts w:cs="Arial"/>
        </w:rPr>
      </w:pPr>
      <w:r>
        <w:rPr>
          <w:rFonts w:cs="Arial"/>
        </w:rPr>
        <w:t>Het vullen en het legen van een stookinstallatie met vloeibare brandstof vindt plaats boven een bodembeschermende voorziening.</w:t>
      </w:r>
    </w:p>
    <w:p w:rsidR="004178A7" w:rsidRDefault="004178A7" w:rsidP="004178A7">
      <w:pPr>
        <w:pStyle w:val="artikelkop"/>
        <w:shd w:val="clear" w:color="auto" w:fill="D9D9D9" w:themeFill="background1" w:themeFillShade="D9"/>
      </w:pPr>
      <w:r>
        <w:t xml:space="preserve">Artikel 3.7m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Een niet-gasgestookte stookinstallatie met een nominaal vermogen van:</w:t>
      </w:r>
    </w:p>
    <w:p w:rsidR="004178A7" w:rsidRDefault="004178A7" w:rsidP="004178A7">
      <w:pPr>
        <w:pStyle w:val="art2enivo"/>
        <w:shd w:val="clear" w:color="auto" w:fill="D9D9D9" w:themeFill="background1" w:themeFillShade="D9"/>
        <w:suppressAutoHyphens/>
        <w:rPr>
          <w:rFonts w:cs="Arial"/>
        </w:rPr>
      </w:pPr>
      <w:r>
        <w:rPr>
          <w:rFonts w:cs="Arial"/>
        </w:rPr>
        <w:t>a.</w:t>
      </w:r>
      <w:r>
        <w:rPr>
          <w:rFonts w:cs="Arial"/>
        </w:rPr>
        <w:tab/>
        <w:t>20 kilowatt tot ten hoogste 100 kilowatt, wordt ten minste eenmaal per vier jaar gekeurd op veilig functioneren, optimale verbranding en energiezuinigheid;</w:t>
      </w:r>
    </w:p>
    <w:p w:rsidR="004178A7" w:rsidRDefault="004178A7" w:rsidP="004178A7">
      <w:pPr>
        <w:pStyle w:val="art2enivo"/>
        <w:shd w:val="clear" w:color="auto" w:fill="D9D9D9" w:themeFill="background1" w:themeFillShade="D9"/>
        <w:suppressAutoHyphens/>
        <w:rPr>
          <w:rFonts w:cs="Arial"/>
        </w:rPr>
      </w:pPr>
      <w:r>
        <w:rPr>
          <w:rFonts w:cs="Arial"/>
        </w:rPr>
        <w:t>b.</w:t>
      </w:r>
      <w:r>
        <w:rPr>
          <w:rFonts w:cs="Arial"/>
        </w:rPr>
        <w:tab/>
        <w:t>meer dan 100 kilowatt, wordt ten minste eenmaal per twee jaar gekeurd op veilig functioneren, optimale verbranding en energiezuinigheid.</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Een gasgestookte stookinstallatie met een nominaal vermogen van meer dan 100 kilowatt wordt ten minste eenmaal per vier jaar gekeurd op veilig functioneren, optimale verbranding en energiezuinigheid.</w:t>
      </w:r>
    </w:p>
    <w:p w:rsidR="004178A7" w:rsidRDefault="004178A7" w:rsidP="004178A7">
      <w:pPr>
        <w:pStyle w:val="art1enivo"/>
        <w:shd w:val="clear" w:color="auto" w:fill="D9D9D9" w:themeFill="background1" w:themeFillShade="D9"/>
      </w:pPr>
      <w:r>
        <w:rPr>
          <w:rFonts w:eastAsiaTheme="minorEastAsia"/>
          <w:lang w:eastAsia="nl-NL"/>
        </w:rPr>
        <w:t>3.</w:t>
      </w:r>
      <w:r>
        <w:rPr>
          <w:rFonts w:eastAsiaTheme="minorEastAsia"/>
          <w:lang w:eastAsia="nl-NL"/>
        </w:rPr>
        <w:tab/>
        <w:t>Een keuring als bedoeld in het eerste of tweede lid wordt voor de eerste keer uitgevoerd binnen zes weken na ingebruikname.</w:t>
      </w:r>
    </w:p>
    <w:p w:rsidR="004178A7" w:rsidRDefault="004178A7" w:rsidP="004178A7">
      <w:pPr>
        <w:pStyle w:val="art1enivo"/>
        <w:shd w:val="clear" w:color="auto" w:fill="D9D9D9" w:themeFill="background1" w:themeFillShade="D9"/>
        <w:suppressAutoHyphens/>
        <w:rPr>
          <w:rFonts w:cs="Arial"/>
        </w:rPr>
      </w:pPr>
      <w:r>
        <w:rPr>
          <w:rFonts w:cs="Arial"/>
        </w:rPr>
        <w:t>4.</w:t>
      </w:r>
      <w:r>
        <w:rPr>
          <w:rFonts w:cs="Arial"/>
        </w:rPr>
        <w:tab/>
        <w:t>Een keuring als bedoeld in het eerste of tweede lid omvat mede de afstelling voor de verbranding, het systeem voor de toevoer van brandstof en verbrandingslucht en de afvoer van verbrandingsgassen.</w:t>
      </w:r>
    </w:p>
    <w:p w:rsidR="004178A7" w:rsidRDefault="004178A7" w:rsidP="004178A7">
      <w:pPr>
        <w:pStyle w:val="art1enivo"/>
        <w:shd w:val="clear" w:color="auto" w:fill="D9D9D9" w:themeFill="background1" w:themeFillShade="D9"/>
        <w:suppressAutoHyphens/>
        <w:rPr>
          <w:rFonts w:cs="Arial"/>
        </w:rPr>
      </w:pPr>
      <w:r>
        <w:rPr>
          <w:rFonts w:cs="Arial"/>
        </w:rPr>
        <w:t>5.</w:t>
      </w:r>
      <w:r>
        <w:rPr>
          <w:rFonts w:cs="Arial"/>
        </w:rPr>
        <w:tab/>
        <w:t>Een keuring als bedoeld in het eerste of tweede lid wordt verricht door een bedrijf dat beschikt over een geldig certificaat dat is afgegeven door een instantie die door een accreditatie-instantie is geaccrediteerd teneinde uitvoering te kunnen geven aan de van de 'Certificatieregeling voor inspectie en onderhoud stookinstallaties' onderdeel uitmakende "Beoordelingrichtlijn voor het uitvoeren van onderhoud en inspecties aan stookinstallaties" van de Stichting Certificatie Inspectie en Onderhoud Stookinstallaties. Degene die de inrichting drijft vraagt van degene die een keuring verricht een door hem opgesteld en ondertekend verslag van die keuring, waaruit ten minste blijkt wanneer en door wie de keuring is verricht en de resultaten van de keuring.</w:t>
      </w:r>
    </w:p>
    <w:p w:rsidR="004178A7" w:rsidRDefault="004178A7" w:rsidP="004178A7">
      <w:pPr>
        <w:pStyle w:val="art1enivo"/>
        <w:shd w:val="clear" w:color="auto" w:fill="D9D9D9" w:themeFill="background1" w:themeFillShade="D9"/>
        <w:suppressAutoHyphens/>
        <w:rPr>
          <w:rFonts w:cs="Arial"/>
        </w:rPr>
      </w:pPr>
      <w:r>
        <w:rPr>
          <w:rFonts w:cs="Arial"/>
        </w:rPr>
        <w:t>6.</w:t>
      </w:r>
      <w:r>
        <w:rPr>
          <w:rFonts w:cs="Arial"/>
        </w:rPr>
        <w:tab/>
        <w:t>Indien uit een keuring als bedoeld in het eerste of tweede lid blijkt dat de stookinstallatie onderhoud behoeft, vindt dat onderhoud binnen twee weken na de keuring plaats. Degene die de inrichting drijft vraagt van degene die het onderhoud verricht aan de stookinstallatie een door hem ondertekend bewijs waaruit blijkt wanneer, door wie en welk onderhoud is verricht.</w:t>
      </w:r>
    </w:p>
    <w:p w:rsidR="004178A7" w:rsidRDefault="004178A7" w:rsidP="004178A7">
      <w:pPr>
        <w:pStyle w:val="artikelkop"/>
        <w:shd w:val="clear" w:color="auto" w:fill="D9D9D9" w:themeFill="background1" w:themeFillShade="D9"/>
      </w:pPr>
      <w:r>
        <w:t xml:space="preserve">Artikel 3.7n </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De drijver van inrichting onderhoudt de ter controle van de emissiegrenswaarden geïnstalleerde apparatuur zodanig dat de goede werking van de apparatuur is gewaarborgd.</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Indien zich een storing voordoet in de apparatuur, bedoeld in het eerste lid:</w:t>
      </w:r>
    </w:p>
    <w:p w:rsidR="004178A7" w:rsidRDefault="004178A7" w:rsidP="004178A7">
      <w:pPr>
        <w:pStyle w:val="art2enivo"/>
        <w:shd w:val="clear" w:color="auto" w:fill="D9D9D9" w:themeFill="background1" w:themeFillShade="D9"/>
        <w:suppressAutoHyphens/>
        <w:rPr>
          <w:rFonts w:cs="Arial"/>
        </w:rPr>
      </w:pPr>
      <w:r>
        <w:rPr>
          <w:rFonts w:cs="Arial"/>
        </w:rPr>
        <w:t>a.</w:t>
      </w:r>
      <w:r>
        <w:rPr>
          <w:rFonts w:cs="Arial"/>
        </w:rPr>
        <w:tab/>
        <w:t>neemt de drijver van de inrichting onverwijld de nodige maatregelen tot opheffing van die storing, en</w:t>
      </w:r>
    </w:p>
    <w:p w:rsidR="004178A7" w:rsidRDefault="004178A7" w:rsidP="004178A7">
      <w:pPr>
        <w:pStyle w:val="art2enivo"/>
        <w:shd w:val="clear" w:color="auto" w:fill="D9D9D9" w:themeFill="background1" w:themeFillShade="D9"/>
        <w:suppressAutoHyphens/>
        <w:rPr>
          <w:rFonts w:cs="Arial"/>
        </w:rPr>
      </w:pPr>
      <w:r>
        <w:rPr>
          <w:rFonts w:cs="Arial"/>
        </w:rPr>
        <w:t>b.</w:t>
      </w:r>
      <w:r>
        <w:rPr>
          <w:rFonts w:cs="Arial"/>
        </w:rPr>
        <w:tab/>
        <w:t>brengt hij geen wijzigingen aan in het gebruik van de stookinstallatie, die een substantiële stijging van de uitworp van de te meten stof met zich kan brengen.</w:t>
      </w:r>
    </w:p>
    <w:p w:rsidR="004178A7" w:rsidRDefault="004178A7" w:rsidP="004178A7">
      <w:pPr>
        <w:pStyle w:val="artikelkop"/>
        <w:shd w:val="clear" w:color="auto" w:fill="D9D9D9" w:themeFill="background1" w:themeFillShade="D9"/>
      </w:pPr>
      <w:r>
        <w:t>Artikel 3.7o</w:t>
      </w:r>
    </w:p>
    <w:p w:rsidR="004178A7" w:rsidRDefault="004178A7" w:rsidP="004178A7">
      <w:pPr>
        <w:pStyle w:val="art1enivo"/>
        <w:shd w:val="clear" w:color="auto" w:fill="D9D9D9" w:themeFill="background1" w:themeFillShade="D9"/>
      </w:pPr>
      <w:r>
        <w:t>1.</w:t>
      </w:r>
      <w:r>
        <w:tab/>
        <w:t>Van een meting of monstername als bedoeld in deze afdeling wordt een rapport gemaakt volgens NEN-EN 15259.</w:t>
      </w:r>
    </w:p>
    <w:p w:rsidR="004178A7" w:rsidRDefault="004178A7" w:rsidP="004178A7">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Voor het bepalen of wordt voldaan aan het urencriterium, genoemd in artikel 3.7, eerste lid, onderdeel b, van het besluit, registreert degene die de inrichting drijft het aantal draaiuren van de gasmotor, gasturbine, ketelinstallatie of dieselmotor.</w:t>
      </w:r>
    </w:p>
    <w:p w:rsidR="004178A7" w:rsidRDefault="004178A7" w:rsidP="004178A7">
      <w:pPr>
        <w:pStyle w:val="artikelkop"/>
        <w:shd w:val="clear" w:color="auto" w:fill="D9D9D9" w:themeFill="background1" w:themeFillShade="D9"/>
      </w:pPr>
      <w:r>
        <w:t>Artikel 3.7p</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De resultaten van de laatstelijk uitgevoerde metingen en andere gegevens, die nodig zijn om te kunnen beoordelen of in overeenstemming met het besluit of deze regeling wordt gehandeld, worden door degene die de inrichting drijft in de inrichting ter beschikking gehouden ten behoeve van het bevoegd gezag.</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Het laatstelijk verstrekte verslag van een keuring en het laatstelijk verstrekte bewijs van verricht onderhoud, bedoeld in artikel 3.7m, vierde en vijfde lid, worden door degene die de inrichting drijft in de inrichting ter beschikking gehouden ten behoeve van het bevoegde gezag.</w:t>
      </w:r>
    </w:p>
    <w:p w:rsidR="004178A7" w:rsidRPr="00620047" w:rsidRDefault="004178A7">
      <w:pPr>
        <w:pStyle w:val="artplat"/>
      </w:pPr>
    </w:p>
    <w:p w:rsidR="00296032" w:rsidRPr="00296032" w:rsidRDefault="00296032">
      <w:pPr>
        <w:pStyle w:val="paragraaf"/>
      </w:pPr>
      <w:bookmarkStart w:id="74" w:name="_Toc277243196"/>
      <w:bookmarkStart w:id="75" w:name="_Toc431375573"/>
      <w:bookmarkEnd w:id="70"/>
      <w:r w:rsidRPr="00296032">
        <w:t>§ 3.2.2</w:t>
      </w:r>
      <w:r w:rsidR="009B09AA">
        <w:t>.</w:t>
      </w:r>
      <w:r w:rsidRPr="00296032">
        <w:tab/>
        <w:t>In werking hebben van een installatie voor het reduceren van aardgasdruk, meten en regelen van aardgashoeveelheid of aardgaskwaliteit</w:t>
      </w:r>
      <w:bookmarkEnd w:id="74"/>
      <w:bookmarkEnd w:id="75"/>
    </w:p>
    <w:p w:rsidR="00296032" w:rsidRPr="00296032" w:rsidRDefault="00296032">
      <w:pPr>
        <w:pStyle w:val="artikelkop"/>
        <w:rPr>
          <w:rFonts w:cs="Arial"/>
        </w:rPr>
      </w:pPr>
      <w:r w:rsidRPr="00296032">
        <w:rPr>
          <w:rFonts w:cs="Arial"/>
        </w:rPr>
        <w:t>Artikel 3.11</w:t>
      </w:r>
    </w:p>
    <w:p w:rsidR="00296032" w:rsidRPr="00620047" w:rsidRDefault="00296032">
      <w:pPr>
        <w:rPr>
          <w:rFonts w:cs="Arial"/>
        </w:rPr>
      </w:pPr>
      <w:r w:rsidRPr="00620047">
        <w:rPr>
          <w:rFonts w:cs="Arial"/>
        </w:rPr>
        <w:t>Deze paragraaf is van toepassing op het in werking hebben van een installatie voor het reduceren van aardgasdruk, meten en regelen van aardgashoeveelheid of aardgaskwaliteit, niet zijnde een gasdrukmeet- en regelstation categorie A, indien:</w:t>
      </w:r>
    </w:p>
    <w:p w:rsidR="00296032" w:rsidRPr="00620047" w:rsidRDefault="00296032">
      <w:pPr>
        <w:rPr>
          <w:rFonts w:cs="Arial"/>
        </w:rPr>
      </w:pPr>
      <w:r w:rsidRPr="00620047">
        <w:rPr>
          <w:rFonts w:cs="Arial"/>
        </w:rPr>
        <w:t>a.</w:t>
      </w:r>
      <w:r w:rsidRPr="00620047">
        <w:rPr>
          <w:rFonts w:cs="Arial"/>
        </w:rPr>
        <w:tab/>
        <w:t>de maximale inlaatzijdige werkdruk maximaal 10.000 kilo Pascal bedraagt;</w:t>
      </w:r>
    </w:p>
    <w:p w:rsidR="00296032" w:rsidRPr="00620047" w:rsidRDefault="00296032">
      <w:pPr>
        <w:rPr>
          <w:rFonts w:cs="Arial"/>
        </w:rPr>
      </w:pPr>
      <w:r w:rsidRPr="00620047">
        <w:rPr>
          <w:rFonts w:cs="Arial"/>
        </w:rPr>
        <w:t>b.</w:t>
      </w:r>
      <w:r w:rsidRPr="00620047">
        <w:rPr>
          <w:rFonts w:cs="Arial"/>
        </w:rPr>
        <w:tab/>
        <w:t>geen expansieturbine aanwezig is;</w:t>
      </w:r>
    </w:p>
    <w:p w:rsidR="00296032" w:rsidRPr="00620047" w:rsidRDefault="00296032">
      <w:pPr>
        <w:rPr>
          <w:rFonts w:cs="Arial"/>
        </w:rPr>
      </w:pPr>
      <w:r w:rsidRPr="00620047">
        <w:rPr>
          <w:rFonts w:cs="Arial"/>
        </w:rPr>
        <w:t>c.</w:t>
      </w:r>
      <w:r w:rsidRPr="00620047">
        <w:rPr>
          <w:rFonts w:cs="Arial"/>
        </w:rPr>
        <w:tab/>
        <w:t>geen drukverhogende installatie aanwezig is;</w:t>
      </w:r>
    </w:p>
    <w:p w:rsidR="00296032" w:rsidRPr="00620047" w:rsidRDefault="00296032">
      <w:pPr>
        <w:rPr>
          <w:rFonts w:cs="Arial"/>
        </w:rPr>
      </w:pPr>
      <w:r w:rsidRPr="00620047">
        <w:rPr>
          <w:rFonts w:cs="Arial"/>
        </w:rPr>
        <w:t>d.</w:t>
      </w:r>
      <w:r w:rsidRPr="00620047">
        <w:rPr>
          <w:rFonts w:cs="Arial"/>
        </w:rPr>
        <w:tab/>
        <w:t>de gastoevoerleiding een diameter van maximaal 50,8 centimeter heeft.</w:t>
      </w:r>
    </w:p>
    <w:p w:rsidR="00296032" w:rsidRPr="00296032" w:rsidRDefault="00296032">
      <w:pPr>
        <w:pStyle w:val="artikelkop"/>
        <w:rPr>
          <w:rFonts w:cs="Arial"/>
        </w:rPr>
      </w:pPr>
      <w:r w:rsidRPr="00296032">
        <w:rPr>
          <w:rFonts w:cs="Arial"/>
        </w:rPr>
        <w:t>Artikel 3.12</w:t>
      </w:r>
    </w:p>
    <w:p w:rsidR="00296032" w:rsidRPr="00620047" w:rsidRDefault="00296032">
      <w:pPr>
        <w:pStyle w:val="art1enivo"/>
        <w:rPr>
          <w:rFonts w:cs="Arial"/>
          <w:bCs/>
        </w:rPr>
      </w:pPr>
      <w:r w:rsidRPr="00620047">
        <w:rPr>
          <w:rFonts w:cs="Arial"/>
          <w:bCs/>
        </w:rPr>
        <w:t>1.</w:t>
      </w:r>
      <w:r w:rsidRPr="00620047">
        <w:rPr>
          <w:rFonts w:cs="Arial"/>
          <w:bCs/>
        </w:rPr>
        <w:tab/>
        <w:t>Voor inrichtingen waar gasdrukmeet- en regelstations categorie B en C in werking zijn, is een bedrijfsnoodplan of aantoonbaar een veiligheidsbeheerssysteem aanwezig.</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bedrijfsnoodplan omvat informatie betreffende:</w:t>
      </w:r>
    </w:p>
    <w:p w:rsidR="00296032" w:rsidRPr="00620047" w:rsidRDefault="00296032">
      <w:pPr>
        <w:pStyle w:val="art2enivo"/>
        <w:rPr>
          <w:rFonts w:cs="Arial"/>
        </w:rPr>
      </w:pPr>
      <w:r w:rsidRPr="00620047">
        <w:rPr>
          <w:rFonts w:cs="Arial"/>
        </w:rPr>
        <w:t>a.</w:t>
      </w:r>
      <w:r w:rsidRPr="00620047">
        <w:rPr>
          <w:rFonts w:cs="Arial"/>
        </w:rPr>
        <w:tab/>
        <w:t>het gebouw, de technische installaties, de locaties van gevaarlijke stoffen en de beschikbare hulpmiddelen;</w:t>
      </w:r>
    </w:p>
    <w:p w:rsidR="00296032" w:rsidRPr="00620047" w:rsidRDefault="00296032">
      <w:pPr>
        <w:pStyle w:val="art2enivo"/>
        <w:rPr>
          <w:rFonts w:cs="Arial"/>
        </w:rPr>
      </w:pPr>
      <w:r w:rsidRPr="00620047">
        <w:rPr>
          <w:rFonts w:cs="Arial"/>
        </w:rPr>
        <w:t>b.</w:t>
      </w:r>
      <w:r w:rsidRPr="00620047">
        <w:rPr>
          <w:rFonts w:cs="Arial"/>
        </w:rPr>
        <w:tab/>
        <w:t>de interne organisatie en taken en verantwoordelijkheden;</w:t>
      </w:r>
    </w:p>
    <w:p w:rsidR="00296032" w:rsidRPr="00620047" w:rsidRDefault="00296032">
      <w:pPr>
        <w:pStyle w:val="art2enivo"/>
        <w:rPr>
          <w:rFonts w:cs="Arial"/>
        </w:rPr>
      </w:pPr>
      <w:r w:rsidRPr="00620047">
        <w:rPr>
          <w:rFonts w:cs="Arial"/>
        </w:rPr>
        <w:t>c.</w:t>
      </w:r>
      <w:r w:rsidRPr="00620047">
        <w:rPr>
          <w:rFonts w:cs="Arial"/>
        </w:rPr>
        <w:tab/>
        <w:t>de actieplannen en maatregelen gebaseerd op alle reëel te achten calamiteiten en incidenten;</w:t>
      </w:r>
    </w:p>
    <w:p w:rsidR="00296032" w:rsidRPr="00620047" w:rsidRDefault="00296032">
      <w:pPr>
        <w:pStyle w:val="art2enivo"/>
        <w:rPr>
          <w:rFonts w:cs="Arial"/>
        </w:rPr>
      </w:pPr>
      <w:r w:rsidRPr="00620047">
        <w:rPr>
          <w:rFonts w:cs="Arial"/>
        </w:rPr>
        <w:t>d.</w:t>
      </w:r>
      <w:r w:rsidRPr="00620047">
        <w:rPr>
          <w:rFonts w:cs="Arial"/>
        </w:rPr>
        <w:tab/>
        <w:t>de interne en externe meldingsstructuur bij calamiteiten en incidenten;</w:t>
      </w:r>
    </w:p>
    <w:p w:rsidR="00296032" w:rsidRPr="00620047" w:rsidRDefault="00296032">
      <w:pPr>
        <w:pStyle w:val="art2enivo"/>
        <w:rPr>
          <w:rFonts w:cs="Arial"/>
        </w:rPr>
      </w:pPr>
      <w:r w:rsidRPr="00620047">
        <w:rPr>
          <w:rFonts w:cs="Arial"/>
        </w:rPr>
        <w:t>e.</w:t>
      </w:r>
      <w:r w:rsidRPr="00620047">
        <w:rPr>
          <w:rFonts w:cs="Arial"/>
        </w:rPr>
        <w:tab/>
        <w:t>het beheer van het bedrijfsnoodplan.</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 xml:space="preserve">Het bedrijfsnoodplan alsmede wijzigingen daarvan wordt toegestuurd aan het bevoegd gezag. </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Degene die de inrichting als bedoeld in het eerste lid drijft heeft op inzichtelijke wijze binnen de inrichting dan wel binnen een door het bevoegd gezag gestelde termijn, beschikbaar:</w:t>
      </w:r>
    </w:p>
    <w:p w:rsidR="00296032" w:rsidRPr="00620047" w:rsidRDefault="00296032">
      <w:pPr>
        <w:pStyle w:val="art2enivo"/>
        <w:rPr>
          <w:rFonts w:cs="Arial"/>
        </w:rPr>
      </w:pPr>
      <w:r w:rsidRPr="00620047">
        <w:rPr>
          <w:rFonts w:cs="Arial"/>
        </w:rPr>
        <w:t>a.</w:t>
      </w:r>
      <w:r w:rsidRPr="00620047">
        <w:rPr>
          <w:rFonts w:cs="Arial"/>
        </w:rPr>
        <w:tab/>
        <w:t>het algemene beheerssysteem voor milieu- en veiligheidsaspecten waarmee aan de bij of krachtens dit besluit gestelde regels wordt voldaan;</w:t>
      </w:r>
    </w:p>
    <w:p w:rsidR="00296032" w:rsidRPr="00620047" w:rsidRDefault="00296032">
      <w:pPr>
        <w:pStyle w:val="art2enivo"/>
        <w:rPr>
          <w:rFonts w:cs="Arial"/>
        </w:rPr>
      </w:pPr>
      <w:r w:rsidRPr="00620047">
        <w:rPr>
          <w:rFonts w:cs="Arial"/>
        </w:rPr>
        <w:t>b.</w:t>
      </w:r>
      <w:r w:rsidRPr="00620047">
        <w:rPr>
          <w:rFonts w:cs="Arial"/>
        </w:rPr>
        <w:tab/>
        <w:t>onderhoudsschema's en de resultaten van inspecties;</w:t>
      </w:r>
    </w:p>
    <w:p w:rsidR="00296032" w:rsidRPr="00620047" w:rsidRDefault="00296032">
      <w:pPr>
        <w:pStyle w:val="art2enivo"/>
        <w:rPr>
          <w:rFonts w:cs="Arial"/>
        </w:rPr>
      </w:pPr>
      <w:r w:rsidRPr="00620047">
        <w:rPr>
          <w:rFonts w:cs="Arial"/>
        </w:rPr>
        <w:t>c.</w:t>
      </w:r>
      <w:r w:rsidRPr="00620047">
        <w:rPr>
          <w:rFonts w:cs="Arial"/>
        </w:rPr>
        <w:tab/>
        <w:t>een actuele plattegrond en situatietekening van de inrichting.</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Het bedienend personeel heeft toegang tot:</w:t>
      </w:r>
    </w:p>
    <w:p w:rsidR="00296032" w:rsidRPr="00620047" w:rsidRDefault="00296032">
      <w:pPr>
        <w:pStyle w:val="art2enivo"/>
        <w:rPr>
          <w:rFonts w:cs="Arial"/>
        </w:rPr>
      </w:pPr>
      <w:r w:rsidRPr="00620047">
        <w:rPr>
          <w:rFonts w:cs="Arial"/>
        </w:rPr>
        <w:t>a.</w:t>
      </w:r>
      <w:r w:rsidRPr="00620047">
        <w:rPr>
          <w:rFonts w:cs="Arial"/>
        </w:rPr>
        <w:tab/>
        <w:t>een schema van het aardgasmeet- of regelstation en de toegepaste appendages;</w:t>
      </w:r>
    </w:p>
    <w:p w:rsidR="00296032" w:rsidRPr="00620047" w:rsidRDefault="00296032">
      <w:pPr>
        <w:pStyle w:val="art2enivo"/>
        <w:rPr>
          <w:rFonts w:cs="Arial"/>
        </w:rPr>
      </w:pPr>
      <w:r w:rsidRPr="00620047">
        <w:rPr>
          <w:rFonts w:cs="Arial"/>
        </w:rPr>
        <w:t>b.</w:t>
      </w:r>
      <w:r w:rsidRPr="00620047">
        <w:rPr>
          <w:rFonts w:cs="Arial"/>
        </w:rPr>
        <w:tab/>
        <w:t>een schema van de in- en uitgaande leidingen met hun afsluiters;</w:t>
      </w:r>
    </w:p>
    <w:p w:rsidR="00296032" w:rsidRPr="00620047" w:rsidRDefault="00296032">
      <w:pPr>
        <w:pStyle w:val="art2enivo"/>
        <w:rPr>
          <w:rFonts w:cs="Arial"/>
        </w:rPr>
      </w:pPr>
      <w:r w:rsidRPr="00620047">
        <w:rPr>
          <w:rFonts w:cs="Arial"/>
        </w:rPr>
        <w:t>c.</w:t>
      </w:r>
      <w:r w:rsidRPr="00620047">
        <w:rPr>
          <w:rFonts w:cs="Arial"/>
        </w:rPr>
        <w:tab/>
        <w:t>rapporten van eerdere beproevingen.</w:t>
      </w:r>
    </w:p>
    <w:p w:rsidR="00296032" w:rsidRPr="00620047" w:rsidRDefault="00296032">
      <w:pPr>
        <w:pStyle w:val="art1enivo"/>
        <w:rPr>
          <w:rFonts w:cs="Arial"/>
        </w:rPr>
      </w:pPr>
      <w:r w:rsidRPr="00620047">
        <w:rPr>
          <w:rFonts w:cs="Arial"/>
          <w:bCs/>
        </w:rPr>
        <w:t>6.</w:t>
      </w:r>
      <w:r w:rsidRPr="00620047">
        <w:rPr>
          <w:rFonts w:cs="Arial"/>
          <w:bCs/>
        </w:rPr>
        <w:tab/>
      </w:r>
      <w:r w:rsidRPr="00620047">
        <w:rPr>
          <w:rFonts w:cs="Arial"/>
        </w:rPr>
        <w:t>Met betrekking tot de opstelplaats van een gasdrukmeet- en regelstation ten opzichte van buiten de inrichting gelegen kwetsbare objecten en beperkt kwetsbare objecten, worden de in tabel 3.12 opgenomen afstanden in acht genomen:</w:t>
      </w:r>
    </w:p>
    <w:p w:rsidR="00296032" w:rsidRPr="00620047" w:rsidRDefault="00296032">
      <w:pPr>
        <w:pStyle w:val="tabelkop"/>
        <w:ind w:firstLine="426"/>
        <w:rPr>
          <w:rFonts w:cs="Arial"/>
        </w:rPr>
      </w:pPr>
      <w:r w:rsidRPr="00620047">
        <w:rPr>
          <w:rFonts w:cs="Arial"/>
        </w:rPr>
        <w:t>Tabel 3.12</w:t>
      </w:r>
      <w:r w:rsidRPr="00620047">
        <w:rPr>
          <w:rFonts w:cs="Arial"/>
        </w:rPr>
        <w:tab/>
        <w:t>Veiligheidsafstanden</w:t>
      </w:r>
    </w:p>
    <w:tbl>
      <w:tblPr>
        <w:tblW w:w="8363"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134"/>
        <w:gridCol w:w="3543"/>
        <w:gridCol w:w="1843"/>
        <w:gridCol w:w="1843"/>
      </w:tblGrid>
      <w:tr w:rsidR="00296032" w:rsidRPr="00620047">
        <w:trPr>
          <w:cantSplit/>
          <w:tblHeader/>
        </w:trPr>
        <w:tc>
          <w:tcPr>
            <w:tcW w:w="113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Categorie-indeling </w:t>
            </w:r>
          </w:p>
        </w:tc>
        <w:tc>
          <w:tcPr>
            <w:tcW w:w="35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Opstellingswijze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Kwetsbare objecten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Beperkt kwetsbare objecten </w:t>
            </w:r>
          </w:p>
        </w:tc>
      </w:tr>
      <w:tr w:rsidR="00296032" w:rsidRPr="00620047">
        <w:trPr>
          <w:cantSplit/>
          <w:tblHeader/>
        </w:trPr>
        <w:tc>
          <w:tcPr>
            <w:tcW w:w="1134"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B </w:t>
            </w:r>
          </w:p>
        </w:tc>
        <w:tc>
          <w:tcPr>
            <w:tcW w:w="35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Kast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 meter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 meter </w:t>
            </w:r>
          </w:p>
        </w:tc>
      </w:tr>
      <w:tr w:rsidR="00296032" w:rsidRPr="00620047">
        <w:trPr>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 w:val="18"/>
                <w:szCs w:val="17"/>
                <w:lang w:eastAsia="en-US"/>
              </w:rPr>
            </w:pPr>
          </w:p>
        </w:tc>
        <w:tc>
          <w:tcPr>
            <w:tcW w:w="35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(semi-)Ondergronds station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 meter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 meter </w:t>
            </w:r>
          </w:p>
        </w:tc>
      </w:tr>
      <w:tr w:rsidR="00296032" w:rsidRPr="00620047">
        <w:trPr>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 w:val="18"/>
                <w:szCs w:val="17"/>
                <w:lang w:eastAsia="en-US"/>
              </w:rPr>
            </w:pPr>
          </w:p>
        </w:tc>
        <w:tc>
          <w:tcPr>
            <w:tcW w:w="35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Kaststation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6 meter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 meter </w:t>
            </w:r>
          </w:p>
        </w:tc>
      </w:tr>
      <w:tr w:rsidR="00296032" w:rsidRPr="00620047">
        <w:trPr>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 w:val="18"/>
                <w:szCs w:val="17"/>
                <w:lang w:eastAsia="en-US"/>
              </w:rPr>
            </w:pPr>
          </w:p>
        </w:tc>
        <w:tc>
          <w:tcPr>
            <w:tcW w:w="35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Open opstelling/vrijstaand gebouw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10 meter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 meter </w:t>
            </w:r>
          </w:p>
        </w:tc>
      </w:tr>
      <w:tr w:rsidR="00296032" w:rsidRPr="00620047">
        <w:trPr>
          <w:cantSplit/>
          <w:tblHeader/>
        </w:trPr>
        <w:tc>
          <w:tcPr>
            <w:tcW w:w="1134"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C </w:t>
            </w:r>
          </w:p>
        </w:tc>
        <w:tc>
          <w:tcPr>
            <w:tcW w:w="35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Alle stations t/m 40 000 normaal kubieke meter per uur aardgas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15 meter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 meter </w:t>
            </w:r>
          </w:p>
        </w:tc>
      </w:tr>
      <w:tr w:rsidR="00296032" w:rsidRPr="00620047">
        <w:trPr>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sz w:val="18"/>
                <w:szCs w:val="17"/>
                <w:lang w:eastAsia="en-US"/>
              </w:rPr>
            </w:pPr>
          </w:p>
        </w:tc>
        <w:tc>
          <w:tcPr>
            <w:tcW w:w="35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Alle stations boven 40 000 normaal kubieke meter per uur aardgas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25 meter </w:t>
            </w:r>
          </w:p>
        </w:tc>
        <w:tc>
          <w:tcPr>
            <w:tcW w:w="184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4 meter </w:t>
            </w:r>
          </w:p>
        </w:tc>
      </w:tr>
    </w:tbl>
    <w:p w:rsidR="00296032" w:rsidRPr="00620047" w:rsidRDefault="00296032">
      <w:pPr>
        <w:pStyle w:val="art1enivo"/>
        <w:rPr>
          <w:rFonts w:cs="Arial"/>
        </w:rPr>
      </w:pPr>
      <w:r w:rsidRPr="00620047">
        <w:rPr>
          <w:rFonts w:cs="Arial"/>
          <w:bCs/>
        </w:rPr>
        <w:t>7.</w:t>
      </w:r>
      <w:r w:rsidRPr="00620047">
        <w:rPr>
          <w:rFonts w:cs="Arial"/>
          <w:bCs/>
        </w:rPr>
        <w:tab/>
      </w:r>
      <w:r w:rsidRPr="00620047">
        <w:rPr>
          <w:rFonts w:cs="Arial"/>
        </w:rPr>
        <w:t>De in tabel 3.12 genoemde afstanden voor een ondergronds dan wel semi-ondergronds station mogen worden gehalveerd indien het gasvoerende deel geheel ondergronds ligt. Kasten mogen tegen gebouwen worden geplaatst mits wordt voldaan aan de bepalingen van NEN 1059.</w:t>
      </w:r>
    </w:p>
    <w:p w:rsidR="00296032" w:rsidRPr="00620047" w:rsidRDefault="00296032">
      <w:pPr>
        <w:pStyle w:val="art1enivo"/>
        <w:rPr>
          <w:rFonts w:cs="Arial"/>
        </w:rPr>
      </w:pPr>
      <w:r w:rsidRPr="00620047">
        <w:rPr>
          <w:rFonts w:cs="Arial"/>
          <w:bCs/>
        </w:rPr>
        <w:t>8.</w:t>
      </w:r>
      <w:r w:rsidRPr="00620047">
        <w:rPr>
          <w:rFonts w:cs="Arial"/>
          <w:bCs/>
        </w:rPr>
        <w:tab/>
      </w:r>
      <w:r w:rsidRPr="00620047">
        <w:rPr>
          <w:rFonts w:cs="Arial"/>
        </w:rPr>
        <w:t>Onverminderd het eerste tot en met zevende lid wordt voldaan aan de bij ministeriële regeling te stellen eisen ten behoeve van het voorkomen van risico's voor de omgeving en ongewone voorvallen, dan wel voor zover dat niet mogelijk is het zoveel mogelijk beperken van de risico's voor de omgeving en de kans dat ongewone voorvallen zich voordoen en de gevolgen hiervan.</w:t>
      </w:r>
    </w:p>
    <w:p w:rsidR="00296032" w:rsidRPr="00620047" w:rsidRDefault="00296032">
      <w:pPr>
        <w:pStyle w:val="art1enivo"/>
      </w:pPr>
      <w:r w:rsidRPr="00620047">
        <w:t>9.</w:t>
      </w:r>
      <w:r w:rsidRPr="00620047">
        <w:tab/>
        <w:t>Het zesde lid is niet van toepassing op een gasdrukmeet- en regelstation:</w:t>
      </w:r>
    </w:p>
    <w:p w:rsidR="00296032" w:rsidRPr="00620047" w:rsidRDefault="00296032">
      <w:pPr>
        <w:pStyle w:val="art2enivo"/>
      </w:pPr>
      <w:r w:rsidRPr="00620047">
        <w:t>a.</w:t>
      </w:r>
      <w:r w:rsidRPr="00620047">
        <w:tab/>
        <w:t>waarop tot 1 januari 2008 het Besluit voorzieningen en installaties milieubeheer van toepassing was, is opgericht voor 1 december 2001 en waarvoor tot laatstgenoemde datum een vergunning in werking en onherroepelijk was, of</w:t>
      </w:r>
    </w:p>
    <w:p w:rsidR="00296032" w:rsidRPr="00620047" w:rsidRDefault="00296032">
      <w:pPr>
        <w:pStyle w:val="art2enivo"/>
      </w:pPr>
      <w:r w:rsidRPr="00620047">
        <w:t>b.</w:t>
      </w:r>
      <w:r w:rsidRPr="00620047">
        <w:tab/>
        <w:t>dat voor 1 januari 2008 is opgericht en waarvoor tot die datum een vergunning in werking en onherroepelijk was;</w:t>
      </w:r>
    </w:p>
    <w:p w:rsidR="00296032" w:rsidRPr="00620047" w:rsidRDefault="00296032">
      <w:pPr>
        <w:pStyle w:val="artplatletter"/>
        <w:ind w:hanging="1"/>
      </w:pPr>
      <w:r w:rsidRPr="00620047">
        <w:t>voor zover de afstanden opgenomen in de vergunning afwijken van de afstanden, bedoeld in tabel 3.12.</w:t>
      </w:r>
    </w:p>
    <w:p w:rsidR="00296032" w:rsidRPr="00620047" w:rsidRDefault="00296032">
      <w:pPr>
        <w:pStyle w:val="art1enivo"/>
      </w:pPr>
      <w:r w:rsidRPr="00620047">
        <w:t>10.</w:t>
      </w:r>
      <w:r w:rsidRPr="00620047">
        <w:tab/>
        <w:t>Voor een gasdrukmeet- en regelstation als bedoeld in het negende lid zijn de afstanden opgenomen in de vergunning van toepassing.</w:t>
      </w:r>
    </w:p>
    <w:p w:rsidR="00296032" w:rsidRDefault="00296032">
      <w:pPr>
        <w:pStyle w:val="art1enivo"/>
      </w:pPr>
      <w:r w:rsidRPr="00620047">
        <w:t>11.</w:t>
      </w:r>
      <w:r w:rsidRPr="00620047">
        <w:tab/>
        <w:t>Het bevoegd gezag kan bij maatwerkvoorschrift eisen stellen aan de veiligheid, voor de situatie, bedoeld in het negende lid, voor zover de afstanden opgenomen in de vergunning afwijken van de afstanden, genoemd in het zesde lid, tabel 3.12.</w:t>
      </w:r>
    </w:p>
    <w:p w:rsidR="004178A7" w:rsidRDefault="004178A7" w:rsidP="004178A7"/>
    <w:p w:rsidR="004178A7" w:rsidRDefault="004178A7" w:rsidP="004178A7">
      <w:pPr>
        <w:pStyle w:val="paragraaf"/>
        <w:shd w:val="clear" w:color="auto" w:fill="D9D9D9" w:themeFill="background1" w:themeFillShade="D9"/>
      </w:pPr>
      <w:bookmarkStart w:id="76" w:name="_Toc431375574"/>
      <w:r>
        <w:t>§ 3.2.2.</w:t>
      </w:r>
      <w:r>
        <w:tab/>
        <w:t>In werking hebben van een installatie voor het reduceren van aardgasdruk, meten en regelen van aardgashoeveelheid of aardgaskwaliteit</w:t>
      </w:r>
      <w:bookmarkEnd w:id="76"/>
    </w:p>
    <w:p w:rsidR="004178A7" w:rsidRDefault="004178A7" w:rsidP="004178A7">
      <w:pPr>
        <w:pStyle w:val="artikelkop"/>
        <w:shd w:val="clear" w:color="auto" w:fill="D9D9D9" w:themeFill="background1" w:themeFillShade="D9"/>
      </w:pPr>
      <w:r>
        <w:t>Artikel 3.8</w:t>
      </w:r>
    </w:p>
    <w:p w:rsidR="004178A7" w:rsidRDefault="004178A7" w:rsidP="004178A7">
      <w:pPr>
        <w:shd w:val="clear" w:color="auto" w:fill="D9D9D9" w:themeFill="background1" w:themeFillShade="D9"/>
        <w:suppressAutoHyphens/>
        <w:rPr>
          <w:rFonts w:cs="Arial"/>
        </w:rPr>
      </w:pPr>
      <w:r>
        <w:rPr>
          <w:rFonts w:cs="Arial"/>
        </w:rPr>
        <w:t>Deze paragraaf is van toepassing op het in werking hebben van een installatie voor het reduceren van aardgasdruk, meten en regelen van aardgashoeveelheid of aardgaskwaliteit als bedoeld in artikel 3.11 van het besluit.</w:t>
      </w:r>
    </w:p>
    <w:p w:rsidR="004178A7" w:rsidRDefault="004178A7" w:rsidP="004178A7">
      <w:pPr>
        <w:pStyle w:val="artikelkop"/>
        <w:shd w:val="clear" w:color="auto" w:fill="D9D9D9" w:themeFill="background1" w:themeFillShade="D9"/>
      </w:pPr>
      <w:r>
        <w:t>Artikel 3.9</w:t>
      </w:r>
    </w:p>
    <w:p w:rsidR="004178A7" w:rsidRDefault="004178A7" w:rsidP="004178A7">
      <w:pPr>
        <w:shd w:val="clear" w:color="auto" w:fill="D9D9D9" w:themeFill="background1" w:themeFillShade="D9"/>
        <w:suppressAutoHyphens/>
        <w:rPr>
          <w:rFonts w:cs="Arial"/>
        </w:rPr>
      </w:pPr>
      <w:r>
        <w:rPr>
          <w:rFonts w:cs="Arial"/>
        </w:rPr>
        <w:t>Ten behoeve van het voorkomen van risico's voor de omgeving en ongewone voorvallen, dan wel voor zover dat niet mogelijk is het zoveel mogelijk beperken van de risico's voor de omgeving en de kans dat ongewone voorvallen zich voordoen en de gevolgen hiervan wordt de uitvoering, opstelling en onderhoud van de technische installatie voor het reduceren van aardgasdruk, meten en regelen van aardgashoeveelheid of aardgaskwaliteit uitgevoerd overeenkomstig de voorschriften 7.1 tot en met 7.3.3, 8.1 tot en met 8.8.2, 9.1 tot en met 9.4 en voorschrift 11.3 van NEN 1059.</w:t>
      </w:r>
    </w:p>
    <w:p w:rsidR="004178A7" w:rsidRDefault="004178A7" w:rsidP="004178A7">
      <w:pPr>
        <w:pStyle w:val="artikelkop"/>
        <w:shd w:val="clear" w:color="auto" w:fill="D9D9D9" w:themeFill="background1" w:themeFillShade="D9"/>
      </w:pPr>
      <w:r>
        <w:t>Artikel 3.10</w:t>
      </w:r>
    </w:p>
    <w:p w:rsidR="004178A7" w:rsidRDefault="004178A7" w:rsidP="004178A7">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voldoet de opslag van tetrahydrothiofeen in bovengrondse opslagtanks of condensaat in ondergrondse opslagtanks behorende bij een inrichting waar aardgasdruk wordt gereduceerd of aardgashoeveelheid wordt gemeten ten minste aan de richtlijn tankinstallaties (PBV Rapport P 107776 2004-01-12) of gelijkwaardig hieraan.</w:t>
      </w:r>
    </w:p>
    <w:p w:rsidR="004178A7" w:rsidRDefault="004178A7" w:rsidP="004178A7">
      <w:pPr>
        <w:pStyle w:val="art1enivo"/>
        <w:shd w:val="clear" w:color="auto" w:fill="D9D9D9" w:themeFill="background1" w:themeFillShade="D9"/>
        <w:suppressAutoHyphens/>
        <w:rPr>
          <w:rFonts w:cs="Arial"/>
        </w:rPr>
      </w:pPr>
      <w:r>
        <w:rPr>
          <w:rFonts w:cs="Arial"/>
        </w:rPr>
        <w:t>2.</w:t>
      </w:r>
      <w:r>
        <w:rPr>
          <w:rFonts w:cs="Arial"/>
        </w:rPr>
        <w:tab/>
        <w:t>Een opgestelde Risico Inventarisatie en -</w:t>
      </w:r>
      <w:r>
        <w:t xml:space="preserve"> evaluatie </w:t>
      </w:r>
      <w:r>
        <w:rPr>
          <w:rFonts w:cs="Arial"/>
        </w:rPr>
        <w:t>als bedoeld in BRL K903 door een persoon of instelling die daartoe is gecertificeerd op grond van die BRL, waarin is aangetoond dat de installatie aan deze richtlijn voldoet en een verklaring van een geaccrediteerde certificatie-instelling dat het non-standaard-deel van de installatie is uitgevoerd overeenkomstig de Risico Inventarisatie en -evaluatie wordt binnen drie maanden na installatie aan het bevoegd gezag overlegd. In geval van relevante wijzigingen wordt deze procedure herhaald.</w:t>
      </w:r>
    </w:p>
    <w:p w:rsidR="004178A7" w:rsidRPr="004178A7" w:rsidRDefault="004178A7" w:rsidP="004178A7"/>
    <w:p w:rsidR="00296032" w:rsidRPr="00296032" w:rsidRDefault="00296032">
      <w:pPr>
        <w:pStyle w:val="paragraaf"/>
        <w:rPr>
          <w:rFonts w:cs="Arial"/>
        </w:rPr>
      </w:pPr>
      <w:bookmarkStart w:id="77" w:name="_Toc277243197"/>
      <w:bookmarkStart w:id="78" w:name="_Toc431375575"/>
      <w:r w:rsidRPr="00296032">
        <w:rPr>
          <w:rFonts w:cs="Arial"/>
        </w:rPr>
        <w:t>§ 3.2.3</w:t>
      </w:r>
      <w:r w:rsidRPr="00296032">
        <w:rPr>
          <w:rFonts w:cs="Arial"/>
        </w:rPr>
        <w:tab/>
        <w:t>In werking hebben van een windturbine</w:t>
      </w:r>
      <w:bookmarkEnd w:id="77"/>
      <w:bookmarkEnd w:id="78"/>
    </w:p>
    <w:p w:rsidR="00296032" w:rsidRPr="00296032" w:rsidRDefault="00296032">
      <w:pPr>
        <w:pStyle w:val="artikelkop"/>
        <w:rPr>
          <w:rFonts w:cs="Arial"/>
        </w:rPr>
      </w:pPr>
      <w:r w:rsidRPr="00296032">
        <w:rPr>
          <w:rFonts w:cs="Arial"/>
        </w:rPr>
        <w:t>Artikel 3.13</w:t>
      </w:r>
    </w:p>
    <w:p w:rsidR="00296032" w:rsidRPr="00620047" w:rsidRDefault="00296032">
      <w:pPr>
        <w:pStyle w:val="art1enivo"/>
        <w:rPr>
          <w:rFonts w:cs="Arial"/>
          <w:bCs/>
        </w:rPr>
      </w:pPr>
      <w:r w:rsidRPr="00620047">
        <w:rPr>
          <w:rFonts w:cs="Arial"/>
          <w:bCs/>
        </w:rPr>
        <w:t>1.</w:t>
      </w:r>
      <w:r w:rsidRPr="00620047">
        <w:rPr>
          <w:rFonts w:cs="Arial"/>
          <w:bCs/>
        </w:rPr>
        <w:tab/>
      </w:r>
      <w:r w:rsidRPr="00620047">
        <w:rPr>
          <w:rFonts w:cs="Arial"/>
        </w:rPr>
        <w:t>Deze paragraaf is van toepassing op een windturbine of een combinatie van windturbines.</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De artikelen 2.17 tot en met 2.22 zijn niet van toepassing op een windturbine of een combinatie van windturbines.</w:t>
      </w:r>
    </w:p>
    <w:p w:rsidR="00296032" w:rsidRPr="00296032" w:rsidRDefault="00296032">
      <w:pPr>
        <w:pStyle w:val="artikelkop"/>
        <w:rPr>
          <w:rFonts w:cs="Arial"/>
        </w:rPr>
      </w:pPr>
      <w:r w:rsidRPr="00296032">
        <w:rPr>
          <w:rFonts w:cs="Arial"/>
        </w:rPr>
        <w:t>Artikel 3.14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Een windturbine wordt ten minste eenmaal per kalenderjaar beoordeeld op de noodzakelijke beveiligingen, onderhoud en reparaties door een deskundige op het gebied van windturbines.</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Indien wordt geconstateerd of indien het redelijk vermoeden bestaat dat een onderdeel of onderdelen van de windturbine een gebrek bezitten, waardoor de veiligheid voor de omgeving in het geding is, wordt de windturbine onmiddellijk buiten bedrijf gesteld en het bevoegd gezag daaromtrent geïnformeerd. De windturbine wordt eerst weer in bedrijf genomen nadat alle gebreken zijn hersteld.</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Indien een windturbine als gevolg van het in werking treden van een beveiliging buiten bedrijf is gesteld, wordt deze pas weer in werking gesteld nadat de oorzaak van het buiten werking stellen is opgeheven.</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Bij het inwerking hebben van een windturbine worden ten behoeve van het voorkomen of beperken van slagschaduw en lichtschittering de bij ministeriële regeling te stellen maatregelen toegepast.</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Een windturbine voldoet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te stellen eisen.</w:t>
      </w:r>
    </w:p>
    <w:p w:rsidR="00296032" w:rsidRPr="00296032" w:rsidRDefault="00296032">
      <w:pPr>
        <w:pStyle w:val="artikelkop"/>
        <w:rPr>
          <w:rFonts w:cs="Arial"/>
        </w:rPr>
      </w:pPr>
      <w:r w:rsidRPr="00296032">
        <w:rPr>
          <w:rFonts w:cs="Arial"/>
        </w:rPr>
        <w:t>Artikel 3.14a</w:t>
      </w:r>
    </w:p>
    <w:p w:rsidR="00296032" w:rsidRPr="00620047" w:rsidRDefault="00296032">
      <w:pPr>
        <w:pStyle w:val="art1enivo"/>
        <w:rPr>
          <w:rFonts w:cs="Arial"/>
          <w:bCs/>
        </w:rPr>
      </w:pPr>
      <w:r w:rsidRPr="00620047">
        <w:rPr>
          <w:rFonts w:cs="Arial"/>
          <w:bCs/>
        </w:rPr>
        <w:t>1.</w:t>
      </w:r>
      <w:r w:rsidRPr="00620047">
        <w:rPr>
          <w:rFonts w:cs="Arial"/>
          <w:bCs/>
        </w:rPr>
        <w:tab/>
      </w:r>
      <w:r w:rsidRPr="00620047">
        <w:rPr>
          <w:rFonts w:cs="Arial"/>
        </w:rPr>
        <w:t>Een windturbine of een combinatie van windturbines voldoet ten behoeve van het voorkomen of beperken van geluidhinder aan de norm van ten hoogste 47 dB Lden en aan de norm van ten hoogste 41 dB Lnight op de gevel van gevoelige gebouwen, tenzij deze zijn gelegen op een gezoneerd industrieterrein en bij gevoelige terreinen op de grens van het terrein.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Onverminderd het eerste lid kan het bevoegd gezag bij maatwerkvoorschrift teneinde rekening te houden met cumulatie van geluid als gevolg van een andere windturbine of een andere combinatie van windturbines, normen met een lagere waarde vaststellen ten aanzien een van de windturbines of een combinatie van windturbines.</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 afwijking van het eerste lid kan het bevoegd gezag bij maatwerkvoorschrift in verband met bijzondere lokale omstandigheden normen met een andere waarde vaststellen.</w:t>
      </w:r>
    </w:p>
    <w:p w:rsidR="00296032" w:rsidRPr="00620047" w:rsidRDefault="00296032">
      <w:pPr>
        <w:pStyle w:val="art1enivo"/>
      </w:pPr>
      <w:r w:rsidRPr="00620047">
        <w:t>4.</w:t>
      </w:r>
      <w:r w:rsidRPr="00620047">
        <w:tab/>
        <w:t>In verband met een windturbine of een combinatie van windturbines waarvoor tot 1 januari 2011 een vergunning in werking en onherroepelijk was dan wel een melding was gedaan op grond van artikel 1.10, kunnen bij ministeriële regeling maatregelen worden voorgeschreven die ertoe leiden dat binnen een bij die regeling te bepalen termijn aan de norm van ten hoogste 47 dB L</w:t>
      </w:r>
      <w:r w:rsidRPr="00620047">
        <w:rPr>
          <w:position w:val="-2"/>
        </w:rPr>
        <w:t>den</w:t>
      </w:r>
      <w:r w:rsidRPr="00620047">
        <w:t xml:space="preserve"> en ten hoogste 41 dB L</w:t>
      </w:r>
      <w:r w:rsidRPr="00620047">
        <w:rPr>
          <w:position w:val="-2"/>
        </w:rPr>
        <w:t>night</w:t>
      </w:r>
      <w:r w:rsidRPr="00620047">
        <w:t xml:space="preserve"> op de gevel van gevoelige gebouwen en bij gevoelige terreinen op de grens van het terrein wordt voldaan in die gevallen waarin uit het akoestisch onderzoek, bedoeld in artikel 1.11, negende lid, blijkt dat de geluidsbelasting die waarde overschrijdt.</w:t>
      </w:r>
    </w:p>
    <w:p w:rsidR="00296032" w:rsidRPr="00620047" w:rsidRDefault="00296032">
      <w:pPr>
        <w:pStyle w:val="art1enivo"/>
      </w:pPr>
      <w:r w:rsidRPr="00620047">
        <w:t>5.</w:t>
      </w:r>
      <w:r w:rsidRPr="00620047">
        <w:tab/>
        <w:t>Bij de toepassing van het tweede lid wordt geen rekening gehouden met een windturbine of een combinatie van windturbines die behoort tot een andere inrichting waarvoor tot 1 januari 2011 een vergunning in werking en onherroepelijk was dan wel een melding was gedaan op grond van artikel 1.10.</w:t>
      </w:r>
    </w:p>
    <w:p w:rsidR="00296032" w:rsidRPr="00296032" w:rsidRDefault="00296032">
      <w:pPr>
        <w:pStyle w:val="artikelkop"/>
        <w:rPr>
          <w:rFonts w:cs="Arial"/>
        </w:rPr>
      </w:pPr>
      <w:r w:rsidRPr="00296032">
        <w:rPr>
          <w:rFonts w:cs="Arial"/>
        </w:rPr>
        <w:t>Artikel 3.15</w:t>
      </w:r>
    </w:p>
    <w:p w:rsidR="00296032" w:rsidRPr="00620047" w:rsidRDefault="00296032">
      <w:pPr>
        <w:pStyle w:val="art1enivo"/>
        <w:rPr>
          <w:rFonts w:cs="Arial"/>
          <w:bCs/>
        </w:rPr>
      </w:pPr>
      <w:r w:rsidRPr="00620047">
        <w:rPr>
          <w:rFonts w:cs="Arial"/>
          <w:bCs/>
        </w:rPr>
        <w:t>1.</w:t>
      </w:r>
      <w:r w:rsidRPr="00620047">
        <w:rPr>
          <w:rFonts w:cs="Arial"/>
          <w:bCs/>
        </w:rPr>
        <w:tab/>
      </w:r>
      <w:r w:rsidRPr="00620047">
        <w:rPr>
          <w:rFonts w:cs="Arial"/>
        </w:rPr>
        <w:t>De metingen van de geluidemissie ter bepaling van de bronsterkte van een windturbine of een combinatie van windturbines worden uitgevoerd overeenkomstig de bij ministeriële regeling te stellen eisen.</w:t>
      </w:r>
    </w:p>
    <w:p w:rsidR="00296032" w:rsidRPr="00620047" w:rsidRDefault="00296032">
      <w:pPr>
        <w:pStyle w:val="art1enivo"/>
        <w:rPr>
          <w:rFonts w:cs="Arial"/>
          <w:bCs/>
        </w:rPr>
      </w:pPr>
      <w:r w:rsidRPr="00620047">
        <w:rPr>
          <w:rFonts w:cs="Arial"/>
          <w:bCs/>
        </w:rPr>
        <w:t>2.</w:t>
      </w:r>
      <w:r w:rsidRPr="00620047">
        <w:rPr>
          <w:rFonts w:cs="Arial"/>
          <w:bCs/>
        </w:rPr>
        <w:tab/>
      </w:r>
      <w:r w:rsidRPr="00620047">
        <w:rPr>
          <w:rFonts w:cs="Arial"/>
        </w:rPr>
        <w:t>De drijver van de inrichting registreert de bij ministeriële regeling te bepalen gegevens welke gedurende vijf kalenderjaren na dagtekening worden bewaard en ter inzage gehouden.</w:t>
      </w:r>
    </w:p>
    <w:p w:rsidR="00296032" w:rsidRPr="00296032" w:rsidRDefault="00296032">
      <w:pPr>
        <w:pStyle w:val="artikelkop"/>
        <w:rPr>
          <w:rFonts w:cs="Arial"/>
        </w:rPr>
      </w:pPr>
      <w:r w:rsidRPr="00296032">
        <w:rPr>
          <w:rFonts w:cs="Arial"/>
        </w:rPr>
        <w:t>Artikel 3.15a</w:t>
      </w:r>
    </w:p>
    <w:p w:rsidR="00296032" w:rsidRPr="00620047" w:rsidRDefault="00296032">
      <w:pPr>
        <w:pStyle w:val="art1enivo"/>
        <w:rPr>
          <w:rFonts w:cs="Arial"/>
          <w:bCs/>
        </w:rPr>
      </w:pPr>
      <w:r w:rsidRPr="00620047">
        <w:rPr>
          <w:rFonts w:cs="Arial"/>
          <w:bCs/>
        </w:rPr>
        <w:t>1.</w:t>
      </w:r>
      <w:r w:rsidRPr="00620047">
        <w:rPr>
          <w:rFonts w:cs="Arial"/>
          <w:bCs/>
        </w:rPr>
        <w:tab/>
      </w:r>
      <w:r w:rsidRPr="00620047">
        <w:rPr>
          <w:rFonts w:cs="Arial"/>
        </w:rPr>
        <w:t>Het plaatsgebonden risico voor een buiten de inrichting gelegen kwetsbaar object, veroorzaakt door een windturbine of een combinatie van windturbines, is niet hoger dan 10-6 per jaar.</w:t>
      </w:r>
    </w:p>
    <w:p w:rsidR="00296032" w:rsidRPr="00620047" w:rsidRDefault="00296032">
      <w:pPr>
        <w:pStyle w:val="art1enivo"/>
        <w:rPr>
          <w:rFonts w:cs="Arial"/>
          <w:bCs/>
        </w:rPr>
      </w:pPr>
      <w:r w:rsidRPr="00620047">
        <w:rPr>
          <w:rFonts w:cs="Arial"/>
          <w:bCs/>
        </w:rPr>
        <w:t>2.</w:t>
      </w:r>
      <w:r w:rsidRPr="00620047">
        <w:rPr>
          <w:rFonts w:cs="Arial"/>
          <w:bCs/>
        </w:rPr>
        <w:tab/>
      </w:r>
      <w:r w:rsidRPr="00620047">
        <w:rPr>
          <w:rFonts w:cs="Arial"/>
        </w:rPr>
        <w:t>Het plaatsgebonden risico voor een buiten de inrichting gelegen beperkt kwetsbaar object, veroorzaakt door een windturbine of een combinatie van windturbines, is niet hoger dan 10-5 per jaar.</w:t>
      </w:r>
    </w:p>
    <w:p w:rsidR="00296032" w:rsidRPr="00620047" w:rsidRDefault="00296032">
      <w:pPr>
        <w:pStyle w:val="art1enivo"/>
        <w:rPr>
          <w:rFonts w:cs="Arial"/>
          <w:bCs/>
        </w:rPr>
      </w:pPr>
      <w:r w:rsidRPr="00620047">
        <w:rPr>
          <w:rFonts w:cs="Arial"/>
          <w:bCs/>
        </w:rPr>
        <w:t>3.</w:t>
      </w:r>
      <w:r w:rsidRPr="00620047">
        <w:rPr>
          <w:rFonts w:cs="Arial"/>
          <w:bCs/>
        </w:rPr>
        <w:tab/>
      </w:r>
      <w:r w:rsidRPr="00620047">
        <w:rPr>
          <w:rFonts w:cs="Arial"/>
        </w:rPr>
        <w:t>Ten behoeve van het bepalen van het plaatsgebonden risico, bedoeld in het eerste en tweede lid, kunnen bij ministeriële regeling afstanden worden vastgesteld, die minimaal aanwezig moeten zijn tussen een windturbine of een combinatie van windturbines en een buiten de inrichting gelegen kwetsbaar dan wel beperkt kwetsbaar object.</w:t>
      </w:r>
    </w:p>
    <w:p w:rsidR="00296032" w:rsidRPr="00620047" w:rsidRDefault="00296032">
      <w:pPr>
        <w:pStyle w:val="art1enivo"/>
        <w:rPr>
          <w:rFonts w:cs="Arial"/>
          <w:bCs/>
        </w:rPr>
      </w:pPr>
      <w:r w:rsidRPr="00620047">
        <w:rPr>
          <w:rFonts w:cs="Arial"/>
          <w:bCs/>
        </w:rPr>
        <w:t>4.</w:t>
      </w:r>
      <w:r w:rsidRPr="00620047">
        <w:rPr>
          <w:rFonts w:cs="Arial"/>
          <w:bCs/>
        </w:rPr>
        <w:tab/>
      </w:r>
      <w:r w:rsidRPr="00620047">
        <w:rPr>
          <w:rFonts w:cs="Arial"/>
        </w:rPr>
        <w:t>Indien op grond van het derde lid afstanden zijn vastgesteld, worden die in acht genomen en zijn het eerste en tweede lid niet van toepassing.</w:t>
      </w:r>
    </w:p>
    <w:p w:rsidR="00296032" w:rsidRPr="00620047" w:rsidRDefault="00296032">
      <w:pPr>
        <w:pStyle w:val="art1enivo"/>
        <w:rPr>
          <w:rFonts w:cs="Arial"/>
          <w:bCs/>
        </w:rPr>
      </w:pPr>
      <w:r w:rsidRPr="00620047">
        <w:rPr>
          <w:rFonts w:cs="Arial"/>
          <w:bCs/>
        </w:rPr>
        <w:t>5.</w:t>
      </w:r>
      <w:r w:rsidRPr="00620047">
        <w:rPr>
          <w:rFonts w:cs="Arial"/>
          <w:bCs/>
        </w:rPr>
        <w:tab/>
      </w:r>
      <w:r w:rsidRPr="00620047">
        <w:rPr>
          <w:rFonts w:cs="Arial"/>
        </w:rPr>
        <w:t>Bij ministeriële regeling kunnen regels worden gesteld over de berekening van het plaatsgebonden risico</w:t>
      </w:r>
      <w:r w:rsidRPr="00620047">
        <w:rPr>
          <w:rFonts w:cs="Arial"/>
          <w:bCs/>
        </w:rPr>
        <w:t>.</w:t>
      </w:r>
    </w:p>
    <w:p w:rsidR="00296032" w:rsidRDefault="00296032">
      <w:pPr>
        <w:pStyle w:val="art1enivo"/>
      </w:pPr>
      <w:r w:rsidRPr="00620047">
        <w:t>6.</w:t>
      </w:r>
      <w:r w:rsidRPr="00620047">
        <w:tab/>
        <w:t>Het eerste tot en met vijfde lid zijn niet van toepassing op een windturbine of een combinatie daarvan waarvoor tot 1 januari 2011 een vergunning in werking en onherroepelijk was dan wel een melding was gedaan op grond van artikel 1.10 ten aanzien van een kwetsbaar onderscheidenlijk beperkt kwetsbaar object, indien het plaatsgebonden risico ten gevolge van die windturbine of een combinatie van windturbines voor het betreffende kwetsbare onderscheidenlijk beperkt kwetsbare object voor 1 januari 2011 groter is dan 10</w:t>
      </w:r>
      <w:r w:rsidRPr="00620047">
        <w:rPr>
          <w:vertAlign w:val="superscript"/>
        </w:rPr>
        <w:t>-6</w:t>
      </w:r>
      <w:r w:rsidRPr="00620047">
        <w:t xml:space="preserve"> onderscheidenlijk 10</w:t>
      </w:r>
      <w:r w:rsidRPr="00620047">
        <w:rPr>
          <w:vertAlign w:val="superscript"/>
        </w:rPr>
        <w:t>-5</w:t>
      </w:r>
      <w:r w:rsidRPr="00620047">
        <w:t xml:space="preserve"> per jaar.</w:t>
      </w:r>
    </w:p>
    <w:p w:rsidR="00AC1C78" w:rsidRDefault="00AC1C78" w:rsidP="00AC1C78"/>
    <w:p w:rsidR="00AC1C78" w:rsidRDefault="00AC1C78" w:rsidP="00AC1C78">
      <w:pPr>
        <w:pStyle w:val="paragraaf"/>
        <w:shd w:val="clear" w:color="auto" w:fill="D9D9D9" w:themeFill="background1" w:themeFillShade="D9"/>
      </w:pPr>
      <w:bookmarkStart w:id="79" w:name="_Toc431375576"/>
      <w:r>
        <w:t>§ 3.2.3.</w:t>
      </w:r>
      <w:r>
        <w:tab/>
        <w:t>In werking hebben van een windturbine</w:t>
      </w:r>
      <w:bookmarkEnd w:id="79"/>
    </w:p>
    <w:p w:rsidR="00AC1C78" w:rsidRDefault="00AC1C78" w:rsidP="00AC1C78">
      <w:pPr>
        <w:pStyle w:val="artikelkop"/>
        <w:shd w:val="clear" w:color="auto" w:fill="D9D9D9" w:themeFill="background1" w:themeFillShade="D9"/>
      </w:pPr>
      <w:r>
        <w:t>Artikel 3.11</w:t>
      </w:r>
    </w:p>
    <w:p w:rsidR="00AC1C78" w:rsidRDefault="00AC1C78" w:rsidP="00AC1C78">
      <w:pPr>
        <w:shd w:val="clear" w:color="auto" w:fill="D9D9D9" w:themeFill="background1" w:themeFillShade="D9"/>
        <w:suppressAutoHyphens/>
        <w:rPr>
          <w:rFonts w:cs="Arial"/>
        </w:rPr>
      </w:pPr>
      <w:r>
        <w:rPr>
          <w:rFonts w:cs="Arial"/>
        </w:rPr>
        <w:t>Deze paragraaf is van toepassing op windturbines als bedoeld in artikel 3.13 van het besluit.</w:t>
      </w:r>
    </w:p>
    <w:p w:rsidR="00AC1C78" w:rsidRDefault="00AC1C78" w:rsidP="00AC1C78">
      <w:pPr>
        <w:pStyle w:val="artikelkop"/>
        <w:shd w:val="clear" w:color="auto" w:fill="D9D9D9" w:themeFill="background1" w:themeFillShade="D9"/>
      </w:pPr>
      <w:r>
        <w:t>Artikel 3.12</w:t>
      </w:r>
    </w:p>
    <w:p w:rsidR="00AC1C78" w:rsidRDefault="00AC1C78" w:rsidP="00AC1C78">
      <w:pPr>
        <w:pStyle w:val="art1enivo"/>
        <w:shd w:val="clear" w:color="auto" w:fill="D9D9D9" w:themeFill="background1" w:themeFillShade="D9"/>
        <w:suppressAutoHyphens/>
        <w:rPr>
          <w:rFonts w:cs="Arial"/>
        </w:rPr>
      </w:pPr>
      <w:r>
        <w:rPr>
          <w:rFonts w:cs="Arial"/>
        </w:rPr>
        <w:t>1.</w:t>
      </w:r>
      <w:r>
        <w:rPr>
          <w:rFonts w:cs="Arial"/>
        </w:rPr>
        <w:tab/>
        <w:t>Ten behoeve van het voorkomen of beperken van slagschaduw en lichtschittering is de windturbine voorzien van een automatische stilstandvoorziening die de windturbine afschakelt indien slagschaduw optreedt ter plaatse van gevoelige objecten voorzover de afstand tussen de windturbine en de gevoelige objecten minder dan 12 maal de rotordiameter bedraagt en gemiddeld meer dan 17 dagen per jaar gedurende meer dan 20 minuten per dag slagschaduw kan optreden en voorzover zich in de door de slagschaduw getroffen uitwendige scheidingsconstructie van gevoelige gebouwen of woonwagens ramen bevinden. De afstand geldt van een punt op ashoogte van de windturbine tot de gevel van het gevoelige object.</w:t>
      </w:r>
    </w:p>
    <w:p w:rsidR="00AC1C78" w:rsidRDefault="00AC1C78" w:rsidP="00AC1C78">
      <w:pPr>
        <w:pStyle w:val="art1enivo"/>
        <w:shd w:val="clear" w:color="auto" w:fill="D9D9D9" w:themeFill="background1" w:themeFillShade="D9"/>
        <w:suppressAutoHyphens/>
        <w:rPr>
          <w:rFonts w:cs="Arial"/>
        </w:rPr>
      </w:pPr>
      <w:r>
        <w:rPr>
          <w:rFonts w:cs="Arial"/>
        </w:rPr>
        <w:t>2.</w:t>
      </w:r>
      <w:r>
        <w:rPr>
          <w:rFonts w:cs="Arial"/>
        </w:rPr>
        <w:tab/>
        <w:t>Het bevoegd gezag kan met betrekking tot het in werking hebben van een windturbine aanvullend maatwerkvoorschriften stellen ten behoeve van het voorkomen of beperken van hinder door slagschaduw indien het eerste lid in een specifiek geval niet toereikend is.</w:t>
      </w:r>
    </w:p>
    <w:p w:rsidR="00AC1C78" w:rsidRDefault="00AC1C78" w:rsidP="00AC1C78">
      <w:pPr>
        <w:pStyle w:val="artikelkop"/>
        <w:shd w:val="clear" w:color="auto" w:fill="D9D9D9" w:themeFill="background1" w:themeFillShade="D9"/>
      </w:pPr>
      <w:r>
        <w:t>Artikel 3.13</w:t>
      </w:r>
    </w:p>
    <w:p w:rsidR="00AC1C78" w:rsidRDefault="00AC1C78" w:rsidP="00AC1C78">
      <w:pPr>
        <w:pStyle w:val="art1enivo"/>
        <w:shd w:val="clear" w:color="auto" w:fill="D9D9D9" w:themeFill="background1" w:themeFillShade="D9"/>
        <w:suppressAutoHyphens/>
        <w:rPr>
          <w:rFonts w:cs="Arial"/>
        </w:rPr>
      </w:pPr>
      <w:r>
        <w:rPr>
          <w:rFonts w:cs="Arial"/>
        </w:rPr>
        <w:t>1.</w:t>
      </w:r>
      <w:r>
        <w:rPr>
          <w:rFonts w:cs="Arial"/>
        </w:rPr>
        <w:tab/>
        <w:t>Ten behoeve van het voorkomen of beperken van slagschaduw en lichtschittering wordt lichtschittering bij het in werking hebben van een windturbine zoveel mogelijk voorkomen of beperkt door toepassing van niet reflecterende materialen of coatinglagen op de betreffende onderdelen. Het meten van reflectiewaarden vindt plaats overeenkomstig NEN-EN-ISO 2813 of een daaraan ten minste gelijkwaardige meetmethode.</w:t>
      </w:r>
    </w:p>
    <w:p w:rsidR="00AC1C78" w:rsidRDefault="00AC1C78" w:rsidP="00AC1C78">
      <w:pPr>
        <w:pStyle w:val="art1enivo"/>
        <w:shd w:val="clear" w:color="auto" w:fill="D9D9D9" w:themeFill="background1" w:themeFillShade="D9"/>
        <w:suppressAutoHyphens/>
        <w:rPr>
          <w:rFonts w:cs="Arial"/>
        </w:rPr>
      </w:pPr>
      <w:r>
        <w:rPr>
          <w:rFonts w:cs="Arial"/>
        </w:rPr>
        <w:t>2.</w:t>
      </w:r>
      <w:r>
        <w:rPr>
          <w:rFonts w:cs="Arial"/>
        </w:rPr>
        <w:tab/>
        <w:t>Het bevoegd gezag kan met betrekking tot het in werking hebben van een windturbine aanvullend maatwerkvoorschriften stellen ten behoeve van het voorkomen of beperken van hinder door lichtschittering indien het eerste lid in een specifiek geval niet toereikend is.</w:t>
      </w:r>
    </w:p>
    <w:p w:rsidR="00AC1C78" w:rsidRDefault="00AC1C78" w:rsidP="00AC1C78">
      <w:pPr>
        <w:pStyle w:val="artikelkop"/>
        <w:shd w:val="clear" w:color="auto" w:fill="D9D9D9" w:themeFill="background1" w:themeFillShade="D9"/>
      </w:pPr>
      <w:r>
        <w:t>Artikel 3.14</w:t>
      </w:r>
    </w:p>
    <w:p w:rsidR="00AC1C78" w:rsidRDefault="00AC1C78" w:rsidP="00AC1C78">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voldoet een windturbine aan de veiligheidseisen opgenomen in:</w:t>
      </w:r>
    </w:p>
    <w:p w:rsidR="00AC1C78" w:rsidRDefault="00AC1C78" w:rsidP="00AC1C78">
      <w:pPr>
        <w:pStyle w:val="art2enivo"/>
        <w:shd w:val="clear" w:color="auto" w:fill="D9D9D9" w:themeFill="background1" w:themeFillShade="D9"/>
        <w:suppressAutoHyphens/>
        <w:rPr>
          <w:rFonts w:cs="Arial"/>
        </w:rPr>
      </w:pPr>
      <w:r>
        <w:rPr>
          <w:rFonts w:cs="Arial"/>
        </w:rPr>
        <w:t>a.</w:t>
      </w:r>
      <w:r>
        <w:rPr>
          <w:rFonts w:cs="Arial"/>
        </w:rPr>
        <w:tab/>
        <w:t>NEN-EN-IEC 61400-2;</w:t>
      </w:r>
    </w:p>
    <w:p w:rsidR="00AC1C78" w:rsidRDefault="00AC1C78" w:rsidP="00AC1C78">
      <w:pPr>
        <w:pStyle w:val="art2enivo"/>
        <w:shd w:val="clear" w:color="auto" w:fill="D9D9D9" w:themeFill="background1" w:themeFillShade="D9"/>
        <w:suppressAutoHyphens/>
        <w:rPr>
          <w:rFonts w:cs="Arial"/>
        </w:rPr>
      </w:pPr>
      <w:r>
        <w:rPr>
          <w:rFonts w:cs="Arial"/>
        </w:rPr>
        <w:t>b.</w:t>
      </w:r>
      <w:r>
        <w:rPr>
          <w:rFonts w:cs="Arial"/>
        </w:rPr>
        <w:tab/>
        <w:t>NVN 11400-0.</w:t>
      </w:r>
    </w:p>
    <w:p w:rsidR="00AC1C78" w:rsidRDefault="00AC1C78" w:rsidP="00AC1C78">
      <w:pPr>
        <w:pStyle w:val="art1enivo"/>
        <w:shd w:val="clear" w:color="auto" w:fill="D9D9D9" w:themeFill="background1" w:themeFillShade="D9"/>
        <w:suppressAutoHyphens/>
        <w:rPr>
          <w:rFonts w:cs="Arial"/>
        </w:rPr>
      </w:pPr>
      <w:r>
        <w:rPr>
          <w:rFonts w:cs="Arial"/>
        </w:rPr>
        <w:t>2.</w:t>
      </w:r>
      <w:r>
        <w:rPr>
          <w:rFonts w:cs="Arial"/>
        </w:rPr>
        <w:tab/>
        <w:t>Aan het eerste lid wordt voldaan indien voor de windturbine een certificaat is afgegeven door een certificerende instantie waaruit blijkt dat de windturbine voldoet aan deze regels. De certificerende instantie is geaccrediteerd voor het afgeven van certificaten, overeenkomstig de normen bedoeld in het eerste lid bij de Raad voor Accreditatie of bij een accrediterende instantie die erkend is door een andere staat, aangesloten bij de Multilateral Agreement on European Accreditation of Certification.</w:t>
      </w:r>
    </w:p>
    <w:p w:rsidR="00AC1C78" w:rsidRDefault="00AC1C78" w:rsidP="00AC1C78">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 afwijking van het eerste en tweede lid gelden ten aanzien van een windturbine die voor 1 december 2001 is opgericht en waarvoor tot die datum een vergunning in werking en onherroepelijk was, de in die vergunning opgenomen voorschriften met betrekking tot de veiligheid van de installatie.</w:t>
      </w:r>
    </w:p>
    <w:p w:rsidR="00AC1C78" w:rsidRDefault="00AC1C78" w:rsidP="00AC1C78">
      <w:pPr>
        <w:pStyle w:val="artikelkop"/>
        <w:shd w:val="clear" w:color="auto" w:fill="D9D9D9" w:themeFill="background1" w:themeFillShade="D9"/>
      </w:pPr>
      <w:r>
        <w:t>Artikel 3.14a</w:t>
      </w:r>
    </w:p>
    <w:p w:rsidR="00AC1C78" w:rsidRDefault="00AC1C78" w:rsidP="00AC1C78">
      <w:pPr>
        <w:pStyle w:val="artplat"/>
        <w:shd w:val="clear" w:color="auto" w:fill="D9D9D9" w:themeFill="background1" w:themeFillShade="D9"/>
        <w:suppressAutoHyphens/>
        <w:rPr>
          <w:rFonts w:cs="Arial"/>
        </w:rPr>
      </w:pPr>
      <w:r>
        <w:rPr>
          <w:rFonts w:cs="Arial"/>
        </w:rPr>
        <w:t>Het rapport van een akoestisch onderzoek, bedoeld in artikel 1.11, derde lid, van het besluit, bevat de volgende gegevens:</w:t>
      </w:r>
    </w:p>
    <w:p w:rsidR="00AC1C78" w:rsidRDefault="00AC1C78" w:rsidP="00AC1C78">
      <w:pPr>
        <w:pStyle w:val="artplatletter"/>
        <w:shd w:val="clear" w:color="auto" w:fill="D9D9D9" w:themeFill="background1" w:themeFillShade="D9"/>
        <w:suppressAutoHyphens/>
        <w:rPr>
          <w:rFonts w:cs="Arial"/>
        </w:rPr>
      </w:pPr>
      <w:r>
        <w:rPr>
          <w:rFonts w:cs="Arial"/>
        </w:rPr>
        <w:t>a.</w:t>
      </w:r>
      <w:r>
        <w:rPr>
          <w:rFonts w:cs="Arial"/>
        </w:rPr>
        <w:tab/>
        <w:t>de naam van de opdrachtgever van het onderzoek;</w:t>
      </w:r>
    </w:p>
    <w:p w:rsidR="00AC1C78" w:rsidRDefault="00AC1C78" w:rsidP="00AC1C78">
      <w:pPr>
        <w:pStyle w:val="artplatletter"/>
        <w:shd w:val="clear" w:color="auto" w:fill="D9D9D9" w:themeFill="background1" w:themeFillShade="D9"/>
        <w:suppressAutoHyphens/>
        <w:rPr>
          <w:rFonts w:cs="Arial"/>
        </w:rPr>
      </w:pPr>
      <w:r>
        <w:rPr>
          <w:rFonts w:cs="Arial"/>
        </w:rPr>
        <w:t>b.</w:t>
      </w:r>
      <w:r>
        <w:rPr>
          <w:rFonts w:cs="Arial"/>
        </w:rPr>
        <w:tab/>
        <w:t>de naam van de instantie die het onderzoek heeft uitgevoerd;</w:t>
      </w:r>
    </w:p>
    <w:p w:rsidR="00AC1C78" w:rsidRDefault="00AC1C78" w:rsidP="00AC1C78">
      <w:pPr>
        <w:pStyle w:val="artplatletter"/>
        <w:shd w:val="clear" w:color="auto" w:fill="D9D9D9" w:themeFill="background1" w:themeFillShade="D9"/>
        <w:suppressAutoHyphens/>
        <w:rPr>
          <w:rFonts w:cs="Arial"/>
        </w:rPr>
      </w:pPr>
      <w:r>
        <w:rPr>
          <w:rFonts w:cs="Arial"/>
        </w:rPr>
        <w:t>c.</w:t>
      </w:r>
      <w:r>
        <w:rPr>
          <w:rFonts w:cs="Arial"/>
        </w:rPr>
        <w:tab/>
        <w:t>de datum van het onderzoek;</w:t>
      </w:r>
    </w:p>
    <w:p w:rsidR="00AC1C78" w:rsidRDefault="00AC1C78" w:rsidP="00AC1C78">
      <w:pPr>
        <w:pStyle w:val="artplatletter"/>
        <w:shd w:val="clear" w:color="auto" w:fill="D9D9D9" w:themeFill="background1" w:themeFillShade="D9"/>
        <w:suppressAutoHyphens/>
        <w:rPr>
          <w:rFonts w:cs="Arial"/>
        </w:rPr>
      </w:pPr>
      <w:r>
        <w:rPr>
          <w:rFonts w:cs="Arial"/>
        </w:rPr>
        <w:t>d.</w:t>
      </w:r>
      <w:r>
        <w:rPr>
          <w:rFonts w:cs="Arial"/>
        </w:rPr>
        <w:tab/>
        <w:t>de aanleiding en het doel van het onderzoek;</w:t>
      </w:r>
    </w:p>
    <w:p w:rsidR="00AC1C78" w:rsidRDefault="00AC1C78" w:rsidP="00AC1C78">
      <w:pPr>
        <w:pStyle w:val="artplatletter"/>
        <w:shd w:val="clear" w:color="auto" w:fill="D9D9D9" w:themeFill="background1" w:themeFillShade="D9"/>
        <w:suppressAutoHyphens/>
        <w:rPr>
          <w:rFonts w:cs="Arial"/>
        </w:rPr>
      </w:pPr>
      <w:r>
        <w:rPr>
          <w:rFonts w:cs="Arial"/>
        </w:rPr>
        <w:t>e.</w:t>
      </w:r>
      <w:r>
        <w:rPr>
          <w:rFonts w:cs="Arial"/>
        </w:rPr>
        <w:tab/>
        <w:t>de gegevens waarmee wordt aangetoond dat de betreffende situatie valt binnen het toepassingsbereik van de gebruikte methode;</w:t>
      </w:r>
    </w:p>
    <w:p w:rsidR="00AC1C78" w:rsidRDefault="00AC1C78" w:rsidP="00AC1C78">
      <w:pPr>
        <w:pStyle w:val="artplatletter"/>
        <w:shd w:val="clear" w:color="auto" w:fill="D9D9D9" w:themeFill="background1" w:themeFillShade="D9"/>
        <w:suppressAutoHyphens/>
        <w:rPr>
          <w:rFonts w:cs="Arial"/>
        </w:rPr>
      </w:pPr>
      <w:r>
        <w:rPr>
          <w:rFonts w:cs="Arial"/>
        </w:rPr>
        <w:t>f.</w:t>
      </w:r>
      <w:r>
        <w:rPr>
          <w:rFonts w:cs="Arial"/>
        </w:rPr>
        <w:tab/>
        <w:t>indien een andere methode dan die is opgenomen in deze regeling wordt gebruikt, wordt de noodzaak daarvan aangegeven en wordt de toegepaste methode beschreven en verantwoord;</w:t>
      </w:r>
    </w:p>
    <w:p w:rsidR="00AC1C78" w:rsidRDefault="00AC1C78" w:rsidP="00AC1C78">
      <w:pPr>
        <w:pStyle w:val="artplatletter"/>
        <w:shd w:val="clear" w:color="auto" w:fill="D9D9D9" w:themeFill="background1" w:themeFillShade="D9"/>
        <w:suppressAutoHyphens/>
        <w:rPr>
          <w:rFonts w:cs="Arial"/>
        </w:rPr>
      </w:pPr>
      <w:r>
        <w:rPr>
          <w:rFonts w:cs="Arial"/>
        </w:rPr>
        <w:t>g.</w:t>
      </w:r>
      <w:r>
        <w:rPr>
          <w:rFonts w:cs="Arial"/>
        </w:rPr>
        <w:tab/>
        <w:t>indien een rekenmethode wordt toegepast, alle ingevoerde gegevens en tevens de geraadpleegde windfrequentiegegevens;</w:t>
      </w:r>
    </w:p>
    <w:p w:rsidR="00AC1C78" w:rsidRDefault="00AC1C78" w:rsidP="00AC1C78">
      <w:pPr>
        <w:pStyle w:val="artplatletter"/>
        <w:shd w:val="clear" w:color="auto" w:fill="D9D9D9" w:themeFill="background1" w:themeFillShade="D9"/>
        <w:suppressAutoHyphens/>
        <w:rPr>
          <w:rFonts w:cs="Arial"/>
        </w:rPr>
      </w:pPr>
      <w:r>
        <w:rPr>
          <w:rFonts w:cs="Arial"/>
        </w:rPr>
        <w:t>h.</w:t>
      </w:r>
      <w:r>
        <w:rPr>
          <w:rFonts w:cs="Arial"/>
        </w:rPr>
        <w:tab/>
        <w:t>een of meer kaarten of tekeningen op een zodanige schaal dat een duidelijk beeld wordt gegeven van bestaande of voorgenomen windturbines en van gevoelige gebouwen of gevoelige terreinen waarop het akoestisch onderzoek betrekking heeft;</w:t>
      </w:r>
    </w:p>
    <w:p w:rsidR="00AC1C78" w:rsidRDefault="00AC1C78" w:rsidP="00AC1C78">
      <w:pPr>
        <w:pStyle w:val="artplatletter"/>
        <w:shd w:val="clear" w:color="auto" w:fill="D9D9D9" w:themeFill="background1" w:themeFillShade="D9"/>
        <w:suppressAutoHyphens/>
        <w:rPr>
          <w:rFonts w:cs="Arial"/>
        </w:rPr>
      </w:pPr>
      <w:r>
        <w:rPr>
          <w:rFonts w:cs="Arial"/>
        </w:rPr>
        <w:t>i.</w:t>
      </w:r>
      <w:r>
        <w:rPr>
          <w:rFonts w:cs="Arial"/>
        </w:rPr>
        <w:tab/>
        <w:t>de waarneempunten;</w:t>
      </w:r>
    </w:p>
    <w:p w:rsidR="00AC1C78" w:rsidRDefault="00AC1C78" w:rsidP="00AC1C78">
      <w:pPr>
        <w:pStyle w:val="artplatletter"/>
        <w:shd w:val="clear" w:color="auto" w:fill="D9D9D9" w:themeFill="background1" w:themeFillShade="D9"/>
        <w:suppressAutoHyphens/>
        <w:rPr>
          <w:rFonts w:cs="Arial"/>
        </w:rPr>
      </w:pPr>
      <w:r>
        <w:rPr>
          <w:rFonts w:cs="Arial"/>
        </w:rPr>
        <w:t>j.</w:t>
      </w:r>
      <w:r>
        <w:rPr>
          <w:rFonts w:cs="Arial"/>
        </w:rPr>
        <w:tab/>
        <w:t>de situering, akoestisch relevante dimensies en de aard van de doorgerekende geluidsbeperkende of afschermende maatregelen, zowel op oorspronkelijk kaartmateriaal als in de vorm van de geschematiseerde computerinvoer;</w:t>
      </w:r>
    </w:p>
    <w:p w:rsidR="00AC1C78" w:rsidRDefault="00AC1C78" w:rsidP="00AC1C78">
      <w:pPr>
        <w:pStyle w:val="artplatletter"/>
        <w:shd w:val="clear" w:color="auto" w:fill="D9D9D9" w:themeFill="background1" w:themeFillShade="D9"/>
        <w:suppressAutoHyphens/>
        <w:rPr>
          <w:rFonts w:cs="Arial"/>
        </w:rPr>
      </w:pPr>
      <w:r>
        <w:rPr>
          <w:rFonts w:cs="Arial"/>
        </w:rPr>
        <w:t>k.</w:t>
      </w:r>
      <w:r>
        <w:rPr>
          <w:rFonts w:cs="Arial"/>
        </w:rPr>
        <w:tab/>
        <w:t>de situering, akoestisch relevante dimensies en de aard van de overige geluidsreflecterende en</w:t>
      </w:r>
      <w:r>
        <w:rPr>
          <w:rFonts w:cs="Arial"/>
        </w:rPr>
        <w:br/>
        <w:t>-afschermende objecten of constructies;</w:t>
      </w:r>
    </w:p>
    <w:p w:rsidR="00AC1C78" w:rsidRDefault="00AC1C78" w:rsidP="00AC1C78">
      <w:pPr>
        <w:pStyle w:val="artplatletter"/>
        <w:shd w:val="clear" w:color="auto" w:fill="D9D9D9" w:themeFill="background1" w:themeFillShade="D9"/>
        <w:suppressAutoHyphens/>
        <w:rPr>
          <w:rFonts w:cs="Arial"/>
        </w:rPr>
      </w:pPr>
      <w:r>
        <w:rPr>
          <w:rFonts w:cs="Arial"/>
        </w:rPr>
        <w:t>l.</w:t>
      </w:r>
      <w:r>
        <w:rPr>
          <w:rFonts w:cs="Arial"/>
        </w:rPr>
        <w:tab/>
        <w:t>de scheidingslijn of scheidingslijnen tussen akoestisch harde en zachte bodemvlakken, met een aanduiding van de aard van de bodem;</w:t>
      </w:r>
    </w:p>
    <w:p w:rsidR="00AC1C78" w:rsidRDefault="00AC1C78" w:rsidP="00AC1C78">
      <w:pPr>
        <w:pStyle w:val="artplatletter"/>
        <w:shd w:val="clear" w:color="auto" w:fill="D9D9D9" w:themeFill="background1" w:themeFillShade="D9"/>
        <w:suppressAutoHyphens/>
        <w:rPr>
          <w:rFonts w:cs="Arial"/>
        </w:rPr>
      </w:pPr>
      <w:r>
        <w:rPr>
          <w:rFonts w:cs="Arial"/>
        </w:rPr>
        <w:t>m.</w:t>
      </w:r>
      <w:r>
        <w:rPr>
          <w:rFonts w:cs="Arial"/>
        </w:rPr>
        <w:tab/>
        <w:t>in akoestisch gecompliceerde situaties, een grafische weergave van de bij de berekeningen gehanteerde geometrische invoergegevens;</w:t>
      </w:r>
    </w:p>
    <w:p w:rsidR="00AC1C78" w:rsidRDefault="00AC1C78" w:rsidP="00AC1C78">
      <w:pPr>
        <w:pStyle w:val="artplatletter"/>
        <w:shd w:val="clear" w:color="auto" w:fill="D9D9D9" w:themeFill="background1" w:themeFillShade="D9"/>
        <w:suppressAutoHyphens/>
        <w:rPr>
          <w:rFonts w:cs="Arial"/>
        </w:rPr>
      </w:pPr>
      <w:r>
        <w:rPr>
          <w:rFonts w:cs="Arial"/>
        </w:rPr>
        <w:t>n.</w:t>
      </w:r>
      <w:r>
        <w:rPr>
          <w:rFonts w:cs="Arial"/>
        </w:rPr>
        <w:tab/>
        <w:t>de bestaande en toekomstige geluidsbelastingen vanwege een windturbine of een combinatie van windturbines van de gevel van een gevoelig object of van de grens van een gevoelig terrein voor de situatie waarin geen maatregelen zijn genomen ter vermindering van de geluidsemissie of ter beperking van de geluidsoverdracht.</w:t>
      </w:r>
    </w:p>
    <w:p w:rsidR="00AC1C78" w:rsidRDefault="00AC1C78" w:rsidP="00AC1C78">
      <w:pPr>
        <w:pStyle w:val="artikelkop"/>
        <w:shd w:val="clear" w:color="auto" w:fill="D9D9D9" w:themeFill="background1" w:themeFillShade="D9"/>
      </w:pPr>
      <w:r>
        <w:t>Artikel 3.14b</w:t>
      </w:r>
    </w:p>
    <w:p w:rsidR="00AC1C78" w:rsidRDefault="00AC1C78" w:rsidP="00AC1C78">
      <w:pPr>
        <w:pStyle w:val="art1enivo"/>
        <w:shd w:val="clear" w:color="auto" w:fill="D9D9D9" w:themeFill="background1" w:themeFillShade="D9"/>
        <w:suppressAutoHyphens/>
        <w:rPr>
          <w:rFonts w:cs="Arial"/>
        </w:rPr>
      </w:pPr>
      <w:r>
        <w:rPr>
          <w:rFonts w:cs="Arial"/>
        </w:rPr>
        <w:t>1.</w:t>
      </w:r>
      <w:r>
        <w:rPr>
          <w:rFonts w:cs="Arial"/>
        </w:rPr>
        <w:tab/>
        <w:t xml:space="preserve">Ten behoeve van het akoestisch onderzoek, bedoeld in artikel 3.14a, wordt bij de bepaling van de geluidsbelasting van een windturbine of een combinatie van windturbines rekening gehouden met: </w:t>
      </w:r>
    </w:p>
    <w:p w:rsidR="00AC1C78" w:rsidRDefault="00AC1C78" w:rsidP="00AC1C78">
      <w:pPr>
        <w:pStyle w:val="art2enivo"/>
        <w:shd w:val="clear" w:color="auto" w:fill="D9D9D9" w:themeFill="background1" w:themeFillShade="D9"/>
        <w:suppressAutoHyphens/>
        <w:rPr>
          <w:rFonts w:cs="Arial"/>
        </w:rPr>
      </w:pPr>
      <w:r>
        <w:rPr>
          <w:rFonts w:cs="Arial"/>
        </w:rPr>
        <w:t>a.</w:t>
      </w:r>
      <w:r>
        <w:rPr>
          <w:rFonts w:cs="Arial"/>
        </w:rPr>
        <w:tab/>
        <w:t>de over een kalenderjaar energetisch gemiddelde bronsterkte volgens de methode, bedoeld in hoofdstuk 3 van bijlage 4, en met gebruikmaking van het door het KNMI aangeleverde langjarig gemiddelde windprofiel op ashoogte, tenzij wordt aangetoond dat gegevens beschikbaar zijn die een beter beeld geven van de geluidsemissie van de windturbine of een combinatie van windturbines;</w:t>
      </w:r>
    </w:p>
    <w:p w:rsidR="00AC1C78" w:rsidRDefault="00AC1C78" w:rsidP="00AC1C78">
      <w:pPr>
        <w:pStyle w:val="art2enivo"/>
        <w:shd w:val="clear" w:color="auto" w:fill="D9D9D9" w:themeFill="background1" w:themeFillShade="D9"/>
        <w:suppressAutoHyphens/>
        <w:rPr>
          <w:rFonts w:cs="Arial"/>
        </w:rPr>
      </w:pPr>
      <w:r>
        <w:rPr>
          <w:rFonts w:cs="Arial"/>
        </w:rPr>
        <w:t>b.</w:t>
      </w:r>
      <w:r>
        <w:rPr>
          <w:rFonts w:cs="Arial"/>
        </w:rPr>
        <w:tab/>
        <w:t>de invloed van de omgeving en de meteorologische omstandigheden op de geluidsoverdracht van de windturbine of een combinatie van windturbines naar het immissiepunt.</w:t>
      </w:r>
    </w:p>
    <w:p w:rsidR="00AC1C78" w:rsidRDefault="00AC1C78" w:rsidP="00AC1C78">
      <w:pPr>
        <w:pStyle w:val="art1enivo"/>
        <w:shd w:val="clear" w:color="auto" w:fill="D9D9D9" w:themeFill="background1" w:themeFillShade="D9"/>
        <w:suppressAutoHyphens/>
        <w:rPr>
          <w:rFonts w:cs="Arial"/>
        </w:rPr>
      </w:pPr>
      <w:r>
        <w:rPr>
          <w:rFonts w:cs="Arial"/>
        </w:rPr>
        <w:t>2.</w:t>
      </w:r>
      <w:r>
        <w:rPr>
          <w:rFonts w:cs="Arial"/>
        </w:rPr>
        <w:tab/>
        <w:t>Indien de vaststelling van de geluidsbelasting vanwege een windturbine of een combinatie van windturbines plaatsvindt op de gevel van een gevoelig gebouw, bevindt het immissiepunt zich op het punt van de gevel, waar de geluidsbelasting het hoogst is.</w:t>
      </w:r>
    </w:p>
    <w:p w:rsidR="00AC1C78" w:rsidRDefault="00AC1C78" w:rsidP="00AC1C78">
      <w:pPr>
        <w:pStyle w:val="art1enivo"/>
        <w:shd w:val="clear" w:color="auto" w:fill="D9D9D9" w:themeFill="background1" w:themeFillShade="D9"/>
        <w:suppressAutoHyphens/>
        <w:rPr>
          <w:rFonts w:cs="Arial"/>
        </w:rPr>
      </w:pPr>
      <w:r>
        <w:rPr>
          <w:rFonts w:cs="Arial"/>
        </w:rPr>
        <w:t>3.</w:t>
      </w:r>
      <w:r>
        <w:rPr>
          <w:rFonts w:cs="Arial"/>
        </w:rPr>
        <w:tab/>
        <w:t>Indien de vaststelling van de geluidsbelasting vanwege een windturbine of een combinatie van windturbines plaatsvindt op de grens van een gevoelig terrein, bevindt het immissiepunt zich op het punt van de grens waar de geluidsbelasting het hoogst is.</w:t>
      </w:r>
    </w:p>
    <w:p w:rsidR="00AC1C78" w:rsidRDefault="00AC1C78" w:rsidP="00AC1C78">
      <w:pPr>
        <w:pStyle w:val="art1enivo"/>
        <w:shd w:val="clear" w:color="auto" w:fill="D9D9D9" w:themeFill="background1" w:themeFillShade="D9"/>
        <w:suppressAutoHyphens/>
        <w:rPr>
          <w:rFonts w:cs="Arial"/>
        </w:rPr>
      </w:pPr>
      <w:r>
        <w:rPr>
          <w:rFonts w:cs="Arial"/>
        </w:rPr>
        <w:t>4.</w:t>
      </w:r>
      <w:r>
        <w:rPr>
          <w:rFonts w:cs="Arial"/>
        </w:rPr>
        <w:tab/>
        <w:t>Indien de geluidsbelasting van een windturbine of een combinatie van windturbines met andere geluidsbronnen wordt berekend, wordt de rekenregel, bedoeld in hoofdstuk 4 van bijlage 4, toegepast.</w:t>
      </w:r>
    </w:p>
    <w:p w:rsidR="00AC1C78" w:rsidRDefault="00AC1C78" w:rsidP="00AC1C78">
      <w:pPr>
        <w:pStyle w:val="artikelkop"/>
        <w:shd w:val="clear" w:color="auto" w:fill="D9D9D9" w:themeFill="background1" w:themeFillShade="D9"/>
      </w:pPr>
      <w:r>
        <w:t>Artikel 3.14c</w:t>
      </w:r>
    </w:p>
    <w:p w:rsidR="00AC1C78" w:rsidRDefault="00AC1C78" w:rsidP="00AC1C78">
      <w:pPr>
        <w:pStyle w:val="artplat"/>
        <w:shd w:val="clear" w:color="auto" w:fill="D9D9D9" w:themeFill="background1" w:themeFillShade="D9"/>
        <w:suppressAutoHyphens/>
        <w:rPr>
          <w:rFonts w:cs="Arial"/>
        </w:rPr>
      </w:pPr>
      <w:r>
        <w:rPr>
          <w:rFonts w:cs="Arial"/>
        </w:rPr>
        <w:t>Van de methode, bedoeld in hoofdstuk 3 van bijlage 4, kan geheel of gedeeltelijk worden afgeweken indien aannemelijk wordt gemaakt dat de toe te passen afwijking:</w:t>
      </w:r>
    </w:p>
    <w:p w:rsidR="00AC1C78" w:rsidRDefault="00AC1C78" w:rsidP="00AC1C78">
      <w:pPr>
        <w:pStyle w:val="artplatletter"/>
        <w:shd w:val="clear" w:color="auto" w:fill="D9D9D9" w:themeFill="background1" w:themeFillShade="D9"/>
        <w:suppressAutoHyphens/>
        <w:rPr>
          <w:rFonts w:cs="Arial"/>
        </w:rPr>
      </w:pPr>
      <w:r>
        <w:rPr>
          <w:rFonts w:cs="Arial"/>
        </w:rPr>
        <w:t>a.</w:t>
      </w:r>
      <w:r>
        <w:rPr>
          <w:rFonts w:cs="Arial"/>
        </w:rPr>
        <w:tab/>
        <w:t xml:space="preserve">een belangrijke tijdbesparing of kostenbesparing oplevert en in de betreffende situatie nagenoeg even nauwkeurig is; </w:t>
      </w:r>
    </w:p>
    <w:p w:rsidR="00AC1C78" w:rsidRDefault="00AC1C78" w:rsidP="00AC1C78">
      <w:pPr>
        <w:pStyle w:val="artplatletter"/>
        <w:shd w:val="clear" w:color="auto" w:fill="D9D9D9" w:themeFill="background1" w:themeFillShade="D9"/>
        <w:suppressAutoHyphens/>
        <w:rPr>
          <w:rFonts w:cs="Arial"/>
        </w:rPr>
      </w:pPr>
      <w:r>
        <w:rPr>
          <w:rFonts w:cs="Arial"/>
        </w:rPr>
        <w:t>b.</w:t>
      </w:r>
      <w:r>
        <w:rPr>
          <w:rFonts w:cs="Arial"/>
        </w:rPr>
        <w:tab/>
        <w:t>in de betreffende situatie belangrijk nauwkeuriger is, of</w:t>
      </w:r>
    </w:p>
    <w:p w:rsidR="00AC1C78" w:rsidRDefault="00AC1C78" w:rsidP="00AC1C78">
      <w:pPr>
        <w:pStyle w:val="artplatletter"/>
        <w:shd w:val="clear" w:color="auto" w:fill="D9D9D9" w:themeFill="background1" w:themeFillShade="D9"/>
        <w:suppressAutoHyphens/>
        <w:rPr>
          <w:rFonts w:cs="Arial"/>
        </w:rPr>
      </w:pPr>
      <w:r>
        <w:rPr>
          <w:rFonts w:cs="Arial"/>
        </w:rPr>
        <w:t>c.</w:t>
      </w:r>
      <w:r>
        <w:rPr>
          <w:rFonts w:cs="Arial"/>
        </w:rPr>
        <w:tab/>
        <w:t>voldoende nauwkeurig is en de methode, bedoeld in hoofdstuk 3 van bijlage 4, in de betreffende situatie niet leidt tot een voldoende representatieve geluidsbelasting.</w:t>
      </w:r>
    </w:p>
    <w:p w:rsidR="00AC1C78" w:rsidRDefault="00AC1C78" w:rsidP="00AC1C78">
      <w:pPr>
        <w:pStyle w:val="artikelkop"/>
        <w:shd w:val="clear" w:color="auto" w:fill="D9D9D9" w:themeFill="background1" w:themeFillShade="D9"/>
      </w:pPr>
      <w:r>
        <w:t>Artikel 3.14d</w:t>
      </w:r>
    </w:p>
    <w:p w:rsidR="00AC1C78" w:rsidRDefault="00AC1C78" w:rsidP="00AC1C78">
      <w:pPr>
        <w:pStyle w:val="art1enivo"/>
        <w:shd w:val="clear" w:color="auto" w:fill="D9D9D9" w:themeFill="background1" w:themeFillShade="D9"/>
        <w:suppressAutoHyphens/>
        <w:rPr>
          <w:rFonts w:cs="Arial"/>
        </w:rPr>
      </w:pPr>
      <w:r>
        <w:rPr>
          <w:rFonts w:cs="Arial"/>
        </w:rPr>
        <w:t>1.</w:t>
      </w:r>
      <w:r>
        <w:rPr>
          <w:rFonts w:cs="Arial"/>
        </w:rPr>
        <w:tab/>
        <w:t>Indien de gegevens over het, van de windsnelheid afhankelijke, bronvermogen van een windturbine of een combinatie van windturbines niet of niet volledig beschikbaar zijn, wordt dit bepaald volgens de methode, bedoeld in hoofdstuk 2 van bijlage 4.</w:t>
      </w:r>
    </w:p>
    <w:p w:rsidR="00AC1C78" w:rsidRDefault="00AC1C78" w:rsidP="00AC1C78">
      <w:pPr>
        <w:pStyle w:val="art1enivo"/>
        <w:shd w:val="clear" w:color="auto" w:fill="D9D9D9" w:themeFill="background1" w:themeFillShade="D9"/>
        <w:suppressAutoHyphens/>
        <w:rPr>
          <w:rFonts w:cs="Arial"/>
        </w:rPr>
      </w:pPr>
      <w:r>
        <w:rPr>
          <w:rFonts w:cs="Arial"/>
        </w:rPr>
        <w:t>2.</w:t>
      </w:r>
      <w:r>
        <w:rPr>
          <w:rFonts w:cs="Arial"/>
        </w:rPr>
        <w:tab/>
        <w:t>Indien in het kader van de handhaving wordt beoordeeld of het bronvermogen overeenkomt met de in het akoestisch onderzoek gebruikte waarden, wordt de methode, bedoeld in paragraaf 2.6 van bijlage 4 toegepast.</w:t>
      </w:r>
    </w:p>
    <w:p w:rsidR="00AC1C78" w:rsidRDefault="00AC1C78" w:rsidP="00AC1C78">
      <w:pPr>
        <w:pStyle w:val="artikelkop"/>
        <w:shd w:val="clear" w:color="auto" w:fill="D9D9D9" w:themeFill="background1" w:themeFillShade="D9"/>
      </w:pPr>
      <w:r>
        <w:t>Artikel 3.14e</w:t>
      </w:r>
    </w:p>
    <w:p w:rsidR="00AC1C78" w:rsidRDefault="00AC1C78" w:rsidP="00AC1C78">
      <w:pPr>
        <w:pStyle w:val="artplat"/>
        <w:shd w:val="clear" w:color="auto" w:fill="D9D9D9" w:themeFill="background1" w:themeFillShade="D9"/>
        <w:suppressAutoHyphens/>
        <w:rPr>
          <w:rFonts w:cs="Arial"/>
        </w:rPr>
      </w:pPr>
      <w:r>
        <w:rPr>
          <w:rFonts w:cs="Arial"/>
        </w:rPr>
        <w:t>De drijver van de inrichting registreert de volgende gegevens:</w:t>
      </w:r>
    </w:p>
    <w:p w:rsidR="00AC1C78" w:rsidRDefault="00AC1C78" w:rsidP="00AC1C78">
      <w:pPr>
        <w:pStyle w:val="artplatletter"/>
        <w:shd w:val="clear" w:color="auto" w:fill="D9D9D9" w:themeFill="background1" w:themeFillShade="D9"/>
        <w:suppressAutoHyphens/>
        <w:rPr>
          <w:rFonts w:cs="Arial"/>
        </w:rPr>
      </w:pPr>
      <w:r>
        <w:rPr>
          <w:rFonts w:cs="Arial"/>
        </w:rPr>
        <w:t>a.</w:t>
      </w:r>
      <w:r>
        <w:rPr>
          <w:rFonts w:cs="Arial"/>
        </w:rPr>
        <w:tab/>
        <w:t>de emissieterm L</w:t>
      </w:r>
      <w:r>
        <w:rPr>
          <w:rFonts w:cs="Arial"/>
          <w:vertAlign w:val="subscript"/>
        </w:rPr>
        <w:t>E</w:t>
      </w:r>
      <w:r>
        <w:rPr>
          <w:rFonts w:cs="Arial"/>
        </w:rPr>
        <w:t>, bedoeld in onderdeel 3.4.1 van bijlage 4, gebaseerd op de effectieve werking gedurende het afgelopen kalenderjaar, en</w:t>
      </w:r>
    </w:p>
    <w:p w:rsidR="00AC1C78" w:rsidRDefault="00AC1C78" w:rsidP="00AC1C78">
      <w:pPr>
        <w:pStyle w:val="artplatletter"/>
        <w:shd w:val="clear" w:color="auto" w:fill="D9D9D9" w:themeFill="background1" w:themeFillShade="D9"/>
        <w:suppressAutoHyphens/>
        <w:rPr>
          <w:rFonts w:cs="Arial"/>
        </w:rPr>
      </w:pPr>
      <w:r>
        <w:rPr>
          <w:rFonts w:cs="Arial"/>
        </w:rPr>
        <w:t>b.</w:t>
      </w:r>
      <w:r>
        <w:rPr>
          <w:rFonts w:cs="Arial"/>
        </w:rPr>
        <w:tab/>
        <w:t>de voor de duur van een handhavingsmeting als bedoeld in paragraaf 2.6 van bijlage 4 benodigde gegevens ter bepaling van de windsnelheid op ashoogte.</w:t>
      </w:r>
    </w:p>
    <w:p w:rsidR="00AC1C78" w:rsidRPr="00AC1C78" w:rsidRDefault="00AC1C78" w:rsidP="00AC1C78"/>
    <w:p w:rsidR="00296032" w:rsidRPr="00296032" w:rsidRDefault="00296032">
      <w:pPr>
        <w:pStyle w:val="paragraaf"/>
        <w:rPr>
          <w:rFonts w:cs="Arial"/>
        </w:rPr>
      </w:pPr>
      <w:bookmarkStart w:id="80" w:name="_Toc277243198"/>
      <w:bookmarkStart w:id="81" w:name="_Toc431375577"/>
      <w:r w:rsidRPr="00296032">
        <w:rPr>
          <w:rFonts w:cs="Arial"/>
        </w:rPr>
        <w:t>§ 3.2.4</w:t>
      </w:r>
      <w:r w:rsidRPr="00296032">
        <w:rPr>
          <w:rFonts w:cs="Arial"/>
        </w:rPr>
        <w:tab/>
        <w:t>In werking hebben van een installatie voor het doorvoeren, bufferen of keren van rioolwater</w:t>
      </w:r>
      <w:bookmarkEnd w:id="80"/>
      <w:bookmarkEnd w:id="81"/>
    </w:p>
    <w:p w:rsidR="00296032" w:rsidRPr="00296032" w:rsidRDefault="00296032">
      <w:pPr>
        <w:pStyle w:val="artikelkop"/>
        <w:rPr>
          <w:rFonts w:cs="Arial"/>
        </w:rPr>
      </w:pPr>
      <w:r w:rsidRPr="00296032">
        <w:rPr>
          <w:rFonts w:cs="Arial"/>
        </w:rPr>
        <w:t>Artikel 3.16</w:t>
      </w:r>
    </w:p>
    <w:p w:rsidR="00296032" w:rsidRDefault="00296032">
      <w:pPr>
        <w:rPr>
          <w:rFonts w:cs="Arial"/>
        </w:rPr>
      </w:pPr>
      <w:r w:rsidRPr="00620047">
        <w:rPr>
          <w:rFonts w:cs="Arial"/>
        </w:rPr>
        <w:t>Bij het in werking hebben van een installatie voor het doorvoeren, bufferen of keren van rioolwater worden ten behoeve van het voorkomen dan wel voor zover dat niet mogelijk is het tot een aanvaardbaar niveau beperken van geurhinder de bij ministeriële regeling te stellen maatregelen genomen.</w:t>
      </w:r>
    </w:p>
    <w:p w:rsidR="001C57DC" w:rsidRDefault="001C57DC">
      <w:pPr>
        <w:rPr>
          <w:rFonts w:cs="Arial"/>
        </w:rPr>
      </w:pPr>
    </w:p>
    <w:p w:rsidR="001C57DC" w:rsidRDefault="001C57DC" w:rsidP="001C57DC">
      <w:pPr>
        <w:pStyle w:val="artikelkop"/>
        <w:shd w:val="clear" w:color="auto" w:fill="D9D9D9" w:themeFill="background1" w:themeFillShade="D9"/>
      </w:pPr>
      <w:r w:rsidRPr="001C57DC">
        <w:t>§ 3.2.4.</w:t>
      </w:r>
      <w:r w:rsidRPr="001C57DC">
        <w:tab/>
        <w:t>In werking hebben van een installatie voor het doorvoeren, bufferen of keren van rioolwater</w:t>
      </w:r>
    </w:p>
    <w:p w:rsidR="001C57DC" w:rsidRDefault="001C57DC" w:rsidP="001C57DC">
      <w:pPr>
        <w:pStyle w:val="artikelkop"/>
        <w:shd w:val="clear" w:color="auto" w:fill="D9D9D9" w:themeFill="background1" w:themeFillShade="D9"/>
      </w:pPr>
      <w:r>
        <w:t>Artikel 3.15</w:t>
      </w:r>
    </w:p>
    <w:p w:rsidR="001C57DC" w:rsidRDefault="001C57DC" w:rsidP="001C57DC">
      <w:pPr>
        <w:pStyle w:val="art1enivo"/>
        <w:shd w:val="clear" w:color="auto" w:fill="D9D9D9" w:themeFill="background1" w:themeFillShade="D9"/>
        <w:suppressAutoHyphens/>
        <w:rPr>
          <w:rFonts w:cs="Arial"/>
        </w:rPr>
      </w:pPr>
      <w:r>
        <w:rPr>
          <w:rFonts w:cs="Arial"/>
        </w:rPr>
        <w:t>1.</w:t>
      </w:r>
      <w:r>
        <w:rPr>
          <w:rFonts w:cs="Arial"/>
        </w:rPr>
        <w:tab/>
        <w:t>Ten behoeve van het voorkomen dan wel voor zover dat niet mogelijk is het tot een aanvaardbaar niveau beperken van geurhinder worden bij het in werking hebben van een installatie voor het doorvoeren, bufferen of keren van rioolwater naar de buitenlucht afgevoerde dampen, waar binnen 50 meter van een emissiepunt een gevoelig gebouw, niet zijnde een gevoelig gebouw op een gezoneerd industrieterrein dan wel bedrijventerrein met minder dan 1 gevoelig gebouw per hectare, is gelegen, bovendaks en omhoog gericht afgevoerd.</w:t>
      </w:r>
    </w:p>
    <w:p w:rsidR="001C57DC" w:rsidRDefault="001C57DC" w:rsidP="001C57DC">
      <w:pPr>
        <w:pStyle w:val="art1enivo"/>
        <w:shd w:val="clear" w:color="auto" w:fill="D9D9D9" w:themeFill="background1" w:themeFillShade="D9"/>
        <w:suppressAutoHyphens/>
        <w:rPr>
          <w:rFonts w:cs="Arial"/>
        </w:rPr>
      </w:pPr>
      <w:r>
        <w:rPr>
          <w:rFonts w:cs="Arial"/>
        </w:rPr>
        <w:t>2.</w:t>
      </w:r>
      <w:r>
        <w:rPr>
          <w:rFonts w:cs="Arial"/>
        </w:rPr>
        <w:tab/>
        <w:t>Het bevoegd gezag kan indien blijkt dat de geurhinder een aanvaardbaar niveau overschrijdt vanwege onvoldoende verspreiding van afgezogen dampen maatwerkvoorschriften stellen met betrekking tot het verhogen van de afvoerhoogte van de afgezogen dampen en gassen.</w:t>
      </w:r>
    </w:p>
    <w:p w:rsidR="001C57DC" w:rsidRDefault="001C57DC" w:rsidP="001C57D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eerste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1C57DC" w:rsidRDefault="001C57DC" w:rsidP="001C57DC">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In afwijking van het derde lid kan het bevoegd gezag maatwerkvoorschriften stellen.</w:t>
      </w:r>
    </w:p>
    <w:p w:rsidR="001C57DC" w:rsidRDefault="001C57DC" w:rsidP="001C57DC">
      <w:pPr>
        <w:pStyle w:val="artikelkop"/>
        <w:shd w:val="clear" w:color="auto" w:fill="D9D9D9" w:themeFill="background1" w:themeFillShade="D9"/>
      </w:pPr>
      <w:r>
        <w:t>Artikel 3.16</w:t>
      </w:r>
    </w:p>
    <w:p w:rsidR="001C57DC" w:rsidRDefault="001C57DC" w:rsidP="001C57DC">
      <w:pPr>
        <w:pStyle w:val="art1enivo"/>
        <w:shd w:val="clear" w:color="auto" w:fill="D9D9D9" w:themeFill="background1" w:themeFillShade="D9"/>
        <w:suppressAutoHyphens/>
        <w:rPr>
          <w:rFonts w:cs="Arial"/>
        </w:rPr>
      </w:pPr>
      <w:r>
        <w:rPr>
          <w:rFonts w:cs="Arial"/>
        </w:rPr>
        <w:t>1.</w:t>
      </w:r>
      <w:r>
        <w:rPr>
          <w:rFonts w:cs="Arial"/>
        </w:rPr>
        <w:tab/>
        <w:t>Bij het in werking hebben van een installatie voor het doorvoeren, bufferen of keren van rioolwater verkeert de installatie in goede staat van onderhoud en worden bij onderhoudswerkzaamheden zodanige maatregelen getroffen dat geurhinder bij gevoelige gebouwen zoveel mogelijk wordt voorkomen dan wel als dit niet mogelijk is tot een aanvaardbaar niveau wordt beperkt.</w:t>
      </w:r>
    </w:p>
    <w:p w:rsidR="001C57DC" w:rsidRDefault="001C57DC" w:rsidP="001C57DC">
      <w:pPr>
        <w:pStyle w:val="art1enivo"/>
        <w:shd w:val="clear" w:color="auto" w:fill="D9D9D9" w:themeFill="background1" w:themeFillShade="D9"/>
        <w:suppressAutoHyphens/>
        <w:rPr>
          <w:rFonts w:cs="Arial"/>
        </w:rPr>
      </w:pPr>
      <w:r>
        <w:rPr>
          <w:rFonts w:cs="Arial"/>
        </w:rPr>
        <w:t>2.</w:t>
      </w:r>
      <w:r>
        <w:rPr>
          <w:rFonts w:cs="Arial"/>
        </w:rPr>
        <w:tab/>
        <w:t>Het bevoegd gezag kan indien blijkt dat de geurhinder een aanvaardbaar niveau overschrijdt maatwerkvoorschriften stellen waarin maatregelen bedoeld in het eerste lid worden geconcretiseerd.</w:t>
      </w:r>
    </w:p>
    <w:p w:rsidR="001C57DC" w:rsidRPr="00620047" w:rsidRDefault="001C57DC">
      <w:pPr>
        <w:rPr>
          <w:rFonts w:cs="Arial"/>
        </w:rPr>
      </w:pPr>
    </w:p>
    <w:p w:rsidR="00296032" w:rsidRPr="00296032" w:rsidRDefault="00296032">
      <w:pPr>
        <w:pStyle w:val="paragraaf"/>
        <w:rPr>
          <w:rFonts w:cs="Arial"/>
        </w:rPr>
      </w:pPr>
      <w:bookmarkStart w:id="82" w:name="_Toc277243199"/>
      <w:bookmarkStart w:id="83" w:name="_Toc431375578"/>
      <w:r w:rsidRPr="00296032">
        <w:rPr>
          <w:rFonts w:cs="Arial"/>
        </w:rPr>
        <w:t>§ 3.2.5</w:t>
      </w:r>
      <w:r w:rsidRPr="00296032">
        <w:rPr>
          <w:rFonts w:cs="Arial"/>
        </w:rPr>
        <w:tab/>
        <w:t>In werking hebben van een natte koeltoren</w:t>
      </w:r>
      <w:bookmarkEnd w:id="82"/>
      <w:bookmarkEnd w:id="83"/>
    </w:p>
    <w:p w:rsidR="00296032" w:rsidRPr="00296032" w:rsidRDefault="00296032">
      <w:pPr>
        <w:pStyle w:val="artikelkop"/>
        <w:rPr>
          <w:rFonts w:cs="Arial"/>
        </w:rPr>
      </w:pPr>
      <w:r w:rsidRPr="00296032">
        <w:rPr>
          <w:rFonts w:cs="Arial"/>
        </w:rPr>
        <w:t>Artikel 3.16a</w:t>
      </w:r>
    </w:p>
    <w:p w:rsidR="00296032" w:rsidRPr="00620047" w:rsidRDefault="00296032">
      <w:pPr>
        <w:rPr>
          <w:rFonts w:cs="Arial"/>
        </w:rPr>
      </w:pPr>
      <w:r w:rsidRPr="00620047">
        <w:rPr>
          <w:rFonts w:cs="Arial"/>
        </w:rPr>
        <w:t>Deze paragraaf is van toepassing op het in werking hebben van een natte koeltoren die water in aërosolvorm in de lucht kan brengen.</w:t>
      </w:r>
    </w:p>
    <w:p w:rsidR="00296032" w:rsidRPr="00296032" w:rsidRDefault="00296032">
      <w:pPr>
        <w:pStyle w:val="artikelkop"/>
        <w:rPr>
          <w:rFonts w:cs="Arial"/>
        </w:rPr>
      </w:pPr>
      <w:r w:rsidRPr="00296032">
        <w:rPr>
          <w:rFonts w:cs="Arial"/>
        </w:rPr>
        <w:t>Artikel 3.16b</w:t>
      </w:r>
    </w:p>
    <w:p w:rsidR="00296032" w:rsidRDefault="00296032">
      <w:pPr>
        <w:rPr>
          <w:rFonts w:cs="Arial"/>
        </w:rPr>
      </w:pPr>
      <w:r w:rsidRPr="00620047">
        <w:rPr>
          <w:rFonts w:cs="Arial"/>
        </w:rPr>
        <w:t>Bij het in werking hebben van een natte koeltoren wordt ten behoeve van het voorkomen van risico's voor de omgeving en ongewone voorvallen, dan wel voor zover dat niet mogelijk is het zoveel mogelijk beperken van risico's voor de omgeving en de kans dat ongewone voorvallen zich voordoen en de gevolgen hiervan, ten minste voldaan aan de bij ministeriële regeling voorgeschreven maatregelen.</w:t>
      </w:r>
    </w:p>
    <w:p w:rsidR="00BF7F92" w:rsidRDefault="00BF7F92">
      <w:pPr>
        <w:rPr>
          <w:rFonts w:cs="Arial"/>
        </w:rPr>
      </w:pPr>
    </w:p>
    <w:p w:rsidR="00BF7F92" w:rsidRDefault="00BF7F92" w:rsidP="00BF7F92">
      <w:pPr>
        <w:pStyle w:val="paragraaf"/>
        <w:shd w:val="clear" w:color="auto" w:fill="D9D9D9" w:themeFill="background1" w:themeFillShade="D9"/>
      </w:pPr>
      <w:bookmarkStart w:id="84" w:name="_Toc431375579"/>
      <w:r>
        <w:t>§ 3.2.5.</w:t>
      </w:r>
      <w:r>
        <w:tab/>
        <w:t>In werking hebben van een natte koeltoren</w:t>
      </w:r>
      <w:bookmarkEnd w:id="84"/>
    </w:p>
    <w:p w:rsidR="00BF7F92" w:rsidRDefault="00BF7F92" w:rsidP="00BF7F92">
      <w:pPr>
        <w:pStyle w:val="artikelkop"/>
        <w:shd w:val="clear" w:color="auto" w:fill="D9D9D9" w:themeFill="background1" w:themeFillShade="D9"/>
      </w:pPr>
      <w:r>
        <w:t>Artikel 3.16a</w:t>
      </w:r>
    </w:p>
    <w:p w:rsidR="00BF7F92" w:rsidRDefault="00BF7F92" w:rsidP="00BF7F92">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beschikt degene die een inrichting met een natte koeltoren drijft over een risicoanalyse waarin is beschreven welke risico's de natte koeltoren met zich meebrengt voor de omgeving alsmede over een legionella-beheersplan waarin de maatregelen zijn beschreven waarmee deze risico's worden voorkomen, dan wel zoveel mogelijk worden beperkt. De drijver van de inrichting draagt er zorg voor dat het legionella-beheersplan wordt uitgevoerd.</w:t>
      </w:r>
    </w:p>
    <w:p w:rsidR="00BF7F92" w:rsidRDefault="00BF7F92" w:rsidP="00BF7F92">
      <w:pPr>
        <w:pStyle w:val="art1enivo"/>
        <w:shd w:val="clear" w:color="auto" w:fill="D9D9D9" w:themeFill="background1" w:themeFillShade="D9"/>
        <w:suppressAutoHyphens/>
        <w:rPr>
          <w:rFonts w:cs="Arial"/>
        </w:rPr>
      </w:pPr>
      <w:r>
        <w:rPr>
          <w:rFonts w:cs="Arial"/>
        </w:rPr>
        <w:t>2.</w:t>
      </w:r>
      <w:r>
        <w:rPr>
          <w:rFonts w:cs="Arial"/>
        </w:rPr>
        <w:tab/>
        <w:t>Bij de risicoanalyse, bedoeld in het eerste lid, worden in ieder geval de volgende risicofactoren betrokken:</w:t>
      </w:r>
    </w:p>
    <w:p w:rsidR="00BF7F92" w:rsidRDefault="00BF7F92" w:rsidP="00BF7F92">
      <w:pPr>
        <w:pStyle w:val="art2enivo"/>
        <w:shd w:val="clear" w:color="auto" w:fill="D9D9D9" w:themeFill="background1" w:themeFillShade="D9"/>
        <w:suppressAutoHyphens/>
        <w:rPr>
          <w:rFonts w:cs="Arial"/>
        </w:rPr>
      </w:pPr>
      <w:r>
        <w:rPr>
          <w:rFonts w:cs="Arial"/>
        </w:rPr>
        <w:t>a.</w:t>
      </w:r>
      <w:r>
        <w:rPr>
          <w:rFonts w:cs="Arial"/>
        </w:rPr>
        <w:tab/>
        <w:t>het risico op vermeerdering van legionellabacteriën in de koeltoren door:</w:t>
      </w:r>
    </w:p>
    <w:p w:rsidR="00BF7F92" w:rsidRDefault="00BF7F92" w:rsidP="00BF7F92">
      <w:pPr>
        <w:pStyle w:val="art3enivo"/>
        <w:shd w:val="clear" w:color="auto" w:fill="D9D9D9" w:themeFill="background1" w:themeFillShade="D9"/>
        <w:suppressAutoHyphens/>
      </w:pPr>
      <w:r>
        <w:t>1°.</w:t>
      </w:r>
      <w:r>
        <w:tab/>
        <w:t>de aard en kwaliteit van het water dat wordt gebruikt;</w:t>
      </w:r>
    </w:p>
    <w:p w:rsidR="00BF7F92" w:rsidRDefault="00BF7F92" w:rsidP="00BF7F92">
      <w:pPr>
        <w:widowControl w:val="0"/>
        <w:shd w:val="clear" w:color="auto" w:fill="D9D9D9" w:themeFill="background1" w:themeFillShade="D9"/>
        <w:tabs>
          <w:tab w:val="left" w:pos="1134"/>
        </w:tabs>
        <w:suppressAutoHyphens/>
        <w:autoSpaceDE w:val="0"/>
        <w:autoSpaceDN w:val="0"/>
        <w:adjustRightInd w:val="0"/>
        <w:ind w:left="1134" w:hanging="283"/>
        <w:rPr>
          <w:rFonts w:cs="Arial"/>
          <w:szCs w:val="20"/>
        </w:rPr>
      </w:pPr>
      <w:r>
        <w:rPr>
          <w:rFonts w:cs="Arial"/>
          <w:szCs w:val="20"/>
        </w:rPr>
        <w:t>2°.</w:t>
      </w:r>
      <w:r>
        <w:rPr>
          <w:rFonts w:cs="Arial"/>
          <w:szCs w:val="20"/>
        </w:rPr>
        <w:tab/>
        <w:t>de temperatuur van het water;</w:t>
      </w:r>
    </w:p>
    <w:p w:rsidR="00BF7F92" w:rsidRDefault="00BF7F92" w:rsidP="00BF7F92">
      <w:pPr>
        <w:widowControl w:val="0"/>
        <w:shd w:val="clear" w:color="auto" w:fill="D9D9D9" w:themeFill="background1" w:themeFillShade="D9"/>
        <w:tabs>
          <w:tab w:val="left" w:pos="1134"/>
        </w:tabs>
        <w:suppressAutoHyphens/>
        <w:autoSpaceDE w:val="0"/>
        <w:autoSpaceDN w:val="0"/>
        <w:adjustRightInd w:val="0"/>
        <w:ind w:left="1134" w:hanging="283"/>
        <w:rPr>
          <w:rFonts w:cs="Arial"/>
          <w:szCs w:val="20"/>
        </w:rPr>
      </w:pPr>
      <w:r>
        <w:rPr>
          <w:rFonts w:cs="Arial"/>
          <w:szCs w:val="20"/>
        </w:rPr>
        <w:t>3°.</w:t>
      </w:r>
      <w:r>
        <w:rPr>
          <w:rFonts w:cs="Arial"/>
          <w:szCs w:val="20"/>
        </w:rPr>
        <w:tab/>
        <w:t>de verblijfstijd van het water;</w:t>
      </w:r>
    </w:p>
    <w:p w:rsidR="00BF7F92" w:rsidRDefault="00BF7F92" w:rsidP="00BF7F92">
      <w:pPr>
        <w:widowControl w:val="0"/>
        <w:shd w:val="clear" w:color="auto" w:fill="D9D9D9" w:themeFill="background1" w:themeFillShade="D9"/>
        <w:tabs>
          <w:tab w:val="left" w:pos="1134"/>
        </w:tabs>
        <w:suppressAutoHyphens/>
        <w:autoSpaceDE w:val="0"/>
        <w:autoSpaceDN w:val="0"/>
        <w:adjustRightInd w:val="0"/>
        <w:ind w:left="1134" w:hanging="283"/>
        <w:rPr>
          <w:rFonts w:cs="Arial"/>
          <w:szCs w:val="20"/>
        </w:rPr>
      </w:pPr>
      <w:r>
        <w:rPr>
          <w:rFonts w:cs="Arial"/>
          <w:szCs w:val="20"/>
        </w:rPr>
        <w:t>4°.</w:t>
      </w:r>
      <w:r>
        <w:rPr>
          <w:rFonts w:cs="Arial"/>
          <w:szCs w:val="20"/>
        </w:rPr>
        <w:tab/>
        <w:t>de stilstand van het water;</w:t>
      </w:r>
    </w:p>
    <w:p w:rsidR="00BF7F92" w:rsidRDefault="00BF7F92" w:rsidP="00BF7F92">
      <w:pPr>
        <w:widowControl w:val="0"/>
        <w:shd w:val="clear" w:color="auto" w:fill="D9D9D9" w:themeFill="background1" w:themeFillShade="D9"/>
        <w:tabs>
          <w:tab w:val="left" w:pos="1134"/>
        </w:tabs>
        <w:suppressAutoHyphens/>
        <w:autoSpaceDE w:val="0"/>
        <w:autoSpaceDN w:val="0"/>
        <w:adjustRightInd w:val="0"/>
        <w:ind w:left="1134" w:hanging="283"/>
        <w:rPr>
          <w:rFonts w:cs="Arial"/>
          <w:szCs w:val="20"/>
        </w:rPr>
      </w:pPr>
      <w:r>
        <w:rPr>
          <w:rFonts w:cs="Arial"/>
          <w:szCs w:val="20"/>
        </w:rPr>
        <w:t>5°.</w:t>
      </w:r>
      <w:r>
        <w:rPr>
          <w:rFonts w:cs="Arial"/>
          <w:szCs w:val="20"/>
        </w:rPr>
        <w:tab/>
        <w:t>de aanwezigheid van biofilm en sediment;</w:t>
      </w:r>
    </w:p>
    <w:p w:rsidR="00BF7F92" w:rsidRDefault="00BF7F92" w:rsidP="00BF7F92">
      <w:pPr>
        <w:pStyle w:val="art2enivo"/>
        <w:shd w:val="clear" w:color="auto" w:fill="D9D9D9" w:themeFill="background1" w:themeFillShade="D9"/>
        <w:suppressAutoHyphens/>
        <w:rPr>
          <w:rFonts w:cs="Arial"/>
        </w:rPr>
      </w:pPr>
      <w:r>
        <w:rPr>
          <w:rFonts w:cs="Arial"/>
        </w:rPr>
        <w:t>b.</w:t>
      </w:r>
      <w:r>
        <w:rPr>
          <w:rFonts w:cs="Arial"/>
        </w:rPr>
        <w:tab/>
        <w:t>de bedrijfsvoering van de natte koeltoren;</w:t>
      </w:r>
    </w:p>
    <w:p w:rsidR="00BF7F92" w:rsidRDefault="00BF7F92" w:rsidP="00BF7F92">
      <w:pPr>
        <w:pStyle w:val="art2enivo"/>
        <w:shd w:val="clear" w:color="auto" w:fill="D9D9D9" w:themeFill="background1" w:themeFillShade="D9"/>
        <w:suppressAutoHyphens/>
        <w:rPr>
          <w:rFonts w:cs="Arial"/>
        </w:rPr>
      </w:pPr>
      <w:r>
        <w:rPr>
          <w:rFonts w:cs="Arial"/>
        </w:rPr>
        <w:t>c.</w:t>
      </w:r>
      <w:r>
        <w:rPr>
          <w:rFonts w:cs="Arial"/>
        </w:rPr>
        <w:tab/>
        <w:t>de effectiviteit van het waterbehandelingsprogramma met betrekking tot legionellabacteriën en biofilmvorming;</w:t>
      </w:r>
    </w:p>
    <w:p w:rsidR="00BF7F92" w:rsidRDefault="00BF7F92" w:rsidP="00BF7F92">
      <w:pPr>
        <w:pStyle w:val="art2enivo"/>
        <w:shd w:val="clear" w:color="auto" w:fill="D9D9D9" w:themeFill="background1" w:themeFillShade="D9"/>
        <w:suppressAutoHyphens/>
        <w:rPr>
          <w:rFonts w:cs="Arial"/>
        </w:rPr>
      </w:pPr>
      <w:r>
        <w:rPr>
          <w:rFonts w:cs="Arial"/>
        </w:rPr>
        <w:t>d.</w:t>
      </w:r>
      <w:r>
        <w:rPr>
          <w:rFonts w:cs="Arial"/>
        </w:rPr>
        <w:tab/>
        <w:t>de risico's voor de omgeving, te bepalen volgens de risicocategorie-indeling in tabel 3.16a.</w:t>
      </w:r>
    </w:p>
    <w:p w:rsidR="00BF7F92" w:rsidRDefault="00BF7F92" w:rsidP="00BF7F92">
      <w:pPr>
        <w:pStyle w:val="tabelkop"/>
        <w:shd w:val="clear" w:color="auto" w:fill="D9D9D9" w:themeFill="background1" w:themeFillShade="D9"/>
        <w:suppressAutoHyphens/>
        <w:rPr>
          <w:rFonts w:cs="Arial"/>
        </w:rPr>
      </w:pPr>
      <w:r>
        <w:rPr>
          <w:rFonts w:cs="Arial"/>
        </w:rPr>
        <w:t>Tabel 3.16a. Risicocategorie-indeling voor natte koeltorens</w:t>
      </w:r>
    </w:p>
    <w:tbl>
      <w:tblPr>
        <w:tblStyle w:val="Tabelraster"/>
        <w:tblW w:w="8894" w:type="dxa"/>
        <w:tblInd w:w="483" w:type="dxa"/>
        <w:tblLook w:val="04A0" w:firstRow="1" w:lastRow="0" w:firstColumn="1" w:lastColumn="0" w:noHBand="0" w:noVBand="1"/>
      </w:tblPr>
      <w:tblGrid>
        <w:gridCol w:w="2161"/>
        <w:gridCol w:w="6733"/>
      </w:tblGrid>
      <w:tr w:rsidR="00BF7F92" w:rsidTr="00F43C9B">
        <w:trPr>
          <w:cnfStyle w:val="100000000000" w:firstRow="1" w:lastRow="0" w:firstColumn="0" w:lastColumn="0" w:oddVBand="0" w:evenVBand="0" w:oddHBand="0" w:evenHBand="0" w:firstRowFirstColumn="0" w:firstRowLastColumn="0" w:lastRowFirstColumn="0" w:lastRowLastColumn="0"/>
        </w:trPr>
        <w:tc>
          <w:tcPr>
            <w:tcW w:w="21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F7F92" w:rsidRDefault="00BF7F92" w:rsidP="00BF7F92">
            <w:pPr>
              <w:shd w:val="clear" w:color="auto" w:fill="D9D9D9" w:themeFill="background1" w:themeFillShade="D9"/>
              <w:suppressAutoHyphens/>
              <w:rPr>
                <w:rFonts w:cs="Arial"/>
                <w:b w:val="0"/>
              </w:rPr>
            </w:pPr>
            <w:r>
              <w:rPr>
                <w:rFonts w:cs="Arial"/>
                <w:b w:val="0"/>
              </w:rPr>
              <w:t xml:space="preserve">Risico categorie </w:t>
            </w:r>
          </w:p>
        </w:tc>
        <w:tc>
          <w:tcPr>
            <w:tcW w:w="67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F7F92" w:rsidRDefault="00BF7F92" w:rsidP="00BF7F92">
            <w:pPr>
              <w:shd w:val="clear" w:color="auto" w:fill="D9D9D9" w:themeFill="background1" w:themeFillShade="D9"/>
              <w:suppressAutoHyphens/>
              <w:rPr>
                <w:rFonts w:cs="Arial"/>
                <w:b w:val="0"/>
              </w:rPr>
            </w:pPr>
            <w:r>
              <w:rPr>
                <w:rFonts w:cs="Arial"/>
                <w:b w:val="0"/>
              </w:rPr>
              <w:t>Locatie natte koeltoren</w:t>
            </w:r>
          </w:p>
        </w:tc>
      </w:tr>
      <w:tr w:rsidR="00BF7F92" w:rsidTr="00F43C9B">
        <w:tc>
          <w:tcPr>
            <w:tcW w:w="21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F7F92" w:rsidRDefault="00BF7F92" w:rsidP="00BF7F92">
            <w:pPr>
              <w:shd w:val="clear" w:color="auto" w:fill="D9D9D9" w:themeFill="background1" w:themeFillShade="D9"/>
              <w:suppressAutoHyphens/>
              <w:rPr>
                <w:rFonts w:cs="Arial"/>
              </w:rPr>
            </w:pPr>
            <w:r>
              <w:rPr>
                <w:rFonts w:cs="Arial"/>
              </w:rPr>
              <w:t xml:space="preserve">1 (hoogste risico) </w:t>
            </w:r>
          </w:p>
        </w:tc>
        <w:tc>
          <w:tcPr>
            <w:tcW w:w="67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F7F92" w:rsidRDefault="00BF7F92" w:rsidP="00BF7F92">
            <w:pPr>
              <w:shd w:val="clear" w:color="auto" w:fill="D9D9D9" w:themeFill="background1" w:themeFillShade="D9"/>
              <w:suppressAutoHyphens/>
              <w:rPr>
                <w:rFonts w:cs="Arial"/>
              </w:rPr>
            </w:pPr>
            <w:r>
              <w:rPr>
                <w:rFonts w:cs="Arial"/>
              </w:rPr>
              <w:t xml:space="preserve">Natte koeltoren in de nabijheid (&lt; 200 m) van een ziekenhuis, verpleeghuis of andere (medisch georiënteerde) zorginstelling waar mensen verblijven met een verminderd immuunsysteem </w:t>
            </w:r>
          </w:p>
        </w:tc>
      </w:tr>
      <w:tr w:rsidR="00BF7F92" w:rsidTr="00F43C9B">
        <w:tc>
          <w:tcPr>
            <w:tcW w:w="21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F7F92" w:rsidRDefault="00BF7F92" w:rsidP="00BF7F92">
            <w:pPr>
              <w:shd w:val="clear" w:color="auto" w:fill="D9D9D9" w:themeFill="background1" w:themeFillShade="D9"/>
              <w:suppressAutoHyphens/>
              <w:rPr>
                <w:rFonts w:cs="Arial"/>
              </w:rPr>
            </w:pPr>
            <w:r>
              <w:rPr>
                <w:rFonts w:cs="Arial"/>
              </w:rPr>
              <w:t xml:space="preserve">2 </w:t>
            </w:r>
          </w:p>
        </w:tc>
        <w:tc>
          <w:tcPr>
            <w:tcW w:w="67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F7F92" w:rsidRDefault="00BF7F92" w:rsidP="00BF7F92">
            <w:pPr>
              <w:shd w:val="clear" w:color="auto" w:fill="D9D9D9" w:themeFill="background1" w:themeFillShade="D9"/>
              <w:suppressAutoHyphens/>
              <w:rPr>
                <w:rFonts w:cs="Arial"/>
              </w:rPr>
            </w:pPr>
            <w:r>
              <w:rPr>
                <w:rFonts w:cs="Arial"/>
              </w:rPr>
              <w:t xml:space="preserve">Natte koeltoren in de nabijheid (&lt; 200 m) van verzorgingstehuizen, hotels of andere gebouwen waarin zich veel mensen bevinden </w:t>
            </w:r>
          </w:p>
        </w:tc>
      </w:tr>
      <w:tr w:rsidR="00BF7F92" w:rsidTr="00F43C9B">
        <w:tc>
          <w:tcPr>
            <w:tcW w:w="21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F7F92" w:rsidRDefault="00BF7F92" w:rsidP="00BF7F92">
            <w:pPr>
              <w:shd w:val="clear" w:color="auto" w:fill="D9D9D9" w:themeFill="background1" w:themeFillShade="D9"/>
              <w:suppressAutoHyphens/>
              <w:rPr>
                <w:rFonts w:cs="Arial"/>
              </w:rPr>
            </w:pPr>
            <w:r>
              <w:rPr>
                <w:rFonts w:cs="Arial"/>
              </w:rPr>
              <w:t xml:space="preserve">3 </w:t>
            </w:r>
          </w:p>
        </w:tc>
        <w:tc>
          <w:tcPr>
            <w:tcW w:w="67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F7F92" w:rsidRDefault="00BF7F92" w:rsidP="00BF7F92">
            <w:pPr>
              <w:shd w:val="clear" w:color="auto" w:fill="D9D9D9" w:themeFill="background1" w:themeFillShade="D9"/>
              <w:suppressAutoHyphens/>
              <w:rPr>
                <w:rFonts w:cs="Arial"/>
              </w:rPr>
            </w:pPr>
            <w:r>
              <w:rPr>
                <w:rFonts w:cs="Arial"/>
              </w:rPr>
              <w:t xml:space="preserve">Natte koeltoren in de nabijheid (&lt; 600 m) van een woonomgeving </w:t>
            </w:r>
          </w:p>
        </w:tc>
      </w:tr>
      <w:tr w:rsidR="00BF7F92" w:rsidTr="00F43C9B">
        <w:tc>
          <w:tcPr>
            <w:tcW w:w="21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F7F92" w:rsidRDefault="00BF7F92" w:rsidP="00BF7F92">
            <w:pPr>
              <w:shd w:val="clear" w:color="auto" w:fill="D9D9D9" w:themeFill="background1" w:themeFillShade="D9"/>
              <w:suppressAutoHyphens/>
              <w:rPr>
                <w:rFonts w:cs="Arial"/>
              </w:rPr>
            </w:pPr>
            <w:r>
              <w:rPr>
                <w:rFonts w:cs="Arial"/>
              </w:rPr>
              <w:t xml:space="preserve">4 (laagste risico) </w:t>
            </w:r>
          </w:p>
        </w:tc>
        <w:tc>
          <w:tcPr>
            <w:tcW w:w="673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F7F92" w:rsidRDefault="00BF7F92" w:rsidP="00BF7F92">
            <w:pPr>
              <w:shd w:val="clear" w:color="auto" w:fill="D9D9D9" w:themeFill="background1" w:themeFillShade="D9"/>
              <w:suppressAutoHyphens/>
              <w:rPr>
                <w:rFonts w:cs="Arial"/>
              </w:rPr>
            </w:pPr>
            <w:r>
              <w:rPr>
                <w:rFonts w:cs="Arial"/>
              </w:rPr>
              <w:t xml:space="preserve">Natte koeltoren die op afstand (&gt; 600 m) staat van een woonomgeving </w:t>
            </w:r>
          </w:p>
        </w:tc>
      </w:tr>
    </w:tbl>
    <w:p w:rsidR="00BF7F92" w:rsidRDefault="00BF7F92" w:rsidP="00BF7F92">
      <w:pPr>
        <w:pStyle w:val="art1enivo"/>
        <w:shd w:val="clear" w:color="auto" w:fill="D9D9D9" w:themeFill="background1" w:themeFillShade="D9"/>
        <w:suppressAutoHyphens/>
        <w:rPr>
          <w:rFonts w:cs="Arial"/>
        </w:rPr>
      </w:pPr>
      <w:r>
        <w:rPr>
          <w:rFonts w:cs="Arial"/>
        </w:rPr>
        <w:t>3.</w:t>
      </w:r>
      <w:r>
        <w:rPr>
          <w:rFonts w:cs="Arial"/>
        </w:rPr>
        <w:tab/>
        <w:t>Het legionella-beheersplan, bedoeld in het eerste lid, bevat naast een beschrijving van de maatregelen, bedoeld in dat lid, in ieder geval:</w:t>
      </w:r>
    </w:p>
    <w:p w:rsidR="00BF7F92" w:rsidRDefault="00BF7F92" w:rsidP="00BF7F92">
      <w:pPr>
        <w:pStyle w:val="art2enivo"/>
        <w:shd w:val="clear" w:color="auto" w:fill="D9D9D9" w:themeFill="background1" w:themeFillShade="D9"/>
        <w:suppressAutoHyphens/>
        <w:rPr>
          <w:rFonts w:cs="Arial"/>
        </w:rPr>
      </w:pPr>
      <w:r>
        <w:rPr>
          <w:rFonts w:cs="Arial"/>
        </w:rPr>
        <w:t>a.</w:t>
      </w:r>
      <w:r>
        <w:rPr>
          <w:rFonts w:cs="Arial"/>
        </w:rPr>
        <w:tab/>
        <w:t>een tekening of schema met de actuele indeling van de natte koeltoren;</w:t>
      </w:r>
    </w:p>
    <w:p w:rsidR="00BF7F92" w:rsidRDefault="00BF7F92" w:rsidP="00BF7F92">
      <w:pPr>
        <w:pStyle w:val="art2enivo"/>
        <w:shd w:val="clear" w:color="auto" w:fill="D9D9D9" w:themeFill="background1" w:themeFillShade="D9"/>
        <w:suppressAutoHyphens/>
        <w:rPr>
          <w:rFonts w:cs="Arial"/>
        </w:rPr>
      </w:pPr>
      <w:r>
        <w:rPr>
          <w:rFonts w:cs="Arial"/>
        </w:rPr>
        <w:t>b.</w:t>
      </w:r>
      <w:r>
        <w:rPr>
          <w:rFonts w:cs="Arial"/>
        </w:rPr>
        <w:tab/>
        <w:t>een beschrijving van de juiste en veilige werking van de natte koeltoren;</w:t>
      </w:r>
    </w:p>
    <w:p w:rsidR="00BF7F92" w:rsidRDefault="00BF7F92" w:rsidP="00BF7F92">
      <w:pPr>
        <w:pStyle w:val="art2enivo"/>
        <w:shd w:val="clear" w:color="auto" w:fill="D9D9D9" w:themeFill="background1" w:themeFillShade="D9"/>
        <w:suppressAutoHyphens/>
        <w:rPr>
          <w:rFonts w:cs="Arial"/>
        </w:rPr>
      </w:pPr>
      <w:r>
        <w:rPr>
          <w:rFonts w:cs="Arial"/>
        </w:rPr>
        <w:t>c.</w:t>
      </w:r>
      <w:r>
        <w:rPr>
          <w:rFonts w:cs="Arial"/>
        </w:rPr>
        <w:tab/>
        <w:t>een beschrijving van alle uit te voeren controles aan de natte koeltoren, inclusief de controle op de aanwezigheid van Legionella;</w:t>
      </w:r>
    </w:p>
    <w:p w:rsidR="00BF7F92" w:rsidRDefault="00BF7F92" w:rsidP="00BF7F92">
      <w:pPr>
        <w:pStyle w:val="art2enivo"/>
        <w:shd w:val="clear" w:color="auto" w:fill="D9D9D9" w:themeFill="background1" w:themeFillShade="D9"/>
        <w:suppressAutoHyphens/>
        <w:rPr>
          <w:rFonts w:cs="Arial"/>
        </w:rPr>
      </w:pPr>
      <w:r>
        <w:rPr>
          <w:rFonts w:cs="Arial"/>
        </w:rPr>
        <w:t>d.</w:t>
      </w:r>
      <w:r>
        <w:rPr>
          <w:rFonts w:cs="Arial"/>
        </w:rPr>
        <w:tab/>
        <w:t>een aanduiding van de waarden van de fysische, chemische en microbiologische parameters inclusief de concentratie aan legionellabacteriën in de natte koeltoren bij het bereiken waarvan maatregelen ter verbetering worden getroffen, alsmede een beschrijving van die maatregelen;</w:t>
      </w:r>
    </w:p>
    <w:p w:rsidR="00BF7F92" w:rsidRDefault="00BF7F92" w:rsidP="00BF7F92">
      <w:pPr>
        <w:pStyle w:val="art2enivo"/>
        <w:shd w:val="clear" w:color="auto" w:fill="D9D9D9" w:themeFill="background1" w:themeFillShade="D9"/>
        <w:suppressAutoHyphens/>
        <w:rPr>
          <w:rFonts w:cs="Arial"/>
        </w:rPr>
      </w:pPr>
      <w:r>
        <w:rPr>
          <w:rFonts w:cs="Arial"/>
        </w:rPr>
        <w:t>e.</w:t>
      </w:r>
      <w:r>
        <w:rPr>
          <w:rFonts w:cs="Arial"/>
        </w:rPr>
        <w:tab/>
        <w:t>een beschrijving van de maatregelen die worden genomen bij calamiteiten.</w:t>
      </w:r>
    </w:p>
    <w:p w:rsidR="00BF7F92" w:rsidRDefault="00BF7F92" w:rsidP="00BF7F92">
      <w:pPr>
        <w:pStyle w:val="art1enivo"/>
        <w:shd w:val="clear" w:color="auto" w:fill="D9D9D9" w:themeFill="background1" w:themeFillShade="D9"/>
        <w:suppressAutoHyphens/>
        <w:rPr>
          <w:rFonts w:cs="Arial"/>
        </w:rPr>
      </w:pPr>
      <w:r>
        <w:rPr>
          <w:rFonts w:cs="Arial"/>
        </w:rPr>
        <w:t>4.</w:t>
      </w:r>
      <w:r>
        <w:rPr>
          <w:rFonts w:cs="Arial"/>
        </w:rPr>
        <w:tab/>
        <w:t>De maatregelen, bedoeld in het eerste lid, zijn ten aanzien van het voorkomen of beperken van de risico's voor de omgeving door legionellabacteriën bij het in bedrijf nemen en hebben van een natte koeltoren doeltreffend indien:</w:t>
      </w:r>
    </w:p>
    <w:p w:rsidR="00BF7F92" w:rsidRDefault="00BF7F92" w:rsidP="00BF7F92">
      <w:pPr>
        <w:pStyle w:val="art2enivo"/>
        <w:shd w:val="clear" w:color="auto" w:fill="D9D9D9" w:themeFill="background1" w:themeFillShade="D9"/>
        <w:suppressAutoHyphens/>
        <w:rPr>
          <w:rFonts w:cs="Arial"/>
        </w:rPr>
      </w:pPr>
      <w:r>
        <w:rPr>
          <w:rFonts w:cs="Arial"/>
        </w:rPr>
        <w:t>a.</w:t>
      </w:r>
      <w:r>
        <w:rPr>
          <w:rFonts w:cs="Arial"/>
        </w:rPr>
        <w:tab/>
        <w:t>het ontstaan en de verspreiding van waternevel zoveel mogelijk worden beperkt;</w:t>
      </w:r>
    </w:p>
    <w:p w:rsidR="00BF7F92" w:rsidRDefault="00BF7F92" w:rsidP="00BF7F92">
      <w:pPr>
        <w:pStyle w:val="art2enivo"/>
        <w:shd w:val="clear" w:color="auto" w:fill="D9D9D9" w:themeFill="background1" w:themeFillShade="D9"/>
        <w:suppressAutoHyphens/>
        <w:rPr>
          <w:rFonts w:cs="Arial"/>
        </w:rPr>
      </w:pPr>
      <w:r>
        <w:rPr>
          <w:rFonts w:cs="Arial"/>
        </w:rPr>
        <w:t>b.</w:t>
      </w:r>
      <w:r>
        <w:rPr>
          <w:rFonts w:cs="Arial"/>
        </w:rPr>
        <w:tab/>
        <w:t>de stilstand van water in leidingen, reservoirs en appendages zoveel mogelijk wordt vermeden;</w:t>
      </w:r>
    </w:p>
    <w:p w:rsidR="00BF7F92" w:rsidRDefault="00BF7F92" w:rsidP="00BF7F92">
      <w:pPr>
        <w:pStyle w:val="art2enivo"/>
        <w:shd w:val="clear" w:color="auto" w:fill="D9D9D9" w:themeFill="background1" w:themeFillShade="D9"/>
        <w:suppressAutoHyphens/>
        <w:rPr>
          <w:rFonts w:cs="Arial"/>
        </w:rPr>
      </w:pPr>
      <w:r>
        <w:rPr>
          <w:rFonts w:cs="Arial"/>
        </w:rPr>
        <w:t>c.</w:t>
      </w:r>
      <w:r>
        <w:rPr>
          <w:rFonts w:cs="Arial"/>
        </w:rPr>
        <w:tab/>
        <w:t>de natte koeltoren en het water dat zich daarin bevindt schoon zijn;</w:t>
      </w:r>
    </w:p>
    <w:p w:rsidR="00BF7F92" w:rsidRDefault="00BF7F92" w:rsidP="00BF7F92">
      <w:pPr>
        <w:pStyle w:val="art2enivo"/>
        <w:shd w:val="clear" w:color="auto" w:fill="D9D9D9" w:themeFill="background1" w:themeFillShade="D9"/>
        <w:suppressAutoHyphens/>
        <w:rPr>
          <w:rFonts w:cs="Arial"/>
        </w:rPr>
      </w:pPr>
      <w:r>
        <w:rPr>
          <w:rFonts w:cs="Arial"/>
        </w:rPr>
        <w:t>d.</w:t>
      </w:r>
      <w:r>
        <w:rPr>
          <w:rFonts w:cs="Arial"/>
        </w:rPr>
        <w:tab/>
        <w:t>de vermeerdering van legionellabacteriën zo veel mogelijk wordt beperkt door toepassing van waterbehandelingstechnieken;</w:t>
      </w:r>
    </w:p>
    <w:p w:rsidR="00BF7F92" w:rsidRDefault="00BF7F92" w:rsidP="00BF7F92">
      <w:pPr>
        <w:pStyle w:val="art2enivo"/>
        <w:shd w:val="clear" w:color="auto" w:fill="D9D9D9" w:themeFill="background1" w:themeFillShade="D9"/>
        <w:suppressAutoHyphens/>
        <w:rPr>
          <w:rFonts w:cs="Arial"/>
        </w:rPr>
      </w:pPr>
      <w:r>
        <w:rPr>
          <w:rFonts w:cs="Arial"/>
        </w:rPr>
        <w:t>e.</w:t>
      </w:r>
      <w:r>
        <w:rPr>
          <w:rFonts w:cs="Arial"/>
        </w:rPr>
        <w:tab/>
        <w:t>een juiste en veilige werking van de natte koeltoren conform de processpecificaties is gewaarborgd.</w:t>
      </w:r>
    </w:p>
    <w:p w:rsidR="00BF7F92" w:rsidRDefault="00BF7F92" w:rsidP="00BF7F92">
      <w:pPr>
        <w:pStyle w:val="art1enivo"/>
        <w:shd w:val="clear" w:color="auto" w:fill="D9D9D9" w:themeFill="background1" w:themeFillShade="D9"/>
        <w:suppressAutoHyphens/>
        <w:rPr>
          <w:rFonts w:cs="Arial"/>
        </w:rPr>
      </w:pPr>
      <w:r>
        <w:rPr>
          <w:rFonts w:cs="Arial"/>
        </w:rPr>
        <w:t>5.</w:t>
      </w:r>
      <w:r>
        <w:rPr>
          <w:rFonts w:cs="Arial"/>
        </w:rPr>
        <w:tab/>
        <w:t>De risicoanalyse wordt aangepast indien de omstandigheden binnen de inrichting of in de onmiddellijke nabijheid daarvan daartoe aanleiding geven.</w:t>
      </w:r>
    </w:p>
    <w:p w:rsidR="00BF7F92" w:rsidRDefault="00BF7F92" w:rsidP="00BF7F92">
      <w:pPr>
        <w:pStyle w:val="art1enivo"/>
        <w:shd w:val="clear" w:color="auto" w:fill="D9D9D9" w:themeFill="background1" w:themeFillShade="D9"/>
        <w:suppressAutoHyphens/>
        <w:rPr>
          <w:rFonts w:cs="Arial"/>
        </w:rPr>
      </w:pPr>
      <w:r>
        <w:rPr>
          <w:rFonts w:cs="Arial"/>
        </w:rPr>
        <w:t>6.</w:t>
      </w:r>
      <w:r>
        <w:rPr>
          <w:rFonts w:cs="Arial"/>
        </w:rPr>
        <w:tab/>
        <w:t>In het legionella-beheersplan, bedoeld in het eerste lid, wordt aantekening gemaakt van de onderhoudswerkzaamheden die worden verricht, de wijzigingen in de natte koeltoren of het onderhoud, de uitkomsten van controles die worden uitgevoerd, alsmede bijzonderheden over de werking van de natte koeltoren. Deze aantekeningen worden ten minste gedurende drie jaren bewaard.</w:t>
      </w:r>
    </w:p>
    <w:p w:rsidR="00BF7F92" w:rsidRDefault="00BF7F92" w:rsidP="00BF7F92">
      <w:pPr>
        <w:pStyle w:val="art1enivo"/>
        <w:shd w:val="clear" w:color="auto" w:fill="D9D9D9" w:themeFill="background1" w:themeFillShade="D9"/>
        <w:suppressAutoHyphens/>
        <w:rPr>
          <w:rFonts w:cs="Arial"/>
        </w:rPr>
      </w:pPr>
      <w:r>
        <w:rPr>
          <w:rFonts w:cs="Arial"/>
        </w:rPr>
        <w:t>7.</w:t>
      </w:r>
      <w:r>
        <w:rPr>
          <w:rFonts w:cs="Arial"/>
        </w:rPr>
        <w:tab/>
        <w:t>Het bevoegd gezag, kan ten behoeve van het voorkomen van risico's voor de omgeving en ongewone voorvallen, dan wel voor zover dat niet mogelijk is het zoveel mogelijk beperken van de risico's voor de omgeving en de kans dat ongewone voorvallen zich voordoen en de gevolgen hiervan, maatwerkvoorschriften stellen ten aanzien van de invulling van het legionella-beheersplan, bedoeld in het eerste lid.</w:t>
      </w:r>
    </w:p>
    <w:p w:rsidR="00BF7F92" w:rsidRPr="00620047" w:rsidRDefault="00BF7F92">
      <w:pPr>
        <w:rPr>
          <w:rFonts w:cs="Arial"/>
        </w:rPr>
      </w:pPr>
    </w:p>
    <w:p w:rsidR="00296032" w:rsidRPr="00296032" w:rsidRDefault="00296032">
      <w:pPr>
        <w:pStyle w:val="paragraaf"/>
      </w:pPr>
      <w:bookmarkStart w:id="85" w:name="_Toc431375580"/>
      <w:r w:rsidRPr="00296032">
        <w:t>§ 3.2.6.</w:t>
      </w:r>
      <w:r w:rsidRPr="00296032">
        <w:tab/>
        <w:t>In werking hebben van een koelinstallatie</w:t>
      </w:r>
      <w:bookmarkEnd w:id="85"/>
    </w:p>
    <w:p w:rsidR="00296032" w:rsidRPr="00296032" w:rsidRDefault="00296032">
      <w:pPr>
        <w:pStyle w:val="artikelkop"/>
      </w:pPr>
      <w:r w:rsidRPr="00296032">
        <w:t>Artikel 3.16c</w:t>
      </w:r>
    </w:p>
    <w:p w:rsidR="00296032" w:rsidRPr="00620047" w:rsidRDefault="00296032">
      <w:pPr>
        <w:pStyle w:val="artplat"/>
      </w:pPr>
      <w:r w:rsidRPr="00620047">
        <w:t>Deze paragraaf is van toepassing op het in werking hebben van:</w:t>
      </w:r>
    </w:p>
    <w:p w:rsidR="00296032" w:rsidRPr="00620047" w:rsidRDefault="00296032">
      <w:pPr>
        <w:pStyle w:val="artplatletter"/>
      </w:pPr>
      <w:r w:rsidRPr="00620047">
        <w:t>a.</w:t>
      </w:r>
      <w:r w:rsidRPr="00620047">
        <w:tab/>
        <w:t>een koelinstallatie met een inhoud van ten minste 10 kilogram kooldioxide,</w:t>
      </w:r>
    </w:p>
    <w:p w:rsidR="00296032" w:rsidRPr="00620047" w:rsidRDefault="00296032">
      <w:pPr>
        <w:pStyle w:val="artplatletter"/>
      </w:pPr>
      <w:r w:rsidRPr="00620047">
        <w:t>b.</w:t>
      </w:r>
      <w:r w:rsidRPr="00620047">
        <w:tab/>
        <w:t>een koelinstallatie met een inhoud van ten minste 5 kilogram koolwaterstoffen, of</w:t>
      </w:r>
    </w:p>
    <w:p w:rsidR="00296032" w:rsidRPr="00620047" w:rsidRDefault="00296032">
      <w:pPr>
        <w:pStyle w:val="artplatletter"/>
      </w:pPr>
      <w:r w:rsidRPr="00620047">
        <w:t>c.</w:t>
      </w:r>
      <w:r w:rsidRPr="00620047">
        <w:tab/>
        <w:t>een koelinstallatie met een inhoud van ten minste 10 en ten hoogste 1500 kilogram ammoniak.</w:t>
      </w:r>
    </w:p>
    <w:p w:rsidR="00296032" w:rsidRPr="00296032" w:rsidRDefault="00296032">
      <w:pPr>
        <w:pStyle w:val="artikelkop"/>
      </w:pPr>
      <w:r w:rsidRPr="00296032">
        <w:t>Artikel 3.16d</w:t>
      </w:r>
    </w:p>
    <w:p w:rsidR="00296032" w:rsidRPr="00620047" w:rsidRDefault="00296032">
      <w:pPr>
        <w:pStyle w:val="art1enivo"/>
      </w:pPr>
      <w:r w:rsidRPr="00620047">
        <w:t>1.</w:t>
      </w:r>
      <w:r w:rsidRPr="00620047">
        <w:tab/>
        <w:t>Een koelinstallatie met een natuurlijk koudemiddel voldoet ten behoeve van het voorkomen van risico's voor de omgeving en ongewone voorvallen, dan wel voor zover dat niet mogelijk is het zoveel mogelijk beperken van de risico's voor de omgeving en de kans dat ongewone voorvallen zich voordoen en de gevolgen hiervan, ten minste aan de bij ministeriële regeling gestelde eisen.</w:t>
      </w:r>
    </w:p>
    <w:p w:rsidR="00296032" w:rsidRPr="00620047" w:rsidRDefault="00296032">
      <w:pPr>
        <w:pStyle w:val="art1enivo"/>
      </w:pPr>
      <w:r w:rsidRPr="00620047">
        <w:t>2.</w:t>
      </w:r>
      <w:r w:rsidRPr="00620047">
        <w:tab/>
        <w:t>Een koelinstallatie als bedoeld in het eerste lid wordt ten minste eenmaal per kalenderjaar gecontroleerd op het veilig functioneren.</w:t>
      </w:r>
    </w:p>
    <w:p w:rsidR="00296032" w:rsidRPr="00620047" w:rsidRDefault="00296032">
      <w:pPr>
        <w:pStyle w:val="art1enivo"/>
      </w:pPr>
      <w:r w:rsidRPr="00620047">
        <w:t>3.</w:t>
      </w:r>
      <w:r w:rsidRPr="00620047">
        <w:tab/>
        <w:t>Een controle als bedoeld in het tweede lid wordt verricht door degene die het onderhoud uitvoert en beschikt over een vakbekwaamheidscertificaat als bedoeld in:</w:t>
      </w:r>
    </w:p>
    <w:p w:rsidR="00296032" w:rsidRPr="00620047" w:rsidRDefault="00296032">
      <w:pPr>
        <w:pStyle w:val="art2enivo"/>
      </w:pPr>
      <w:r w:rsidRPr="00620047">
        <w:t>a.</w:t>
      </w:r>
      <w:r w:rsidRPr="00620047">
        <w:tab/>
        <w:t xml:space="preserve">PGS 13 indien het een koelinstallatie met ammoniak als </w:t>
      </w:r>
      <w:r w:rsidR="009B09AA">
        <w:t xml:space="preserve">natuurlijk </w:t>
      </w:r>
      <w:r w:rsidRPr="00620047">
        <w:t>koudemiddel betreft,</w:t>
      </w:r>
    </w:p>
    <w:p w:rsidR="00296032" w:rsidRPr="00620047" w:rsidRDefault="00296032">
      <w:pPr>
        <w:pStyle w:val="art2enivo"/>
      </w:pPr>
      <w:r w:rsidRPr="00620047">
        <w:t>b.</w:t>
      </w:r>
      <w:r w:rsidRPr="00620047">
        <w:tab/>
        <w:t xml:space="preserve">NPR 7600 indien het een koelinstallatie met koolwaterstoffen als </w:t>
      </w:r>
      <w:r w:rsidR="009B09AA">
        <w:t xml:space="preserve">natuurlijk </w:t>
      </w:r>
      <w:r w:rsidRPr="00620047">
        <w:t>koudemiddel betreft,</w:t>
      </w:r>
    </w:p>
    <w:p w:rsidR="00296032" w:rsidRPr="00620047" w:rsidRDefault="00296032">
      <w:pPr>
        <w:pStyle w:val="art2enivo"/>
      </w:pPr>
      <w:r w:rsidRPr="00620047">
        <w:t>c.</w:t>
      </w:r>
      <w:r w:rsidRPr="00620047">
        <w:tab/>
        <w:t>NPR 7601 indien het een koelinstallatie met kooldioxide als</w:t>
      </w:r>
      <w:r w:rsidR="009B09AA">
        <w:t xml:space="preserve"> natuurlijk</w:t>
      </w:r>
      <w:r w:rsidRPr="00620047">
        <w:t xml:space="preserve"> koudemiddel betreft.</w:t>
      </w:r>
    </w:p>
    <w:p w:rsidR="00296032" w:rsidRPr="00620047" w:rsidRDefault="00296032">
      <w:pPr>
        <w:pStyle w:val="art1enivo"/>
      </w:pPr>
      <w:r w:rsidRPr="00620047">
        <w:t>4.</w:t>
      </w:r>
      <w:r w:rsidRPr="00620047">
        <w:tab/>
        <w:t>Van de controle wordt een rapport opgemaakt dat aan de drijver van de inrichting ter beschikking wordt gesteld.</w:t>
      </w:r>
    </w:p>
    <w:p w:rsidR="00296032" w:rsidRPr="00620047" w:rsidRDefault="00296032">
      <w:pPr>
        <w:pStyle w:val="art1enivo"/>
      </w:pPr>
      <w:r w:rsidRPr="00620047">
        <w:t>5.</w:t>
      </w:r>
      <w:r w:rsidRPr="00620047">
        <w:tab/>
        <w:t>In een kunstijsbaan met ammoniak als natuurlijk koudemiddel wordt een indirect koelsysteem als bedoeld in hoofdstuk 2.4 van PGS 13 toegepast.</w:t>
      </w:r>
    </w:p>
    <w:p w:rsidR="00296032" w:rsidRDefault="00296032">
      <w:pPr>
        <w:pStyle w:val="art1enivo"/>
      </w:pPr>
      <w:r w:rsidRPr="00620047">
        <w:t>6.</w:t>
      </w:r>
      <w:r w:rsidRPr="00620047">
        <w:tab/>
        <w:t>Het vijfde lid is niet van toepassing op koelinstallaties bij kunstijsbanen die zijn geïnstalleerd voor 1 januari 2010.</w:t>
      </w:r>
    </w:p>
    <w:p w:rsidR="00BF7F92" w:rsidRDefault="00BF7F92" w:rsidP="00BF7F92"/>
    <w:p w:rsidR="00BF7F92" w:rsidRDefault="00BF7F92" w:rsidP="00BF7F92">
      <w:pPr>
        <w:pStyle w:val="paragraaf"/>
        <w:shd w:val="clear" w:color="auto" w:fill="D9D9D9" w:themeFill="background1" w:themeFillShade="D9"/>
      </w:pPr>
      <w:bookmarkStart w:id="86" w:name="_Toc431375581"/>
      <w:r>
        <w:t xml:space="preserve">§ 3.2.6. </w:t>
      </w:r>
      <w:r>
        <w:tab/>
        <w:t>In werking hebben van een koelinstallatie</w:t>
      </w:r>
      <w:bookmarkEnd w:id="86"/>
    </w:p>
    <w:p w:rsidR="00BF7F92" w:rsidRDefault="00BF7F92" w:rsidP="00BF7F92">
      <w:pPr>
        <w:pStyle w:val="artikelkop"/>
        <w:shd w:val="clear" w:color="auto" w:fill="D9D9D9" w:themeFill="background1" w:themeFillShade="D9"/>
        <w:rPr>
          <w:rFonts w:eastAsiaTheme="minorEastAsia"/>
          <w:lang w:eastAsia="nl-NL"/>
        </w:rPr>
      </w:pPr>
      <w:r>
        <w:rPr>
          <w:rFonts w:eastAsiaTheme="minorEastAsia"/>
          <w:lang w:eastAsia="nl-NL"/>
        </w:rPr>
        <w:t xml:space="preserve">Artikel 3.16b </w:t>
      </w:r>
    </w:p>
    <w:p w:rsidR="00BF7F92" w:rsidRDefault="00BF7F92" w:rsidP="00BF7F92">
      <w:pPr>
        <w:pStyle w:val="artplat"/>
        <w:shd w:val="clear" w:color="auto" w:fill="D9D9D9" w:themeFill="background1" w:themeFillShade="D9"/>
        <w:rPr>
          <w:rFonts w:eastAsiaTheme="minorEastAsia"/>
          <w:lang w:eastAsia="nl-NL"/>
        </w:rPr>
      </w:pPr>
      <w:r>
        <w:rPr>
          <w:rFonts w:eastAsiaTheme="minorEastAsia"/>
          <w:lang w:eastAsia="nl-NL"/>
        </w:rPr>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3.16d, eerste lid, van het besluit voldoet een koelinstallatie:</w:t>
      </w:r>
    </w:p>
    <w:p w:rsidR="00BF7F92" w:rsidRDefault="00BF7F92" w:rsidP="00BF7F92">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met ammoniak als koudemiddel ten minste aan paragraaf 2.5, met uitzondering van voorschrift 2.5.6, hoofdstuk 5 en hoofdstuk 8, met uitzondering van de paragrafen 8.3 en 8.6, van PGS 13;</w:t>
      </w:r>
    </w:p>
    <w:p w:rsidR="00BF7F92" w:rsidRDefault="00BF7F92" w:rsidP="00BF7F92">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met koolwaterstoffen als koudemiddel ten minste aan paragraaf 5.7, hoofdstuk 7 en hoofdstuk 8, met uitzondering van de paragrafen 8.3 en 8.6 van NPR 7600;</w:t>
      </w:r>
    </w:p>
    <w:p w:rsidR="00BF7F92" w:rsidRDefault="00BF7F92" w:rsidP="00BF7F92">
      <w:pPr>
        <w:pStyle w:val="artplatletter"/>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met kooldioxide als koudemiddel ten minste aan paragraaf 5.7, hoofdstuk 7 en hoofdstuk 8, uitgezonderd de paragrafen 8.3 en 8.6, van NPR 7601.</w:t>
      </w:r>
    </w:p>
    <w:p w:rsidR="00BF7F92" w:rsidRDefault="00BF7F92"/>
    <w:p w:rsidR="00296032" w:rsidRPr="00296032" w:rsidRDefault="00296032">
      <w:pPr>
        <w:pStyle w:val="paragraaf"/>
      </w:pPr>
      <w:bookmarkStart w:id="87" w:name="_Toc431375582"/>
      <w:r w:rsidRPr="00296032">
        <w:t>§ 3.2.7.</w:t>
      </w:r>
      <w:r w:rsidRPr="00296032">
        <w:tab/>
        <w:t>In werking hebben van een wisselverwarmingsinstallatie</w:t>
      </w:r>
      <w:bookmarkEnd w:id="87"/>
    </w:p>
    <w:p w:rsidR="00296032" w:rsidRPr="00296032" w:rsidRDefault="00296032">
      <w:pPr>
        <w:pStyle w:val="artikelkop"/>
      </w:pPr>
      <w:r w:rsidRPr="00296032">
        <w:t>Artikel 3.16e</w:t>
      </w:r>
    </w:p>
    <w:p w:rsidR="00296032" w:rsidRPr="00620047" w:rsidRDefault="00296032">
      <w:pPr>
        <w:pStyle w:val="artplat"/>
      </w:pPr>
      <w:r w:rsidRPr="00620047">
        <w:t>Deze paragraaf is van toepassing op het in werking hebben van een wisselverwarmingsinstallatie met vloeibare bodembedreigende stoffen.</w:t>
      </w:r>
    </w:p>
    <w:p w:rsidR="00296032" w:rsidRPr="00296032" w:rsidRDefault="00296032">
      <w:pPr>
        <w:pStyle w:val="artikelkop"/>
      </w:pPr>
      <w:r w:rsidRPr="00296032">
        <w:t>Artikel 3.16f</w:t>
      </w:r>
    </w:p>
    <w:p w:rsidR="00296032" w:rsidRDefault="00296032">
      <w:pPr>
        <w:pStyle w:val="artplat"/>
      </w:pPr>
      <w:r w:rsidRPr="00620047">
        <w:t>Bij het in werking hebben van een wisselverwarmingsinstallatie wordt ten behoeve van het realiseren van een verwaarloosbaar bodemrisico voldaan aan de bij ministeriële regeling gestelde eisen.</w:t>
      </w:r>
    </w:p>
    <w:p w:rsidR="00BF7F92" w:rsidRDefault="00BF7F92">
      <w:pPr>
        <w:pStyle w:val="artplat"/>
      </w:pPr>
    </w:p>
    <w:p w:rsidR="00BF7F92" w:rsidRDefault="00BF7F92" w:rsidP="00BF7F92">
      <w:pPr>
        <w:pStyle w:val="paragraaf"/>
        <w:shd w:val="clear" w:color="auto" w:fill="D9D9D9" w:themeFill="background1" w:themeFillShade="D9"/>
      </w:pPr>
      <w:bookmarkStart w:id="88" w:name="_Toc431375583"/>
      <w:r>
        <w:t>§ 3.2.7</w:t>
      </w:r>
      <w:r>
        <w:tab/>
        <w:t>In werking hebben van een wisselverwarmingsinstallatie</w:t>
      </w:r>
      <w:bookmarkEnd w:id="88"/>
    </w:p>
    <w:p w:rsidR="00BF7F92" w:rsidRDefault="00BF7F92" w:rsidP="00BF7F92">
      <w:pPr>
        <w:pStyle w:val="artikelkop"/>
        <w:shd w:val="clear" w:color="auto" w:fill="D9D9D9" w:themeFill="background1" w:themeFillShade="D9"/>
      </w:pPr>
      <w:r>
        <w:t>Artikel 3.16d</w:t>
      </w:r>
    </w:p>
    <w:p w:rsidR="00BF7F92" w:rsidRDefault="00BF7F92" w:rsidP="00BF7F92">
      <w:pPr>
        <w:pStyle w:val="artplat"/>
        <w:shd w:val="clear" w:color="auto" w:fill="D9D9D9" w:themeFill="background1" w:themeFillShade="D9"/>
        <w:suppressAutoHyphens/>
        <w:rPr>
          <w:rFonts w:cs="Arial"/>
        </w:rPr>
      </w:pPr>
      <w:r>
        <w:rPr>
          <w:rFonts w:cs="Arial"/>
        </w:rPr>
        <w:t>Ten behoeve van het realiseren van een verwaarloosbaar bodemrisico als bedoeld artikel 3.16f van het besluit voldoet een wisselverwarmingsinstallatie aan artikel 3.16e.</w:t>
      </w:r>
    </w:p>
    <w:p w:rsidR="00BF7F92" w:rsidRDefault="00BF7F92" w:rsidP="00BF7F92">
      <w:pPr>
        <w:pStyle w:val="artikelkop"/>
        <w:shd w:val="clear" w:color="auto" w:fill="D9D9D9" w:themeFill="background1" w:themeFillShade="D9"/>
      </w:pPr>
      <w:r>
        <w:t>Artikel 3.16e</w:t>
      </w:r>
    </w:p>
    <w:p w:rsidR="00BF7F92" w:rsidRDefault="00BF7F92" w:rsidP="00BF7F92">
      <w:pPr>
        <w:pStyle w:val="art1enivo"/>
        <w:shd w:val="clear" w:color="auto" w:fill="D9D9D9" w:themeFill="background1" w:themeFillShade="D9"/>
        <w:suppressAutoHyphens/>
        <w:rPr>
          <w:rFonts w:cs="Arial"/>
        </w:rPr>
      </w:pPr>
      <w:r>
        <w:rPr>
          <w:rFonts w:cs="Arial"/>
        </w:rPr>
        <w:t>1.</w:t>
      </w:r>
      <w:r>
        <w:rPr>
          <w:rFonts w:cs="Arial"/>
        </w:rPr>
        <w:tab/>
        <w:t>Een installatie voor het verwarmen van wissels waarbij vloeibare bodembedreigende stoffen worden gebruikt, wordt uitgevoerd als een gesloten systeem.</w:t>
      </w:r>
    </w:p>
    <w:p w:rsidR="00BF7F92" w:rsidRDefault="00BF7F92" w:rsidP="00BF7F92">
      <w:pPr>
        <w:pStyle w:val="art1enivo"/>
        <w:shd w:val="clear" w:color="auto" w:fill="D9D9D9" w:themeFill="background1" w:themeFillShade="D9"/>
        <w:suppressAutoHyphens/>
        <w:rPr>
          <w:rFonts w:cs="Arial"/>
        </w:rPr>
      </w:pPr>
      <w:r>
        <w:rPr>
          <w:rFonts w:cs="Arial"/>
        </w:rPr>
        <w:t>2.</w:t>
      </w:r>
      <w:r>
        <w:rPr>
          <w:rFonts w:cs="Arial"/>
        </w:rPr>
        <w:tab/>
        <w:t>De controle, het onderhoud en het beheer van de wisselverwarmingseenheden, bedoeld in het eerste lid, zijn in eenduidige bedrijfsinterne procedures en werkinstructies ter bescherming van de bodem vastgelegd.</w:t>
      </w:r>
    </w:p>
    <w:p w:rsidR="00BF7F92" w:rsidRDefault="00BF7F92" w:rsidP="00BF7F92">
      <w:pPr>
        <w:pStyle w:val="art1enivo"/>
        <w:shd w:val="clear" w:color="auto" w:fill="D9D9D9" w:themeFill="background1" w:themeFillShade="D9"/>
        <w:suppressAutoHyphens/>
        <w:rPr>
          <w:rFonts w:cs="Arial"/>
        </w:rPr>
      </w:pPr>
      <w:r>
        <w:rPr>
          <w:rFonts w:cs="Arial"/>
        </w:rPr>
        <w:t>3.</w:t>
      </w:r>
      <w:r>
        <w:rPr>
          <w:rFonts w:cs="Arial"/>
        </w:rPr>
        <w:tab/>
        <w:t>In de bedrijfsinterne procedures en werkinstructies, bedoeld in het tweede lid, is ten minste aangegeven op welke wijze:</w:t>
      </w:r>
    </w:p>
    <w:p w:rsidR="00BF7F92" w:rsidRDefault="00BF7F92" w:rsidP="00BF7F92">
      <w:pPr>
        <w:pStyle w:val="art2enivo"/>
        <w:shd w:val="clear" w:color="auto" w:fill="D9D9D9" w:themeFill="background1" w:themeFillShade="D9"/>
        <w:suppressAutoHyphens/>
        <w:rPr>
          <w:rFonts w:cs="Arial"/>
        </w:rPr>
      </w:pPr>
      <w:r>
        <w:rPr>
          <w:rFonts w:cs="Arial"/>
        </w:rPr>
        <w:t>a.</w:t>
      </w:r>
      <w:r>
        <w:rPr>
          <w:rFonts w:cs="Arial"/>
        </w:rPr>
        <w:tab/>
        <w:t>de staat en goede werking van wisselverwarmingseenheden wordt gecontroleerd;</w:t>
      </w:r>
    </w:p>
    <w:p w:rsidR="00BF7F92" w:rsidRDefault="00BF7F92" w:rsidP="00BF7F92">
      <w:pPr>
        <w:pStyle w:val="art2enivo"/>
        <w:shd w:val="clear" w:color="auto" w:fill="D9D9D9" w:themeFill="background1" w:themeFillShade="D9"/>
        <w:suppressAutoHyphens/>
        <w:rPr>
          <w:rFonts w:cs="Arial"/>
        </w:rPr>
      </w:pPr>
      <w:r>
        <w:rPr>
          <w:rFonts w:cs="Arial"/>
        </w:rPr>
        <w:t>b.</w:t>
      </w:r>
      <w:r>
        <w:rPr>
          <w:rFonts w:cs="Arial"/>
        </w:rPr>
        <w:tab/>
        <w:t>er voor zorg wordt gedragen dat zo vaak als de omstandigheden daarom vragen inspecties op morsingen en lekkages plaatsvinden, en</w:t>
      </w:r>
    </w:p>
    <w:p w:rsidR="00BF7F92" w:rsidRDefault="00BF7F92" w:rsidP="00BF7F92">
      <w:pPr>
        <w:pStyle w:val="art2enivo"/>
        <w:shd w:val="clear" w:color="auto" w:fill="D9D9D9" w:themeFill="background1" w:themeFillShade="D9"/>
        <w:suppressAutoHyphens/>
        <w:rPr>
          <w:rFonts w:cs="Arial"/>
        </w:rPr>
      </w:pPr>
      <w:r>
        <w:rPr>
          <w:rFonts w:cs="Arial"/>
        </w:rPr>
        <w:t>c.</w:t>
      </w:r>
      <w:r>
        <w:rPr>
          <w:rFonts w:cs="Arial"/>
        </w:rPr>
        <w:tab/>
        <w:t>is gewaarborgd dat gemorste of gelekte stoffen direct worden opgeruimd.</w:t>
      </w:r>
    </w:p>
    <w:p w:rsidR="00BF7F92" w:rsidRDefault="00BF7F92" w:rsidP="00BF7F92">
      <w:pPr>
        <w:pStyle w:val="art1enivo"/>
        <w:shd w:val="clear" w:color="auto" w:fill="D9D9D9" w:themeFill="background1" w:themeFillShade="D9"/>
        <w:suppressAutoHyphens/>
        <w:rPr>
          <w:rFonts w:cs="Arial"/>
        </w:rPr>
      </w:pPr>
      <w:r>
        <w:rPr>
          <w:rFonts w:cs="Arial"/>
        </w:rPr>
        <w:t>4.</w:t>
      </w:r>
      <w:r>
        <w:rPr>
          <w:rFonts w:cs="Arial"/>
        </w:rPr>
        <w:tab/>
        <w:t>Degene die de inrichting drijft draagt er zorg voor dat de medewerkers die binnen de inrichting bodembedreigende activiteiten verrichten, op de hoogte zijn van de bedrijfsinterne procedures en werkinstructies, bedoeld in het tweede lid, dat deze worden nageleefd en binnen de inrichting zodanig aanwezig zijn dat een ieder daarvan op eenvoudige wijze kennis kan nemen.</w:t>
      </w:r>
    </w:p>
    <w:p w:rsidR="00BF7F92" w:rsidRDefault="00BF7F92" w:rsidP="00BF7F92">
      <w:pPr>
        <w:pStyle w:val="art1enivo"/>
        <w:shd w:val="clear" w:color="auto" w:fill="D9D9D9" w:themeFill="background1" w:themeFillShade="D9"/>
        <w:suppressAutoHyphens/>
        <w:rPr>
          <w:rFonts w:cs="Arial"/>
        </w:rPr>
      </w:pPr>
      <w:r>
        <w:rPr>
          <w:rFonts w:cs="Arial"/>
        </w:rPr>
        <w:t>5.</w:t>
      </w:r>
      <w:r>
        <w:rPr>
          <w:rFonts w:cs="Arial"/>
        </w:rPr>
        <w:tab/>
        <w:t>Morsingen en lekkages worden overeenkomstig de bedrijfsinterne procedures en werkinstructies, bedoeld in het tweede lid, verholpen en opgeruimd.</w:t>
      </w:r>
    </w:p>
    <w:p w:rsidR="00BF7F92" w:rsidRDefault="00BF7F92" w:rsidP="00BF7F92">
      <w:pPr>
        <w:pStyle w:val="art1enivo"/>
        <w:shd w:val="clear" w:color="auto" w:fill="D9D9D9" w:themeFill="background1" w:themeFillShade="D9"/>
        <w:suppressAutoHyphens/>
        <w:rPr>
          <w:rFonts w:cs="Arial"/>
        </w:rPr>
      </w:pPr>
      <w:r>
        <w:rPr>
          <w:rFonts w:cs="Arial"/>
        </w:rPr>
        <w:t>6.</w:t>
      </w:r>
      <w:r>
        <w:rPr>
          <w:rFonts w:cs="Arial"/>
        </w:rPr>
        <w:tab/>
        <w:t>Degene die de inrichting drijft draagt er zorg voor dat de in het kader van de bedrijfsinterne procedures en werkinstructies noodzakelijke absorptiemiddelen en andere materialen en middelen ter bescherming van de bodem binnen de inrichting in voldoende mate aanwezig zijn en dat er voldoende in het gebruik van deze middelen geïnstrueerd personeel aanwezig is.</w:t>
      </w:r>
    </w:p>
    <w:p w:rsidR="00BF7F92" w:rsidRDefault="00BF7F92" w:rsidP="00BF7F92">
      <w:pPr>
        <w:pStyle w:val="art1enivo"/>
        <w:shd w:val="clear" w:color="auto" w:fill="D9D9D9" w:themeFill="background1" w:themeFillShade="D9"/>
        <w:suppressAutoHyphens/>
        <w:rPr>
          <w:rFonts w:cs="Arial"/>
        </w:rPr>
      </w:pPr>
      <w:r>
        <w:rPr>
          <w:rFonts w:cs="Arial"/>
        </w:rPr>
        <w:t>7.</w:t>
      </w:r>
      <w:r>
        <w:rPr>
          <w:rFonts w:cs="Arial"/>
        </w:rPr>
        <w:tab/>
        <w:t>Bevindingen van controles van of onderhoud aan wisselverwarmingseenheden, alsmede acties genomen na incidenten met bodembedreigende stoffen, die mogelijk hebben geleid tot een bodemverontreiniging, worden opgenomen in een logboek dat te allen tijde beschikbaar is voor het bevoegd gezag.</w:t>
      </w:r>
    </w:p>
    <w:p w:rsidR="00BF7F92" w:rsidRDefault="00BF7F92" w:rsidP="00BF7F92">
      <w:pPr>
        <w:pStyle w:val="art1enivo"/>
        <w:shd w:val="clear" w:color="auto" w:fill="D9D9D9" w:themeFill="background1" w:themeFillShade="D9"/>
        <w:suppressAutoHyphens/>
        <w:rPr>
          <w:rFonts w:cs="Arial"/>
        </w:rPr>
      </w:pPr>
      <w:r>
        <w:rPr>
          <w:rFonts w:cs="Arial"/>
        </w:rPr>
        <w:t>8.</w:t>
      </w:r>
      <w:r>
        <w:rPr>
          <w:rFonts w:cs="Arial"/>
        </w:rPr>
        <w:tab/>
        <w:t>Artikel 2.11 van het besluit is niet van toepassing op wisselverwarmingseenheden die vloeibare bodembedreigende stoffen bevat.</w:t>
      </w:r>
    </w:p>
    <w:p w:rsidR="00BF7F92" w:rsidRPr="00620047" w:rsidRDefault="00BF7F92">
      <w:pPr>
        <w:pStyle w:val="artplat"/>
      </w:pPr>
    </w:p>
    <w:p w:rsidR="00296032" w:rsidRPr="00296032" w:rsidRDefault="00296032">
      <w:pPr>
        <w:pStyle w:val="paragraaf"/>
      </w:pPr>
      <w:bookmarkStart w:id="89" w:name="_Toc431375584"/>
      <w:r w:rsidRPr="00296032">
        <w:t>§ 3.2.8 Installeren en in werking hebben van een gesloten bodemenergiesysteem</w:t>
      </w:r>
      <w:bookmarkEnd w:id="89"/>
    </w:p>
    <w:p w:rsidR="00296032" w:rsidRPr="00296032" w:rsidRDefault="00296032">
      <w:pPr>
        <w:pStyle w:val="artikelkop"/>
      </w:pPr>
      <w:r w:rsidRPr="00296032">
        <w:t>Artikel 3.16g</w:t>
      </w:r>
    </w:p>
    <w:p w:rsidR="00296032" w:rsidRPr="00620047" w:rsidRDefault="00296032">
      <w:pPr>
        <w:pStyle w:val="artplat"/>
      </w:pPr>
      <w:r w:rsidRPr="00620047">
        <w:t>Deze paragraaf is van toepassing op het installeren en in werking hebben van een gesloten bodemenergiesysteem.</w:t>
      </w:r>
    </w:p>
    <w:p w:rsidR="00296032" w:rsidRPr="00296032" w:rsidRDefault="00296032">
      <w:pPr>
        <w:pStyle w:val="artikelkop"/>
      </w:pPr>
      <w:r w:rsidRPr="00296032">
        <w:t>Artikel 3.16h</w:t>
      </w:r>
    </w:p>
    <w:p w:rsidR="00296032" w:rsidRPr="00620047" w:rsidRDefault="00296032">
      <w:pPr>
        <w:pStyle w:val="artplat"/>
      </w:pPr>
      <w:r w:rsidRPr="00620047">
        <w:t>Het lozen van spoelwater ten gevolge van het boren ten behoeve van een gesloten bodemenergiesysteem op de bodem is toegestaan.</w:t>
      </w:r>
    </w:p>
    <w:p w:rsidR="00296032" w:rsidRPr="00296032" w:rsidRDefault="00296032">
      <w:pPr>
        <w:pStyle w:val="artikelkop"/>
      </w:pPr>
      <w:r w:rsidRPr="00296032">
        <w:t>Artikel 3.16i</w:t>
      </w:r>
    </w:p>
    <w:p w:rsidR="00296032" w:rsidRPr="00620047" w:rsidRDefault="00296032">
      <w:pPr>
        <w:pStyle w:val="art1enivo"/>
      </w:pPr>
      <w:r w:rsidRPr="00620047">
        <w:t>1.</w:t>
      </w:r>
      <w:r w:rsidRPr="00620047">
        <w:tab/>
        <w:t>Indien een redelijk vermoeden bestaat dat in een gesloten bodemenergiesysteem lekkage optreedt, wordt het onmiddellijk buiten werking gesteld en wordt de circulatievloeistof daaruit onmiddellijk verwijderd, tenzij water zonder toevoegingen wordt gebruikt.</w:t>
      </w:r>
    </w:p>
    <w:p w:rsidR="00296032" w:rsidRPr="00620047" w:rsidRDefault="00296032">
      <w:pPr>
        <w:pStyle w:val="art1enivo"/>
      </w:pPr>
      <w:r w:rsidRPr="00620047">
        <w:t>2.</w:t>
      </w:r>
      <w:r w:rsidRPr="00620047">
        <w:tab/>
        <w:t>Bij het opslaan van circulatievloeistof in een buffertank wordt de druk in het systeem continu gemeten en worden voorzieningen toegepast waarmee drukverlagingen kunnen worden gesignaleerd.</w:t>
      </w:r>
    </w:p>
    <w:p w:rsidR="00296032" w:rsidRPr="00296032" w:rsidRDefault="00296032">
      <w:pPr>
        <w:pStyle w:val="artikelkop"/>
      </w:pPr>
      <w:r w:rsidRPr="00296032">
        <w:t>Artikel 3.16j</w:t>
      </w:r>
    </w:p>
    <w:p w:rsidR="00296032" w:rsidRPr="00620047" w:rsidRDefault="00296032">
      <w:pPr>
        <w:pStyle w:val="art1enivo"/>
      </w:pPr>
      <w:r w:rsidRPr="00620047">
        <w:t>1.</w:t>
      </w:r>
      <w:r w:rsidRPr="00620047">
        <w:tab/>
        <w:t>De temperatuur van de circulatievloeistof in de retourbuis van een gesloten bodemenergiesysteem bedraagt niet minder dan -3°C en niet meer dan 30°C.</w:t>
      </w:r>
    </w:p>
    <w:p w:rsidR="00296032" w:rsidRPr="00620047" w:rsidRDefault="00296032">
      <w:pPr>
        <w:pStyle w:val="art1enivo"/>
      </w:pPr>
      <w:r w:rsidRPr="00620047">
        <w:t>2.</w:t>
      </w:r>
      <w:r w:rsidRPr="00620047">
        <w:tab/>
        <w:t>In afwijking van het eerste lid kan het bevoegd gezag in het belang van een doelmatig gebruik van bodemenergie bij maatwerkvoorschrift een hogere temperatuur dan 30°C toestaan, indien het belang van de bescherming van de bodem zich daartegen niet verzet.</w:t>
      </w:r>
    </w:p>
    <w:p w:rsidR="00296032" w:rsidRPr="00296032" w:rsidRDefault="00296032">
      <w:pPr>
        <w:pStyle w:val="artikelkop"/>
      </w:pPr>
      <w:r w:rsidRPr="00296032">
        <w:t>Artikel 3.16k</w:t>
      </w:r>
    </w:p>
    <w:p w:rsidR="00296032" w:rsidRPr="00620047" w:rsidRDefault="00296032">
      <w:pPr>
        <w:pStyle w:val="art1enivo"/>
      </w:pPr>
      <w:r w:rsidRPr="00620047">
        <w:t>1.</w:t>
      </w:r>
      <w:r w:rsidRPr="00620047">
        <w:tab/>
        <w:t>Een gesloten bodemenergiesysteem bereikt uiterlijk vijf jaar na de datum van ingebruikneming een moment waarop geen sprake is van een warmteoverschot en herhaalt dit telkens uiterlijk vijf jaar na het laatste moment waarop die situatie werd bereikt.</w:t>
      </w:r>
    </w:p>
    <w:p w:rsidR="00296032" w:rsidRPr="00620047" w:rsidRDefault="00296032">
      <w:pPr>
        <w:pStyle w:val="art1enivo"/>
      </w:pPr>
      <w:r w:rsidRPr="00620047">
        <w:t>2.</w:t>
      </w:r>
      <w:r w:rsidRPr="00620047">
        <w:tab/>
        <w:t>Van een warmteoverschot is sprake indien de hoeveelheid warmte groter is dan de hoeveelheid koude, die, uitgedrukt in MWh, vanaf de datum van ingebruikneming door het systeem aan de bodem zijn toegevoegd.</w:t>
      </w:r>
    </w:p>
    <w:p w:rsidR="00296032" w:rsidRPr="00620047" w:rsidRDefault="00296032">
      <w:pPr>
        <w:pStyle w:val="art1enivo"/>
      </w:pPr>
      <w:r w:rsidRPr="00620047">
        <w:t>3.</w:t>
      </w:r>
      <w:r w:rsidRPr="00620047">
        <w:tab/>
        <w:t>Het bevoegd gezag kan in het belang van een doelmatig gebruik van bodemenergie bij maatwerkvoorschrift eisen stellen ter beperking van het koudeoverschot dat het systeem mag veroorzaken.</w:t>
      </w:r>
    </w:p>
    <w:p w:rsidR="00296032" w:rsidRPr="00620047" w:rsidRDefault="00296032">
      <w:pPr>
        <w:pStyle w:val="art1enivo"/>
      </w:pPr>
      <w:r w:rsidRPr="00620047">
        <w:t>4.</w:t>
      </w:r>
      <w:r w:rsidRPr="00620047">
        <w:tab/>
        <w:t>In afwijking van het eerste lid kan het bevoegd gezag in het belang van een doelmatig gebruik van bodemenergie bij maatwerkvoorschrift een warmteoverschot toestaan, indien het belang van de bescherming van de bodem zich daartegen niet verzet.</w:t>
      </w:r>
    </w:p>
    <w:p w:rsidR="00296032" w:rsidRPr="00296032" w:rsidRDefault="00296032">
      <w:pPr>
        <w:pStyle w:val="artikelkop"/>
      </w:pPr>
      <w:r w:rsidRPr="00296032">
        <w:t>Artikel 3.16l</w:t>
      </w:r>
    </w:p>
    <w:p w:rsidR="00296032" w:rsidRPr="00620047" w:rsidRDefault="00296032">
      <w:pPr>
        <w:pStyle w:val="art1enivo"/>
      </w:pPr>
      <w:r w:rsidRPr="00620047">
        <w:t>1.</w:t>
      </w:r>
      <w:r w:rsidRPr="00620047">
        <w:tab/>
        <w:t>Het ontwerp van een gesloten bodemenergiesysteem is afgestemd op aard en omvang van de behoefte aan warmte of koude waarin het systeem voorziet.</w:t>
      </w:r>
    </w:p>
    <w:p w:rsidR="00296032" w:rsidRPr="00620047" w:rsidRDefault="00296032">
      <w:pPr>
        <w:pStyle w:val="art1enivo"/>
      </w:pPr>
      <w:r w:rsidRPr="00620047">
        <w:t>2.</w:t>
      </w:r>
      <w:r w:rsidRPr="00620047">
        <w:tab/>
        <w:t>Een gesloten bodemenergiesysteem levert het energierendement dat bij een doelmatig gebruik en goed onderhoud kan worden behaald.</w:t>
      </w:r>
    </w:p>
    <w:p w:rsidR="00296032" w:rsidRPr="00620047" w:rsidRDefault="00296032">
      <w:pPr>
        <w:pStyle w:val="art1enivo"/>
      </w:pPr>
      <w:r w:rsidRPr="00620047">
        <w:t>3.</w:t>
      </w:r>
      <w:r w:rsidRPr="00620047">
        <w:tab/>
        <w:t>Indien een gesloten bodemenergiesysteem een energierendement levert dat lager is dan in de melding bij de installatie is opgegeven, kan het bevoegd gezag de verplichting opleggen om binnen een daarbij bepaalde termijn onderzoek te verrichten of te laten verrichten waaruit blijkt of wordt voldaan aan het eerste lid, onderscheidenlijk tweede lid.</w:t>
      </w:r>
    </w:p>
    <w:p w:rsidR="00296032" w:rsidRPr="00620047" w:rsidRDefault="00296032">
      <w:pPr>
        <w:pStyle w:val="art1enivo"/>
      </w:pPr>
      <w:r w:rsidRPr="00620047">
        <w:t>4.</w:t>
      </w:r>
      <w:r w:rsidRPr="00620047">
        <w:tab/>
        <w:t>Indien uit het onderzoek, bedoeld in het derde lid, blijkt dat niet wordt voldaan aan het eerste lid, onderscheidenlijk tweede lid, kan het bevoegd gezag de verplichting opleggen om binnen een daarbij bepaalde termijn de daarbij aangegeven maatregelen te treffen teneinde te voldoen aan het eerste lid, voor zover dit redelijkerwijs van hem kan worden gevergd, onderscheidenlijk het tweede lid.</w:t>
      </w:r>
    </w:p>
    <w:p w:rsidR="00296032" w:rsidRPr="00296032" w:rsidRDefault="00296032">
      <w:pPr>
        <w:pStyle w:val="artikelkop"/>
      </w:pPr>
      <w:r w:rsidRPr="00296032">
        <w:t>Artikel 3.16m</w:t>
      </w:r>
    </w:p>
    <w:p w:rsidR="00296032" w:rsidRPr="00620047" w:rsidRDefault="00296032">
      <w:pPr>
        <w:pStyle w:val="art1enivo"/>
      </w:pPr>
      <w:r w:rsidRPr="00620047">
        <w:t>1.</w:t>
      </w:r>
      <w:r w:rsidRPr="00620047">
        <w:tab/>
        <w:t>Het in werking hebben van een gesloten bodemenergiesysteem leidt niet tot zodanige interferentie met een eerder geïnstalleerd gesloten of open bodemenergiesysteem, dat het doelmatig functioneren van een van de desbetreffende systemen kan worden geschaad.</w:t>
      </w:r>
    </w:p>
    <w:p w:rsidR="00296032" w:rsidRPr="00620047" w:rsidRDefault="00296032">
      <w:pPr>
        <w:pStyle w:val="art1enivo"/>
      </w:pPr>
      <w:r w:rsidRPr="00620047">
        <w:t>2.</w:t>
      </w:r>
      <w:r w:rsidRPr="00620047">
        <w:tab/>
        <w:t>Bij de toepassing van het eerste lid wordt rekening gehouden met een eerder geïnstalleerd bodemenergiesysteem, indien:</w:t>
      </w:r>
    </w:p>
    <w:p w:rsidR="00296032" w:rsidRPr="00620047" w:rsidRDefault="00296032">
      <w:pPr>
        <w:pStyle w:val="art2enivo"/>
      </w:pPr>
      <w:r w:rsidRPr="00620047">
        <w:t>a.</w:t>
      </w:r>
      <w:r w:rsidRPr="00620047">
        <w:tab/>
        <w:t>het een open bodemenergiesysteem betreft waarvoor een vergunning is verleend krachtens artikel 6.4, eerste lid, onder b, van de Waterwet, of dat aan het bevoegd gezag is gemeld krachtens artikel 6.6 van die wet;</w:t>
      </w:r>
    </w:p>
    <w:p w:rsidR="00296032" w:rsidRPr="00620047" w:rsidRDefault="00296032">
      <w:pPr>
        <w:pStyle w:val="art2enivo"/>
      </w:pPr>
      <w:r w:rsidRPr="00620047">
        <w:t>b.</w:t>
      </w:r>
      <w:r w:rsidRPr="00620047">
        <w:tab/>
        <w:t>het een gesloten bodemenergiesysteem betreft, dat is geïnstalleerd:</w:t>
      </w:r>
    </w:p>
    <w:p w:rsidR="00296032" w:rsidRPr="00620047" w:rsidRDefault="00296032">
      <w:pPr>
        <w:pStyle w:val="art3enivo"/>
      </w:pPr>
      <w:r w:rsidRPr="00620047">
        <w:t>1°. voor het tijdstip van inwerkingtreding van paragraaf 3.2.8, indien het in werking hebben van het systeem na dat tijdstip aan het bevoegd gezag is gemeld overeenkomstig artikel 1.10 juncto artikel 1.21a, derde lid, dan wel artikel 1.10a, vijfde lid, van het Besluit lozen buiten inrichtingen;</w:t>
      </w:r>
    </w:p>
    <w:p w:rsidR="00296032" w:rsidRPr="00620047" w:rsidRDefault="00296032">
      <w:pPr>
        <w:pStyle w:val="art3enivo"/>
      </w:pPr>
      <w:r w:rsidRPr="00620047">
        <w:t>2°. na het tijdstip van inwerkingtreding van paragraaf 3.2.8, indien de installatie overeenkomstig artikel 1.10 juncto artikel 1.21a, eerste lid, dan wel artikel 1.10a, eerste lid, van het Besluit lozen buiten inrichtingen aan het bevoegd gezag is gemeld of voor de installatie een omgevingsvergunning is verleend.</w:t>
      </w:r>
    </w:p>
    <w:p w:rsidR="00296032" w:rsidRPr="00296032" w:rsidRDefault="00296032">
      <w:pPr>
        <w:pStyle w:val="artikelkop"/>
      </w:pPr>
      <w:r w:rsidRPr="00296032">
        <w:t>Artikel 3.16n</w:t>
      </w:r>
    </w:p>
    <w:p w:rsidR="00296032" w:rsidRPr="00620047" w:rsidRDefault="00296032">
      <w:pPr>
        <w:pStyle w:val="art1enivo"/>
      </w:pPr>
      <w:r w:rsidRPr="00620047">
        <w:t>1.</w:t>
      </w:r>
      <w:r w:rsidRPr="00620047">
        <w:tab/>
        <w:t>Met betrekking tot het in werking hebben van een gesloten bodemenergiesysteem wordt een registratie bijgehouden, die de volgende gegevens bevat:</w:t>
      </w:r>
    </w:p>
    <w:p w:rsidR="00296032" w:rsidRPr="00620047" w:rsidRDefault="00296032">
      <w:pPr>
        <w:pStyle w:val="art2enivo"/>
      </w:pPr>
      <w:r w:rsidRPr="00620047">
        <w:t>a.</w:t>
      </w:r>
      <w:r w:rsidRPr="00620047">
        <w:tab/>
        <w:t>de temperatuur van de circulatievloeistof in de retourbuis;</w:t>
      </w:r>
    </w:p>
    <w:p w:rsidR="00296032" w:rsidRPr="00620047" w:rsidRDefault="00296032">
      <w:pPr>
        <w:pStyle w:val="art2enivo"/>
      </w:pPr>
      <w:r w:rsidRPr="00620047">
        <w:t>b.</w:t>
      </w:r>
      <w:r w:rsidRPr="00620047">
        <w:tab/>
        <w:t>de hoeveelheden warmte en koude die vanaf de datum van ingebruikneming aan de bodem zijn toegevoegd, op zodanige wijze dat daaruit de data kunnen worden afgelezen, waarop aan artikel 3.16k is voldaan;</w:t>
      </w:r>
    </w:p>
    <w:p w:rsidR="00296032" w:rsidRPr="00620047" w:rsidRDefault="00296032">
      <w:pPr>
        <w:pStyle w:val="art2enivo"/>
      </w:pPr>
      <w:r w:rsidRPr="00620047">
        <w:t>c.</w:t>
      </w:r>
      <w:r w:rsidRPr="00620047">
        <w:tab/>
        <w:t>het energierendement dat het systeem jaarlijks vanaf de datum van ingebruikneming heeft geleverd.</w:t>
      </w:r>
    </w:p>
    <w:p w:rsidR="00296032" w:rsidRPr="00620047" w:rsidRDefault="00296032">
      <w:pPr>
        <w:pStyle w:val="art1enivo"/>
      </w:pPr>
      <w:r w:rsidRPr="00620047">
        <w:t>2.</w:t>
      </w:r>
      <w:r w:rsidRPr="00620047">
        <w:tab/>
        <w:t>Indien de geregistreerde gegevens, bedoeld in het eerste lid, betrekking hebben op een gesloten bodemenergiesysteem met een bodemzijdig vermogen van 70 kW of meer, worden zij binnen drie maanden na afloop van elk kalenderjaar toegezonden aan het bevoegd gezag.</w:t>
      </w:r>
    </w:p>
    <w:p w:rsidR="00296032" w:rsidRPr="00620047" w:rsidRDefault="00296032">
      <w:pPr>
        <w:pStyle w:val="art1enivo"/>
      </w:pPr>
      <w:r w:rsidRPr="00620047">
        <w:t>3.</w:t>
      </w:r>
      <w:r w:rsidRPr="00620047">
        <w:tab/>
        <w:t>Indien de geregistreerde gegevens, bedoeld in het eerste lid, betrekking hebben op een gesloten bodemenergiesysteem met een bodemzijdig vermogen van minder dan 70 kW, worden zij ten minste tien jaar in de inrichting bewaard en ter inzage gehouden.</w:t>
      </w:r>
    </w:p>
    <w:p w:rsidR="00296032" w:rsidRPr="00296032" w:rsidRDefault="00296032">
      <w:pPr>
        <w:pStyle w:val="artikelkop"/>
      </w:pPr>
      <w:r w:rsidRPr="00296032">
        <w:t>Artikel 3.16o</w:t>
      </w:r>
    </w:p>
    <w:p w:rsidR="00296032" w:rsidRPr="00620047" w:rsidRDefault="00296032">
      <w:pPr>
        <w:pStyle w:val="artplat"/>
      </w:pPr>
      <w:r w:rsidRPr="00620047">
        <w:t>Het verrichten van werkzaamheden ten behoeve van een gesloten bodemenergiesysteem vindt plaats overeenkomstig de daartoe krachtens het Besluit bodemkwaliteit aangewezen normdocumenten door een persoon of instelling die daartoe beschikt over een erkenning op grond van dat besluit.</w:t>
      </w:r>
    </w:p>
    <w:p w:rsidR="00296032" w:rsidRPr="00296032" w:rsidRDefault="00296032">
      <w:pPr>
        <w:pStyle w:val="artikelkop"/>
      </w:pPr>
      <w:r w:rsidRPr="00296032">
        <w:t>Artikel 3.16p</w:t>
      </w:r>
    </w:p>
    <w:p w:rsidR="00296032" w:rsidRPr="00620047" w:rsidRDefault="00296032">
      <w:pPr>
        <w:pStyle w:val="artplat"/>
      </w:pPr>
      <w:r w:rsidRPr="00620047">
        <w:t>Zo spoedig mogelijk na de beëindiging van het in werking hebben van een gesloten bodemenergiesysteem wordt:</w:t>
      </w:r>
    </w:p>
    <w:p w:rsidR="00296032" w:rsidRPr="00620047" w:rsidRDefault="00296032">
      <w:pPr>
        <w:pStyle w:val="artplatletter"/>
      </w:pPr>
      <w:r w:rsidRPr="00620047">
        <w:t>a.</w:t>
      </w:r>
      <w:r w:rsidRPr="00620047">
        <w:tab/>
        <w:t>de circulatievloeistof uit de buizen verwijderd, en</w:t>
      </w:r>
    </w:p>
    <w:p w:rsidR="00296032" w:rsidRPr="00620047" w:rsidRDefault="00296032">
      <w:pPr>
        <w:pStyle w:val="artplatletter"/>
      </w:pPr>
      <w:r w:rsidRPr="00620047">
        <w:t>b.</w:t>
      </w:r>
      <w:r w:rsidRPr="00620047">
        <w:tab/>
        <w:t>het systeem, zonder daarbij het ondergrondse deel te verwijderen, zodanig opgevuld dat de werking van de oorspronkelijke waterscheidende lagen wordt hersteld.</w:t>
      </w:r>
    </w:p>
    <w:p w:rsidR="00296032" w:rsidRPr="00296032" w:rsidRDefault="00296032">
      <w:pPr>
        <w:pStyle w:val="artikelkop"/>
      </w:pPr>
      <w:r w:rsidRPr="00296032">
        <w:t xml:space="preserve">Artikel 3.16q </w:t>
      </w:r>
    </w:p>
    <w:p w:rsidR="00296032" w:rsidRPr="00620047" w:rsidRDefault="00296032">
      <w:pPr>
        <w:pStyle w:val="artplat"/>
      </w:pPr>
      <w:r w:rsidRPr="00620047">
        <w:t>Deze paragraaf, met uitzondering van artikel 3.16p, is niet van toepassing op een gesloten bodemenergiesysteem dat is geïnstalleerd voor 1 juli 2013.</w:t>
      </w:r>
    </w:p>
    <w:p w:rsidR="00296032" w:rsidRDefault="00296032">
      <w:pPr>
        <w:pStyle w:val="artplatletter"/>
      </w:pPr>
    </w:p>
    <w:p w:rsidR="00BF7F92" w:rsidRDefault="00BF7F92" w:rsidP="00BF7F92">
      <w:pPr>
        <w:pStyle w:val="paragraaf"/>
        <w:shd w:val="clear" w:color="auto" w:fill="D9D9D9" w:themeFill="background1" w:themeFillShade="D9"/>
      </w:pPr>
      <w:bookmarkStart w:id="90" w:name="_Toc431375585"/>
      <w:r>
        <w:t xml:space="preserve">§ 3.2.8. </w:t>
      </w:r>
      <w:r>
        <w:tab/>
        <w:t>Installeren en in werking hebben van een gesloten bodemenergiesysteem</w:t>
      </w:r>
      <w:bookmarkEnd w:id="90"/>
    </w:p>
    <w:p w:rsidR="00BF7F92" w:rsidRDefault="00BF7F92" w:rsidP="00BF7F92">
      <w:pPr>
        <w:pStyle w:val="artikelkop"/>
        <w:shd w:val="clear" w:color="auto" w:fill="D9D9D9" w:themeFill="background1" w:themeFillShade="D9"/>
      </w:pPr>
      <w:r>
        <w:t>Artikel 3.16f</w:t>
      </w:r>
    </w:p>
    <w:p w:rsidR="00BF7F92" w:rsidRDefault="00BF7F92" w:rsidP="00BF7F92">
      <w:pPr>
        <w:pStyle w:val="art1enivo"/>
        <w:shd w:val="clear" w:color="auto" w:fill="D9D9D9" w:themeFill="background1" w:themeFillShade="D9"/>
      </w:pPr>
      <w:r>
        <w:t>1.</w:t>
      </w:r>
      <w:r>
        <w:tab/>
        <w:t>Voor het bijhouden van een registratie met betrekking tot het in werking hebben van een gesloten bodemenergiesysteem overeenkomstig artikel 3.16n, eerste lid, onder a, van het besluit worden tijdens de bedrijfsvoering van het systeem momentane metingen uitgevoerd met een nauwkeurigheid van ten minste 0,3 °C en een frequentie van ten minste eenmaal per 15 minuten.</w:t>
      </w:r>
    </w:p>
    <w:p w:rsidR="00BF7F92" w:rsidRDefault="00BF7F92" w:rsidP="00BF7F92">
      <w:pPr>
        <w:pStyle w:val="art1enivo"/>
        <w:shd w:val="clear" w:color="auto" w:fill="D9D9D9" w:themeFill="background1" w:themeFillShade="D9"/>
      </w:pPr>
      <w:r>
        <w:t>2.</w:t>
      </w:r>
      <w:r>
        <w:tab/>
        <w:t>Voor het bijhouden van een registratie met betrekking tot het in werking hebben van een gesloten bodemenergiesysteem overeenkomstig artikel 3.16n, eerste lid, onder b, van het besluit worden tijdens de bedrijfsvoering van het systeem momentane metingen uitgevoerd met een nauwkeurigheid van ten minste 5 % en een frequentie van ten minste eenmaal per 15 minuten.</w:t>
      </w:r>
    </w:p>
    <w:p w:rsidR="00BF7F92" w:rsidRDefault="00BF7F92" w:rsidP="00BF7F92">
      <w:pPr>
        <w:pStyle w:val="artikelkop"/>
        <w:shd w:val="clear" w:color="auto" w:fill="D9D9D9" w:themeFill="background1" w:themeFillShade="D9"/>
      </w:pPr>
      <w:r>
        <w:t>Artikel 3.16fa</w:t>
      </w:r>
    </w:p>
    <w:p w:rsidR="00BF7F92" w:rsidRDefault="00BF7F92" w:rsidP="00BF7F92">
      <w:pPr>
        <w:pStyle w:val="artplat"/>
        <w:shd w:val="clear" w:color="auto" w:fill="D9D9D9" w:themeFill="background1" w:themeFillShade="D9"/>
      </w:pPr>
      <w:r>
        <w:t>Het energierendement dat een gesloten bodemenergiesysteem behaalt bij de levering van warmte of koude aan een bouwwerk, wordt bepaald overeenkomstig de volgende formule:</w:t>
      </w:r>
    </w:p>
    <w:p w:rsidR="00BF7F92" w:rsidRDefault="00BF7F92" w:rsidP="00BF7F92">
      <w:pPr>
        <w:pStyle w:val="artplat"/>
        <w:shd w:val="clear" w:color="auto" w:fill="D9D9D9" w:themeFill="background1" w:themeFillShade="D9"/>
      </w:pPr>
    </w:p>
    <w:p w:rsidR="00BF7F92" w:rsidRDefault="00BF7F92" w:rsidP="00BF7F92">
      <w:pPr>
        <w:pStyle w:val="artplat"/>
        <w:shd w:val="clear" w:color="auto" w:fill="D9D9D9" w:themeFill="background1" w:themeFillShade="D9"/>
      </w:pPr>
      <w:r>
        <w:rPr>
          <w:noProof/>
          <w:lang w:eastAsia="nl-NL"/>
        </w:rPr>
        <w:drawing>
          <wp:inline distT="0" distB="0" distL="0" distR="0" wp14:anchorId="5A20A195" wp14:editId="30E3B4A3">
            <wp:extent cx="2062480" cy="925195"/>
            <wp:effectExtent l="0" t="0" r="0" b="8255"/>
            <wp:docPr id="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480" cy="925195"/>
                    </a:xfrm>
                    <a:prstGeom prst="rect">
                      <a:avLst/>
                    </a:prstGeom>
                    <a:noFill/>
                    <a:ln>
                      <a:noFill/>
                    </a:ln>
                  </pic:spPr>
                </pic:pic>
              </a:graphicData>
            </a:graphic>
          </wp:inline>
        </w:drawing>
      </w:r>
    </w:p>
    <w:p w:rsidR="00BF7F92" w:rsidRDefault="00BF7F92" w:rsidP="00BF7F92">
      <w:pPr>
        <w:pStyle w:val="artplat"/>
        <w:shd w:val="clear" w:color="auto" w:fill="D9D9D9" w:themeFill="background1" w:themeFillShade="D9"/>
      </w:pPr>
    </w:p>
    <w:p w:rsidR="00BF7F92" w:rsidRDefault="00BF7F92" w:rsidP="00BF7F92">
      <w:pPr>
        <w:pStyle w:val="artplat"/>
        <w:shd w:val="clear" w:color="auto" w:fill="D9D9D9" w:themeFill="background1" w:themeFillShade="D9"/>
      </w:pPr>
      <w:r>
        <w:t>waarbij wordt verstaan onder:</w:t>
      </w:r>
    </w:p>
    <w:p w:rsidR="00BF7F92" w:rsidRDefault="00BF7F92" w:rsidP="00BF7F92">
      <w:pPr>
        <w:pStyle w:val="art1enivo"/>
        <w:shd w:val="clear" w:color="auto" w:fill="D9D9D9" w:themeFill="background1" w:themeFillShade="D9"/>
      </w:pPr>
      <w:r>
        <w:rPr>
          <w:i/>
        </w:rPr>
        <w:t>Q</w:t>
      </w:r>
      <w:r>
        <w:rPr>
          <w:i/>
          <w:vertAlign w:val="subscript"/>
        </w:rPr>
        <w:t>w</w:t>
      </w:r>
      <w:r>
        <w:t>:</w:t>
      </w:r>
      <w:r>
        <w:tab/>
        <w:t>de door het bodemenergiesysteem aan het bouwwerk geleverde hoeveelheid warmte per jaar in MWh;</w:t>
      </w:r>
    </w:p>
    <w:p w:rsidR="00BF7F92" w:rsidRDefault="00BF7F92" w:rsidP="00BF7F92">
      <w:pPr>
        <w:pStyle w:val="art1enivo"/>
        <w:shd w:val="clear" w:color="auto" w:fill="D9D9D9" w:themeFill="background1" w:themeFillShade="D9"/>
      </w:pPr>
      <w:r>
        <w:rPr>
          <w:i/>
        </w:rPr>
        <w:t>Q</w:t>
      </w:r>
      <w:r>
        <w:rPr>
          <w:i/>
          <w:vertAlign w:val="subscript"/>
        </w:rPr>
        <w:t>k</w:t>
      </w:r>
      <w:r>
        <w:t>:</w:t>
      </w:r>
      <w:r>
        <w:tab/>
        <w:t>de door het bodemenergiesysteem aan het bouwwerk geleverde hoeveelheid koude per jaar in MWh;</w:t>
      </w:r>
    </w:p>
    <w:p w:rsidR="00BF7F92" w:rsidRDefault="00BF7F92" w:rsidP="00BF7F92">
      <w:pPr>
        <w:pStyle w:val="art1enivo"/>
        <w:shd w:val="clear" w:color="auto" w:fill="D9D9D9" w:themeFill="background1" w:themeFillShade="D9"/>
      </w:pPr>
      <w:r>
        <w:rPr>
          <w:i/>
        </w:rPr>
        <w:t>E</w:t>
      </w:r>
      <w:r>
        <w:t>:</w:t>
      </w:r>
      <w:r>
        <w:tab/>
        <w:t>de door het bodemenergiesysteem verbruikte hoeveelheid elektriciteit per jaar in MWh;</w:t>
      </w:r>
    </w:p>
    <w:p w:rsidR="00BF7F92" w:rsidRDefault="00BF7F92" w:rsidP="00BF7F92">
      <w:pPr>
        <w:pStyle w:val="art1enivo"/>
        <w:shd w:val="clear" w:color="auto" w:fill="D9D9D9" w:themeFill="background1" w:themeFillShade="D9"/>
      </w:pPr>
      <w:r>
        <w:rPr>
          <w:i/>
        </w:rPr>
        <w:t>G</w:t>
      </w:r>
      <w:r>
        <w:t>:</w:t>
      </w:r>
      <w:r>
        <w:tab/>
        <w:t>de door het bodemenergiesysteem verbruikte hoeveelheid gas per jaar in MWh.</w:t>
      </w:r>
    </w:p>
    <w:p w:rsidR="00BF7F92" w:rsidRDefault="00BF7F92" w:rsidP="00BF7F92">
      <w:pPr>
        <w:pStyle w:val="artikelkop"/>
        <w:shd w:val="clear" w:color="auto" w:fill="D9D9D9" w:themeFill="background1" w:themeFillShade="D9"/>
      </w:pPr>
      <w:r>
        <w:t>Artikel 3.16g</w:t>
      </w:r>
    </w:p>
    <w:p w:rsidR="00BF7F92" w:rsidRDefault="00BF7F92" w:rsidP="00BF7F92">
      <w:pPr>
        <w:pStyle w:val="artplat"/>
        <w:shd w:val="clear" w:color="auto" w:fill="D9D9D9" w:themeFill="background1" w:themeFillShade="D9"/>
      </w:pPr>
      <w:r>
        <w:t>Artikel 2.11 van het besluit is niet van toepassing op het installeren en in werking hebben van een gesloten bodemenergiesysteem.</w:t>
      </w:r>
    </w:p>
    <w:p w:rsidR="00BF7F92" w:rsidRDefault="00BF7F92"/>
    <w:p w:rsidR="00BF7F92" w:rsidRPr="00620047" w:rsidRDefault="00BF7F92" w:rsidP="00BF7F92">
      <w:pPr>
        <w:pStyle w:val="artplatletter"/>
        <w:ind w:left="0" w:firstLine="0"/>
      </w:pPr>
    </w:p>
    <w:p w:rsidR="00296032" w:rsidRPr="00620047" w:rsidRDefault="00296032">
      <w:pPr>
        <w:pStyle w:val="afdeling"/>
        <w:rPr>
          <w:rFonts w:cs="Arial"/>
        </w:rPr>
      </w:pPr>
      <w:bookmarkStart w:id="91" w:name="_Toc277243200"/>
      <w:bookmarkStart w:id="92" w:name="_Toc431375586"/>
      <w:r w:rsidRPr="00620047">
        <w:rPr>
          <w:rFonts w:cs="Arial"/>
        </w:rPr>
        <w:t xml:space="preserve">Afdeling 3.3. </w:t>
      </w:r>
      <w:bookmarkEnd w:id="91"/>
      <w:r w:rsidRPr="00620047">
        <w:rPr>
          <w:rFonts w:cs="Arial"/>
        </w:rPr>
        <w:t>Activiteiten met voertuigen, vaartuigen of luchtvaartuigen</w:t>
      </w:r>
      <w:bookmarkEnd w:id="92"/>
    </w:p>
    <w:p w:rsidR="00296032" w:rsidRPr="00296032" w:rsidRDefault="00296032">
      <w:pPr>
        <w:pStyle w:val="paragraaf"/>
        <w:rPr>
          <w:rFonts w:cs="Arial"/>
        </w:rPr>
      </w:pPr>
      <w:bookmarkStart w:id="93" w:name="_Toc431375587"/>
      <w:r w:rsidRPr="00296032">
        <w:rPr>
          <w:rFonts w:cs="Arial"/>
        </w:rPr>
        <w:t>§ 3.3.1.</w:t>
      </w:r>
      <w:r w:rsidRPr="00296032">
        <w:rPr>
          <w:rFonts w:cs="Arial"/>
        </w:rPr>
        <w:tab/>
        <w:t>Afleveren van vloeibare brandstof of gecomprimeerd aardgas aan motorvoertuigen voor het wegverkeer of</w:t>
      </w:r>
      <w:r w:rsidRPr="00296032">
        <w:t xml:space="preserve"> </w:t>
      </w:r>
      <w:r w:rsidRPr="00296032">
        <w:rPr>
          <w:rFonts w:cs="Arial"/>
        </w:rPr>
        <w:t>afleveren van vloeibare brandstof aan spoorvoertuigen</w:t>
      </w:r>
      <w:bookmarkEnd w:id="93"/>
    </w:p>
    <w:p w:rsidR="00296032" w:rsidRPr="00296032" w:rsidRDefault="00296032">
      <w:pPr>
        <w:pStyle w:val="artikelkop"/>
        <w:rPr>
          <w:rFonts w:cs="Arial"/>
        </w:rPr>
      </w:pPr>
      <w:r w:rsidRPr="00296032">
        <w:rPr>
          <w:rFonts w:cs="Arial"/>
        </w:rPr>
        <w:t>Artikel 3.17</w:t>
      </w:r>
    </w:p>
    <w:p w:rsidR="00296032" w:rsidRPr="00620047" w:rsidRDefault="00296032">
      <w:pPr>
        <w:pStyle w:val="art1enivo"/>
        <w:rPr>
          <w:rFonts w:cs="Arial"/>
        </w:rPr>
      </w:pPr>
      <w:r w:rsidRPr="00620047">
        <w:rPr>
          <w:rFonts w:cs="Arial"/>
        </w:rPr>
        <w:t>1.</w:t>
      </w:r>
      <w:r w:rsidRPr="00620047">
        <w:rPr>
          <w:rFonts w:cs="Arial"/>
        </w:rPr>
        <w:tab/>
        <w:t>Deze paragraaf is van toepassing op een inrichting voor het afleveren van vloeibare brandstof en gecomprimeerd aardgas aan motorvoertuigen voor het wegverkeer of het afleveren van vloeibare brandstof aan spoorvoertuigen.</w:t>
      </w:r>
    </w:p>
    <w:p w:rsidR="00296032" w:rsidRPr="00620047" w:rsidRDefault="00296032">
      <w:pPr>
        <w:pStyle w:val="art1enivo"/>
        <w:rPr>
          <w:rFonts w:cs="Arial"/>
        </w:rPr>
      </w:pPr>
      <w:r w:rsidRPr="00620047">
        <w:rPr>
          <w:rFonts w:cs="Arial"/>
        </w:rPr>
        <w:t>2.</w:t>
      </w:r>
      <w:r w:rsidRPr="00620047">
        <w:rPr>
          <w:rFonts w:cs="Arial"/>
        </w:rPr>
        <w:tab/>
        <w:t>De voorschriften die bij of krachtens deze paragraaf gesteld worden aan het afleveren van vloeibare brandstof en gecomprimeerd aardgas aan motorvoertuigen voor het wegverkeer zijn tevens van toepassing op het afleveren van vloeibare brandstof en gecomprimeerd aardgas anders dan aan motorvoertuigen voor het wegverkeer, indien dit plaats vindt bij een installatie waar ook wordt afgeleverd aan motorvoertuigen voor het wegverkeer.</w:t>
      </w:r>
    </w:p>
    <w:p w:rsidR="00296032" w:rsidRPr="00296032" w:rsidRDefault="00296032">
      <w:pPr>
        <w:pStyle w:val="artikelkop"/>
      </w:pPr>
      <w:r w:rsidRPr="00296032">
        <w:t>Artikel 3.18</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 afleverzuil bij een aardgas-afleverstation voor het afleveren van gecomprimeerd aardgas aan motorvoertuigen voor het wegverkeer die aardgas als motorbrandstof gebruiken bevindt zich op een afstand van ten minste 10 meter van kwetsbare en beperkt kwetsbare objecten. Indien per etmaal meer dan 300 personenauto's worden gevuld, bedraagt deze afstand 15 meter. Indien per etmaal meer dan 100 autobussen worden gevuld, bedraagt deze afstand 20 meter. De bufferopslag bevindt zich op een afstand van kwetsbare en beperkt kwetsbare objecten zoals aangegeven in tabel 3.18.</w:t>
      </w:r>
    </w:p>
    <w:p w:rsidR="00296032" w:rsidRPr="00620047" w:rsidRDefault="00296032">
      <w:pPr>
        <w:pStyle w:val="tabelkop"/>
        <w:ind w:firstLine="426"/>
        <w:rPr>
          <w:rFonts w:cs="Arial"/>
        </w:rPr>
      </w:pPr>
      <w:r w:rsidRPr="00620047">
        <w:rPr>
          <w:rFonts w:cs="Arial"/>
        </w:rPr>
        <w:t>Tabel 3.18</w:t>
      </w:r>
    </w:p>
    <w:tbl>
      <w:tblPr>
        <w:tblW w:w="8221"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354"/>
        <w:gridCol w:w="3867"/>
      </w:tblGrid>
      <w:tr w:rsidR="00296032" w:rsidRPr="00620047">
        <w:trPr>
          <w:cantSplit/>
          <w:tblHeader/>
        </w:trPr>
        <w:tc>
          <w:tcPr>
            <w:tcW w:w="43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Waterinhoud bufferopslag </w:t>
            </w:r>
          </w:p>
        </w:tc>
        <w:tc>
          <w:tcPr>
            <w:tcW w:w="38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Afstand </w:t>
            </w:r>
          </w:p>
        </w:tc>
      </w:tr>
      <w:tr w:rsidR="00296032" w:rsidRPr="00620047">
        <w:trPr>
          <w:cantSplit/>
          <w:tblHeader/>
        </w:trPr>
        <w:tc>
          <w:tcPr>
            <w:tcW w:w="43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Minder dan 3000 liter </w:t>
            </w:r>
          </w:p>
        </w:tc>
        <w:tc>
          <w:tcPr>
            <w:tcW w:w="38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10 meter </w:t>
            </w:r>
          </w:p>
        </w:tc>
      </w:tr>
      <w:tr w:rsidR="00296032" w:rsidRPr="00620047">
        <w:trPr>
          <w:cantSplit/>
          <w:tblHeader/>
        </w:trPr>
        <w:tc>
          <w:tcPr>
            <w:tcW w:w="43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Vanaf 3000 tot 5000 liter </w:t>
            </w:r>
          </w:p>
        </w:tc>
        <w:tc>
          <w:tcPr>
            <w:tcW w:w="38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15 meter </w:t>
            </w:r>
          </w:p>
        </w:tc>
      </w:tr>
      <w:tr w:rsidR="00296032" w:rsidRPr="00620047">
        <w:trPr>
          <w:cantSplit/>
          <w:tblHeader/>
        </w:trPr>
        <w:tc>
          <w:tcPr>
            <w:tcW w:w="43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Meer dan 5000 liter </w:t>
            </w:r>
          </w:p>
        </w:tc>
        <w:tc>
          <w:tcPr>
            <w:tcW w:w="386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 meter </w:t>
            </w:r>
          </w:p>
        </w:tc>
      </w:tr>
    </w:tbl>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Een aardgas-afleverinstallatie voor het afleveren van gecomprimeerd aardgas aan motorvoertuigen voor het wegverkeer voldoet aan de bij ministeriële regeling te stellen eisen ten behoeve van het voorkomen van risico's voor de omgeving en ongewone voorvallen, dan wel voor zover dat niet mogelijk is het zoveel mogelijk beperken van de risico's voor de omgeving en de kans dat ongewone voorvallen zich voordoen en de gevolgen hiervan.</w:t>
      </w:r>
    </w:p>
    <w:p w:rsidR="00296032" w:rsidRPr="00296032" w:rsidRDefault="00296032">
      <w:pPr>
        <w:pStyle w:val="artikelkop"/>
        <w:rPr>
          <w:rFonts w:cs="Arial"/>
        </w:rPr>
      </w:pPr>
      <w:r w:rsidRPr="00296032">
        <w:rPr>
          <w:rFonts w:cs="Arial"/>
        </w:rPr>
        <w:t>Artikel 3.19</w:t>
      </w:r>
    </w:p>
    <w:p w:rsidR="00296032" w:rsidRPr="00620047" w:rsidRDefault="00296032">
      <w:pPr>
        <w:pStyle w:val="artplat"/>
      </w:pPr>
      <w:r w:rsidRPr="00620047">
        <w:t>Het afleveren van vloeibare brandstof aan motorvoertuigen voor het wegverkeer of het afleveren van vloeibare brandstof aan spoorvoertuigen voldoet ten behoeve van:</w:t>
      </w:r>
    </w:p>
    <w:p w:rsidR="00296032" w:rsidRPr="00620047" w:rsidRDefault="00296032">
      <w:pPr>
        <w:pStyle w:val="artplatletter"/>
        <w:rPr>
          <w:rFonts w:cs="Arial"/>
        </w:rPr>
      </w:pPr>
      <w:r w:rsidRPr="00620047">
        <w:rPr>
          <w:rFonts w:cs="Arial"/>
        </w:rPr>
        <w:t>a.</w:t>
      </w:r>
      <w:r w:rsidRPr="00620047">
        <w:rPr>
          <w:rFonts w:cs="Arial"/>
        </w:rPr>
        <w:tab/>
        <w:t>het realiseren van een verwaarloosbaar bodemrisico en het voorkomen dan wel voor zover dat niet mogelijk is het zoveel mogelijk beperken van luchtverontreiniging, aan de bij ministeriële regeling te stellen eisen; en</w:t>
      </w:r>
    </w:p>
    <w:p w:rsidR="00296032" w:rsidRPr="00620047" w:rsidRDefault="00296032">
      <w:pPr>
        <w:pStyle w:val="artplatletter"/>
        <w:rPr>
          <w:rFonts w:cs="Arial"/>
        </w:rPr>
      </w:pPr>
      <w:r w:rsidRPr="00620047">
        <w:rPr>
          <w:rFonts w:cs="Arial"/>
        </w:rPr>
        <w:t>b.</w:t>
      </w:r>
      <w:r w:rsidRPr="00620047">
        <w:rPr>
          <w:rFonts w:cs="Arial"/>
        </w:rPr>
        <w:tab/>
        <w:t>het voorkomen van risico's voor de omgeving en ongewone voorvallen, dan wel voor zover dat niet mogelijk is het zoveel mogelijk beperken van de risico's voor de omgeving en de kans dat ongewone voorvallen zich voordoen en de gevolgen hiervan, ten minste aan de bij ministeriële regeling te stellen eisen.</w:t>
      </w:r>
    </w:p>
    <w:p w:rsidR="00296032" w:rsidRPr="00296032" w:rsidRDefault="00296032">
      <w:pPr>
        <w:pStyle w:val="artikelkop"/>
        <w:rPr>
          <w:rFonts w:cs="Arial"/>
        </w:rPr>
      </w:pPr>
      <w:r w:rsidRPr="00296032">
        <w:rPr>
          <w:rFonts w:cs="Arial"/>
        </w:rPr>
        <w:t>Artikel 3.20</w:t>
      </w:r>
    </w:p>
    <w:p w:rsidR="00296032" w:rsidRPr="00620047" w:rsidRDefault="00296032">
      <w:pPr>
        <w:pStyle w:val="art1enivo"/>
        <w:rPr>
          <w:rFonts w:cs="Arial"/>
        </w:rPr>
      </w:pPr>
      <w:r w:rsidRPr="00620047">
        <w:rPr>
          <w:rFonts w:cs="Arial"/>
        </w:rPr>
        <w:t>1.</w:t>
      </w:r>
      <w:r w:rsidRPr="00620047">
        <w:rPr>
          <w:rFonts w:cs="Arial"/>
        </w:rPr>
        <w:tab/>
        <w:t>Het afleveren van lichte olie aan motorvoertuigen voor het wegverkeer vindt plaats via een EU-systeem voor dampretour fase-II, indien:</w:t>
      </w:r>
    </w:p>
    <w:p w:rsidR="00296032" w:rsidRPr="00620047" w:rsidRDefault="00296032">
      <w:pPr>
        <w:pStyle w:val="art2enivo"/>
        <w:rPr>
          <w:rFonts w:cs="Arial"/>
        </w:rPr>
      </w:pPr>
      <w:r w:rsidRPr="00620047">
        <w:rPr>
          <w:rFonts w:cs="Arial"/>
        </w:rPr>
        <w:t>a.</w:t>
      </w:r>
      <w:r w:rsidRPr="00620047">
        <w:rPr>
          <w:rFonts w:cs="Arial"/>
        </w:rPr>
        <w:tab/>
        <w:t>het debiet van lichte olie meer dan 500 kubieke meter per jaar bedraagt, of</w:t>
      </w:r>
    </w:p>
    <w:p w:rsidR="00296032" w:rsidRPr="00620047" w:rsidRDefault="00296032">
      <w:pPr>
        <w:pStyle w:val="art2enivo"/>
        <w:rPr>
          <w:rFonts w:cs="Arial"/>
        </w:rPr>
      </w:pPr>
      <w:r w:rsidRPr="00620047">
        <w:rPr>
          <w:rFonts w:cs="Arial"/>
        </w:rPr>
        <w:t>b.</w:t>
      </w:r>
      <w:r w:rsidRPr="00620047">
        <w:rPr>
          <w:rFonts w:cs="Arial"/>
        </w:rPr>
        <w:tab/>
        <w:t>het debiet van lichte olie meer dan 100 kubieke meter per jaar bedraagt en de inrichting is gelegen onder permanent in gebruik zijnde woon- of werkruimten.</w:t>
      </w:r>
    </w:p>
    <w:p w:rsidR="00296032" w:rsidRPr="00620047" w:rsidRDefault="00296032">
      <w:pPr>
        <w:pStyle w:val="art1enivo"/>
        <w:rPr>
          <w:rFonts w:cs="Arial"/>
        </w:rPr>
      </w:pPr>
      <w:r w:rsidRPr="00620047">
        <w:rPr>
          <w:rFonts w:cs="Arial"/>
        </w:rPr>
        <w:t>2.</w:t>
      </w:r>
      <w:r w:rsidRPr="00620047">
        <w:rPr>
          <w:rFonts w:cs="Arial"/>
        </w:rPr>
        <w:tab/>
        <w:t>Het eerste lid is niet van toepassing op inrichtingen die uitsluitend in verband met de vervaardiging en aflevering aan nieuwe motorvoertuigen voor het wegverkeer lichte olie afleveren.</w:t>
      </w:r>
    </w:p>
    <w:p w:rsidR="00296032" w:rsidRPr="00620047" w:rsidRDefault="00296032">
      <w:pPr>
        <w:pStyle w:val="art1enivo"/>
        <w:rPr>
          <w:rFonts w:cs="Arial"/>
        </w:rPr>
      </w:pPr>
      <w:r w:rsidRPr="00620047">
        <w:rPr>
          <w:rFonts w:cs="Arial"/>
        </w:rPr>
        <w:t>3.</w:t>
      </w:r>
      <w:r w:rsidRPr="00620047">
        <w:rPr>
          <w:rFonts w:cs="Arial"/>
        </w:rPr>
        <w:tab/>
        <w:t>Een EU-systeem voor dampretour fase-II heeft:</w:t>
      </w:r>
    </w:p>
    <w:p w:rsidR="00296032" w:rsidRPr="00620047" w:rsidRDefault="00296032">
      <w:pPr>
        <w:pStyle w:val="art2enivo"/>
        <w:rPr>
          <w:rFonts w:cs="Arial"/>
        </w:rPr>
      </w:pPr>
      <w:r w:rsidRPr="00620047">
        <w:rPr>
          <w:rFonts w:cs="Arial"/>
        </w:rPr>
        <w:t>a.</w:t>
      </w:r>
      <w:r w:rsidRPr="00620047">
        <w:rPr>
          <w:rFonts w:cs="Arial"/>
        </w:rPr>
        <w:tab/>
        <w:t>een afvangrendement van damp van lichte olie van 85%;</w:t>
      </w:r>
    </w:p>
    <w:p w:rsidR="00296032" w:rsidRPr="00620047" w:rsidRDefault="00296032">
      <w:pPr>
        <w:pStyle w:val="art2enivo"/>
        <w:rPr>
          <w:rFonts w:cs="Arial"/>
        </w:rPr>
      </w:pPr>
      <w:r w:rsidRPr="00620047">
        <w:rPr>
          <w:rFonts w:cs="Arial"/>
        </w:rPr>
        <w:t>b.</w:t>
      </w:r>
      <w:r w:rsidRPr="00620047">
        <w:rPr>
          <w:rFonts w:cs="Arial"/>
        </w:rPr>
        <w:tab/>
        <w:t>een damp/lichte olie-verhouding van ten minste 0,95 en ten hoogste 1,05.</w:t>
      </w:r>
    </w:p>
    <w:p w:rsidR="00296032" w:rsidRPr="00620047" w:rsidRDefault="00296032">
      <w:pPr>
        <w:pStyle w:val="art1enivo"/>
        <w:rPr>
          <w:rFonts w:cs="Arial"/>
        </w:rPr>
      </w:pPr>
      <w:r w:rsidRPr="00620047">
        <w:rPr>
          <w:rFonts w:cs="Arial"/>
        </w:rPr>
        <w:t>4.</w:t>
      </w:r>
      <w:r w:rsidRPr="00620047">
        <w:rPr>
          <w:rFonts w:cs="Arial"/>
        </w:rPr>
        <w:tab/>
        <w:t>Een EU-systeem voor dampretour fase-II:</w:t>
      </w:r>
    </w:p>
    <w:p w:rsidR="00296032" w:rsidRPr="00620047" w:rsidRDefault="00296032">
      <w:pPr>
        <w:pStyle w:val="art2enivo"/>
        <w:rPr>
          <w:rFonts w:cs="Arial"/>
        </w:rPr>
      </w:pPr>
      <w:r w:rsidRPr="00620047">
        <w:rPr>
          <w:rFonts w:cs="Arial"/>
        </w:rPr>
        <w:t>a.</w:t>
      </w:r>
      <w:r w:rsidRPr="00620047">
        <w:rPr>
          <w:rFonts w:cs="Arial"/>
        </w:rPr>
        <w:tab/>
        <w:t>is voorzien van een keurmerk waaruit blijkt dat het is goedgekeurd overeenkomstig de bij ministeriële regeling aangewezen testprocedure voor dampretour fase-II door een keuringsinstantie, welke daartoe door de Raad voor Accreditatie is geaccrediteerd op grond van NEN-EN-ISO/IEC 17020, en</w:t>
      </w:r>
    </w:p>
    <w:p w:rsidR="00296032" w:rsidRPr="00620047" w:rsidRDefault="00296032">
      <w:pPr>
        <w:pStyle w:val="art2enivo"/>
        <w:rPr>
          <w:rFonts w:cs="Arial"/>
        </w:rPr>
      </w:pPr>
      <w:r w:rsidRPr="00620047">
        <w:rPr>
          <w:rFonts w:cs="Arial"/>
        </w:rPr>
        <w:t>b.</w:t>
      </w:r>
      <w:r w:rsidRPr="00620047">
        <w:rPr>
          <w:rFonts w:cs="Arial"/>
        </w:rPr>
        <w:tab/>
        <w:t>voldoet aan de bij ministeriële regeling gestelde eisen ten behoeve van het voorkomen van risico's voor de omgeving en ongewone voorvallen, dan wel voor zover dat niet mogelijk is het zoveel mogelijk beperken van de risico's voor de omgeving en de kans dat ongewone voorvallen zich voordoen en de gevolgen hiervan.</w:t>
      </w:r>
    </w:p>
    <w:p w:rsidR="00296032" w:rsidRPr="00620047" w:rsidRDefault="00296032">
      <w:pPr>
        <w:pStyle w:val="art1enivo"/>
        <w:rPr>
          <w:rFonts w:cs="Arial"/>
        </w:rPr>
      </w:pPr>
      <w:r w:rsidRPr="00620047">
        <w:rPr>
          <w:rFonts w:cs="Arial"/>
        </w:rPr>
        <w:t>5.</w:t>
      </w:r>
      <w:r w:rsidRPr="00620047">
        <w:rPr>
          <w:rFonts w:cs="Arial"/>
        </w:rPr>
        <w:tab/>
        <w:t>Een EU-systeem voor dampretour fase-II wordt ten minste eenmaal per jaar op de goede werking gecontroleerd overeenkomstig de testprocedure, bedoeld in het vierde lid, onder a, door een onafhankelijke inspectie-instelling of ten minste eenmaal per drie jaar wanneer een automatisch bewakingssysteem is geïnstalleerd.</w:t>
      </w:r>
    </w:p>
    <w:p w:rsidR="00296032" w:rsidRPr="00620047" w:rsidRDefault="00296032">
      <w:pPr>
        <w:pStyle w:val="art1enivo"/>
        <w:rPr>
          <w:rFonts w:cs="Arial"/>
        </w:rPr>
      </w:pPr>
      <w:r w:rsidRPr="00620047">
        <w:rPr>
          <w:rFonts w:cs="Arial"/>
        </w:rPr>
        <w:t>6.</w:t>
      </w:r>
      <w:r w:rsidRPr="00620047">
        <w:rPr>
          <w:rFonts w:cs="Arial"/>
        </w:rPr>
        <w:tab/>
        <w:t>Een automatisch bewakingssysteem als bedoeld in het vijfde lid is in staat om:</w:t>
      </w:r>
    </w:p>
    <w:p w:rsidR="00296032" w:rsidRPr="00620047" w:rsidRDefault="00296032">
      <w:pPr>
        <w:pStyle w:val="art2enivo"/>
        <w:rPr>
          <w:rFonts w:cs="Arial"/>
        </w:rPr>
      </w:pPr>
      <w:r w:rsidRPr="00620047">
        <w:rPr>
          <w:rFonts w:cs="Arial"/>
        </w:rPr>
        <w:t>a.</w:t>
      </w:r>
      <w:r w:rsidRPr="00620047">
        <w:rPr>
          <w:rFonts w:cs="Arial"/>
        </w:rPr>
        <w:tab/>
        <w:t>storingen daarin en in het functioneren van het EU-systeem voor dampretour fase-II op te sporen;</w:t>
      </w:r>
    </w:p>
    <w:p w:rsidR="00296032" w:rsidRPr="00620047" w:rsidRDefault="00296032">
      <w:pPr>
        <w:pStyle w:val="art2enivo"/>
        <w:rPr>
          <w:rFonts w:cs="Arial"/>
        </w:rPr>
      </w:pPr>
      <w:r w:rsidRPr="00620047">
        <w:rPr>
          <w:rFonts w:cs="Arial"/>
        </w:rPr>
        <w:t>b.</w:t>
      </w:r>
      <w:r w:rsidRPr="00620047">
        <w:rPr>
          <w:rFonts w:cs="Arial"/>
        </w:rPr>
        <w:tab/>
        <w:t>deze storingen te melden aan degene die de inrichting drijft, en</w:t>
      </w:r>
    </w:p>
    <w:p w:rsidR="00296032" w:rsidRPr="00620047" w:rsidRDefault="00296032">
      <w:pPr>
        <w:pStyle w:val="art2enivo"/>
        <w:rPr>
          <w:rFonts w:cs="Arial"/>
        </w:rPr>
      </w:pPr>
      <w:r w:rsidRPr="00620047">
        <w:rPr>
          <w:rFonts w:cs="Arial"/>
        </w:rPr>
        <w:t>c.</w:t>
      </w:r>
      <w:r w:rsidRPr="00620047">
        <w:rPr>
          <w:rFonts w:cs="Arial"/>
        </w:rPr>
        <w:tab/>
        <w:t>de toevoer van lichte olie naar de afleverzuil automatisch te stoppen indien de storing niet binnen zeven dagen is verholpen.</w:t>
      </w:r>
    </w:p>
    <w:p w:rsidR="00296032" w:rsidRPr="00620047" w:rsidRDefault="00296032">
      <w:pPr>
        <w:pStyle w:val="art1enivo"/>
        <w:rPr>
          <w:rFonts w:cs="Arial"/>
        </w:rPr>
      </w:pPr>
      <w:r w:rsidRPr="00620047">
        <w:rPr>
          <w:rFonts w:cs="Arial"/>
        </w:rPr>
        <w:t>7.</w:t>
      </w:r>
      <w:r w:rsidRPr="00620047">
        <w:rPr>
          <w:rFonts w:cs="Arial"/>
        </w:rPr>
        <w:tab/>
        <w:t>Indien bij de controle, bedoeld in het vijfde lid, afwijkingen worden geconstateerd, worden deze afwijkingen onverwijld opgeheven.</w:t>
      </w:r>
    </w:p>
    <w:p w:rsidR="00296032" w:rsidRPr="00620047" w:rsidRDefault="00296032">
      <w:pPr>
        <w:pStyle w:val="art1enivo"/>
        <w:rPr>
          <w:rFonts w:cs="Arial"/>
        </w:rPr>
      </w:pPr>
      <w:r w:rsidRPr="00620047">
        <w:rPr>
          <w:rFonts w:cs="Arial"/>
        </w:rPr>
        <w:t>8.</w:t>
      </w:r>
      <w:r w:rsidRPr="00620047">
        <w:rPr>
          <w:rFonts w:cs="Arial"/>
        </w:rPr>
        <w:tab/>
        <w:t>Degene die de inrichting drijft, maakt door middel van een uithangbord, sticker of andere melding in de inrichting duidelijk zichtbaar dat een EU-systeem voor dampretour fase-II is geïnstalleerd.</w:t>
      </w:r>
    </w:p>
    <w:p w:rsidR="00296032" w:rsidRPr="00620047" w:rsidRDefault="00296032">
      <w:pPr>
        <w:pStyle w:val="art1enivo"/>
        <w:rPr>
          <w:rFonts w:cs="Arial"/>
        </w:rPr>
      </w:pPr>
      <w:r w:rsidRPr="00620047">
        <w:rPr>
          <w:rFonts w:cs="Arial"/>
        </w:rPr>
        <w:t>9.</w:t>
      </w:r>
      <w:r w:rsidRPr="00620047">
        <w:rPr>
          <w:rFonts w:cs="Arial"/>
        </w:rPr>
        <w:tab/>
        <w:t>Het bevoegd gezag kan voor het afleveren van lichte olie aan motorvoertuigen voor het wegverkeer, in de gevallen dat het eerste lid niet van toepassing is, bij maatwerkvoorschrift eisen stellen ten behoeve van:</w:t>
      </w:r>
    </w:p>
    <w:p w:rsidR="00296032" w:rsidRPr="00620047" w:rsidRDefault="00296032">
      <w:pPr>
        <w:pStyle w:val="art2enivo"/>
        <w:rPr>
          <w:rFonts w:cs="Arial"/>
        </w:rPr>
      </w:pPr>
      <w:r w:rsidRPr="00620047">
        <w:rPr>
          <w:rFonts w:cs="Arial"/>
        </w:rPr>
        <w:t>a.</w:t>
      </w:r>
      <w:r w:rsidRPr="00620047">
        <w:rPr>
          <w:rFonts w:cs="Arial"/>
        </w:rPr>
        <w:tab/>
        <w:t>het voorkomen van geurhinder ten gevolge van het afleveren van lichte olie, of</w:t>
      </w:r>
    </w:p>
    <w:p w:rsidR="00296032" w:rsidRPr="00620047" w:rsidRDefault="00296032">
      <w:pPr>
        <w:pStyle w:val="art2enivo"/>
        <w:rPr>
          <w:rFonts w:cs="Arial"/>
        </w:rPr>
      </w:pPr>
      <w:r w:rsidRPr="00620047">
        <w:rPr>
          <w:rFonts w:cs="Arial"/>
        </w:rPr>
        <w:t>b.</w:t>
      </w:r>
      <w:r w:rsidRPr="00620047">
        <w:rPr>
          <w:rFonts w:cs="Arial"/>
        </w:rPr>
        <w:tab/>
        <w:t>het beperken van de emissie van benzeen ten gevolge van het afleveren van lichte olie.</w:t>
      </w:r>
    </w:p>
    <w:p w:rsidR="00296032" w:rsidRPr="00620047" w:rsidRDefault="00296032">
      <w:pPr>
        <w:pStyle w:val="art1enivo"/>
      </w:pPr>
      <w:r w:rsidRPr="00620047">
        <w:t>10.</w:t>
      </w:r>
      <w:r w:rsidRPr="00620047">
        <w:tab/>
        <w:t>Het eerste lid is niet van toepassing op inrichtingen voor het afleveren van lichte olie aan motorvoertuigen voor het wegverkeer, waarbij het afleveren van lichte olie plaatsvindt met een maximale afleversnelheid van 10 liter per minuut, die zijn opgericht voor 1 januari 2012, tot het moment waarop het geheel van de tanks of pompen en leidingen van de afleverinstallatie, sterk wordt gewijzigd of vernieuwd.</w:t>
      </w:r>
    </w:p>
    <w:p w:rsidR="00296032" w:rsidRPr="00620047" w:rsidRDefault="00296032">
      <w:pPr>
        <w:pStyle w:val="art1enivo"/>
      </w:pPr>
      <w:r w:rsidRPr="00620047">
        <w:t>11.</w:t>
      </w:r>
      <w:r w:rsidRPr="00620047">
        <w:tab/>
        <w:t>Het eerste lid is niet van toepassing op inrichtingen voor het afleveren van lichte olie aan motorvoertuigen voor het wegverkeer anders dan ten behoeve van de openbare verkoop, die zijn opgericht voor 1 januari 2012, tot het moment waarop het geheel van de tanks of pompen en leidingen van de afleverinstallatie, sterk wordt gewijzigd of vernieuwd.</w:t>
      </w:r>
    </w:p>
    <w:p w:rsidR="00296032" w:rsidRPr="00620047" w:rsidRDefault="00296032">
      <w:pPr>
        <w:pStyle w:val="art1enivo"/>
      </w:pPr>
      <w:r w:rsidRPr="00620047">
        <w:t>12.</w:t>
      </w:r>
      <w:r w:rsidRPr="00620047">
        <w:tab/>
        <w:t>Het tiende en elfde lid zijn met ingang van 1 januari 2019 niet van toepassing op inrichtingen voor het afleveren van lichte olie aan motorvoertuigen voor het wegverkeer met een debiet van lichte olie van meer dan 3.000 kubieke meter per jaar.</w:t>
      </w:r>
    </w:p>
    <w:p w:rsidR="00296032" w:rsidRPr="00620047" w:rsidRDefault="00296032">
      <w:pPr>
        <w:pStyle w:val="art1enivo"/>
      </w:pPr>
      <w:r w:rsidRPr="00620047">
        <w:t>13.</w:t>
      </w:r>
      <w:r w:rsidRPr="00620047">
        <w:tab/>
        <w:t>In afwijking van het vijfde lid wordt een systeem voor dampretour fase-II bij een inrichting die is opgericht voor 1 januari 2012 ten minste eenmaal per drie jaar op de goede werking gecontroleerd overeenkomstig de testprocedure, bedoeld in het vierde lid, onderdeel a, tot het moment dat het geheel van de tanks of pompen en leidingen van de afleverinstallatie sterk wordt gewijzigd of vernieuwd.</w:t>
      </w:r>
    </w:p>
    <w:p w:rsidR="00296032" w:rsidRPr="00620047" w:rsidRDefault="00296032">
      <w:pPr>
        <w:pStyle w:val="art1enivo"/>
      </w:pPr>
      <w:r w:rsidRPr="00620047">
        <w:t>14.</w:t>
      </w:r>
      <w:r w:rsidRPr="00620047">
        <w:tab/>
        <w:t>Het dertiende lid is met ingang van 1 januari 2019 niet van toepassing op inrichtingen voor het afleveren van lichte olie aan motorvoertuigen voor het wegverkeer met een debiet van lichte olie van meer dan 3.000 kubieke meter per jaar.</w:t>
      </w:r>
    </w:p>
    <w:p w:rsidR="00296032" w:rsidRPr="00296032" w:rsidRDefault="00296032">
      <w:pPr>
        <w:pStyle w:val="artikelkop"/>
        <w:rPr>
          <w:rFonts w:cs="Arial"/>
        </w:rPr>
      </w:pPr>
      <w:r w:rsidRPr="00296032">
        <w:rPr>
          <w:rFonts w:cs="Arial"/>
        </w:rPr>
        <w:t>Artikel 3.20a</w:t>
      </w:r>
    </w:p>
    <w:p w:rsidR="00296032" w:rsidRPr="00620047" w:rsidRDefault="00296032">
      <w:pPr>
        <w:pStyle w:val="art1enivo"/>
      </w:pPr>
      <w:r w:rsidRPr="00620047">
        <w:t>1.</w:t>
      </w:r>
      <w:r w:rsidRPr="00620047">
        <w:tab/>
        <w:t>Het inpandig afleveren van lichte olie vindt niet plaats.</w:t>
      </w:r>
    </w:p>
    <w:p w:rsidR="00296032" w:rsidRPr="00620047" w:rsidRDefault="00296032">
      <w:pPr>
        <w:pStyle w:val="art1enivo"/>
      </w:pPr>
      <w:r w:rsidRPr="00620047">
        <w:t>2.</w:t>
      </w:r>
      <w:r w:rsidRPr="00620047">
        <w:tab/>
        <w:t>Het eerste lid is niet van toepassing op inpandige afleverinstallaties voor lichte olie die zijn geïnstalleerd voor 1 januari 2012.</w:t>
      </w:r>
    </w:p>
    <w:p w:rsidR="00296032" w:rsidRPr="00620047" w:rsidRDefault="00296032">
      <w:pPr>
        <w:pStyle w:val="art1enivo"/>
      </w:pPr>
      <w:r w:rsidRPr="00620047">
        <w:t>3.</w:t>
      </w:r>
      <w:r w:rsidRPr="00620047">
        <w:tab/>
        <w:t>In de gevallen, bedoeld in het tweede lid, waarin het inpandig afleveren van lichte olie is toegestaan, vindt het inpandig afleveren in het belang van het voorkomen van risico’s voor de omgeving en ongewone voorvallen, dan wel voor zover dat niet mogelijk is het zoveel mogelijk beperken van de risico’s voor de omgeving en de kans dat ongewone voorvallen zich voordoen en de gevolgen hiervan ten minste plaats via een EU-systeem voor dampretour fase-II.</w:t>
      </w:r>
    </w:p>
    <w:p w:rsidR="00296032" w:rsidRPr="00620047" w:rsidRDefault="00296032">
      <w:pPr>
        <w:pStyle w:val="art1enivo"/>
      </w:pPr>
      <w:r w:rsidRPr="00620047">
        <w:t>4.</w:t>
      </w:r>
      <w:r w:rsidRPr="00620047">
        <w:tab/>
        <w:t>Op het inpandig afleveren van lichte olie, bedoeld in het derde lid, is artikel 3.20, derde tot en met achtste lid, alsmede de krachtens die leden en krachtens artikel 3.19 gestelde regels van toepassing.</w:t>
      </w:r>
    </w:p>
    <w:p w:rsidR="00296032" w:rsidRPr="00296032" w:rsidRDefault="00296032">
      <w:pPr>
        <w:pStyle w:val="artikelkop"/>
        <w:rPr>
          <w:rFonts w:cs="Arial"/>
        </w:rPr>
      </w:pPr>
      <w:r w:rsidRPr="00296032">
        <w:rPr>
          <w:rFonts w:cs="Arial"/>
        </w:rPr>
        <w:t>Artikel 3.21</w:t>
      </w:r>
    </w:p>
    <w:p w:rsidR="00296032" w:rsidRPr="00620047" w:rsidRDefault="00296032">
      <w:pPr>
        <w:pStyle w:val="art1enivo"/>
        <w:rPr>
          <w:rFonts w:cs="Arial"/>
        </w:rPr>
      </w:pPr>
      <w:r w:rsidRPr="00620047">
        <w:rPr>
          <w:rFonts w:cs="Arial"/>
        </w:rPr>
        <w:t>1.</w:t>
      </w:r>
      <w:r w:rsidRPr="00620047">
        <w:rPr>
          <w:rFonts w:cs="Arial"/>
        </w:rPr>
        <w:tab/>
        <w:t>Op plaatsen waar vloeibare brandstof wordt afgeleverd, die metaalhoudende additieven bevat, wordt op een label aangegeven hoeveel metaalhoudende additieven de betrokken brandstof bevat. Dit label bevat in elk geval de tekst: Bevat metaalhoudende additieven. Het wordt duidelijk zichtbaar bevestigd op de plaats waar de informatie over de brandstofsoort is aangegeven en is van zodanige afmetingen en van een zodanig lettertype dat het duidelijk zichtbaar en gemakkelijk leesbaar is.</w:t>
      </w:r>
    </w:p>
    <w:p w:rsidR="00296032" w:rsidRPr="00620047" w:rsidRDefault="00296032">
      <w:pPr>
        <w:pStyle w:val="art1enivo"/>
        <w:rPr>
          <w:rFonts w:cs="Arial"/>
        </w:rPr>
      </w:pPr>
      <w:r w:rsidRPr="00620047">
        <w:rPr>
          <w:rStyle w:val="art2enivoChar"/>
        </w:rPr>
        <w:t>2.</w:t>
      </w:r>
      <w:r w:rsidRPr="00620047">
        <w:rPr>
          <w:rStyle w:val="art2enivoChar"/>
        </w:rPr>
        <w:tab/>
      </w:r>
      <w:r w:rsidRPr="00620047">
        <w:rPr>
          <w:rFonts w:cs="Arial"/>
        </w:rPr>
        <w:t>Op of direct bij een afleverzuil die bestemd is voor het afleveren van vloeibare brandstof ten behoeve van openbare verkoop aan motorvoertuigen voor het wegverkeer die voor meer dan 5% bestaat uit ethanol, wordt duidelijk zichtbaar de volgende tekst vermeld: Deze brandstof bevat meer dan 5% biobrandstoffen en is niet geschikt voor motorvoertuigen die voor het gebruik daarvan niet zijn uitgerust.</w:t>
      </w:r>
    </w:p>
    <w:p w:rsidR="00296032" w:rsidRPr="00620047" w:rsidRDefault="00296032">
      <w:pPr>
        <w:pStyle w:val="art1enivo"/>
        <w:rPr>
          <w:rFonts w:cs="Arial"/>
        </w:rPr>
      </w:pPr>
      <w:r w:rsidRPr="00620047">
        <w:rPr>
          <w:rStyle w:val="art2enivoChar"/>
        </w:rPr>
        <w:t>3.</w:t>
      </w:r>
      <w:r w:rsidRPr="00620047">
        <w:rPr>
          <w:rStyle w:val="art2enivoChar"/>
        </w:rPr>
        <w:tab/>
      </w:r>
      <w:r w:rsidRPr="00620047">
        <w:rPr>
          <w:rFonts w:cs="Arial"/>
        </w:rPr>
        <w:t>Indien op een afleverpunt van vloeibare brandstof voor motorvoertuigen voor het wegverkeer de doorzet aan lichte olie meer dan 500 kubieke meter per jaar bedraagt, is ten minste één afleverpunt aanwezig van lichte olie waaraan ten hoogste 5% ethanol is toegevoegd.</w:t>
      </w:r>
    </w:p>
    <w:p w:rsidR="00296032" w:rsidRPr="00620047" w:rsidRDefault="00296032">
      <w:pPr>
        <w:pStyle w:val="art1enivo"/>
      </w:pPr>
      <w:r w:rsidRPr="00620047">
        <w:rPr>
          <w:rFonts w:cs="Arial"/>
        </w:rPr>
        <w:t>4.</w:t>
      </w:r>
      <w:r w:rsidRPr="00620047">
        <w:rPr>
          <w:rFonts w:cs="Arial"/>
        </w:rPr>
        <w:tab/>
      </w:r>
      <w:r w:rsidRPr="00620047">
        <w:t>Op of direct bij een afleverzuil die bestemd is voor het afleveren van vloeibare brandstof ten behoeve van openbare verkoop aan motorvoertuigen voor het wegverkeer die voor meer dan 10% bestaat uit biobrandstof, wordt duidelijk zichtbaar de volgende tekst vermeld: Deze brandstof bevat meer dan 10% biobrandstoffen en is niet geschikt voor motorvoertuigen die voor het gebruik daarvan niet zijn uitgerust.</w:t>
      </w:r>
    </w:p>
    <w:p w:rsidR="00296032" w:rsidRPr="00296032" w:rsidRDefault="00296032">
      <w:pPr>
        <w:pStyle w:val="artikelkop"/>
        <w:rPr>
          <w:rFonts w:cs="Arial"/>
        </w:rPr>
      </w:pPr>
      <w:r w:rsidRPr="00296032">
        <w:rPr>
          <w:rFonts w:cs="Arial"/>
        </w:rPr>
        <w:t>Artikel 3.22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de inrichting drijft neemt de resultaten van de metingen, keuringen en controles, bedoeld in artikel 3.20 op in een installatieboek.</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installatieboek bevat tevens:</w:t>
      </w:r>
    </w:p>
    <w:p w:rsidR="00296032" w:rsidRPr="00620047" w:rsidRDefault="00296032">
      <w:pPr>
        <w:pStyle w:val="art2enivo"/>
        <w:rPr>
          <w:rFonts w:cs="Arial"/>
        </w:rPr>
      </w:pPr>
      <w:r w:rsidRPr="00620047">
        <w:rPr>
          <w:rFonts w:cs="Arial"/>
        </w:rPr>
        <w:t>a.</w:t>
      </w:r>
      <w:r w:rsidRPr="00620047">
        <w:rPr>
          <w:rFonts w:cs="Arial"/>
        </w:rPr>
        <w:tab/>
        <w:t>een plattegrond op een schaal van ten minste één op tweehonderdvijftig aanduidende de uit- en inwendige samenstelling van de inrichting en toebehoren;</w:t>
      </w:r>
    </w:p>
    <w:p w:rsidR="00296032" w:rsidRPr="00620047" w:rsidRDefault="00296032">
      <w:pPr>
        <w:pStyle w:val="art2enivo"/>
        <w:rPr>
          <w:rFonts w:cs="Arial"/>
        </w:rPr>
      </w:pPr>
      <w:r w:rsidRPr="00620047">
        <w:rPr>
          <w:rFonts w:cs="Arial"/>
        </w:rPr>
        <w:t>b.</w:t>
      </w:r>
      <w:r w:rsidRPr="00620047">
        <w:rPr>
          <w:rFonts w:cs="Arial"/>
        </w:rPr>
        <w:tab/>
        <w:t>alle bewijzen van gecertificeerde of geaccrediteerde aanleg en inspectie die op grond van dit besluit uitgevoerd worden.</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De resultaten van de metingen, keuringen en controles worden in ieder geval tot het beschikbaar zijn van de resultaten van de eerstvolgende meting, keuring dan wel controle, maar ten minste drie jaar opgenomen in het installatieboek.</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installatieboek wordt in de inrichting bewaard of binnen een termijn die wordt gesteld door het bevoegd gezag voor deze beschikbaar</w:t>
      </w:r>
      <w:r w:rsidR="004703DC">
        <w:rPr>
          <w:rFonts w:cs="Arial"/>
        </w:rPr>
        <w:t>.</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Het eerste lid is niet van toepassing op een inrichting voor het afleveren van lichte olie anders dan voor de openbare verkoop..</w:t>
      </w:r>
    </w:p>
    <w:p w:rsidR="00296032" w:rsidRPr="00296032" w:rsidRDefault="00296032">
      <w:pPr>
        <w:pStyle w:val="artikelkop"/>
        <w:rPr>
          <w:rFonts w:cs="Arial"/>
        </w:rPr>
      </w:pPr>
      <w:r w:rsidRPr="00296032">
        <w:rPr>
          <w:rFonts w:cs="Arial"/>
        </w:rPr>
        <w:t>Artikel 3.23</w:t>
      </w:r>
    </w:p>
    <w:p w:rsidR="00296032" w:rsidRPr="00620047" w:rsidRDefault="00296032">
      <w:pPr>
        <w:pStyle w:val="art1enivo"/>
        <w:rPr>
          <w:rFonts w:cs="Arial"/>
          <w:bCs/>
        </w:rPr>
      </w:pPr>
      <w:r w:rsidRPr="00620047">
        <w:rPr>
          <w:rFonts w:cs="Arial"/>
          <w:bCs/>
        </w:rPr>
        <w:t>1.</w:t>
      </w:r>
      <w:r w:rsidRPr="00620047">
        <w:rPr>
          <w:rFonts w:cs="Arial"/>
          <w:bCs/>
        </w:rPr>
        <w:tab/>
        <w:t>Bij het in het vuilwaterriool lozen van afvalwater afkomstig van een vloeistofdichte vloer of verharding waarop het afleveren van vloeibare brandstof aan motorvoertuigen voor het wegverkeer of het afleveren van vloeibare brandstof aan spoorvoertuigen plaatsvindt, wordt ten minste voldaan aan het tweede tot en met het vierde lid.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afvalwater wordt geleid door een slibvangput en olieafscheider die voldoen aan en worden gebruikt conform NEN-EN 858-1 en 2.</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gehalte aan olie in het afvalwater na de afscheider bedraagt niet meer dan 200 milligram per liter in enig steekmonster.</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te lozen afvalwater kan op een doelmatige wijze worden bemonsterd.</w:t>
      </w:r>
    </w:p>
    <w:p w:rsidR="00296032" w:rsidRDefault="00296032">
      <w:pPr>
        <w:pStyle w:val="art1enivo"/>
      </w:pPr>
      <w:r w:rsidRPr="00620047">
        <w:t xml:space="preserve">5. </w:t>
      </w:r>
      <w:r w:rsidRPr="00620047">
        <w:tab/>
        <w:t>Het tweede lid is niet van toepassing indien voor het van toepassing worden van dit besluit of een deel daarvan op een activiteit in de inrichting een slibvangput en een olieafscheider zijn geplaatst die op de hoeveelheid afvalwater zijn afgestemd.</w:t>
      </w:r>
    </w:p>
    <w:p w:rsidR="0022149F" w:rsidRDefault="0022149F" w:rsidP="0022149F"/>
    <w:p w:rsidR="0022149F" w:rsidRDefault="0022149F" w:rsidP="0022149F">
      <w:pPr>
        <w:pStyle w:val="paragraaf"/>
        <w:shd w:val="clear" w:color="auto" w:fill="D9D9D9" w:themeFill="background1" w:themeFillShade="D9"/>
      </w:pPr>
      <w:bookmarkStart w:id="94" w:name="_Toc431375588"/>
      <w:r>
        <w:t>§ 3.3.1.</w:t>
      </w:r>
      <w:r>
        <w:tab/>
        <w:t>Afleveren van vloeibare brandstof of gecomprimeerd aardgas aan motorvoertuigen voor het wegverkeer of afleveren van vloeibare brandstof aan spoorvoertuigen</w:t>
      </w:r>
      <w:bookmarkEnd w:id="94"/>
    </w:p>
    <w:p w:rsidR="0022149F" w:rsidRDefault="0022149F" w:rsidP="0022149F">
      <w:pPr>
        <w:pStyle w:val="artikelkop"/>
        <w:shd w:val="clear" w:color="auto" w:fill="D9D9D9" w:themeFill="background1" w:themeFillShade="D9"/>
      </w:pPr>
      <w:r>
        <w:t>Artikel 3.17</w:t>
      </w:r>
    </w:p>
    <w:p w:rsidR="0022149F" w:rsidRDefault="0022149F" w:rsidP="0022149F">
      <w:pPr>
        <w:pStyle w:val="artplat"/>
        <w:shd w:val="clear" w:color="auto" w:fill="D9D9D9" w:themeFill="background1" w:themeFillShade="D9"/>
        <w:suppressAutoHyphens/>
        <w:rPr>
          <w:rFonts w:cs="Arial"/>
        </w:rPr>
      </w:pPr>
      <w:r>
        <w:rPr>
          <w:rFonts w:cs="Arial"/>
        </w:rPr>
        <w:t>Deze paragraaf is van toepassing op een inrichting voor zover sprake is van het afleveren van vloeibare brandstof en gecomprimeerd aardgas, bedoeld in artikel 3.17, eerste en tweede lid, van het besluit.</w:t>
      </w:r>
    </w:p>
    <w:p w:rsidR="0022149F" w:rsidRDefault="0022149F" w:rsidP="0022149F">
      <w:pPr>
        <w:pStyle w:val="artikelkop"/>
        <w:shd w:val="clear" w:color="auto" w:fill="D9D9D9" w:themeFill="background1" w:themeFillShade="D9"/>
      </w:pPr>
      <w:r>
        <w:t>Artikel 3.17a</w:t>
      </w:r>
    </w:p>
    <w:p w:rsidR="0022149F" w:rsidRDefault="0022149F" w:rsidP="0022149F">
      <w:pPr>
        <w:pStyle w:val="artplat"/>
        <w:shd w:val="clear" w:color="auto" w:fill="D9D9D9" w:themeFill="background1" w:themeFillShade="D9"/>
        <w:suppressAutoHyphens/>
        <w:rPr>
          <w:rFonts w:cs="Arial"/>
        </w:rPr>
      </w:pPr>
      <w:r w:rsidRPr="00D73001">
        <w:rPr>
          <w:rFonts w:cs="Arial"/>
        </w:rPr>
        <w:t>Een testprocedure voor dampretour fase-II als bedoeld in artikel 3.20, vierde lid, onder a, van het besluit, voldoet aan NEN-EN-16321-1.</w:t>
      </w:r>
    </w:p>
    <w:p w:rsidR="0022149F" w:rsidRDefault="0022149F" w:rsidP="0022149F">
      <w:pPr>
        <w:pStyle w:val="artikelkop"/>
        <w:shd w:val="clear" w:color="auto" w:fill="D9D9D9" w:themeFill="background1" w:themeFillShade="D9"/>
      </w:pPr>
      <w:r>
        <w:t>Artikel 3.18</w:t>
      </w:r>
    </w:p>
    <w:p w:rsidR="0022149F" w:rsidRDefault="0022149F" w:rsidP="0022149F">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wordt bij het afleveren van vloeibare brandstof ten minste voldaan aan de artikelen 3.20 tot en met 3.22 en bij het afleveren van gecomprimeerd aardgas aan de artikelen 3.23 en 3.24.</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Ten behoeve van het realiseren van een verwaarloosbaar bodemrisico wordt bij het afleveren van vloeibare brandstof voldaan aan de artikelen 3.21, 3.21a, 3.22, 3.25 en 3.26.</w:t>
      </w:r>
    </w:p>
    <w:p w:rsidR="0022149F" w:rsidRDefault="0022149F" w:rsidP="0022149F">
      <w:pPr>
        <w:pStyle w:val="artikelkop"/>
        <w:shd w:val="clear" w:color="auto" w:fill="D9D9D9" w:themeFill="background1" w:themeFillShade="D9"/>
      </w:pPr>
      <w:r w:rsidRPr="00D73001">
        <w:t>Artikel</w:t>
      </w:r>
      <w:r>
        <w:t xml:space="preserve"> 3.19</w:t>
      </w:r>
    </w:p>
    <w:p w:rsidR="002F3040" w:rsidRDefault="002F3040" w:rsidP="0022149F">
      <w:pPr>
        <w:pStyle w:val="artikelkop"/>
        <w:shd w:val="clear" w:color="auto" w:fill="D9D9D9" w:themeFill="background1" w:themeFillShade="D9"/>
        <w:rPr>
          <w:rFonts w:cs="Arial"/>
          <w:b w:val="0"/>
        </w:rPr>
      </w:pPr>
      <w:r w:rsidRPr="002F3040">
        <w:rPr>
          <w:rFonts w:cs="Arial"/>
          <w:b w:val="0"/>
        </w:rPr>
        <w:t>[Vervallen per 01-01-2016]</w:t>
      </w:r>
    </w:p>
    <w:p w:rsidR="0022149F" w:rsidRDefault="0022149F" w:rsidP="0022149F">
      <w:pPr>
        <w:pStyle w:val="artikelkop"/>
        <w:shd w:val="clear" w:color="auto" w:fill="D9D9D9" w:themeFill="background1" w:themeFillShade="D9"/>
      </w:pPr>
      <w:r>
        <w:t>Artikel 3.20</w:t>
      </w:r>
    </w:p>
    <w:p w:rsidR="0022149F" w:rsidRDefault="0022149F" w:rsidP="0022149F">
      <w:pPr>
        <w:pStyle w:val="art1enivo"/>
        <w:shd w:val="clear" w:color="auto" w:fill="D9D9D9" w:themeFill="background1" w:themeFillShade="D9"/>
        <w:suppressAutoHyphens/>
        <w:rPr>
          <w:rFonts w:cs="Arial"/>
          <w:szCs w:val="20"/>
        </w:rPr>
      </w:pPr>
      <w:r>
        <w:rPr>
          <w:rFonts w:cs="Arial"/>
        </w:rPr>
        <w:t>1.</w:t>
      </w:r>
      <w:r>
        <w:rPr>
          <w:rFonts w:cs="Arial"/>
        </w:rPr>
        <w:tab/>
      </w:r>
      <w:r>
        <w:rPr>
          <w:rFonts w:cs="Arial"/>
          <w:szCs w:val="20"/>
        </w:rPr>
        <w:t>De in het EU-systeem voor dampretour fase-II gebruikte onderdelen geven geen aanleiding tot het optreden van brand of explosie van de bij het afleveren van lichte olie aan motorvoertuigen voor het wegverkeer uit het brandstofreservoir van het motorvoertuig verdreven dampen die worden teruggevoerd in de ondergrondse opslagtank.</w:t>
      </w:r>
    </w:p>
    <w:p w:rsidR="0022149F" w:rsidRDefault="0022149F" w:rsidP="0022149F">
      <w:pPr>
        <w:pStyle w:val="art1enivo"/>
        <w:shd w:val="clear" w:color="auto" w:fill="D9D9D9" w:themeFill="background1" w:themeFillShade="D9"/>
        <w:suppressAutoHyphens/>
        <w:rPr>
          <w:rFonts w:cs="Arial"/>
          <w:szCs w:val="20"/>
        </w:rPr>
      </w:pPr>
      <w:r>
        <w:rPr>
          <w:rFonts w:cs="Arial"/>
          <w:szCs w:val="20"/>
        </w:rPr>
        <w:t>2.</w:t>
      </w:r>
      <w:r>
        <w:rPr>
          <w:rFonts w:cs="Arial"/>
          <w:szCs w:val="20"/>
        </w:rPr>
        <w:tab/>
        <w:t>Het EU-systeem voor dampretour fase-II is voorzien van op de juiste plaats(en) aangebrachte en doelmatig werkende vlamkerende voorziening(en).</w:t>
      </w:r>
    </w:p>
    <w:p w:rsidR="0022149F" w:rsidRDefault="0022149F" w:rsidP="0022149F">
      <w:pPr>
        <w:pStyle w:val="art1enivo"/>
        <w:shd w:val="clear" w:color="auto" w:fill="D9D9D9" w:themeFill="background1" w:themeFillShade="D9"/>
        <w:suppressAutoHyphens/>
        <w:rPr>
          <w:rFonts w:cs="Arial"/>
          <w:szCs w:val="20"/>
        </w:rPr>
      </w:pPr>
      <w:r>
        <w:rPr>
          <w:rFonts w:cs="Arial"/>
          <w:szCs w:val="20"/>
        </w:rPr>
        <w:t>3.</w:t>
      </w:r>
      <w:r>
        <w:rPr>
          <w:rFonts w:cs="Arial"/>
          <w:szCs w:val="20"/>
        </w:rPr>
        <w:tab/>
        <w:t>Het gebruikte EU-systeem voor dampretour fase-II verkeert in een goede staat en is vrij van scheuren, gaten en andere gebreken.</w:t>
      </w:r>
    </w:p>
    <w:p w:rsidR="0022149F" w:rsidRDefault="0022149F" w:rsidP="0022149F">
      <w:pPr>
        <w:pStyle w:val="artikelkop"/>
        <w:shd w:val="clear" w:color="auto" w:fill="D9D9D9" w:themeFill="background1" w:themeFillShade="D9"/>
        <w:rPr>
          <w:rFonts w:eastAsiaTheme="minorEastAsia"/>
          <w:lang w:eastAsia="nl-NL"/>
        </w:rPr>
      </w:pPr>
      <w:r>
        <w:rPr>
          <w:rFonts w:eastAsiaTheme="minorEastAsia"/>
          <w:lang w:eastAsia="nl-NL"/>
        </w:rPr>
        <w:t xml:space="preserve">Artikel 3.21 </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Een vaste afleverinstallatie voldoet bij het afleveren van vloeibare brandstof aan motorvoertuigen voor het wegverkeer of aan spoorvoertuigen aan de volgende onderdelen van PGS 28:</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voorschriften 2.3.8 en 2.3.11 tot en met 2.3.13;</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voorschriften 3.2.5 en 3.4.2 tot en met 3.4.11;</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voorschrift 4.5.8;</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de voorschriften 5.5.1 en 5.5.3, en</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de paragrafen 5.6 en 5.7.</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temperatuurgevoelige element in de vaste afleverinstallatie wordt eenmaal per twee jaar door een daartoe opgeleid persoon of installateur op de goede werking gecontroleerd.</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Met inachtneming van de opslagcapaciteit, de aard van de opgeslagen vloeistoffen en de aard van de inrichting wordt bij inrichtingen waar lichte olie wordt afgeleverd een noodplan opgesteld overeenkomstig bijlage C bij PGS 28. Dit noodplan is aanwezig bij de inrichting overeenkomstig de voorschriften 6.2.2 en 6.2.3 van PGS 28.</w:t>
      </w:r>
    </w:p>
    <w:p w:rsidR="0022149F" w:rsidRDefault="0022149F" w:rsidP="0022149F">
      <w:pPr>
        <w:pStyle w:val="artikelkop"/>
        <w:shd w:val="clear" w:color="auto" w:fill="D9D9D9" w:themeFill="background1" w:themeFillShade="D9"/>
      </w:pPr>
      <w:r>
        <w:t>Artikel 3.21a</w:t>
      </w:r>
    </w:p>
    <w:p w:rsidR="0022149F" w:rsidRDefault="0022149F" w:rsidP="0022149F">
      <w:pPr>
        <w:pStyle w:val="artplat"/>
        <w:shd w:val="clear" w:color="auto" w:fill="D9D9D9" w:themeFill="background1" w:themeFillShade="D9"/>
      </w:pPr>
      <w:r>
        <w:t>In afwijking van artikel 3.21 wordt bij het afleveren van vloeibare brandstof aan motorvoertuigen voor het wegverkeer of aan spoorvoertuigen, waarbij minder dan 25 kubieke meter per jaar wordt afgeleverd, voldaan aan de voorschriften 3.4.1, 3.4.4, 3.4.5 en 3.4.8 van PGS 30.</w:t>
      </w:r>
    </w:p>
    <w:p w:rsidR="0022149F" w:rsidRDefault="0022149F" w:rsidP="0022149F">
      <w:pPr>
        <w:pStyle w:val="artikelkop"/>
        <w:shd w:val="clear" w:color="auto" w:fill="D9D9D9" w:themeFill="background1" w:themeFillShade="D9"/>
      </w:pPr>
      <w:r>
        <w:t>Artikel 3.21b</w:t>
      </w:r>
    </w:p>
    <w:p w:rsidR="0022149F" w:rsidRDefault="0022149F" w:rsidP="0022149F">
      <w:pPr>
        <w:pStyle w:val="artplat"/>
        <w:shd w:val="clear" w:color="auto" w:fill="D9D9D9" w:themeFill="background1" w:themeFillShade="D9"/>
      </w:pPr>
      <w:r>
        <w:t>In de gevallen dat inpandig afleveren van lichte olie is toegestaan op grond van artikel 6.22b van het besluit, is een vaste afleverinstallatie voor het inpandig afleveren van lichte olie voorzien van een thermische brandmelder die is aangesloten op een akoestisch signaal.</w:t>
      </w:r>
    </w:p>
    <w:p w:rsidR="0022149F" w:rsidRDefault="0022149F" w:rsidP="0022149F">
      <w:pPr>
        <w:pStyle w:val="artikelkop"/>
        <w:shd w:val="clear" w:color="auto" w:fill="D9D9D9" w:themeFill="background1" w:themeFillShade="D9"/>
      </w:pPr>
      <w:r>
        <w:t>Artikel 3.22</w:t>
      </w:r>
    </w:p>
    <w:p w:rsidR="0022149F" w:rsidRDefault="0022149F" w:rsidP="0022149F">
      <w:pPr>
        <w:pStyle w:val="art1enivo"/>
        <w:shd w:val="clear" w:color="auto" w:fill="D9D9D9" w:themeFill="background1" w:themeFillShade="D9"/>
      </w:pPr>
      <w:r>
        <w:t>1.</w:t>
      </w:r>
      <w:r>
        <w:tab/>
        <w:t>Een mobiele afleverinstallatie voldoet bij het afleveren van lichte olie aan motorvoertuigen voor het wegverkeer aan bijlage D van PGS 28.</w:t>
      </w:r>
    </w:p>
    <w:p w:rsidR="0022149F" w:rsidRDefault="0022149F" w:rsidP="0022149F">
      <w:pPr>
        <w:pStyle w:val="art1enivo"/>
        <w:shd w:val="clear" w:color="auto" w:fill="D9D9D9" w:themeFill="background1" w:themeFillShade="D9"/>
      </w:pPr>
      <w:r>
        <w:t>2.</w:t>
      </w:r>
      <w:r>
        <w:tab/>
        <w:t>Bij het afleveren van gasolie vanuit een tankwagen aan een spoorvoertuig wordt voldaan aan de voorschriften 3.4.4, 3.4.7, 3.4.8, 3.4.11, 5.6.2 en 5.6.3 van PGS 28.</w:t>
      </w:r>
    </w:p>
    <w:p w:rsidR="0022149F" w:rsidRDefault="0022149F" w:rsidP="0022149F">
      <w:pPr>
        <w:pStyle w:val="art1enivo"/>
        <w:shd w:val="clear" w:color="auto" w:fill="D9D9D9" w:themeFill="background1" w:themeFillShade="D9"/>
      </w:pPr>
      <w:r>
        <w:t>3.</w:t>
      </w:r>
      <w:r>
        <w:tab/>
        <w:t>Indien het afleveren van gasolie vanuit een tankwagen aan een spoorvoertuig plaatsvindt met een afleverslang die is aangekoppeld via een vaste aansluiting wordt een overvulbeveiliging toegepast.</w:t>
      </w:r>
    </w:p>
    <w:p w:rsidR="0022149F" w:rsidRDefault="0022149F" w:rsidP="0022149F">
      <w:pPr>
        <w:pStyle w:val="art1enivo"/>
        <w:shd w:val="clear" w:color="auto" w:fill="D9D9D9" w:themeFill="background1" w:themeFillShade="D9"/>
      </w:pPr>
      <w:r>
        <w:t>4.</w:t>
      </w:r>
      <w:r>
        <w:tab/>
        <w:t>Tijdens het afleveren van gasolie vanuit een tankwagen aan een spoorvoertuig is voortdurend een persoon aanwezig die de aflevering indien nodig kan beëindigen.</w:t>
      </w:r>
    </w:p>
    <w:p w:rsidR="0022149F" w:rsidRDefault="0022149F" w:rsidP="0022149F">
      <w:pPr>
        <w:pStyle w:val="art1enivo"/>
        <w:shd w:val="clear" w:color="auto" w:fill="D9D9D9" w:themeFill="background1" w:themeFillShade="D9"/>
      </w:pPr>
      <w:r>
        <w:t>5.</w:t>
      </w:r>
      <w:r>
        <w:tab/>
        <w:t>Het afleveren van gasolie vanuit een tankwagen aan een spoorvoertuig op een spoorwegemplacement vindt uitsluitend plaats op een daarvoor door de drijver van de inrichting aangewezen tankplaats.</w:t>
      </w:r>
    </w:p>
    <w:p w:rsidR="0022149F" w:rsidRDefault="0022149F" w:rsidP="0022149F">
      <w:pPr>
        <w:pStyle w:val="artikelkop"/>
        <w:shd w:val="clear" w:color="auto" w:fill="D9D9D9" w:themeFill="background1" w:themeFillShade="D9"/>
      </w:pPr>
      <w:r>
        <w:t>Artikel 3.23</w:t>
      </w:r>
    </w:p>
    <w:p w:rsidR="0022149F" w:rsidRDefault="0022149F" w:rsidP="0022149F">
      <w:pPr>
        <w:pStyle w:val="art1enivo"/>
        <w:shd w:val="clear" w:color="auto" w:fill="D9D9D9" w:themeFill="background1" w:themeFillShade="D9"/>
      </w:pPr>
      <w:r>
        <w:t>1.</w:t>
      </w:r>
      <w:r>
        <w:tab/>
        <w:t>Voor zover de nominale compressorcapaciteit per compressor ten minste 14,3 Nm3 per uur bedraagt, voldoet een aardgas-afleverinstallatie bij het afleveren van gecomprimeerd aardgas aan motorvoertuigen voor het wegverkeer aan de volgende onderdelen van PGS 25:</w:t>
      </w:r>
    </w:p>
    <w:p w:rsidR="0022149F" w:rsidRDefault="0022149F" w:rsidP="0022149F">
      <w:pPr>
        <w:pStyle w:val="art2enivo"/>
        <w:shd w:val="clear" w:color="auto" w:fill="D9D9D9" w:themeFill="background1" w:themeFillShade="D9"/>
      </w:pPr>
      <w:r>
        <w:t>a.</w:t>
      </w:r>
      <w:r>
        <w:tab/>
        <w:t>de paragrafen 5.1 tot en met 5.3, met uitzondering van de subparagraaf 5.1.6, eerste en tweede alinea, en de paragrafen 5.5 en 5.7 tot en met 5.11, met uitzondering van de subparagraaf 5.10.1,</w:t>
      </w:r>
    </w:p>
    <w:p w:rsidR="0022149F" w:rsidRDefault="0022149F" w:rsidP="0022149F">
      <w:pPr>
        <w:pStyle w:val="art2enivo"/>
        <w:shd w:val="clear" w:color="auto" w:fill="D9D9D9" w:themeFill="background1" w:themeFillShade="D9"/>
      </w:pPr>
      <w:r>
        <w:t>b.</w:t>
      </w:r>
      <w:r>
        <w:tab/>
        <w:t>de paragrafen 6.1 en 6.2;</w:t>
      </w:r>
    </w:p>
    <w:p w:rsidR="0022149F" w:rsidRDefault="0022149F" w:rsidP="0022149F">
      <w:pPr>
        <w:pStyle w:val="art2enivo"/>
        <w:shd w:val="clear" w:color="auto" w:fill="D9D9D9" w:themeFill="background1" w:themeFillShade="D9"/>
      </w:pPr>
      <w:r>
        <w:t>c.</w:t>
      </w:r>
      <w:r>
        <w:tab/>
        <w:t xml:space="preserve">de paragrafen 7.1 en 7.3 tot en met 7.7; </w:t>
      </w:r>
    </w:p>
    <w:p w:rsidR="0022149F" w:rsidRDefault="0022149F" w:rsidP="0022149F">
      <w:pPr>
        <w:pStyle w:val="art2enivo"/>
        <w:shd w:val="clear" w:color="auto" w:fill="D9D9D9" w:themeFill="background1" w:themeFillShade="D9"/>
      </w:pPr>
      <w:r>
        <w:t>d.</w:t>
      </w:r>
      <w:r>
        <w:tab/>
        <w:t xml:space="preserve">de paragrafen 8.1 tot en met 8.7, 8.10 en 8.11, en </w:t>
      </w:r>
    </w:p>
    <w:p w:rsidR="0022149F" w:rsidRDefault="0022149F" w:rsidP="0022149F">
      <w:pPr>
        <w:pStyle w:val="art2enivo"/>
        <w:shd w:val="clear" w:color="auto" w:fill="D9D9D9" w:themeFill="background1" w:themeFillShade="D9"/>
      </w:pPr>
      <w:r>
        <w:t>e.</w:t>
      </w:r>
      <w:r>
        <w:tab/>
        <w:t xml:space="preserve">de hoofdstukken 9 tot en met 12, met uitzondering van paragraaf 11.4. </w:t>
      </w:r>
    </w:p>
    <w:p w:rsidR="0022149F" w:rsidRDefault="0022149F" w:rsidP="0022149F">
      <w:pPr>
        <w:pStyle w:val="art1enivo"/>
        <w:shd w:val="clear" w:color="auto" w:fill="D9D9D9" w:themeFill="background1" w:themeFillShade="D9"/>
      </w:pPr>
      <w:r>
        <w:t>2.</w:t>
      </w:r>
      <w:r>
        <w:tab/>
        <w:t xml:space="preserve">Bij het inpandig afleveren van gecomprimeerd aardgas wordt voldaan aan de paragrafen 13.1, 13.2 en 13.4 van PGS 25. </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Het eerste lid is niet van toepassing op een aardgas-afleverinstallatie voor gecomprimeerd aardgas die in werking was voor 1 december 2013 tot het moment waarop de aardgas-afleverinstallatie uitgebreid wordt gerenoveerd, voor wat betreft:</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dimensionering van de afblaasveiligheid, bedoeld in paragraaf 5.3.2 van PGS 25;</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gronddekking van ondergrondse leidingen, bedoeld in paragraaf 5.3.10 van PGS 25;</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de interne veiligheidsafstanden, bedoeld in paragraaf 5.5 van PGS 25;</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het temperatuurgevoelige element in de afleverzuil bij onbemand afleveren, bedoeld in paragraaf 5.11.1 van PGS 25;</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de veiligheidsafsluiter voor het gasnet, bedoeld in paragraaf 5.11.1 van PGS 25;</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f.</w:t>
      </w:r>
      <w:r>
        <w:rPr>
          <w:rFonts w:eastAsiaTheme="minorEastAsia"/>
          <w:lang w:eastAsia="nl-NL"/>
        </w:rPr>
        <w:tab/>
        <w:t>de bouwkundige eisen aan een bufferopslag, bedoeld in paragraaf 7.3 van PGS 25, en</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g.</w:t>
      </w:r>
      <w:r>
        <w:rPr>
          <w:rFonts w:eastAsiaTheme="minorEastAsia"/>
          <w:lang w:eastAsia="nl-NL"/>
        </w:rPr>
        <w:tab/>
        <w:t>de uitstroomrichting van de afblaasleiding, bedoeld in paragraaf 9.4 van PGS 25,</w:t>
      </w:r>
    </w:p>
    <w:p w:rsidR="0022149F" w:rsidRDefault="0022149F" w:rsidP="0022149F">
      <w:pPr>
        <w:pStyle w:val="art1enivo"/>
        <w:shd w:val="clear" w:color="auto" w:fill="D9D9D9" w:themeFill="background1" w:themeFillShade="D9"/>
        <w:ind w:firstLine="0"/>
        <w:rPr>
          <w:rFonts w:eastAsiaTheme="minorEastAsia"/>
          <w:lang w:eastAsia="nl-NL"/>
        </w:rPr>
      </w:pPr>
      <w:r>
        <w:rPr>
          <w:rFonts w:eastAsiaTheme="minorEastAsia"/>
          <w:lang w:eastAsia="nl-NL"/>
        </w:rPr>
        <w:t>indien de afleverinstallatie volgens het eerste lid met deze voorzieningen is uitgevoerd.</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Indien het derde lid van toepassing is, voldoet de aardgas-afleverinstallatie voor gecomprimeerd aardgas aan dit artikel zoals dit luidde tot 1 december 2013, voor zover dit artikel betrekking heeft op de voorzieningen, bedoeld in derde lid, onderdelen a tot en met g.</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 xml:space="preserve">Het tweede lid is tot het moment waarop de aardgasinstallatie uitgebreid wordt gerenoveerd dan wel uiterlijk tot 1 december 2023 niet van toepassing op het inpandig afleveren van gecomprimeerd aardgas. Tot dat moment of die datum voldoet een inpandige aardgas-afleverinstallatie voor gecomprimeerd aardgas aan de eisen die daaraan tot </w:t>
      </w:r>
      <w:r>
        <w:rPr>
          <w:rFonts w:eastAsiaTheme="minorEastAsia"/>
          <w:highlight w:val="yellow"/>
          <w:lang w:eastAsia="nl-NL"/>
        </w:rPr>
        <w:t>de</w:t>
      </w:r>
      <w:r>
        <w:rPr>
          <w:rFonts w:eastAsiaTheme="minorEastAsia"/>
          <w:lang w:eastAsia="nl-NL"/>
        </w:rPr>
        <w:t xml:space="preserve"> 1 december 2013 bij maatwerkvoorschrift werden gesteld.</w:t>
      </w:r>
    </w:p>
    <w:p w:rsidR="0022149F" w:rsidRDefault="0022149F" w:rsidP="0022149F">
      <w:pPr>
        <w:pStyle w:val="artikelkop"/>
        <w:shd w:val="clear" w:color="auto" w:fill="D9D9D9" w:themeFill="background1" w:themeFillShade="D9"/>
      </w:pPr>
      <w:r>
        <w:t>Artikel 3.24</w:t>
      </w:r>
    </w:p>
    <w:p w:rsidR="0022149F" w:rsidRDefault="0022149F" w:rsidP="0022149F">
      <w:pPr>
        <w:pStyle w:val="art1enivo"/>
        <w:shd w:val="clear" w:color="auto" w:fill="D9D9D9" w:themeFill="background1" w:themeFillShade="D9"/>
      </w:pPr>
      <w:r>
        <w:t>1.</w:t>
      </w:r>
      <w:r>
        <w:tab/>
        <w:t>Voor zover de nominale compressorcapaciteit per compressor minder dan 14,3 Nm3 per uur bedraagt, voldoet een aardgas-afleverinstallatie bij het afleveren van gecomprimeerd aardgas aan motorvoertuigen voor het wegverkeer aan het tweede tot en met vierde lid.</w:t>
      </w:r>
    </w:p>
    <w:p w:rsidR="0022149F" w:rsidRDefault="0022149F" w:rsidP="0022149F">
      <w:pPr>
        <w:pStyle w:val="art1enivo"/>
        <w:shd w:val="clear" w:color="auto" w:fill="D9D9D9" w:themeFill="background1" w:themeFillShade="D9"/>
      </w:pPr>
      <w:r>
        <w:t>2.</w:t>
      </w:r>
      <w:r>
        <w:tab/>
        <w:t>Een installatie als bedoeld in het eerste lid, die is voorzien van meerdere compressoren waarvan de uitlaatzijden zijn gekoppeld, voldoet aan de volgende onderdelen van PGS 25:</w:t>
      </w:r>
    </w:p>
    <w:p w:rsidR="0022149F" w:rsidRDefault="0022149F" w:rsidP="0022149F">
      <w:pPr>
        <w:pStyle w:val="art2enivo"/>
        <w:shd w:val="clear" w:color="auto" w:fill="D9D9D9" w:themeFill="background1" w:themeFillShade="D9"/>
      </w:pPr>
      <w:r>
        <w:t>a.</w:t>
      </w:r>
      <w:r>
        <w:tab/>
        <w:t xml:space="preserve">de paragrafen 5.1 tot en met 5.3, met uitzondering van de subparagrafen 5.1.1 en 5.1.6, eerste en tweede alinea, en de paragrafen 5.5 en 5.7 tot en met 5.11, met uitzondering van subparagraaf 5.10.1; </w:t>
      </w:r>
    </w:p>
    <w:p w:rsidR="0022149F" w:rsidRDefault="0022149F" w:rsidP="0022149F">
      <w:pPr>
        <w:pStyle w:val="art2enivo"/>
        <w:shd w:val="clear" w:color="auto" w:fill="D9D9D9" w:themeFill="background1" w:themeFillShade="D9"/>
      </w:pPr>
      <w:r>
        <w:t>b.</w:t>
      </w:r>
      <w:r>
        <w:tab/>
        <w:t>de paragrafen 6.1 en 6.2;</w:t>
      </w:r>
    </w:p>
    <w:p w:rsidR="0022149F" w:rsidRDefault="0022149F" w:rsidP="0022149F">
      <w:pPr>
        <w:pStyle w:val="art2enivo"/>
        <w:shd w:val="clear" w:color="auto" w:fill="D9D9D9" w:themeFill="background1" w:themeFillShade="D9"/>
      </w:pPr>
      <w:r>
        <w:t>c.</w:t>
      </w:r>
      <w:r>
        <w:tab/>
        <w:t xml:space="preserve">de paragrafen 8.1 tot en met 8.7, 8.10 en 8.11, en </w:t>
      </w:r>
    </w:p>
    <w:p w:rsidR="0022149F" w:rsidRDefault="0022149F" w:rsidP="0022149F">
      <w:pPr>
        <w:pStyle w:val="art2enivo"/>
        <w:shd w:val="clear" w:color="auto" w:fill="D9D9D9" w:themeFill="background1" w:themeFillShade="D9"/>
      </w:pPr>
      <w:r>
        <w:t>d.</w:t>
      </w:r>
      <w:r>
        <w:tab/>
        <w:t xml:space="preserve">de hoofdstukken 9 tot en met 12, met uitzondering van de paragrafen 11.4 en 12.2. </w:t>
      </w:r>
    </w:p>
    <w:p w:rsidR="0022149F" w:rsidRDefault="0022149F" w:rsidP="0022149F">
      <w:pPr>
        <w:pStyle w:val="art1enivo"/>
        <w:shd w:val="clear" w:color="auto" w:fill="D9D9D9" w:themeFill="background1" w:themeFillShade="D9"/>
      </w:pPr>
      <w:r>
        <w:t>3.</w:t>
      </w:r>
      <w:r>
        <w:tab/>
        <w:t>Indien een installatie als bedoeld in het tweede lid is voorzien van een bufferopslag, voldoet de installatie tevens aan de paragrafen 7.1 en 7.3 tot en met 7.7 van PGS 25.</w:t>
      </w:r>
    </w:p>
    <w:p w:rsidR="0022149F" w:rsidRDefault="0022149F" w:rsidP="0022149F">
      <w:pPr>
        <w:pStyle w:val="art1enivo"/>
        <w:shd w:val="clear" w:color="auto" w:fill="D9D9D9" w:themeFill="background1" w:themeFillShade="D9"/>
      </w:pPr>
      <w:r>
        <w:t>4.</w:t>
      </w:r>
      <w:r>
        <w:tab/>
        <w:t>Een installatie als bedoeld in het eerste lid, die niet is voorzien van compressoren die aan de uitlaatzijde zijn gekoppeld maar die is voorzien van een bufferopslag, voldoet aan de volgende onderdelen van PGS 25:</w:t>
      </w:r>
    </w:p>
    <w:p w:rsidR="0022149F" w:rsidRDefault="0022149F" w:rsidP="0022149F">
      <w:pPr>
        <w:pStyle w:val="art2enivo"/>
        <w:shd w:val="clear" w:color="auto" w:fill="D9D9D9" w:themeFill="background1" w:themeFillShade="D9"/>
      </w:pPr>
      <w:r>
        <w:t>a.</w:t>
      </w:r>
      <w:r>
        <w:tab/>
        <w:t xml:space="preserve">de paragrafen 5.1 tot en met 5.3, met uitzondering van de subparagrafen 5.1.1 en 5.1.6, eerste en tweede alinea, en de paragrafen 5.5, 5.7 en 5.9 tot en met 5.11, met uitzondering van subparagraaf 5.10.1; </w:t>
      </w:r>
    </w:p>
    <w:p w:rsidR="0022149F" w:rsidRDefault="0022149F" w:rsidP="0022149F">
      <w:pPr>
        <w:pStyle w:val="art2enivo"/>
        <w:shd w:val="clear" w:color="auto" w:fill="D9D9D9" w:themeFill="background1" w:themeFillShade="D9"/>
      </w:pPr>
      <w:r>
        <w:t>b.</w:t>
      </w:r>
      <w:r>
        <w:tab/>
        <w:t xml:space="preserve">paragraaf 7.1 en de paragrafen 7.3 tot en met 7.7; </w:t>
      </w:r>
    </w:p>
    <w:p w:rsidR="0022149F" w:rsidRDefault="0022149F" w:rsidP="0022149F">
      <w:pPr>
        <w:pStyle w:val="art2enivo"/>
        <w:shd w:val="clear" w:color="auto" w:fill="D9D9D9" w:themeFill="background1" w:themeFillShade="D9"/>
      </w:pPr>
      <w:r>
        <w:t>c.</w:t>
      </w:r>
      <w:r>
        <w:tab/>
        <w:t xml:space="preserve">de paragrafen 8.1 tot en met 8.7, 8.10 en 8.11, en </w:t>
      </w:r>
    </w:p>
    <w:p w:rsidR="0022149F" w:rsidRDefault="0022149F" w:rsidP="0022149F">
      <w:pPr>
        <w:pStyle w:val="art2enivo"/>
        <w:shd w:val="clear" w:color="auto" w:fill="D9D9D9" w:themeFill="background1" w:themeFillShade="D9"/>
      </w:pPr>
      <w:r>
        <w:t>d.</w:t>
      </w:r>
      <w:r>
        <w:tab/>
        <w:t>de hoofdstukken 9 tot en met 12, met uitzondering van de paragrafen 9.1, 11.4 en 12.2.</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Het tweede, derde en vierde lid zijn niet van toepassing op een aardgas-afleverinstallatie voor gecomprimeerd aardgas die in werking was voor 1 december 2013 tot het moment waarop de aardgas-afleverinstallatie uitgebreid wordt gerenoveerd, voor wat betreft:</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dimensionering van de afblaasveiligheid, bedoeld in paragraaf 5.3.2 van PGS 25;</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gronddekking van ondergrondse leidingen, bedoeld in paragraaf 5.3.10 van PGS 25;</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de interne veiligheidsafstanden, bedoeld in paragraaf 5.5 van PGS 25;</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het temperatuurgevoelig element in de afleverzuil bij onbemand afleveren, bedoeld in paragraaf 5.11.1 van PGS 25;</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de veiligheidsafsluiter voor het gasnet, bedoeld in paragraaf 5.11.1 van PGS 25;</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f.</w:t>
      </w:r>
      <w:r>
        <w:rPr>
          <w:rFonts w:eastAsiaTheme="minorEastAsia"/>
          <w:lang w:eastAsia="nl-NL"/>
        </w:rPr>
        <w:tab/>
        <w:t>de bouwkundige eisen aan een bufferopslag, bedoeld in paragraaf 7.3 van PGS 25, en</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g.</w:t>
      </w:r>
      <w:r>
        <w:rPr>
          <w:rFonts w:eastAsiaTheme="minorEastAsia"/>
          <w:lang w:eastAsia="nl-NL"/>
        </w:rPr>
        <w:tab/>
        <w:t>de uitstroomrichting van de afblaasleiding, bedoeld in paragraaf 9.4 van PGS 25,</w:t>
      </w:r>
    </w:p>
    <w:p w:rsidR="0022149F" w:rsidRDefault="0022149F" w:rsidP="0022149F">
      <w:pPr>
        <w:pStyle w:val="art1enivo"/>
        <w:shd w:val="clear" w:color="auto" w:fill="D9D9D9" w:themeFill="background1" w:themeFillShade="D9"/>
        <w:ind w:firstLine="0"/>
        <w:rPr>
          <w:rFonts w:eastAsiaTheme="minorEastAsia"/>
          <w:lang w:eastAsia="nl-NL"/>
        </w:rPr>
      </w:pPr>
      <w:r>
        <w:rPr>
          <w:rFonts w:eastAsiaTheme="minorEastAsia"/>
          <w:lang w:eastAsia="nl-NL"/>
        </w:rPr>
        <w:t>indien de afleverinstallatie volgens het tweede, derde en vierde lid met deze voorzieningen is uitgevoerd.</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Indien het vijfde lid van toepassing is, voldoet de aardgas-afleverinstallatie voor gecomprimeerd aardgas aan artikel 3.23, eerste en tweede lid, zoals die leden luidden tot 1 december 2013, voor zover die leden betrekking hebben op de voorzieningen, bedoeld in het vijfde lid, onderdelen a tot en met g.</w:t>
      </w:r>
    </w:p>
    <w:p w:rsidR="0022149F" w:rsidRDefault="0022149F" w:rsidP="0022149F">
      <w:pPr>
        <w:pStyle w:val="artikelkop"/>
        <w:shd w:val="clear" w:color="auto" w:fill="D9D9D9" w:themeFill="background1" w:themeFillShade="D9"/>
      </w:pPr>
      <w:r>
        <w:t>Artikel 3.25</w:t>
      </w:r>
    </w:p>
    <w:p w:rsidR="0022149F" w:rsidRDefault="0022149F" w:rsidP="0022149F">
      <w:pPr>
        <w:pStyle w:val="art1enivo"/>
        <w:shd w:val="clear" w:color="auto" w:fill="D9D9D9" w:themeFill="background1" w:themeFillShade="D9"/>
        <w:suppressAutoHyphens/>
        <w:rPr>
          <w:rFonts w:cs="Arial"/>
        </w:rPr>
      </w:pPr>
      <w:r>
        <w:rPr>
          <w:rFonts w:cs="Arial"/>
        </w:rPr>
        <w:t>1.</w:t>
      </w:r>
      <w:r>
        <w:rPr>
          <w:rFonts w:cs="Arial"/>
        </w:rPr>
        <w:tab/>
        <w:t>Het afleveren van vloeibare brandstof aan motorvoertuigen voor het wegverkeer of aan spoorvoertuigen vindt plaats boven een vloeistofdichte vloer of verharding.</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De vloeistofdichte vloer of verharding, bedoeld in het eerste lid, is aangelegd overeenkomstig het daartoe krachtens het Besluit bodemkwaliteit aangewezen normdocument door een bedrijf, dat daartoe beschikt over een erkenning op grond van dat besluit en strekt zich, voor zover erfafscheidingen, gebouwen en andere fysieke begrenzingen dit toelaten, vanaf de afleverzuil uit over een afstand van ten minste de lengte van de afleverslang plus één meter, met een minimum van vijf meter. Indien de vloeistofdichte vloer of verharding zich daardoor zou uitstrekken tot over de openbare weg dan strekt deze vloer of verharding zich uit tot de openbare weg met dien verstande dat deze afstand niet minder bedraagt dan drie meter. In de laatste situatie is de afleverslang niet langer dan vier meter. Aan de zijde waar geen tankende voertuigen kunnen worden opgesteld strekt de vloeistofdichte vloer of verharding zich uit tot een afstand van ten minste één meter vanaf het hart van de afleverzuil.</w:t>
      </w:r>
    </w:p>
    <w:p w:rsidR="0022149F" w:rsidRDefault="0022149F" w:rsidP="0022149F">
      <w:pPr>
        <w:pStyle w:val="art1enivo"/>
        <w:shd w:val="clear" w:color="auto" w:fill="D9D9D9" w:themeFill="background1" w:themeFillShade="D9"/>
      </w:pPr>
      <w:r>
        <w:t>3.</w:t>
      </w:r>
      <w:r>
        <w:tab/>
        <w:t>De afwateringssystemen van de vloeistofdichte vloer of verharding zijn vloeistofdicht uitgevoerd overeenkomstig het daartoe krachtens het Besluit bodemkwaliteit aangewezen normdocument, door een instelling, die daartoe beschikt over een erkenning op grond van dat besluit. Terstond na de installatie en beproeving op dichtheid wordt de riolering afgedekt.</w:t>
      </w:r>
    </w:p>
    <w:p w:rsidR="0022149F" w:rsidRDefault="0022149F" w:rsidP="0022149F">
      <w:pPr>
        <w:pStyle w:val="art1enivo"/>
        <w:shd w:val="clear" w:color="auto" w:fill="D9D9D9" w:themeFill="background1" w:themeFillShade="D9"/>
      </w:pPr>
      <w:r>
        <w:t>4.</w:t>
      </w:r>
      <w:r>
        <w:tab/>
        <w:t>Een afleverinstallatie is geplaatst boven een vloeistofdichte vloer of verharding. Doorvoeringen door en afsluitingen van deze vloeistofdichte vloer of verharding zijn eveneens vloeistofdicht.</w:t>
      </w:r>
    </w:p>
    <w:p w:rsidR="0022149F" w:rsidRDefault="0022149F" w:rsidP="0022149F">
      <w:pPr>
        <w:pStyle w:val="art1enivo"/>
        <w:shd w:val="clear" w:color="auto" w:fill="D9D9D9" w:themeFill="background1" w:themeFillShade="D9"/>
        <w:rPr>
          <w:rFonts w:cs="Arial"/>
        </w:rPr>
      </w:pPr>
      <w:r>
        <w:t>5.</w:t>
      </w:r>
      <w:r>
        <w:tab/>
        <w:t>Gelekte vloeistoffen worden vanaf de vloeistofdichte vloer of verharding, bedoeld in het vierde lid, afgevoerd naar het afwateringssysteem of naar de in het eerste lid bedoelde vloeistofdichte vloer of verharding.</w:t>
      </w:r>
      <w:r>
        <w:rPr>
          <w:rFonts w:cs="Arial"/>
        </w:rPr>
        <w:t xml:space="preserve"> Indien gebruik wordt gemaakt van afsluiters of terugslagkleppen zijn deze geplaatst boven een vloeistofdichte vloer of verharding. </w:t>
      </w:r>
    </w:p>
    <w:p w:rsidR="0022149F" w:rsidRDefault="0022149F" w:rsidP="0022149F">
      <w:pPr>
        <w:pStyle w:val="art1enivo"/>
        <w:shd w:val="clear" w:color="auto" w:fill="D9D9D9" w:themeFill="background1" w:themeFillShade="D9"/>
      </w:pPr>
      <w:r>
        <w:t>6.</w:t>
      </w:r>
      <w:r>
        <w:tab/>
        <w:t>Pompeilanden en aanwezige doorvoeren zijn vloeistofdicht en zijn aangelegd overeenkomstig het daartoe krachtens het Besluit bodemkwaliteit aangewezen normdocument, door een instelling, die daartoe beschikt over een erkenning op grond van dat besluit.</w:t>
      </w:r>
    </w:p>
    <w:p w:rsidR="0022149F" w:rsidRDefault="0022149F" w:rsidP="0022149F">
      <w:pPr>
        <w:pStyle w:val="art1enivo"/>
        <w:shd w:val="clear" w:color="auto" w:fill="D9D9D9" w:themeFill="background1" w:themeFillShade="D9"/>
        <w:suppressAutoHyphens/>
        <w:rPr>
          <w:rFonts w:cs="Arial"/>
        </w:rPr>
      </w:pPr>
      <w:r>
        <w:rPr>
          <w:rFonts w:cs="Arial"/>
        </w:rPr>
        <w:t>7.</w:t>
      </w:r>
      <w:r>
        <w:rPr>
          <w:rFonts w:cs="Arial"/>
        </w:rPr>
        <w:tab/>
        <w:t>In afwijking van het eerste tot en met het zesde lid vindt het afleveren van vloeibare brandstof aan motorvoertuigen of aan spoorvoertuigen, waarbij minder dan 25 kubieke meter per jaar wordt afgeleverd, plaats boven een bodembeschermende voorziening.</w:t>
      </w:r>
    </w:p>
    <w:p w:rsidR="0022149F" w:rsidRDefault="0022149F" w:rsidP="0022149F">
      <w:pPr>
        <w:pStyle w:val="art1enivo"/>
        <w:shd w:val="clear" w:color="auto" w:fill="D9D9D9" w:themeFill="background1" w:themeFillShade="D9"/>
        <w:suppressAutoHyphens/>
        <w:rPr>
          <w:rFonts w:cs="Arial"/>
        </w:rPr>
      </w:pPr>
      <w:r>
        <w:rPr>
          <w:rFonts w:cs="Arial"/>
        </w:rPr>
        <w:t>8.</w:t>
      </w:r>
      <w:r>
        <w:rPr>
          <w:rFonts w:cs="Arial"/>
        </w:rPr>
        <w:tab/>
        <w:t>In afwijking van het tweede lid is een mobiele afleverinstallatie opgesteld op een vloeistofdichte vloer of verharding die reikt tot ten minste 1 meter buiten de projectie van de afleverinstallatie.</w:t>
      </w:r>
    </w:p>
    <w:p w:rsidR="0022149F" w:rsidRDefault="0022149F" w:rsidP="0022149F">
      <w:pPr>
        <w:pStyle w:val="art1enivo"/>
        <w:shd w:val="clear" w:color="auto" w:fill="D9D9D9" w:themeFill="background1" w:themeFillShade="D9"/>
      </w:pPr>
      <w:r>
        <w:t>9.</w:t>
      </w:r>
      <w:r>
        <w:tab/>
        <w:t>Bij het afleveren van gasolie vanuit een tankwagen aan een spoorvoertuig wordt voldaan aan de volgende onderdelen:</w:t>
      </w:r>
    </w:p>
    <w:p w:rsidR="0022149F" w:rsidRDefault="0022149F" w:rsidP="0022149F">
      <w:pPr>
        <w:pStyle w:val="art2enivo"/>
        <w:shd w:val="clear" w:color="auto" w:fill="D9D9D9" w:themeFill="background1" w:themeFillShade="D9"/>
      </w:pPr>
      <w:r>
        <w:t>a.</w:t>
      </w:r>
      <w:r>
        <w:tab/>
        <w:t>het spoorvoertuig staat zodanig opgesteld boven een vloeistofdichte vloer of verharding dat het vulpunt zich ten minste 1 meter van de rand van de vloeistofdichte vloer of verharding bevindt,</w:t>
      </w:r>
    </w:p>
    <w:p w:rsidR="0022149F" w:rsidRDefault="0022149F" w:rsidP="0022149F">
      <w:pPr>
        <w:pStyle w:val="art2enivo"/>
        <w:shd w:val="clear" w:color="auto" w:fill="D9D9D9" w:themeFill="background1" w:themeFillShade="D9"/>
      </w:pPr>
      <w:r>
        <w:t>b.</w:t>
      </w:r>
      <w:r>
        <w:tab/>
        <w:t>de tankwagen staat bij het afleveren boven een bodembeschermende voorziening die aansluit op de vloeistofdichte vloer of verharding, en</w:t>
      </w:r>
    </w:p>
    <w:p w:rsidR="0022149F" w:rsidRDefault="0022149F" w:rsidP="0022149F">
      <w:pPr>
        <w:pStyle w:val="art2enivo"/>
        <w:shd w:val="clear" w:color="auto" w:fill="D9D9D9" w:themeFill="background1" w:themeFillShade="D9"/>
      </w:pPr>
      <w:r>
        <w:t>c.</w:t>
      </w:r>
      <w:r>
        <w:tab/>
        <w:t>de afleverslang van de tankwagen komt niet buiten het geheel van de vloeistofdichte vloer of verharding en de bodembeschermende voorziening en kruist geen sporen.</w:t>
      </w:r>
    </w:p>
    <w:p w:rsidR="0022149F" w:rsidRDefault="0022149F" w:rsidP="0022149F">
      <w:pPr>
        <w:pStyle w:val="art1enivo"/>
        <w:shd w:val="clear" w:color="auto" w:fill="D9D9D9" w:themeFill="background1" w:themeFillShade="D9"/>
      </w:pPr>
      <w:r>
        <w:t>10.</w:t>
      </w:r>
      <w:r>
        <w:tab/>
        <w:t>Op de vloeistofdichte vloer of verharding, bedoeld in het negende lid, zijn het derde tot en met het zesde lid van overeenkomstige toepassing.</w:t>
      </w:r>
    </w:p>
    <w:p w:rsidR="0022149F" w:rsidRDefault="0022149F" w:rsidP="0022149F">
      <w:pPr>
        <w:pStyle w:val="art1enivo"/>
        <w:shd w:val="clear" w:color="auto" w:fill="D9D9D9" w:themeFill="background1" w:themeFillShade="D9"/>
        <w:suppressAutoHyphens/>
        <w:rPr>
          <w:rFonts w:cs="Arial"/>
        </w:rPr>
      </w:pPr>
      <w:r>
        <w:rPr>
          <w:rFonts w:cs="Arial"/>
        </w:rPr>
        <w:t>11.</w:t>
      </w:r>
      <w:r>
        <w:rPr>
          <w:rFonts w:cs="Arial"/>
        </w:rPr>
        <w:tab/>
        <w:t>Het afleveren van ureum aan motorvoertuigen voor het wegverkeer of aan spoorvoertuigen vindt plaats boven de bodembeschermende voorziening die op grond van het eerste tot en met tiende lid is voorgeschreven voor het afleveren van vloeibare brandstof.</w:t>
      </w:r>
    </w:p>
    <w:p w:rsidR="0022149F" w:rsidRDefault="0022149F" w:rsidP="0022149F">
      <w:pPr>
        <w:pStyle w:val="art1enivo"/>
        <w:shd w:val="clear" w:color="auto" w:fill="D9D9D9" w:themeFill="background1" w:themeFillShade="D9"/>
      </w:pPr>
      <w:r>
        <w:t>12.</w:t>
      </w:r>
      <w:r>
        <w:tab/>
        <w:t>Het derde lid is niet van toepassing totdat er een algehele renovatie van de tankinstallatie plaatsvindt waarbij de vloeistofdichte vloer of verharding wordt opengebroken of indien de afleverinstallatie wordt vervangen.</w:t>
      </w:r>
    </w:p>
    <w:p w:rsidR="0022149F" w:rsidRDefault="0022149F" w:rsidP="0022149F">
      <w:pPr>
        <w:pStyle w:val="artikelkop"/>
        <w:shd w:val="clear" w:color="auto" w:fill="D9D9D9" w:themeFill="background1" w:themeFillShade="D9"/>
      </w:pPr>
      <w:r>
        <w:t>Artikel 3.26</w:t>
      </w:r>
    </w:p>
    <w:p w:rsidR="0022149F" w:rsidRDefault="0022149F" w:rsidP="0022149F">
      <w:pPr>
        <w:pStyle w:val="art1enivo"/>
        <w:shd w:val="clear" w:color="auto" w:fill="D9D9D9" w:themeFill="background1" w:themeFillShade="D9"/>
        <w:suppressAutoHyphens/>
        <w:rPr>
          <w:rFonts w:cs="Arial"/>
        </w:rPr>
      </w:pPr>
      <w:r>
        <w:rPr>
          <w:rFonts w:cs="Arial"/>
        </w:rPr>
        <w:t>1.</w:t>
      </w:r>
      <w:r>
        <w:rPr>
          <w:rFonts w:cs="Arial"/>
        </w:rPr>
        <w:tab/>
        <w:t>In afwijking van artikel 3.25, eerste tot en met achtste lid, kan het afleveren van vloeibare brandstof plaatsvinden boven een geomembraanbaksysteem, indien:</w:t>
      </w:r>
    </w:p>
    <w:p w:rsidR="0022149F" w:rsidRDefault="0022149F" w:rsidP="0022149F">
      <w:pPr>
        <w:pStyle w:val="art2enivo"/>
        <w:shd w:val="clear" w:color="auto" w:fill="D9D9D9" w:themeFill="background1" w:themeFillShade="D9"/>
        <w:suppressAutoHyphens/>
        <w:rPr>
          <w:rFonts w:cs="Arial"/>
        </w:rPr>
      </w:pPr>
      <w:r>
        <w:rPr>
          <w:rFonts w:cs="Arial"/>
        </w:rPr>
        <w:t>a.</w:t>
      </w:r>
      <w:r>
        <w:rPr>
          <w:rFonts w:cs="Arial"/>
        </w:rPr>
        <w:tab/>
        <w:t>de inrichting is gelegen binnen de bebouwde kom waarbij de afleverzuilen in één rij parallel aan de naastgelegen weg staan opgesteld en het afleveren uitsluitend aan de wegzijde op of aan de openbare weg plaatsvindt, of</w:t>
      </w:r>
    </w:p>
    <w:p w:rsidR="0022149F" w:rsidRDefault="0022149F" w:rsidP="0022149F">
      <w:pPr>
        <w:pStyle w:val="art2enivo"/>
        <w:shd w:val="clear" w:color="auto" w:fill="D9D9D9" w:themeFill="background1" w:themeFillShade="D9"/>
        <w:suppressAutoHyphens/>
        <w:rPr>
          <w:rFonts w:cs="Arial"/>
        </w:rPr>
      </w:pPr>
      <w:r>
        <w:rPr>
          <w:rFonts w:cs="Arial"/>
        </w:rPr>
        <w:t>b.</w:t>
      </w:r>
      <w:r>
        <w:rPr>
          <w:rFonts w:cs="Arial"/>
        </w:rPr>
        <w:tab/>
        <w:t>op basis van een onderzoek naar de grondmechanica dat vóór het aanbrengen van het geomembraanbaksysteem is uitgevoerd, is gebleken dat het aanbrengen van een vloeistofdichte vloer of verharding onevenredig hoge kosten met zich brengt.</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Een geomembraanbaksysteem als bedoeld in het eerste lid is aangelegd overeenkomstig het daartoe krachtens het Besluit bodemkwaliteit aangewezen normdocument door een bedrijf, dat daartoe beschikt over een erkenning op grond van dat besluit.</w:t>
      </w:r>
    </w:p>
    <w:p w:rsidR="0022149F" w:rsidRDefault="0022149F" w:rsidP="0022149F">
      <w:pPr>
        <w:pStyle w:val="art1enivo"/>
        <w:shd w:val="clear" w:color="auto" w:fill="D9D9D9" w:themeFill="background1" w:themeFillShade="D9"/>
      </w:pPr>
      <w:r>
        <w:t>3.</w:t>
      </w:r>
      <w:r>
        <w:tab/>
        <w:t>Het tweede lid is niet van toepassing op een geomembraanbaksysteem dat voor 1 januari 2007 is aangelegd.</w:t>
      </w:r>
    </w:p>
    <w:p w:rsidR="0022149F" w:rsidRPr="0022149F" w:rsidRDefault="0022149F" w:rsidP="0022149F"/>
    <w:p w:rsidR="00296032" w:rsidRPr="00296032" w:rsidRDefault="00296032">
      <w:pPr>
        <w:pStyle w:val="paragraaf"/>
        <w:rPr>
          <w:rFonts w:cs="Arial"/>
        </w:rPr>
      </w:pPr>
      <w:bookmarkStart w:id="95" w:name="_Toc431375589"/>
      <w:r w:rsidRPr="00296032">
        <w:rPr>
          <w:rFonts w:cs="Arial"/>
        </w:rPr>
        <w:t xml:space="preserve">§ 3.3.2 </w:t>
      </w:r>
      <w:r w:rsidRPr="00296032">
        <w:rPr>
          <w:rFonts w:cs="Arial"/>
        </w:rPr>
        <w:tab/>
        <w:t>Het uitwendig wassen en stallen van motorvoertuigen of werktuigen of van spoorvoertuigen</w:t>
      </w:r>
      <w:bookmarkEnd w:id="95"/>
    </w:p>
    <w:p w:rsidR="00296032" w:rsidRPr="00296032" w:rsidRDefault="00296032">
      <w:pPr>
        <w:pStyle w:val="artikelkop"/>
      </w:pPr>
      <w:r w:rsidRPr="00296032">
        <w:t>Artikel 3.23a</w:t>
      </w:r>
    </w:p>
    <w:p w:rsidR="00296032" w:rsidRPr="00620047" w:rsidRDefault="00296032">
      <w:pPr>
        <w:pStyle w:val="artplat"/>
        <w:rPr>
          <w:b/>
        </w:rPr>
      </w:pPr>
      <w:r w:rsidRPr="00620047">
        <w:t>Deze paragraaf is van toepassing op:</w:t>
      </w:r>
    </w:p>
    <w:p w:rsidR="00296032" w:rsidRPr="00620047" w:rsidRDefault="00296032">
      <w:pPr>
        <w:pStyle w:val="artplatletter"/>
      </w:pPr>
      <w:r w:rsidRPr="00620047">
        <w:t>a.</w:t>
      </w:r>
      <w:r w:rsidRPr="00620047">
        <w:tab/>
        <w:t>het uitwendig wassen van motorvoertuigen of werktuigen of van spoorvoertuigen,</w:t>
      </w:r>
    </w:p>
    <w:p w:rsidR="00296032" w:rsidRPr="00620047" w:rsidRDefault="00296032">
      <w:pPr>
        <w:pStyle w:val="artplatletter"/>
      </w:pPr>
      <w:r w:rsidRPr="00620047">
        <w:t>b.</w:t>
      </w:r>
      <w:r w:rsidRPr="00620047">
        <w:tab/>
        <w:t>het verwijderen van graffiti van motorvoertuigen of werktuigen of van spoorvoertuigen, of</w:t>
      </w:r>
    </w:p>
    <w:p w:rsidR="00296032" w:rsidRPr="00620047" w:rsidRDefault="00296032">
      <w:pPr>
        <w:pStyle w:val="artplatletter"/>
      </w:pPr>
      <w:r w:rsidRPr="00620047">
        <w:t>c.</w:t>
      </w:r>
      <w:r w:rsidRPr="00620047">
        <w:tab/>
        <w:t>het stallen en uitwendig wassen van werktuigen waarmee gewasbeschermingsmiddelen zijn toegepast.</w:t>
      </w:r>
    </w:p>
    <w:p w:rsidR="00296032" w:rsidRPr="00296032" w:rsidRDefault="00296032">
      <w:pPr>
        <w:pStyle w:val="artikelkop"/>
      </w:pPr>
      <w:r w:rsidRPr="00296032">
        <w:t>Artikel 3.23b</w:t>
      </w:r>
    </w:p>
    <w:p w:rsidR="00296032" w:rsidRPr="00620047" w:rsidRDefault="00296032">
      <w:pPr>
        <w:pStyle w:val="art1enivo"/>
        <w:rPr>
          <w:rFonts w:cs="Arial"/>
        </w:rPr>
      </w:pPr>
      <w:r w:rsidRPr="00620047">
        <w:rPr>
          <w:rFonts w:cs="Arial"/>
        </w:rPr>
        <w:t>1.</w:t>
      </w:r>
      <w:r w:rsidRPr="00620047">
        <w:rPr>
          <w:rFonts w:cs="Arial"/>
        </w:rPr>
        <w:tab/>
        <w:t>Bij het in een inrichting uitwendig wassen van motorvoertuigen of werktuigen of van spoorvoertuigen wordt ten behoeve van het realiseren van een verwaarloosbaar bodemrisico voldaan aan de bij ministeriële regeling gestelde eisen.</w:t>
      </w:r>
    </w:p>
    <w:p w:rsidR="00296032" w:rsidRPr="00620047" w:rsidRDefault="00296032">
      <w:pPr>
        <w:pStyle w:val="art1enivo"/>
        <w:rPr>
          <w:rFonts w:cs="Arial"/>
        </w:rPr>
      </w:pPr>
      <w:r w:rsidRPr="00620047">
        <w:rPr>
          <w:rFonts w:cs="Arial"/>
        </w:rPr>
        <w:t>2.</w:t>
      </w:r>
      <w:r w:rsidRPr="00620047">
        <w:rPr>
          <w:rFonts w:cs="Arial"/>
        </w:rPr>
        <w:tab/>
        <w:t>Het eerste lid is niet van toepassing, indien:</w:t>
      </w:r>
    </w:p>
    <w:p w:rsidR="00296032" w:rsidRPr="00620047" w:rsidRDefault="00296032">
      <w:pPr>
        <w:pStyle w:val="art2enivo"/>
      </w:pPr>
      <w:r w:rsidRPr="00620047">
        <w:t>a.</w:t>
      </w:r>
      <w:r w:rsidRPr="00620047">
        <w:tab/>
        <w:t>per week ten hoogste een spoorvoertuig of een motorvoertuig of werktuig waarmee geen gewasbeschermingsmiddelen zijn toegepast, uitwendig wordt gewassen, en</w:t>
      </w:r>
    </w:p>
    <w:p w:rsidR="00296032" w:rsidRPr="00620047" w:rsidRDefault="00296032">
      <w:pPr>
        <w:pStyle w:val="art2enivo"/>
      </w:pPr>
      <w:r w:rsidRPr="00620047">
        <w:t>b.</w:t>
      </w:r>
      <w:r w:rsidRPr="00620047">
        <w:tab/>
        <w:t>per jaar ten hoogste twee werktuigen waarmee gewasbeschermingsmiddelen zijn toegepast, uitwendig worden gewassen.</w:t>
      </w:r>
    </w:p>
    <w:p w:rsidR="00296032" w:rsidRPr="00296032" w:rsidRDefault="00296032">
      <w:pPr>
        <w:pStyle w:val="artikelkop"/>
        <w:rPr>
          <w:rFonts w:cs="Arial"/>
        </w:rPr>
      </w:pPr>
      <w:r w:rsidRPr="00296032">
        <w:rPr>
          <w:rFonts w:cs="Arial"/>
        </w:rPr>
        <w:t>Artikel 3.23c</w:t>
      </w:r>
    </w:p>
    <w:p w:rsidR="00296032" w:rsidRPr="00620047" w:rsidRDefault="00296032">
      <w:pPr>
        <w:pStyle w:val="art1enivo"/>
        <w:rPr>
          <w:rFonts w:cs="Arial"/>
        </w:rPr>
      </w:pPr>
      <w:r w:rsidRPr="00620047">
        <w:rPr>
          <w:rFonts w:cs="Arial"/>
        </w:rPr>
        <w:t>1.</w:t>
      </w:r>
      <w:r w:rsidRPr="00620047">
        <w:rPr>
          <w:rFonts w:cs="Arial"/>
        </w:rPr>
        <w:tab/>
        <w:t xml:space="preserve"> Bij het lozen in een vuilwaterriool van afvalwater afkomstig van een bodembeschermende voorziening als gevolg van het uitwendig wassen van motorvoertuigen of werktuigen of van spoorvoertuigen waarmee geen gewasbeschermingsmiddelen zijn toegepast, wordt ten minste voldaan aan het tweede tot en met vierde lid.</w:t>
      </w:r>
    </w:p>
    <w:p w:rsidR="00296032" w:rsidRPr="00620047" w:rsidRDefault="00296032">
      <w:pPr>
        <w:pStyle w:val="art1enivo"/>
        <w:rPr>
          <w:rFonts w:cs="Arial"/>
        </w:rPr>
      </w:pPr>
      <w:r w:rsidRPr="00620047">
        <w:rPr>
          <w:rFonts w:cs="Arial"/>
        </w:rPr>
        <w:t>2.</w:t>
      </w:r>
      <w:r w:rsidRPr="00620047">
        <w:rPr>
          <w:rFonts w:cs="Arial"/>
        </w:rPr>
        <w:tab/>
        <w:t>Het afvalwater in enig steekmonster bevat ten hoogste:</w:t>
      </w:r>
    </w:p>
    <w:p w:rsidR="00296032" w:rsidRPr="00620047" w:rsidRDefault="00296032">
      <w:pPr>
        <w:pStyle w:val="art2enivo"/>
        <w:rPr>
          <w:rFonts w:cs="Arial"/>
        </w:rPr>
      </w:pPr>
      <w:r w:rsidRPr="00620047">
        <w:rPr>
          <w:rFonts w:cs="Arial"/>
        </w:rPr>
        <w:t>a. 20 milligram olie per liter;</w:t>
      </w:r>
    </w:p>
    <w:p w:rsidR="00296032" w:rsidRPr="00620047" w:rsidRDefault="00296032">
      <w:pPr>
        <w:pStyle w:val="art2enivo"/>
        <w:rPr>
          <w:rFonts w:cs="Arial"/>
        </w:rPr>
      </w:pPr>
      <w:r w:rsidRPr="00620047">
        <w:rPr>
          <w:rFonts w:cs="Arial"/>
        </w:rPr>
        <w:t>b. 300 milligram onopgeloste stoffen per liter.</w:t>
      </w:r>
    </w:p>
    <w:p w:rsidR="00296032" w:rsidRPr="00620047" w:rsidRDefault="00296032">
      <w:pPr>
        <w:pStyle w:val="art1enivo"/>
      </w:pPr>
      <w:r w:rsidRPr="00620047">
        <w:t>3.</w:t>
      </w:r>
      <w:r w:rsidRPr="00620047">
        <w:tab/>
        <w:t>In afwijking van het tweede lid bedraagt het gehalte aan olie ten hoogste 200 milligram per liter in enig steekmonster, indien het afvalwater voorafgaand aan vermenging met ander afvalwater wordt geleid door een slibvangput en olieafscheider die:</w:t>
      </w:r>
    </w:p>
    <w:p w:rsidR="00296032" w:rsidRPr="00620047" w:rsidRDefault="00296032">
      <w:pPr>
        <w:pStyle w:val="art2enivo"/>
      </w:pPr>
      <w:r w:rsidRPr="00620047">
        <w:t xml:space="preserve">a. </w:t>
      </w:r>
      <w:r w:rsidRPr="00620047">
        <w:tab/>
        <w:t>voldoen aan en worden gebruikt conform NEN-EN 858-1 en 2, of</w:t>
      </w:r>
    </w:p>
    <w:p w:rsidR="00296032" w:rsidRPr="00620047" w:rsidRDefault="00296032">
      <w:pPr>
        <w:pStyle w:val="art2enivo"/>
      </w:pPr>
      <w:r w:rsidRPr="00620047">
        <w:t xml:space="preserve">b. </w:t>
      </w:r>
      <w:r w:rsidRPr="00620047">
        <w:tab/>
        <w:t>zijn geplaatst voor het van toepassing worden van dit besluit of een deel daarvan op een activiteit in de inrichting en op de hoeveelheid afvalwater zijn afgestemd.</w:t>
      </w:r>
    </w:p>
    <w:p w:rsidR="00296032" w:rsidRPr="00620047" w:rsidRDefault="00296032">
      <w:pPr>
        <w:pStyle w:val="art1enivo"/>
      </w:pPr>
      <w:r w:rsidRPr="00620047">
        <w:t>4.</w:t>
      </w:r>
      <w:r w:rsidRPr="00620047">
        <w:tab/>
        <w:t>Het te lozen afvalwater kan op een doelmatige wijze worden bemonsterd.</w:t>
      </w:r>
    </w:p>
    <w:p w:rsidR="00296032" w:rsidRPr="00296032" w:rsidRDefault="00296032">
      <w:pPr>
        <w:pStyle w:val="artikelkop"/>
      </w:pPr>
      <w:r w:rsidRPr="00296032">
        <w:t>Artikel 3.23d</w:t>
      </w:r>
    </w:p>
    <w:p w:rsidR="00296032" w:rsidRPr="00620047" w:rsidRDefault="00296032">
      <w:pPr>
        <w:pStyle w:val="art1enivo"/>
      </w:pPr>
      <w:r w:rsidRPr="00620047">
        <w:t>1.</w:t>
      </w:r>
      <w:r w:rsidRPr="00620047">
        <w:tab/>
        <w:t>Bij het lozen op of in de bodem of in een vuilwaterriool van afvalwater afkomstig van een bodembeschermende voorziening als gevolg van het uitwendig wassen van werktuigen waarmee gewasbeschermingsmiddelen zijn toegepast, wordt ten minste voldaan aan het tweede tot en met vijfde lid.</w:t>
      </w:r>
    </w:p>
    <w:p w:rsidR="00296032" w:rsidRPr="00620047" w:rsidRDefault="00296032">
      <w:pPr>
        <w:pStyle w:val="art1enivo"/>
      </w:pPr>
      <w:r w:rsidRPr="00620047">
        <w:t>2.</w:t>
      </w:r>
      <w:r w:rsidRPr="00620047">
        <w:tab/>
        <w:t>Het afvalwater wordt geleid door een zuiveringsvoorziening waarmee ten minste 95% van de gewasbeschermingsmiddelen wordt verwijderd.</w:t>
      </w:r>
    </w:p>
    <w:p w:rsidR="00296032" w:rsidRPr="00620047" w:rsidRDefault="00296032">
      <w:pPr>
        <w:pStyle w:val="art1enivo"/>
      </w:pPr>
      <w:r w:rsidRPr="00620047">
        <w:t>3.</w:t>
      </w:r>
      <w:r w:rsidRPr="00620047">
        <w:tab/>
        <w:t>Bij het lozen op of in de bodem bevat het afvalwater in enig steekmonster ten hoogste 20 milligram olie per liter en wordt het afvalwater gelijkmatig verspreid over een onverharde bodem.</w:t>
      </w:r>
    </w:p>
    <w:p w:rsidR="00296032" w:rsidRPr="00620047" w:rsidRDefault="00296032">
      <w:pPr>
        <w:pStyle w:val="art1enivo"/>
      </w:pPr>
      <w:r w:rsidRPr="00620047">
        <w:t>4.</w:t>
      </w:r>
      <w:r w:rsidRPr="00620047">
        <w:tab/>
        <w:t>Bij het lozen in een vuilwaterriool bevat het afvalwater in enig steekmonster ten hoogste:</w:t>
      </w:r>
    </w:p>
    <w:p w:rsidR="00296032" w:rsidRPr="00620047" w:rsidRDefault="00296032">
      <w:pPr>
        <w:pStyle w:val="art2enivo"/>
      </w:pPr>
      <w:r w:rsidRPr="00620047">
        <w:t>a.</w:t>
      </w:r>
      <w:r w:rsidRPr="00620047">
        <w:tab/>
        <w:t>200 milligram olie per liter;</w:t>
      </w:r>
    </w:p>
    <w:p w:rsidR="00296032" w:rsidRPr="00620047" w:rsidRDefault="00296032">
      <w:pPr>
        <w:pStyle w:val="art2enivo"/>
      </w:pPr>
      <w:r w:rsidRPr="00620047">
        <w:t>b.</w:t>
      </w:r>
      <w:r w:rsidRPr="00620047">
        <w:tab/>
        <w:t>300 milligram onopgeloste stoffen per liter.</w:t>
      </w:r>
    </w:p>
    <w:p w:rsidR="00296032" w:rsidRPr="00620047" w:rsidRDefault="00296032">
      <w:pPr>
        <w:pStyle w:val="art1enivo"/>
      </w:pPr>
      <w:r w:rsidRPr="00620047">
        <w:t>5.</w:t>
      </w:r>
      <w:r w:rsidRPr="00620047">
        <w:tab/>
        <w:t>Het te lozen afvalwater kan op een doelmatige wijze worden bemonsterd.</w:t>
      </w:r>
    </w:p>
    <w:p w:rsidR="00296032" w:rsidRPr="00296032" w:rsidRDefault="00296032">
      <w:pPr>
        <w:pStyle w:val="artikelkop"/>
      </w:pPr>
      <w:r w:rsidRPr="00296032">
        <w:t>Artikel 3.24</w:t>
      </w:r>
    </w:p>
    <w:p w:rsidR="00296032" w:rsidRPr="00620047" w:rsidRDefault="00296032">
      <w:pPr>
        <w:pStyle w:val="artplat"/>
      </w:pPr>
      <w:r w:rsidRPr="00620047">
        <w:t>Onverminderd artikel 3.23d is het lozen op of in de bodem van afvalwater als gevolg van het uitwendig wassen van motorvoertuigen of werktuigen of van spoorvoertuigen, toegestaan:</w:t>
      </w:r>
    </w:p>
    <w:p w:rsidR="00296032" w:rsidRPr="00620047" w:rsidRDefault="00296032">
      <w:pPr>
        <w:pStyle w:val="artplatletter"/>
      </w:pPr>
      <w:r w:rsidRPr="00620047">
        <w:t>a.</w:t>
      </w:r>
      <w:r w:rsidRPr="00620047">
        <w:tab/>
        <w:t>indien in de inrichting per week ten hoogste een spoorvoertuig, motorvoertuig of werktuig, waarmee geen gewasbeschermingsmiddelen zijn toegepast, uitwendig wordt gewassen,</w:t>
      </w:r>
    </w:p>
    <w:p w:rsidR="00296032" w:rsidRPr="00620047" w:rsidRDefault="00296032">
      <w:pPr>
        <w:pStyle w:val="artplatletter"/>
      </w:pPr>
      <w:r w:rsidRPr="00620047">
        <w:t>b.</w:t>
      </w:r>
      <w:r w:rsidRPr="00620047">
        <w:tab/>
        <w:t>indien in de inrichting per jaar ten hoogste twee werktuigen waarmee gewasbeschermingsmiddelen zijn toegepast, uitwendig worden gewassen, of</w:t>
      </w:r>
    </w:p>
    <w:p w:rsidR="00296032" w:rsidRPr="00620047" w:rsidRDefault="00296032">
      <w:pPr>
        <w:pStyle w:val="artplatletter"/>
      </w:pPr>
      <w:r w:rsidRPr="00620047">
        <w:t>c.</w:t>
      </w:r>
      <w:r w:rsidRPr="00620047">
        <w:tab/>
        <w:t>indien het lozen plaatsvindt als gevolg van het uitwendig wassen van werktuigen waarmee gewasbeschermingsmiddelen zijn toegepast, op een perceel waar de gewasbeschermingsmiddelen zijn toegepast.</w:t>
      </w:r>
    </w:p>
    <w:p w:rsidR="00296032" w:rsidRPr="00296032" w:rsidRDefault="00296032">
      <w:pPr>
        <w:pStyle w:val="artikelkop"/>
        <w:rPr>
          <w:rFonts w:cs="Arial"/>
        </w:rPr>
      </w:pPr>
      <w:r w:rsidRPr="00296032">
        <w:rPr>
          <w:rFonts w:cs="Arial"/>
        </w:rPr>
        <w:t>Artikel 3.25</w:t>
      </w:r>
    </w:p>
    <w:p w:rsidR="00296032" w:rsidRDefault="00296032">
      <w:pPr>
        <w:pStyle w:val="artplat"/>
        <w:rPr>
          <w:rFonts w:cs="Arial"/>
        </w:rPr>
      </w:pPr>
      <w:r w:rsidRPr="00620047">
        <w:rPr>
          <w:rFonts w:cs="Arial"/>
        </w:rPr>
        <w:t>Onverminderd artikel 3.3, worden motorvoertuigen of werktuigen waarmee gewasbeschermingsmiddelen zijn toegepast, op een verhard oppervlak zodanig gestald, dat het te lozen hemelwater niet met de toegepaste gewasbeschermingsmiddelen kan worden verontreinigd.</w:t>
      </w:r>
    </w:p>
    <w:p w:rsidR="0022149F" w:rsidRDefault="0022149F">
      <w:pPr>
        <w:pStyle w:val="artplat"/>
        <w:rPr>
          <w:rFonts w:cs="Arial"/>
        </w:rPr>
      </w:pPr>
    </w:p>
    <w:p w:rsidR="0022149F" w:rsidRDefault="0022149F" w:rsidP="0022149F">
      <w:pPr>
        <w:pStyle w:val="paragraaf"/>
        <w:shd w:val="clear" w:color="auto" w:fill="D9D9D9" w:themeFill="background1" w:themeFillShade="D9"/>
      </w:pPr>
      <w:bookmarkStart w:id="96" w:name="_Toc431375590"/>
      <w:r>
        <w:t xml:space="preserve">§ 3.3.2. </w:t>
      </w:r>
      <w:r>
        <w:tab/>
        <w:t>Het uitwendig wassen van motorvoertuigen, werktuigen of spoorvoertuigen</w:t>
      </w:r>
      <w:bookmarkEnd w:id="96"/>
    </w:p>
    <w:p w:rsidR="0022149F" w:rsidRDefault="0022149F" w:rsidP="0022149F">
      <w:pPr>
        <w:pStyle w:val="artikelkop"/>
        <w:shd w:val="clear" w:color="auto" w:fill="D9D9D9" w:themeFill="background1" w:themeFillShade="D9"/>
      </w:pPr>
      <w:r>
        <w:t xml:space="preserve">Artikel 3.27 </w:t>
      </w:r>
    </w:p>
    <w:p w:rsidR="0022149F" w:rsidRDefault="0022149F" w:rsidP="0022149F">
      <w:pPr>
        <w:pStyle w:val="art1enivo"/>
        <w:shd w:val="clear" w:color="auto" w:fill="D9D9D9" w:themeFill="background1" w:themeFillShade="D9"/>
      </w:pPr>
      <w:r>
        <w:t>1.</w:t>
      </w:r>
      <w:r>
        <w:tab/>
        <w:t>Ten behoeve van het realiseren van een verwaarloosbaar bodemrisico als bedoeld in artikel 3.23b, eerste lid, van het besluit vindt het uitwendig wassen van motorvoertuigen, werktuigen of spoorvoertuigen plaats boven een vloeistofdichte vloer of verharding. De bij het wassen vrijkomende vloeistoffen lopen niet over de rand van de vloeistofdichte vloer of verharding.</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In afwijking van het eerste lid is het toegestaan motorvoertuigen, werktuigen en spoorvoertuigen te wassen in of op een mobiele wasinstallatie die zodanig is uitgevoerd dat vloeistoffen niet in de bodem kunnen geraken, met dien verstande dat een mobiele wasinstallatie niet langer dan zes maanden aaneengesloten op eenzelfde locatie is geplaatst.</w:t>
      </w:r>
    </w:p>
    <w:p w:rsidR="0022149F" w:rsidRDefault="0022149F" w:rsidP="0022149F">
      <w:pPr>
        <w:pStyle w:val="artikelkop"/>
        <w:shd w:val="clear" w:color="auto" w:fill="D9D9D9" w:themeFill="background1" w:themeFillShade="D9"/>
        <w:rPr>
          <w:rFonts w:eastAsiaTheme="minorEastAsia"/>
          <w:lang w:eastAsia="nl-NL"/>
        </w:rPr>
      </w:pPr>
      <w:r>
        <w:rPr>
          <w:rFonts w:eastAsiaTheme="minorEastAsia"/>
          <w:lang w:eastAsia="nl-NL"/>
        </w:rPr>
        <w:t xml:space="preserve">Artikel 3.27a </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Aan artikel 3.</w:t>
      </w:r>
      <w:r w:rsidR="0067284E">
        <w:rPr>
          <w:rFonts w:eastAsiaTheme="minorEastAsia"/>
          <w:lang w:eastAsia="nl-NL"/>
        </w:rPr>
        <w:t>23d</w:t>
      </w:r>
      <w:r>
        <w:rPr>
          <w:rFonts w:eastAsiaTheme="minorEastAsia"/>
          <w:lang w:eastAsia="nl-NL"/>
        </w:rPr>
        <w:t>, tweede lid, van het besluit wordt in ieder geval voldaan indien de zuiveringsvoorziening voldoet aan het tweede tot en met vierde lid.</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zuiveringsvoorziening bestaat uit:</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zuiveringsmateriaal in een deel van de zuiveringsvoorziening die zodanig is uitgevoerd en zodanig wordt onderhouden dat contact van het afvalwater met de bodem wordt voorkomen, en</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een bufferopslag en doseereenheid waarmee het afvalwater geleidelijk en gelijkmatig wordt verspreid over het oppervlak van het zuiveringsmateriaal en waardoor de capaciteit van de zuiveringsvoorziening niet wordt overschreden.</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zuiveringsvoorziening is zodanig gedimensioneerd dat de capaciteit voldoende is voor de behandeling van de afvalwaterstroom die jaarlijks vrijkomt. Op verzoek van het bevoegd gezag wordt een berekening van de capaciteit van de zuiveringsvoorziening overgelegd.</w:t>
      </w:r>
    </w:p>
    <w:p w:rsidR="0022149F" w:rsidRDefault="0022149F" w:rsidP="0022149F">
      <w:pPr>
        <w:pStyle w:val="art1enivo"/>
        <w:shd w:val="clear" w:color="auto" w:fill="D9D9D9" w:themeFill="background1" w:themeFillShade="D9"/>
      </w:pPr>
      <w:r>
        <w:rPr>
          <w:rFonts w:eastAsiaTheme="minorEastAsia"/>
          <w:lang w:eastAsia="nl-NL"/>
        </w:rPr>
        <w:t>4.</w:t>
      </w:r>
      <w:r>
        <w:rPr>
          <w:rFonts w:eastAsiaTheme="minorEastAsia"/>
          <w:lang w:eastAsia="nl-NL"/>
        </w:rPr>
        <w:tab/>
        <w:t>Indien het afvalwater dat wordt aangeboden aan de zuiveringsvoorziening meer dat 20 milligram olie per liter bevat, wordt het afvalwater voorafgaand aan de zuiveringsvoorziening geleid door een olieafscheider en slibvangput die voldoen aan en worden gebruikt conform NEN-EN 858-1 en 2.</w:t>
      </w:r>
    </w:p>
    <w:p w:rsidR="0022149F" w:rsidRPr="00620047" w:rsidRDefault="0022149F">
      <w:pPr>
        <w:pStyle w:val="artplat"/>
        <w:rPr>
          <w:rFonts w:cs="Arial"/>
        </w:rPr>
      </w:pPr>
    </w:p>
    <w:p w:rsidR="00296032" w:rsidRPr="00296032" w:rsidRDefault="00296032">
      <w:pPr>
        <w:pStyle w:val="paragraaf"/>
      </w:pPr>
      <w:bookmarkStart w:id="97" w:name="_Toc431375591"/>
      <w:bookmarkStart w:id="98" w:name="_Toc277243203"/>
      <w:r w:rsidRPr="00296032">
        <w:t>§ 3.3.3.</w:t>
      </w:r>
      <w:r w:rsidRPr="00296032">
        <w:tab/>
        <w:t>Het demonteren van autowrakken of wrakken van tweewielige motorvoertuigen en daarmee samenhangende activiteiten</w:t>
      </w:r>
      <w:bookmarkEnd w:id="97"/>
    </w:p>
    <w:p w:rsidR="00296032" w:rsidRPr="00296032" w:rsidRDefault="00296032">
      <w:pPr>
        <w:pStyle w:val="artikelkop"/>
      </w:pPr>
      <w:r w:rsidRPr="00296032">
        <w:t>Artikel 3.26</w:t>
      </w:r>
    </w:p>
    <w:p w:rsidR="00296032" w:rsidRPr="00620047" w:rsidRDefault="00296032">
      <w:pPr>
        <w:pStyle w:val="artplat"/>
      </w:pPr>
      <w:r w:rsidRPr="00620047">
        <w:t>Deze paragraaf is van toepassing op:</w:t>
      </w:r>
    </w:p>
    <w:p w:rsidR="00296032" w:rsidRPr="00620047" w:rsidRDefault="00296032">
      <w:pPr>
        <w:pStyle w:val="artplatletter"/>
      </w:pPr>
      <w:r w:rsidRPr="00620047">
        <w:t>a.</w:t>
      </w:r>
      <w:r w:rsidRPr="00620047">
        <w:tab/>
        <w:t>het demonteren van autowrakken of wrakken van tweewielige motorvoertuigen,</w:t>
      </w:r>
    </w:p>
    <w:p w:rsidR="00296032" w:rsidRPr="00620047" w:rsidRDefault="00296032">
      <w:pPr>
        <w:pStyle w:val="artplatletter"/>
      </w:pPr>
      <w:r w:rsidRPr="00620047">
        <w:t>b.</w:t>
      </w:r>
      <w:r w:rsidRPr="00620047">
        <w:tab/>
        <w:t>het aftappen van vloeistoffen uit autowrakken of wrakken van tweewielige motorvoertuigen,</w:t>
      </w:r>
    </w:p>
    <w:p w:rsidR="00296032" w:rsidRPr="00620047" w:rsidRDefault="00296032">
      <w:pPr>
        <w:pStyle w:val="artplatletter"/>
      </w:pPr>
      <w:r w:rsidRPr="00620047">
        <w:t>c.</w:t>
      </w:r>
      <w:r w:rsidRPr="00620047">
        <w:tab/>
        <w:t>het opslaan van autowrakken of wrakken van tweewielige motorvoertuigen voorafgaand aan het demonteren en het aftappen van vloeistoffen,</w:t>
      </w:r>
    </w:p>
    <w:p w:rsidR="00296032" w:rsidRPr="00620047" w:rsidRDefault="00296032">
      <w:pPr>
        <w:pStyle w:val="artplatletter"/>
      </w:pPr>
      <w:r w:rsidRPr="00620047">
        <w:t>d.</w:t>
      </w:r>
      <w:r w:rsidRPr="00620047">
        <w:tab/>
        <w:t>het opslaan van afvalstoffen die vrijkomen bij het demonteren van autowrakken of wrakken van tweewielige motorvoertuigen en het aftappen van vloeistoffen uit autowrakken of wrakken van tweewielige motorvoertuigen, en</w:t>
      </w:r>
    </w:p>
    <w:p w:rsidR="00296032" w:rsidRPr="00620047" w:rsidRDefault="00296032">
      <w:pPr>
        <w:pStyle w:val="artplatletter"/>
      </w:pPr>
      <w:r w:rsidRPr="00620047">
        <w:t>e.</w:t>
      </w:r>
      <w:r w:rsidRPr="00620047">
        <w:tab/>
        <w:t>het neutraliseren van airbags en gordelspanners.</w:t>
      </w:r>
    </w:p>
    <w:p w:rsidR="00296032" w:rsidRPr="00296032" w:rsidRDefault="00296032">
      <w:pPr>
        <w:pStyle w:val="artikelkop"/>
      </w:pPr>
      <w:r w:rsidRPr="00296032">
        <w:t>Artikel 3.26a</w:t>
      </w:r>
    </w:p>
    <w:p w:rsidR="00296032" w:rsidRPr="00620047" w:rsidRDefault="00296032">
      <w:pPr>
        <w:pStyle w:val="artplat"/>
      </w:pPr>
      <w:r w:rsidRPr="00620047">
        <w:t>Bij de activiteiten, bedoeld in artikel 3.26, wordt ten behoeve van:</w:t>
      </w:r>
    </w:p>
    <w:p w:rsidR="00296032" w:rsidRPr="00620047" w:rsidRDefault="00296032">
      <w:pPr>
        <w:pStyle w:val="artplatletter"/>
      </w:pPr>
      <w:r w:rsidRPr="00620047">
        <w:t>a.</w:t>
      </w:r>
      <w:r w:rsidRPr="00620047">
        <w:tab/>
        <w:t>een doelmatig beheer van afvalstoffen;</w:t>
      </w:r>
    </w:p>
    <w:p w:rsidR="00296032" w:rsidRPr="00620047" w:rsidRDefault="00296032">
      <w:pPr>
        <w:pStyle w:val="artplatletter"/>
      </w:pPr>
      <w:r w:rsidRPr="00620047">
        <w:t>b.</w:t>
      </w:r>
      <w:r w:rsidRPr="00620047">
        <w:tab/>
        <w:t>het voorkomen van risico's voor de omgeving en ongewone voorvallen, dan wel voor zover dat niet mogelijk is het zoveel mogelijk beperken van de risico's voor de omgeving en de kans dat ongewone voorvallen zich voordoen en de gevolgen hiervan, en</w:t>
      </w:r>
    </w:p>
    <w:p w:rsidR="00296032" w:rsidRPr="00620047" w:rsidRDefault="00296032">
      <w:pPr>
        <w:pStyle w:val="artplatletter"/>
      </w:pPr>
      <w:r w:rsidRPr="00620047">
        <w:t>c.</w:t>
      </w:r>
      <w:r w:rsidRPr="00620047">
        <w:tab/>
        <w:t>het realiseren van een verwaarloosbaar bodemrisico;</w:t>
      </w:r>
    </w:p>
    <w:p w:rsidR="00296032" w:rsidRPr="00620047" w:rsidRDefault="00296032">
      <w:pPr>
        <w:pStyle w:val="artplatletter"/>
      </w:pPr>
      <w:r w:rsidRPr="00620047">
        <w:t>ten minste voldaan aan de bij ministeriële regeling te stellen eisen.</w:t>
      </w:r>
    </w:p>
    <w:p w:rsidR="00296032" w:rsidRPr="00296032" w:rsidRDefault="00296032">
      <w:pPr>
        <w:pStyle w:val="artikelkop"/>
      </w:pPr>
      <w:r w:rsidRPr="00296032">
        <w:t>Artikel 3.26b</w:t>
      </w:r>
    </w:p>
    <w:p w:rsidR="00296032" w:rsidRPr="00620047" w:rsidRDefault="00296032">
      <w:pPr>
        <w:pStyle w:val="art1enivo"/>
      </w:pPr>
      <w:r w:rsidRPr="00620047">
        <w:t>1.</w:t>
      </w:r>
      <w:r w:rsidRPr="00620047">
        <w:tab/>
        <w:t>Onverminderd artikel 2.5, eerste, vierde en vijfde lid, en artikel 2.6 is bij het ontsteken van airbags en gordelspanners de emissieconcentratie van stofklasse S niet meer dan:</w:t>
      </w:r>
    </w:p>
    <w:p w:rsidR="00296032" w:rsidRPr="00620047" w:rsidRDefault="00296032">
      <w:pPr>
        <w:pStyle w:val="art2enivo"/>
      </w:pPr>
      <w:r w:rsidRPr="00620047">
        <w:t>a.</w:t>
      </w:r>
      <w:r w:rsidRPr="00620047">
        <w:tab/>
        <w:t>5 milligram per normaal kubieke meter, indien de massastroom van stofklasse S naar de lucht gelijk is aan of groter is dan 200 gram per uur;</w:t>
      </w:r>
    </w:p>
    <w:p w:rsidR="00296032" w:rsidRPr="00620047" w:rsidRDefault="00296032">
      <w:pPr>
        <w:pStyle w:val="art2enivo"/>
      </w:pPr>
      <w:r w:rsidRPr="00620047">
        <w:t>b.</w:t>
      </w:r>
      <w:r w:rsidRPr="00620047">
        <w:tab/>
        <w:t>50 milligram per normaal kubieke meter indien de massastroom kleiner is dan 200 gram per uur.</w:t>
      </w:r>
    </w:p>
    <w:p w:rsidR="00296032" w:rsidRPr="00620047" w:rsidRDefault="00296032">
      <w:pPr>
        <w:pStyle w:val="art1enivo"/>
      </w:pPr>
      <w:r w:rsidRPr="00620047">
        <w:t>2.</w:t>
      </w:r>
      <w:r w:rsidRPr="00620047">
        <w:tab/>
        <w:t>Bij het ontsteken van airbags en gordelspanners worden ten behoeve van het voorkomen dan wel het beperken van diffuse emissies en het doelmatig verspreiden van emissies naar de buitenlucht, de bij ministeriële regeling voorgeschreven maatregelen toegepast.</w:t>
      </w:r>
    </w:p>
    <w:p w:rsidR="00296032" w:rsidRPr="00296032" w:rsidRDefault="00296032">
      <w:pPr>
        <w:pStyle w:val="artikelkop"/>
      </w:pPr>
      <w:r w:rsidRPr="00296032">
        <w:t>Artikel 3.26c</w:t>
      </w:r>
    </w:p>
    <w:p w:rsidR="00296032" w:rsidRPr="00620047" w:rsidRDefault="00296032">
      <w:pPr>
        <w:pStyle w:val="art1enivo"/>
      </w:pPr>
      <w:r w:rsidRPr="00620047">
        <w:t>1.</w:t>
      </w:r>
      <w:r w:rsidRPr="00620047">
        <w:tab/>
        <w:t>Bij het in het vuilwaterriool lozen van afvalwater afkomstig van:</w:t>
      </w:r>
    </w:p>
    <w:p w:rsidR="00296032" w:rsidRPr="00620047" w:rsidRDefault="00296032">
      <w:pPr>
        <w:pStyle w:val="art2enivo"/>
      </w:pPr>
      <w:r w:rsidRPr="00620047">
        <w:t>a.</w:t>
      </w:r>
      <w:r w:rsidRPr="00620047">
        <w:tab/>
        <w:t>het demonteren van autowrakken of wrakken van tweewielige motorvoertuigen,</w:t>
      </w:r>
    </w:p>
    <w:p w:rsidR="00296032" w:rsidRPr="00620047" w:rsidRDefault="00296032">
      <w:pPr>
        <w:pStyle w:val="art2enivo"/>
      </w:pPr>
      <w:r w:rsidRPr="00620047">
        <w:t>b.</w:t>
      </w:r>
      <w:r w:rsidRPr="00620047">
        <w:tab/>
        <w:t>het voor demontage aanwezig hebben van autowrakken of wrakken van tweewielige motorvoertuigen die vloeistoffen bevatten, of</w:t>
      </w:r>
    </w:p>
    <w:p w:rsidR="00296032" w:rsidRPr="00620047" w:rsidRDefault="00296032">
      <w:pPr>
        <w:pStyle w:val="art2enivo"/>
      </w:pPr>
      <w:r w:rsidRPr="00620047">
        <w:t>c.</w:t>
      </w:r>
      <w:r w:rsidRPr="00620047">
        <w:tab/>
        <w:t>het opslaan van vloeistof bevattende onderdelen van autowrakken of wrakken van tweewielige motorvoertuigen,</w:t>
      </w:r>
    </w:p>
    <w:p w:rsidR="00296032" w:rsidRPr="00620047" w:rsidRDefault="00296032">
      <w:pPr>
        <w:pStyle w:val="art2enivo"/>
      </w:pPr>
      <w:r w:rsidRPr="00620047">
        <w:t>wordt ten minste voldaan aan het tweede tot en met vierde lid.</w:t>
      </w:r>
    </w:p>
    <w:p w:rsidR="00296032" w:rsidRPr="00620047" w:rsidRDefault="00296032">
      <w:pPr>
        <w:pStyle w:val="art1enivo"/>
      </w:pPr>
      <w:r w:rsidRPr="00620047">
        <w:t>2.</w:t>
      </w:r>
      <w:r w:rsidRPr="00620047">
        <w:tab/>
        <w:t>Het afvalwater bevat in enig steekmonster niet meer dan:</w:t>
      </w:r>
    </w:p>
    <w:p w:rsidR="00296032" w:rsidRPr="00620047" w:rsidRDefault="00296032">
      <w:pPr>
        <w:pStyle w:val="art2enivo"/>
      </w:pPr>
      <w:r w:rsidRPr="00620047">
        <w:t>a.</w:t>
      </w:r>
      <w:r w:rsidRPr="00620047">
        <w:tab/>
        <w:t>20 milligram olie per liter;</w:t>
      </w:r>
    </w:p>
    <w:p w:rsidR="00296032" w:rsidRPr="00620047" w:rsidRDefault="00296032">
      <w:pPr>
        <w:pStyle w:val="art2enivo"/>
      </w:pPr>
      <w:r w:rsidRPr="00620047">
        <w:t>b.</w:t>
      </w:r>
      <w:r w:rsidRPr="00620047">
        <w:tab/>
        <w:t>300 milligram onopgeloste stoffen per liter.</w:t>
      </w:r>
    </w:p>
    <w:p w:rsidR="00296032" w:rsidRPr="00620047" w:rsidRDefault="00296032">
      <w:pPr>
        <w:pStyle w:val="art1enivo"/>
      </w:pPr>
      <w:r w:rsidRPr="00620047">
        <w:t>3.</w:t>
      </w:r>
      <w:r w:rsidRPr="00620047">
        <w:tab/>
        <w:t>In afwijking van het tweede lid bedraagt het gehalte aan olie ten hoogste 200 milligram per liter in enig steekmonster, indien het afvalwater voorafgaand aan vermenging met ander afvalwater wordt geleid door een slibvangput en olieafscheider die:</w:t>
      </w:r>
    </w:p>
    <w:p w:rsidR="00296032" w:rsidRPr="00620047" w:rsidRDefault="00296032">
      <w:pPr>
        <w:pStyle w:val="art2enivo"/>
      </w:pPr>
      <w:r w:rsidRPr="00620047">
        <w:t xml:space="preserve">a. </w:t>
      </w:r>
      <w:r w:rsidRPr="00620047">
        <w:tab/>
        <w:t>voldoen aan en worden gebruikt conform NEN-EN 858-1 en 2, of</w:t>
      </w:r>
    </w:p>
    <w:p w:rsidR="00296032" w:rsidRPr="00620047" w:rsidRDefault="00296032">
      <w:pPr>
        <w:pStyle w:val="art2enivo"/>
      </w:pPr>
      <w:r w:rsidRPr="00620047">
        <w:t xml:space="preserve">b. </w:t>
      </w:r>
      <w:r w:rsidRPr="00620047">
        <w:tab/>
        <w:t>zijn geplaatst voor het van toepassing worden van dit besluit of een deel daarvan op een activiteit in de inrichting en op de hoeveelheid afvalwater zijn afgestemd.</w:t>
      </w:r>
    </w:p>
    <w:p w:rsidR="00296032" w:rsidRDefault="00296032">
      <w:pPr>
        <w:pStyle w:val="art1enivo"/>
      </w:pPr>
      <w:r w:rsidRPr="00620047">
        <w:t>4.</w:t>
      </w:r>
      <w:r w:rsidRPr="00620047">
        <w:tab/>
        <w:t>Het te lozen afvalwater kan op een doelmatige wijze worden bemonsterd.</w:t>
      </w:r>
    </w:p>
    <w:p w:rsidR="0022149F" w:rsidRDefault="0022149F" w:rsidP="0022149F"/>
    <w:p w:rsidR="0022149F" w:rsidRDefault="0022149F"/>
    <w:p w:rsidR="0022149F" w:rsidRDefault="0022149F" w:rsidP="0022149F">
      <w:pPr>
        <w:pStyle w:val="paragraaf"/>
        <w:shd w:val="clear" w:color="auto" w:fill="D9D9D9" w:themeFill="background1" w:themeFillShade="D9"/>
        <w:ind w:left="0" w:firstLine="0"/>
      </w:pPr>
      <w:bookmarkStart w:id="99" w:name="_Toc431375592"/>
      <w:r>
        <w:t>§ 3.3.3.</w:t>
      </w:r>
      <w:r>
        <w:tab/>
        <w:t>Het demonteren van autowrakken of wrakken van tweewielige motorvoertuigen en daarmee samenhangende activiteiten</w:t>
      </w:r>
      <w:bookmarkEnd w:id="99"/>
    </w:p>
    <w:p w:rsidR="0022149F" w:rsidRDefault="0022149F" w:rsidP="0022149F">
      <w:pPr>
        <w:pStyle w:val="artikelkop"/>
        <w:shd w:val="clear" w:color="auto" w:fill="D9D9D9" w:themeFill="background1" w:themeFillShade="D9"/>
      </w:pPr>
      <w:r>
        <w:t xml:space="preserve">Artikel 3.27c </w:t>
      </w:r>
    </w:p>
    <w:p w:rsidR="0022149F" w:rsidRDefault="0022149F" w:rsidP="0022149F">
      <w:pPr>
        <w:pStyle w:val="art1enivo"/>
        <w:shd w:val="clear" w:color="auto" w:fill="D9D9D9" w:themeFill="background1" w:themeFillShade="D9"/>
      </w:pPr>
      <w:r>
        <w:t>1.</w:t>
      </w:r>
      <w:r>
        <w:tab/>
        <w:t>Ten behoeve van het realiseren van een verwaarloosbaar bodemrisico als bedoeld in artikel 3.26a, onderdeel c, van het besluit vindt:</w:t>
      </w:r>
    </w:p>
    <w:p w:rsidR="0022149F" w:rsidRDefault="0022149F" w:rsidP="0022149F">
      <w:pPr>
        <w:pStyle w:val="art2enivo"/>
        <w:shd w:val="clear" w:color="auto" w:fill="D9D9D9" w:themeFill="background1" w:themeFillShade="D9"/>
      </w:pPr>
      <w:r>
        <w:t>a.</w:t>
      </w:r>
      <w:r>
        <w:tab/>
        <w:t>het opslaan van autowrakken voorafgaand aan het demonteren, en</w:t>
      </w:r>
    </w:p>
    <w:p w:rsidR="0022149F" w:rsidRDefault="0022149F" w:rsidP="0022149F">
      <w:pPr>
        <w:pStyle w:val="art2enivo"/>
        <w:shd w:val="clear" w:color="auto" w:fill="D9D9D9" w:themeFill="background1" w:themeFillShade="D9"/>
      </w:pPr>
      <w:r>
        <w:t>b.</w:t>
      </w:r>
      <w:r>
        <w:tab/>
        <w:t>het aftappen van vloeistoffen en het demonteren van vloeistof bevattende onderdelen bij het demonteren van autowrakken,</w:t>
      </w:r>
    </w:p>
    <w:p w:rsidR="0022149F" w:rsidRDefault="0022149F" w:rsidP="00993797">
      <w:pPr>
        <w:pStyle w:val="art2enivo"/>
        <w:shd w:val="clear" w:color="auto" w:fill="D9D9D9" w:themeFill="background1" w:themeFillShade="D9"/>
        <w:ind w:left="425"/>
      </w:pPr>
      <w:r>
        <w:tab/>
        <w:t>plaats boven een vloeistofdichte vloer of verharding.</w:t>
      </w:r>
    </w:p>
    <w:p w:rsidR="0022149F" w:rsidRDefault="0022149F" w:rsidP="0022149F">
      <w:pPr>
        <w:pStyle w:val="art1enivo"/>
        <w:shd w:val="clear" w:color="auto" w:fill="D9D9D9" w:themeFill="background1" w:themeFillShade="D9"/>
      </w:pPr>
      <w:r>
        <w:t>2.</w:t>
      </w:r>
      <w:r>
        <w:tab/>
        <w:t>Ten behoeve van het realiseren van een verwaarloosbaar bodemrisico als bedoeld in artikel 3.26a, onderdeel c, van het besluit vindt:</w:t>
      </w:r>
    </w:p>
    <w:p w:rsidR="0022149F" w:rsidRDefault="0022149F" w:rsidP="0022149F">
      <w:pPr>
        <w:pStyle w:val="art2enivo"/>
        <w:shd w:val="clear" w:color="auto" w:fill="D9D9D9" w:themeFill="background1" w:themeFillShade="D9"/>
      </w:pPr>
      <w:r>
        <w:t>a.</w:t>
      </w:r>
      <w:r>
        <w:tab/>
        <w:t>het opslaan van wrakken van tweewielige motorvoertuigen voorafgaand aan het demonteren plaats boven een vloeistofdichte vloer of verharding, en</w:t>
      </w:r>
    </w:p>
    <w:p w:rsidR="0022149F" w:rsidRDefault="0022149F" w:rsidP="0022149F">
      <w:pPr>
        <w:pStyle w:val="art2enivo"/>
        <w:shd w:val="clear" w:color="auto" w:fill="D9D9D9" w:themeFill="background1" w:themeFillShade="D9"/>
      </w:pPr>
      <w:r>
        <w:t>b.</w:t>
      </w:r>
      <w:r>
        <w:tab/>
        <w:t>het aftappen van vloeistoffen en het demonteren van vloeistof bevattende onderdelen bij het demonteren van wrakken van tweewielige motorvoertuigen plaats boven een bodembeschermende voorziening.</w:t>
      </w:r>
    </w:p>
    <w:p w:rsidR="0022149F" w:rsidRDefault="0022149F" w:rsidP="0022149F">
      <w:pPr>
        <w:pStyle w:val="art1enivo"/>
        <w:shd w:val="clear" w:color="auto" w:fill="D9D9D9" w:themeFill="background1" w:themeFillShade="D9"/>
      </w:pPr>
      <w:r>
        <w:t>3.</w:t>
      </w:r>
      <w:r>
        <w:tab/>
        <w:t xml:space="preserve">Het tweede lid, onderdeel a, is niet van toepassing op het opslaan, bedoeld in dat onderdeel, indien:  </w:t>
      </w:r>
    </w:p>
    <w:p w:rsidR="0022149F" w:rsidRDefault="0022149F" w:rsidP="0022149F">
      <w:pPr>
        <w:pStyle w:val="art2enivo"/>
        <w:shd w:val="clear" w:color="auto" w:fill="D9D9D9" w:themeFill="background1" w:themeFillShade="D9"/>
      </w:pPr>
      <w:r>
        <w:t>a.</w:t>
      </w:r>
      <w:r>
        <w:tab/>
        <w:t>de wrakken bij ontvangst worden geïnspecteerd op lekkage van vloeibare bodembedreigende stoffen,</w:t>
      </w:r>
    </w:p>
    <w:p w:rsidR="0022149F" w:rsidRDefault="0022149F" w:rsidP="0022149F">
      <w:pPr>
        <w:pStyle w:val="art2enivo"/>
        <w:shd w:val="clear" w:color="auto" w:fill="D9D9D9" w:themeFill="background1" w:themeFillShade="D9"/>
      </w:pPr>
      <w:r>
        <w:t>b.</w:t>
      </w:r>
      <w:r>
        <w:tab/>
        <w:t>de wrakken waaruit vloeibare bodembedreigende stoffen lekken, worden opgeslagen boven een vloeistofdichte vloer of verharding of boven een lekbak,</w:t>
      </w:r>
    </w:p>
    <w:p w:rsidR="0022149F" w:rsidRDefault="0022149F" w:rsidP="0022149F">
      <w:pPr>
        <w:pStyle w:val="art2enivo"/>
        <w:shd w:val="clear" w:color="auto" w:fill="D9D9D9" w:themeFill="background1" w:themeFillShade="D9"/>
      </w:pPr>
      <w:r>
        <w:t>c.</w:t>
      </w:r>
      <w:r>
        <w:tab/>
        <w:t>het opslaan van wrakken waaruit vloeibare bodembedreigende stoffen lekken, plaatsvindt boven een lekbak als bedoeld in onderdeel b en de vloeibare bodembedreigende stoffen in afwijking van artikel 3.27d, tweede lid, uiterlijk binnen 24 uur na ontvangst van het wrak van het tweewielige motorvoertuig zijn afgetapt, en</w:t>
      </w:r>
    </w:p>
    <w:p w:rsidR="0022149F" w:rsidRDefault="0022149F" w:rsidP="0022149F">
      <w:pPr>
        <w:pStyle w:val="art2enivo"/>
        <w:shd w:val="clear" w:color="auto" w:fill="D9D9D9" w:themeFill="background1" w:themeFillShade="D9"/>
      </w:pPr>
      <w:r>
        <w:t>d.</w:t>
      </w:r>
      <w:r>
        <w:tab/>
        <w:t>de wrakken waaruit geen vloeibare bodembedreigende stoffen lekken, worden opgeslagen boven een bodembeschermende voorziening.</w:t>
      </w:r>
    </w:p>
    <w:p w:rsidR="0022149F" w:rsidRDefault="0022149F" w:rsidP="0022149F">
      <w:pPr>
        <w:pStyle w:val="artikelkop"/>
        <w:shd w:val="clear" w:color="auto" w:fill="D9D9D9" w:themeFill="background1" w:themeFillShade="D9"/>
      </w:pPr>
      <w:r>
        <w:t xml:space="preserve">Artikel 3.27d </w:t>
      </w:r>
    </w:p>
    <w:p w:rsidR="0022149F" w:rsidRDefault="0022149F" w:rsidP="0022149F">
      <w:pPr>
        <w:pStyle w:val="art1enivo"/>
        <w:shd w:val="clear" w:color="auto" w:fill="D9D9D9" w:themeFill="background1" w:themeFillShade="D9"/>
        <w:suppressAutoHyphens/>
        <w:rPr>
          <w:rFonts w:cs="Arial"/>
        </w:rPr>
      </w:pPr>
      <w:r>
        <w:rPr>
          <w:rFonts w:cs="Arial"/>
        </w:rPr>
        <w:t>1.</w:t>
      </w:r>
      <w:r>
        <w:rPr>
          <w:rFonts w:cs="Arial"/>
        </w:rPr>
        <w:tab/>
        <w:t>Ten behoeve van:</w:t>
      </w:r>
    </w:p>
    <w:p w:rsidR="0022149F" w:rsidRDefault="0022149F" w:rsidP="0022149F">
      <w:pPr>
        <w:pStyle w:val="art2enivo"/>
        <w:shd w:val="clear" w:color="auto" w:fill="D9D9D9" w:themeFill="background1" w:themeFillShade="D9"/>
        <w:suppressAutoHyphens/>
        <w:rPr>
          <w:rFonts w:cs="Arial"/>
        </w:rPr>
      </w:pPr>
      <w:r>
        <w:rPr>
          <w:rFonts w:cs="Arial"/>
        </w:rPr>
        <w:t>a.</w:t>
      </w:r>
      <w:r>
        <w:rPr>
          <w:rFonts w:cs="Arial"/>
        </w:rPr>
        <w:tab/>
        <w:t>een doelmatig beheer van afvalstoffen als bedoeld in het artikel 3.26a van het besluit,</w:t>
      </w:r>
    </w:p>
    <w:p w:rsidR="0022149F" w:rsidRDefault="0022149F" w:rsidP="0022149F">
      <w:pPr>
        <w:pStyle w:val="art2enivo"/>
        <w:shd w:val="clear" w:color="auto" w:fill="D9D9D9" w:themeFill="background1" w:themeFillShade="D9"/>
        <w:suppressAutoHyphens/>
        <w:rPr>
          <w:rFonts w:cs="Arial"/>
        </w:rPr>
      </w:pPr>
      <w:r>
        <w:rPr>
          <w:rFonts w:cs="Arial"/>
        </w:rPr>
        <w:t>b.</w:t>
      </w:r>
      <w:r>
        <w:rPr>
          <w:rFonts w:cs="Arial"/>
        </w:rPr>
        <w:tab/>
        <w:t>het voorkomen of beperken van risico's voor de omgeving en ongewone voorvallen, dan wel, voor zover dat niet mogelijk is, het zoveel mogelijk beperken van de risico's voor de omgeving en de kans dat ongewone voorvallen zich voordoen en de gevolgen hiervan, bedoeld in artikel 3.26a van het besluit, en</w:t>
      </w:r>
    </w:p>
    <w:p w:rsidR="0022149F" w:rsidRDefault="0022149F" w:rsidP="0022149F">
      <w:pPr>
        <w:pStyle w:val="art2enivo"/>
        <w:shd w:val="clear" w:color="auto" w:fill="D9D9D9" w:themeFill="background1" w:themeFillShade="D9"/>
        <w:suppressAutoHyphens/>
        <w:rPr>
          <w:rFonts w:cs="Arial"/>
        </w:rPr>
      </w:pPr>
      <w:r>
        <w:rPr>
          <w:rFonts w:cs="Arial"/>
        </w:rPr>
        <w:t>c.</w:t>
      </w:r>
      <w:r>
        <w:rPr>
          <w:rFonts w:cs="Arial"/>
        </w:rPr>
        <w:tab/>
        <w:t>het realiseren van een verwaarloosbaar bodemrisico, bedoeld in artikel 3.26a van het besluit, wordt bij het bewerken van autowrakken of wrakken van tweewielige motorvoertuigen in een inrichting waar autowrakken of wrakken van tweewielige motorvoertuigen worden gedemonteerd, voldaan aan het tweede tot en met zevende lid.</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Zo spoedig mogelijk, doch uiterlijk binnen tien werkdagen na ontvangst van het autowrak</w:t>
      </w:r>
      <w:r>
        <w:t xml:space="preserve"> </w:t>
      </w:r>
      <w:r>
        <w:rPr>
          <w:rFonts w:cs="Arial"/>
        </w:rPr>
        <w:t>of wrak van een tweewielig motorvoertuig , worden de volgende stoffen, preparaten of producten, indien aanwezig, afgetapt of gedemonteerd en opgeslagen:</w:t>
      </w:r>
    </w:p>
    <w:p w:rsidR="0022149F" w:rsidRDefault="0022149F" w:rsidP="0022149F">
      <w:pPr>
        <w:pStyle w:val="art2enivo"/>
        <w:shd w:val="clear" w:color="auto" w:fill="D9D9D9" w:themeFill="background1" w:themeFillShade="D9"/>
        <w:suppressAutoHyphens/>
        <w:rPr>
          <w:rFonts w:cs="Arial"/>
        </w:rPr>
      </w:pPr>
      <w:r>
        <w:rPr>
          <w:rFonts w:cs="Arial"/>
        </w:rPr>
        <w:t>a.</w:t>
      </w:r>
      <w:r>
        <w:rPr>
          <w:rFonts w:cs="Arial"/>
        </w:rPr>
        <w:tab/>
        <w:t>motorolie;</w:t>
      </w:r>
    </w:p>
    <w:p w:rsidR="0022149F" w:rsidRDefault="0022149F" w:rsidP="0022149F">
      <w:pPr>
        <w:pStyle w:val="art2enivo"/>
        <w:shd w:val="clear" w:color="auto" w:fill="D9D9D9" w:themeFill="background1" w:themeFillShade="D9"/>
        <w:suppressAutoHyphens/>
        <w:rPr>
          <w:rFonts w:cs="Arial"/>
        </w:rPr>
      </w:pPr>
      <w:r>
        <w:rPr>
          <w:rFonts w:cs="Arial"/>
        </w:rPr>
        <w:t>b.</w:t>
      </w:r>
      <w:r>
        <w:rPr>
          <w:rFonts w:cs="Arial"/>
        </w:rPr>
        <w:tab/>
        <w:t>transmissieolie;</w:t>
      </w:r>
    </w:p>
    <w:p w:rsidR="0022149F" w:rsidRDefault="0022149F" w:rsidP="0022149F">
      <w:pPr>
        <w:pStyle w:val="art2enivo"/>
        <w:shd w:val="clear" w:color="auto" w:fill="D9D9D9" w:themeFill="background1" w:themeFillShade="D9"/>
        <w:suppressAutoHyphens/>
        <w:rPr>
          <w:rFonts w:cs="Arial"/>
        </w:rPr>
      </w:pPr>
      <w:r>
        <w:rPr>
          <w:rFonts w:cs="Arial"/>
        </w:rPr>
        <w:t>c.</w:t>
      </w:r>
      <w:r>
        <w:rPr>
          <w:rFonts w:cs="Arial"/>
        </w:rPr>
        <w:tab/>
        <w:t>versnellingsbakolie;</w:t>
      </w:r>
    </w:p>
    <w:p w:rsidR="0022149F" w:rsidRDefault="0022149F" w:rsidP="0022149F">
      <w:pPr>
        <w:pStyle w:val="art2enivo"/>
        <w:shd w:val="clear" w:color="auto" w:fill="D9D9D9" w:themeFill="background1" w:themeFillShade="D9"/>
        <w:suppressAutoHyphens/>
        <w:rPr>
          <w:rFonts w:cs="Arial"/>
        </w:rPr>
      </w:pPr>
      <w:r>
        <w:rPr>
          <w:rFonts w:cs="Arial"/>
        </w:rPr>
        <w:t>d.</w:t>
      </w:r>
      <w:r>
        <w:rPr>
          <w:rFonts w:cs="Arial"/>
        </w:rPr>
        <w:tab/>
        <w:t>olie uit het differentieel;</w:t>
      </w:r>
    </w:p>
    <w:p w:rsidR="0022149F" w:rsidRDefault="0022149F" w:rsidP="0022149F">
      <w:pPr>
        <w:pStyle w:val="art2enivo"/>
        <w:shd w:val="clear" w:color="auto" w:fill="D9D9D9" w:themeFill="background1" w:themeFillShade="D9"/>
        <w:suppressAutoHyphens/>
        <w:rPr>
          <w:rFonts w:cs="Arial"/>
        </w:rPr>
      </w:pPr>
      <w:r>
        <w:rPr>
          <w:rFonts w:cs="Arial"/>
        </w:rPr>
        <w:t>e.</w:t>
      </w:r>
      <w:r>
        <w:rPr>
          <w:rFonts w:cs="Arial"/>
        </w:rPr>
        <w:tab/>
        <w:t>hydraulische olie;</w:t>
      </w:r>
    </w:p>
    <w:p w:rsidR="0022149F" w:rsidRDefault="0022149F" w:rsidP="0022149F">
      <w:pPr>
        <w:pStyle w:val="art2enivo"/>
        <w:shd w:val="clear" w:color="auto" w:fill="D9D9D9" w:themeFill="background1" w:themeFillShade="D9"/>
        <w:suppressAutoHyphens/>
        <w:rPr>
          <w:rFonts w:cs="Arial"/>
        </w:rPr>
      </w:pPr>
      <w:r>
        <w:rPr>
          <w:rFonts w:cs="Arial"/>
        </w:rPr>
        <w:t>f.</w:t>
      </w:r>
      <w:r>
        <w:rPr>
          <w:rFonts w:cs="Arial"/>
        </w:rPr>
        <w:tab/>
        <w:t>remvloeistoffen;</w:t>
      </w:r>
    </w:p>
    <w:p w:rsidR="0022149F" w:rsidRDefault="0022149F" w:rsidP="0022149F">
      <w:pPr>
        <w:pStyle w:val="art2enivo"/>
        <w:shd w:val="clear" w:color="auto" w:fill="D9D9D9" w:themeFill="background1" w:themeFillShade="D9"/>
        <w:suppressAutoHyphens/>
        <w:rPr>
          <w:rFonts w:cs="Arial"/>
        </w:rPr>
      </w:pPr>
      <w:r>
        <w:rPr>
          <w:rFonts w:cs="Arial"/>
        </w:rPr>
        <w:t>g.</w:t>
      </w:r>
      <w:r>
        <w:rPr>
          <w:rFonts w:cs="Arial"/>
        </w:rPr>
        <w:tab/>
        <w:t>koelvloeistoffen;</w:t>
      </w:r>
    </w:p>
    <w:p w:rsidR="0022149F" w:rsidRDefault="0022149F" w:rsidP="0022149F">
      <w:pPr>
        <w:pStyle w:val="art2enivo"/>
        <w:shd w:val="clear" w:color="auto" w:fill="D9D9D9" w:themeFill="background1" w:themeFillShade="D9"/>
        <w:suppressAutoHyphens/>
        <w:rPr>
          <w:rFonts w:cs="Arial"/>
        </w:rPr>
      </w:pPr>
      <w:r>
        <w:rPr>
          <w:rFonts w:cs="Arial"/>
        </w:rPr>
        <w:t>h.</w:t>
      </w:r>
      <w:r>
        <w:rPr>
          <w:rFonts w:cs="Arial"/>
        </w:rPr>
        <w:tab/>
        <w:t>ruitensproeiervloeistoffen;</w:t>
      </w:r>
    </w:p>
    <w:p w:rsidR="0022149F" w:rsidRPr="009846F6" w:rsidRDefault="0022149F" w:rsidP="0022149F">
      <w:pPr>
        <w:pStyle w:val="art2enivo"/>
        <w:shd w:val="clear" w:color="auto" w:fill="D9D9D9" w:themeFill="background1" w:themeFillShade="D9"/>
        <w:suppressAutoHyphens/>
        <w:rPr>
          <w:rFonts w:cs="Arial"/>
          <w:lang w:val="de-DE"/>
        </w:rPr>
      </w:pPr>
      <w:r w:rsidRPr="009846F6">
        <w:rPr>
          <w:rFonts w:cs="Arial"/>
          <w:lang w:val="de-DE"/>
        </w:rPr>
        <w:t>i.</w:t>
      </w:r>
      <w:r w:rsidRPr="009846F6">
        <w:rPr>
          <w:rFonts w:cs="Arial"/>
          <w:lang w:val="de-DE"/>
        </w:rPr>
        <w:tab/>
        <w:t>airconditioningsvloeistoffen;</w:t>
      </w:r>
    </w:p>
    <w:p w:rsidR="0022149F" w:rsidRPr="009846F6" w:rsidRDefault="0022149F" w:rsidP="0022149F">
      <w:pPr>
        <w:pStyle w:val="art2enivo"/>
        <w:shd w:val="clear" w:color="auto" w:fill="D9D9D9" w:themeFill="background1" w:themeFillShade="D9"/>
        <w:suppressAutoHyphens/>
        <w:rPr>
          <w:rFonts w:cs="Arial"/>
          <w:lang w:val="de-DE"/>
        </w:rPr>
      </w:pPr>
      <w:r w:rsidRPr="009846F6">
        <w:rPr>
          <w:rFonts w:cs="Arial"/>
          <w:lang w:val="de-DE"/>
        </w:rPr>
        <w:t>j.</w:t>
      </w:r>
      <w:r w:rsidRPr="009846F6">
        <w:rPr>
          <w:rFonts w:cs="Arial"/>
          <w:lang w:val="de-DE"/>
        </w:rPr>
        <w:tab/>
        <w:t>benzine;</w:t>
      </w:r>
    </w:p>
    <w:p w:rsidR="0022149F" w:rsidRPr="009846F6" w:rsidRDefault="0022149F" w:rsidP="0022149F">
      <w:pPr>
        <w:pStyle w:val="art2enivo"/>
        <w:shd w:val="clear" w:color="auto" w:fill="D9D9D9" w:themeFill="background1" w:themeFillShade="D9"/>
        <w:suppressAutoHyphens/>
        <w:rPr>
          <w:rFonts w:cs="Arial"/>
          <w:lang w:val="de-DE"/>
        </w:rPr>
      </w:pPr>
      <w:r w:rsidRPr="009846F6">
        <w:rPr>
          <w:rFonts w:cs="Arial"/>
          <w:lang w:val="de-DE"/>
        </w:rPr>
        <w:t>k.</w:t>
      </w:r>
      <w:r w:rsidRPr="009846F6">
        <w:rPr>
          <w:rFonts w:cs="Arial"/>
          <w:lang w:val="de-DE"/>
        </w:rPr>
        <w:tab/>
        <w:t>diesel;</w:t>
      </w:r>
    </w:p>
    <w:p w:rsidR="0022149F" w:rsidRDefault="0022149F" w:rsidP="0022149F">
      <w:pPr>
        <w:pStyle w:val="art2enivo"/>
        <w:shd w:val="clear" w:color="auto" w:fill="D9D9D9" w:themeFill="background1" w:themeFillShade="D9"/>
        <w:suppressAutoHyphens/>
        <w:rPr>
          <w:rFonts w:cs="Arial"/>
        </w:rPr>
      </w:pPr>
      <w:r>
        <w:rPr>
          <w:rFonts w:cs="Arial"/>
        </w:rPr>
        <w:t>l.</w:t>
      </w:r>
      <w:r>
        <w:rPr>
          <w:rFonts w:cs="Arial"/>
        </w:rPr>
        <w:tab/>
        <w:t>LPG-tank, inclusief LPG;</w:t>
      </w:r>
    </w:p>
    <w:p w:rsidR="0022149F" w:rsidRDefault="0022149F" w:rsidP="0022149F">
      <w:pPr>
        <w:pStyle w:val="art2enivo"/>
        <w:shd w:val="clear" w:color="auto" w:fill="D9D9D9" w:themeFill="background1" w:themeFillShade="D9"/>
        <w:suppressAutoHyphens/>
        <w:rPr>
          <w:rFonts w:cs="Arial"/>
        </w:rPr>
      </w:pPr>
      <w:r>
        <w:rPr>
          <w:rFonts w:cs="Arial"/>
        </w:rPr>
        <w:t>m.</w:t>
      </w:r>
      <w:r>
        <w:rPr>
          <w:rFonts w:cs="Arial"/>
        </w:rPr>
        <w:tab/>
        <w:t>accu, inclusief accuzuren;</w:t>
      </w:r>
    </w:p>
    <w:p w:rsidR="0022149F" w:rsidRDefault="0022149F" w:rsidP="0022149F">
      <w:pPr>
        <w:pStyle w:val="art2enivo"/>
        <w:shd w:val="clear" w:color="auto" w:fill="D9D9D9" w:themeFill="background1" w:themeFillShade="D9"/>
        <w:suppressAutoHyphens/>
        <w:rPr>
          <w:rFonts w:cs="Arial"/>
        </w:rPr>
      </w:pPr>
      <w:r>
        <w:rPr>
          <w:rFonts w:cs="Arial"/>
        </w:rPr>
        <w:t>n.</w:t>
      </w:r>
      <w:r>
        <w:rPr>
          <w:rFonts w:cs="Arial"/>
        </w:rPr>
        <w:tab/>
        <w:t>oliefilter;</w:t>
      </w:r>
    </w:p>
    <w:p w:rsidR="0022149F" w:rsidRDefault="0022149F" w:rsidP="0022149F">
      <w:pPr>
        <w:pStyle w:val="art2enivo"/>
        <w:shd w:val="clear" w:color="auto" w:fill="D9D9D9" w:themeFill="background1" w:themeFillShade="D9"/>
        <w:suppressAutoHyphens/>
        <w:rPr>
          <w:rFonts w:cs="Arial"/>
        </w:rPr>
      </w:pPr>
      <w:r>
        <w:rPr>
          <w:rFonts w:cs="Arial"/>
        </w:rPr>
        <w:t>o.</w:t>
      </w:r>
      <w:r>
        <w:rPr>
          <w:rFonts w:cs="Arial"/>
        </w:rPr>
        <w:tab/>
        <w:t>PCB/PCT-houdende condensatoren;</w:t>
      </w:r>
    </w:p>
    <w:p w:rsidR="0022149F" w:rsidRDefault="0022149F" w:rsidP="0022149F">
      <w:pPr>
        <w:pStyle w:val="art2enivo"/>
        <w:shd w:val="clear" w:color="auto" w:fill="D9D9D9" w:themeFill="background1" w:themeFillShade="D9"/>
        <w:suppressAutoHyphens/>
        <w:rPr>
          <w:rFonts w:cs="Arial"/>
        </w:rPr>
      </w:pPr>
      <w:r>
        <w:rPr>
          <w:rFonts w:cs="Arial"/>
        </w:rPr>
        <w:t>p.</w:t>
      </w:r>
      <w:r>
        <w:rPr>
          <w:rFonts w:cs="Arial"/>
        </w:rPr>
        <w:tab/>
        <w:t>batterijen; en</w:t>
      </w:r>
    </w:p>
    <w:p w:rsidR="0022149F" w:rsidRDefault="0022149F" w:rsidP="0022149F">
      <w:pPr>
        <w:pStyle w:val="art2enivo"/>
        <w:shd w:val="clear" w:color="auto" w:fill="D9D9D9" w:themeFill="background1" w:themeFillShade="D9"/>
        <w:suppressAutoHyphens/>
        <w:rPr>
          <w:rFonts w:cs="Arial"/>
        </w:rPr>
      </w:pPr>
      <w:r>
        <w:rPr>
          <w:rFonts w:cs="Arial"/>
        </w:rPr>
        <w:t>q.</w:t>
      </w:r>
      <w:r>
        <w:rPr>
          <w:rFonts w:cs="Arial"/>
        </w:rPr>
        <w:tab/>
        <w:t>ontplofbare onderdelen voor zover deze niet zijn geneutraliseerd, met uitzondering van elektrische airbags en gordelspanners.</w:t>
      </w:r>
    </w:p>
    <w:p w:rsidR="0022149F" w:rsidRDefault="0022149F" w:rsidP="0022149F">
      <w:pPr>
        <w:pStyle w:val="art1enivo"/>
        <w:shd w:val="clear" w:color="auto" w:fill="D9D9D9" w:themeFill="background1" w:themeFillShade="D9"/>
        <w:suppressAutoHyphens/>
        <w:rPr>
          <w:rFonts w:cs="Arial"/>
        </w:rPr>
      </w:pPr>
      <w:r>
        <w:rPr>
          <w:rFonts w:cs="Arial"/>
        </w:rPr>
        <w:t>3.</w:t>
      </w:r>
      <w:r>
        <w:rPr>
          <w:rFonts w:cs="Arial"/>
        </w:rPr>
        <w:tab/>
        <w:t>Restanten van vloeistoffen worden zo goed mogelijk uit leidingen afgetapt. De aftappunten worden na het aftappen afgesloten.</w:t>
      </w:r>
    </w:p>
    <w:p w:rsidR="0022149F" w:rsidRDefault="0022149F" w:rsidP="0022149F">
      <w:pPr>
        <w:pStyle w:val="art1enivo"/>
        <w:shd w:val="clear" w:color="auto" w:fill="D9D9D9" w:themeFill="background1" w:themeFillShade="D9"/>
        <w:suppressAutoHyphens/>
        <w:rPr>
          <w:rFonts w:cs="Arial"/>
        </w:rPr>
      </w:pPr>
      <w:r>
        <w:rPr>
          <w:rFonts w:cs="Arial"/>
        </w:rPr>
        <w:t>4.</w:t>
      </w:r>
      <w:r>
        <w:rPr>
          <w:rFonts w:cs="Arial"/>
        </w:rPr>
        <w:tab/>
        <w:t>Indien dat noodzakelijk is voor de recycling als product van gedemonteerde onderdelen kan in afwijking van het tweede lid worden afgezien van het aftappen van de oliën uit de in dat lid genoemde onderdelen en kan het oliefilter worden teruggeplaatst.</w:t>
      </w:r>
    </w:p>
    <w:p w:rsidR="0022149F" w:rsidRDefault="0022149F" w:rsidP="0022149F">
      <w:pPr>
        <w:pStyle w:val="art1enivo"/>
        <w:shd w:val="clear" w:color="auto" w:fill="D9D9D9" w:themeFill="background1" w:themeFillShade="D9"/>
        <w:suppressAutoHyphens/>
        <w:rPr>
          <w:rFonts w:cs="Arial"/>
        </w:rPr>
      </w:pPr>
      <w:r>
        <w:rPr>
          <w:rFonts w:cs="Arial"/>
        </w:rPr>
        <w:t>5.</w:t>
      </w:r>
      <w:r>
        <w:rPr>
          <w:rFonts w:cs="Arial"/>
        </w:rPr>
        <w:tab/>
        <w:t>Autowrakken worden binnen de inrichting ontdaan van de volgende stoffen, preparaten of producten:</w:t>
      </w:r>
    </w:p>
    <w:p w:rsidR="0022149F" w:rsidRDefault="0022149F" w:rsidP="0022149F">
      <w:pPr>
        <w:pStyle w:val="art2enivo"/>
        <w:shd w:val="clear" w:color="auto" w:fill="D9D9D9" w:themeFill="background1" w:themeFillShade="D9"/>
        <w:suppressAutoHyphens/>
        <w:rPr>
          <w:rFonts w:cs="Arial"/>
        </w:rPr>
      </w:pPr>
      <w:r>
        <w:rPr>
          <w:rFonts w:cs="Arial"/>
        </w:rPr>
        <w:t>a.</w:t>
      </w:r>
      <w:r>
        <w:rPr>
          <w:rFonts w:cs="Arial"/>
        </w:rPr>
        <w:tab/>
        <w:t>banden, glas en grote kunststofonderdelen, zoals bumpers, instrumentenborden en vloeistoftanks, indien deze materialen tijdens het shredderproces niet zodanig gescheiden worden dat ze als materiaal kunnen worden gerecycled;</w:t>
      </w:r>
    </w:p>
    <w:p w:rsidR="0022149F" w:rsidRDefault="0022149F" w:rsidP="0022149F">
      <w:pPr>
        <w:pStyle w:val="art2enivo"/>
        <w:shd w:val="clear" w:color="auto" w:fill="D9D9D9" w:themeFill="background1" w:themeFillShade="D9"/>
        <w:suppressAutoHyphens/>
        <w:rPr>
          <w:rFonts w:cs="Arial"/>
        </w:rPr>
      </w:pPr>
      <w:r>
        <w:rPr>
          <w:rFonts w:cs="Arial"/>
        </w:rPr>
        <w:t>b.</w:t>
      </w:r>
      <w:r>
        <w:rPr>
          <w:rFonts w:cs="Arial"/>
        </w:rPr>
        <w:tab/>
        <w:t>metalen onderdelen die koper, aluminium of magnesium bevatten indien deze metalen niet tijdens het shredderproces worden gescheiden;</w:t>
      </w:r>
    </w:p>
    <w:p w:rsidR="0022149F" w:rsidRDefault="0022149F" w:rsidP="0022149F">
      <w:pPr>
        <w:pStyle w:val="art2enivo"/>
        <w:shd w:val="clear" w:color="auto" w:fill="D9D9D9" w:themeFill="background1" w:themeFillShade="D9"/>
        <w:suppressAutoHyphens/>
        <w:rPr>
          <w:rFonts w:cs="Arial"/>
        </w:rPr>
      </w:pPr>
      <w:r>
        <w:rPr>
          <w:rFonts w:cs="Arial"/>
        </w:rPr>
        <w:t>c.</w:t>
      </w:r>
      <w:r>
        <w:rPr>
          <w:rFonts w:cs="Arial"/>
        </w:rPr>
        <w:tab/>
        <w:t>katalysatoren;</w:t>
      </w:r>
    </w:p>
    <w:p w:rsidR="0022149F" w:rsidRDefault="0022149F" w:rsidP="0022149F">
      <w:pPr>
        <w:pStyle w:val="art2enivo"/>
        <w:shd w:val="clear" w:color="auto" w:fill="D9D9D9" w:themeFill="background1" w:themeFillShade="D9"/>
        <w:suppressAutoHyphens/>
        <w:rPr>
          <w:rFonts w:cs="Arial"/>
        </w:rPr>
      </w:pPr>
      <w:r>
        <w:rPr>
          <w:rFonts w:cs="Arial"/>
        </w:rPr>
        <w:t>d.</w:t>
      </w:r>
      <w:r>
        <w:rPr>
          <w:rFonts w:cs="Arial"/>
        </w:rPr>
        <w:tab/>
        <w:t>onderdelen die lood, kwik, cadmium of zeswaardig chroom bevatten en als zodanig zijn voorzien van een aanduiding;</w:t>
      </w:r>
    </w:p>
    <w:p w:rsidR="0022149F" w:rsidRDefault="0022149F" w:rsidP="0022149F">
      <w:pPr>
        <w:pStyle w:val="art2enivo"/>
        <w:shd w:val="clear" w:color="auto" w:fill="D9D9D9" w:themeFill="background1" w:themeFillShade="D9"/>
        <w:suppressAutoHyphens/>
        <w:rPr>
          <w:rFonts w:eastAsiaTheme="minorEastAsia"/>
          <w:lang w:eastAsia="nl-NL"/>
        </w:rPr>
      </w:pPr>
      <w:r>
        <w:rPr>
          <w:rFonts w:eastAsiaTheme="minorEastAsia"/>
          <w:lang w:eastAsia="nl-NL"/>
        </w:rPr>
        <w:t>e.</w:t>
      </w:r>
      <w:r>
        <w:rPr>
          <w:rFonts w:eastAsiaTheme="minorEastAsia"/>
          <w:lang w:eastAsia="nl-NL"/>
        </w:rPr>
        <w:tab/>
        <w:t>elektrische airbags en gordelspanners, voor zover deze niet zijn geneutraliseerd.</w:t>
      </w:r>
    </w:p>
    <w:p w:rsidR="0022149F" w:rsidRDefault="0022149F" w:rsidP="0022149F">
      <w:pPr>
        <w:pStyle w:val="art1enivo"/>
        <w:shd w:val="clear" w:color="auto" w:fill="D9D9D9" w:themeFill="background1" w:themeFillShade="D9"/>
      </w:pPr>
      <w:r>
        <w:t>6.</w:t>
      </w:r>
      <w:r>
        <w:tab/>
        <w:t>Een autowrak wordt niet op een zodanig wijze geplet, geknipt of anderszins mechanisch verkleind dat de identiteit of de inhoud daarvan niet meer herkenbaar is.</w:t>
      </w:r>
    </w:p>
    <w:p w:rsidR="0022149F" w:rsidRDefault="0022149F" w:rsidP="0022149F">
      <w:pPr>
        <w:pStyle w:val="art1enivo"/>
        <w:shd w:val="clear" w:color="auto" w:fill="D9D9D9" w:themeFill="background1" w:themeFillShade="D9"/>
      </w:pPr>
      <w:r>
        <w:t>7.</w:t>
      </w:r>
      <w:r>
        <w:tab/>
        <w:t>Wrakken van tweewielige motorvoertuigen worden binnen de inrichting ontdaan van stoffen, preparaten of producten als bedoeld in het vijfde lid, onderdelen d en e.</w:t>
      </w:r>
    </w:p>
    <w:p w:rsidR="0022149F" w:rsidRDefault="0022149F" w:rsidP="0022149F">
      <w:pPr>
        <w:pStyle w:val="artikelkop"/>
        <w:shd w:val="clear" w:color="auto" w:fill="D9D9D9" w:themeFill="background1" w:themeFillShade="D9"/>
      </w:pPr>
      <w:r>
        <w:t>Artikel 3.27e</w:t>
      </w:r>
    </w:p>
    <w:p w:rsidR="0022149F" w:rsidRDefault="0022149F" w:rsidP="0022149F">
      <w:pPr>
        <w:pStyle w:val="art1enivo"/>
        <w:shd w:val="clear" w:color="auto" w:fill="D9D9D9" w:themeFill="background1" w:themeFillShade="D9"/>
        <w:suppressAutoHyphens/>
        <w:rPr>
          <w:rFonts w:cs="Arial"/>
        </w:rPr>
      </w:pPr>
      <w:r>
        <w:rPr>
          <w:rFonts w:cs="Arial"/>
        </w:rPr>
        <w:t>1.</w:t>
      </w:r>
      <w:r>
        <w:rPr>
          <w:rFonts w:cs="Arial"/>
        </w:rPr>
        <w:tab/>
        <w:t>Ten behoeve van een doelmatig beheer van afvalstoffen als bedoeld in artikel 3.26a van het besluit voldoet de opslag van afgetapte of gedemonteerde stoffen, preparaten of producten bij een inrichting waar autowrakken of wrakken van tweewielige motorvoertuigen worden gedemonteerd, aan het tweede tot en met vijfde lid.</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Afgetapte of gedemonteerde stoffen, preparaten of producten als bedoeld in artikel 3.27d, tweede lid, worden voor zover dat nodig is voor recycling als materiaal of product of nuttige toepassing afzonderlijk bewaard.</w:t>
      </w:r>
    </w:p>
    <w:p w:rsidR="0022149F" w:rsidRDefault="0022149F" w:rsidP="0022149F">
      <w:pPr>
        <w:pStyle w:val="art1enivo"/>
        <w:shd w:val="clear" w:color="auto" w:fill="D9D9D9" w:themeFill="background1" w:themeFillShade="D9"/>
        <w:suppressAutoHyphens/>
        <w:rPr>
          <w:rFonts w:cs="Arial"/>
        </w:rPr>
      </w:pPr>
      <w:r>
        <w:rPr>
          <w:rFonts w:cs="Arial"/>
        </w:rPr>
        <w:t>3.</w:t>
      </w:r>
      <w:r>
        <w:rPr>
          <w:rFonts w:cs="Arial"/>
        </w:rPr>
        <w:tab/>
        <w:t>Afgetapte of gedemonteerde stoffen, preparaten of producten als bedoeld in artikel 3.27d, vijfde lid, worden op een zodanige wijze opgeslagen dat de mogelijkheden voor recycling als materiaal of product of nuttige toepassing niet worden geschaad.</w:t>
      </w:r>
    </w:p>
    <w:p w:rsidR="0022149F" w:rsidRDefault="0022149F" w:rsidP="0022149F">
      <w:pPr>
        <w:pStyle w:val="art1enivo"/>
        <w:shd w:val="clear" w:color="auto" w:fill="D9D9D9" w:themeFill="background1" w:themeFillShade="D9"/>
        <w:suppressAutoHyphens/>
        <w:rPr>
          <w:rFonts w:cs="Arial"/>
        </w:rPr>
      </w:pPr>
      <w:r>
        <w:rPr>
          <w:rFonts w:cs="Arial"/>
        </w:rPr>
        <w:t>4.</w:t>
      </w:r>
      <w:r>
        <w:rPr>
          <w:rFonts w:cs="Arial"/>
        </w:rPr>
        <w:tab/>
        <w:t>Niet voor recycling als product geschikte stoffen, preparaten of producten, waarvoor wel een mogelijkheid van recycling als materiaal of nuttige toepassing bestaat, worden gescheiden gehouden en gescheiden afgevoerd naar een inrichting met een milieuhygiënisch verantwoorde en doelmatige verwerkingsmogelijkheid.</w:t>
      </w:r>
    </w:p>
    <w:p w:rsidR="0022149F" w:rsidRDefault="0022149F" w:rsidP="0022149F">
      <w:pPr>
        <w:pStyle w:val="art1enivo"/>
        <w:shd w:val="clear" w:color="auto" w:fill="D9D9D9" w:themeFill="background1" w:themeFillShade="D9"/>
        <w:suppressAutoHyphens/>
        <w:rPr>
          <w:rFonts w:cs="Arial"/>
        </w:rPr>
      </w:pPr>
      <w:r>
        <w:rPr>
          <w:rFonts w:cs="Arial"/>
        </w:rPr>
        <w:t>5.</w:t>
      </w:r>
      <w:r>
        <w:rPr>
          <w:rFonts w:cs="Arial"/>
        </w:rPr>
        <w:tab/>
        <w:t>Het bevoegd gezag kan maatwerkvoorschriften stellen ten aanzien van de wijze van opslag van afgetapte of gedemonteerde stoffen, preparaten of producten als bedoeld in het tweede tot en met vierde lid.</w:t>
      </w:r>
    </w:p>
    <w:p w:rsidR="0022149F" w:rsidRDefault="0022149F" w:rsidP="0022149F">
      <w:pPr>
        <w:pStyle w:val="artikelkop"/>
        <w:shd w:val="clear" w:color="auto" w:fill="D9D9D9" w:themeFill="background1" w:themeFillShade="D9"/>
      </w:pPr>
      <w:r>
        <w:t xml:space="preserve">Artikel 3.27f </w:t>
      </w:r>
    </w:p>
    <w:p w:rsidR="0022149F" w:rsidRDefault="0022149F" w:rsidP="0022149F">
      <w:pPr>
        <w:pStyle w:val="art1enivo"/>
        <w:shd w:val="clear" w:color="auto" w:fill="D9D9D9" w:themeFill="background1" w:themeFillShade="D9"/>
        <w:suppressAutoHyphens/>
        <w:rPr>
          <w:rFonts w:cs="Arial"/>
        </w:rPr>
      </w:pPr>
      <w:r>
        <w:rPr>
          <w:rFonts w:cs="Arial"/>
        </w:rPr>
        <w:t>1.</w:t>
      </w:r>
      <w:r>
        <w:rPr>
          <w:rFonts w:cs="Arial"/>
        </w:rPr>
        <w:tab/>
        <w:t>Ten behoeve van een doelmatig beheer van afvalstoffen als bedoeld in artikel 3.26a van het besluit voldoet de opslag van autowrakken of wrakken van tweewielige motorvoertuigen bij een inrichting waar autowrakken of wrakken van tweewielige motorvoertuigen worden gedemonteerd, aan het tweede tot en met zevende lid.</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Autowrakken of wrakken van tweewielige motorvoertuigen die nog niet zijn ontdaan van de stoffen, preparaten of producten, bedoeld in artikel 3.27d, tweede lid, worden direct bij binnenkomst in de inrichting en in afwachting van verdere bewerking op een specifiek daarvoor aangewezen gedeelte van de inrichting opgeslagen en worden niet gestapeld.</w:t>
      </w:r>
    </w:p>
    <w:p w:rsidR="0022149F" w:rsidRDefault="0022149F" w:rsidP="0022149F">
      <w:pPr>
        <w:pStyle w:val="art1enivo"/>
        <w:shd w:val="clear" w:color="auto" w:fill="D9D9D9" w:themeFill="background1" w:themeFillShade="D9"/>
        <w:suppressAutoHyphens/>
        <w:rPr>
          <w:rFonts w:cs="Arial"/>
        </w:rPr>
      </w:pPr>
      <w:r>
        <w:rPr>
          <w:rFonts w:cs="Arial"/>
        </w:rPr>
        <w:t>3.</w:t>
      </w:r>
      <w:r>
        <w:rPr>
          <w:rFonts w:cs="Arial"/>
        </w:rPr>
        <w:tab/>
        <w:t>Autowrakken die nog niet zijn ontdaan van alle stoffen, preparaten of producten als bedoeld in artikel 3.27d, vijfde lid, worden maximaal twee hoog, met een maximale hoogte van 4,5 meter, gestapeld op een daartoe aangewezen gedeelte van de inrichting, dan wel worden op een zodanige wijze in stellingen gestapeld dat deze gemakkelijk kunnen worden geïnspecteerd en gedemonteerd.</w:t>
      </w:r>
    </w:p>
    <w:p w:rsidR="0022149F" w:rsidRDefault="0022149F" w:rsidP="0022149F">
      <w:pPr>
        <w:pStyle w:val="art1enivo"/>
        <w:shd w:val="clear" w:color="auto" w:fill="D9D9D9" w:themeFill="background1" w:themeFillShade="D9"/>
        <w:rPr>
          <w:rFonts w:eastAsiaTheme="minorEastAsia"/>
          <w:lang w:eastAsia="nl-NL"/>
        </w:rPr>
      </w:pPr>
      <w:r>
        <w:rPr>
          <w:rFonts w:cs="Arial"/>
        </w:rPr>
        <w:t>4.</w:t>
      </w:r>
      <w:r>
        <w:rPr>
          <w:rFonts w:cs="Arial"/>
        </w:rPr>
        <w:tab/>
        <w:t>Autowrakken waarvan de stoffen, preparaten of producten, bedoeld in artikel 3.27d, tweede en vijfde lid, zijn afgetapt of gedemonteerd, worden uitsluitend rechtstreeks uit de inrichting afgevoerd naar een inrichting waarin zich een shredderinstallatie bevindt en waarin autowrakken worden gescheiden in direct als materiaal te recyclen metaalschroot en shredderafvalstoffen.</w:t>
      </w:r>
      <w:r>
        <w:rPr>
          <w:rFonts w:eastAsiaTheme="minorEastAsia"/>
          <w:lang w:eastAsia="nl-NL"/>
        </w:rPr>
        <w:t xml:space="preserve"> </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is het toegestaan autowrakken die zijn ontdaan van de stoffen, preparaten en producten, bedoeld in artikel 3.27d, tweede en vijfde lid, voordat ze overeenkomstig het vierde lid worden afgevoerd, ter beschikking te stellen aan een inrichting waar de autowrakken worden opgeslagen, mits de inrichting waar de autowrakken zijn gedemonteerd er zorg voor draagt dat een inrichting waar de autowrakken worden opgeslagen:</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geen demontagehandelingen of handelingen met de autowrakken verricht, waardoor de identiteit of de inhoud van de autowrakken niet meer herkenbaar is;</w:t>
      </w:r>
    </w:p>
    <w:p w:rsidR="0022149F" w:rsidRDefault="0022149F" w:rsidP="0022149F">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autowrakken afvoert naar een inrichting waar zich een shredderinstallatie als bedoeld in het vierde lid bevindt.</w:t>
      </w:r>
    </w:p>
    <w:p w:rsidR="0022149F" w:rsidRDefault="0022149F" w:rsidP="0022149F">
      <w:pPr>
        <w:pStyle w:val="art1enivo"/>
        <w:shd w:val="clear" w:color="auto" w:fill="D9D9D9" w:themeFill="background1" w:themeFillShade="D9"/>
        <w:suppressAutoHyphens/>
        <w:rPr>
          <w:rFonts w:cs="Arial"/>
        </w:rPr>
      </w:pPr>
      <w:r>
        <w:rPr>
          <w:rFonts w:cs="Arial"/>
        </w:rPr>
        <w:t>6.</w:t>
      </w:r>
      <w:r>
        <w:rPr>
          <w:rFonts w:cs="Arial"/>
        </w:rPr>
        <w:tab/>
        <w:t>In afwijking van het vierde lid is het toegestaan autowrakken die zijn ontdaan van de stoffen, preparaten en producten, bedoeld in artikel 3.27d, tweede lid, voordat ze overeenkomstig het vierde lid worden afgevoerd, ter beschikking te stellen aan een instelling voor oefen- en opleidingsdoeleinden.</w:t>
      </w:r>
    </w:p>
    <w:p w:rsidR="0022149F" w:rsidRDefault="0022149F" w:rsidP="0022149F">
      <w:pPr>
        <w:pStyle w:val="art1enivo"/>
        <w:shd w:val="clear" w:color="auto" w:fill="D9D9D9" w:themeFill="background1" w:themeFillShade="D9"/>
        <w:suppressAutoHyphens/>
        <w:rPr>
          <w:rFonts w:cs="Arial"/>
        </w:rPr>
      </w:pPr>
      <w:r>
        <w:rPr>
          <w:rFonts w:cs="Arial"/>
        </w:rPr>
        <w:t>7.</w:t>
      </w:r>
      <w:r>
        <w:rPr>
          <w:rFonts w:cs="Arial"/>
        </w:rPr>
        <w:tab/>
        <w:t>Het bevoegd gezag kan maatwerkvoorschriften stellen ten aanzien van de stapelhoogte voor autowrakken als bedoeld in het derde lid.</w:t>
      </w:r>
    </w:p>
    <w:p w:rsidR="0022149F" w:rsidRDefault="0022149F" w:rsidP="0022149F">
      <w:pPr>
        <w:pStyle w:val="art1enivo"/>
        <w:shd w:val="clear" w:color="auto" w:fill="D9D9D9" w:themeFill="background1" w:themeFillShade="D9"/>
        <w:suppressAutoHyphens/>
        <w:rPr>
          <w:rFonts w:cs="Arial"/>
        </w:rPr>
      </w:pPr>
      <w:r>
        <w:rPr>
          <w:rFonts w:cs="Arial"/>
        </w:rPr>
        <w:t>8.</w:t>
      </w:r>
      <w:r>
        <w:rPr>
          <w:rFonts w:cs="Arial"/>
        </w:rPr>
        <w:tab/>
        <w:t>Het bevoegd gezag kan maatwerkvoorschriften stellen ten aanzien van het ter beschikking stellen van autowrakken aan een instelling voor oefen- en opleidingsdoeleinden als bedoeld in het zesde lid.</w:t>
      </w:r>
    </w:p>
    <w:p w:rsidR="0022149F" w:rsidRDefault="0022149F" w:rsidP="0022149F">
      <w:pPr>
        <w:pStyle w:val="artikelkop"/>
        <w:shd w:val="clear" w:color="auto" w:fill="D9D9D9" w:themeFill="background1" w:themeFillShade="D9"/>
      </w:pPr>
      <w:r>
        <w:t>Artikel 3.27g</w:t>
      </w:r>
    </w:p>
    <w:p w:rsidR="0022149F" w:rsidRDefault="0022149F" w:rsidP="0022149F">
      <w:pPr>
        <w:pStyle w:val="art1enivo"/>
        <w:shd w:val="clear" w:color="auto" w:fill="D9D9D9" w:themeFill="background1" w:themeFillShade="D9"/>
        <w:suppressAutoHyphens/>
        <w:rPr>
          <w:rFonts w:cs="Arial"/>
        </w:rPr>
      </w:pPr>
      <w:r>
        <w:rPr>
          <w:rFonts w:cs="Arial"/>
        </w:rPr>
        <w:t>1.</w:t>
      </w:r>
      <w:r>
        <w:rPr>
          <w:rFonts w:cs="Arial"/>
        </w:rPr>
        <w:tab/>
        <w:t>Ten behoeve van een doelmatig beheer van afvalstoffen als bedoeld in artikel 3.26a van het besluit wordt bij de ontvangst van een autowrak bij een inrichting waar autowrakken worden gedemonteerd, voldaan aan het tweede tot en met vierde lid.</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Bij de ontvangst van een autowrak met een kenteken dat verstrekt is door een in een andere lidstaat van de Europese Unie daartoe aangewezen instantie, wordt desgevraagd aan degene die zich van dat autowrak ontdoet een certificaat van vernietiging als bedoeld in artikel 5, derde lid, van de autowrakkenrichtlijn afgegeven, waarin in ieder geval de volgende gegevens zijn opgenomen:</w:t>
      </w:r>
    </w:p>
    <w:p w:rsidR="0022149F" w:rsidRDefault="0022149F" w:rsidP="0022149F">
      <w:pPr>
        <w:pStyle w:val="art2enivo"/>
        <w:shd w:val="clear" w:color="auto" w:fill="D9D9D9" w:themeFill="background1" w:themeFillShade="D9"/>
        <w:suppressAutoHyphens/>
        <w:rPr>
          <w:rFonts w:cs="Arial"/>
        </w:rPr>
      </w:pPr>
      <w:r>
        <w:rPr>
          <w:rFonts w:cs="Arial"/>
        </w:rPr>
        <w:t>a.</w:t>
      </w:r>
      <w:r>
        <w:rPr>
          <w:rFonts w:cs="Arial"/>
        </w:rPr>
        <w:tab/>
        <w:t>de naam, het adres en de handtekening van degene die het certificaat van vernietiging afgeeft;</w:t>
      </w:r>
    </w:p>
    <w:p w:rsidR="0022149F" w:rsidRDefault="0022149F" w:rsidP="0022149F">
      <w:pPr>
        <w:pStyle w:val="art2enivo"/>
        <w:shd w:val="clear" w:color="auto" w:fill="D9D9D9" w:themeFill="background1" w:themeFillShade="D9"/>
        <w:suppressAutoHyphens/>
        <w:rPr>
          <w:rFonts w:cs="Arial"/>
        </w:rPr>
      </w:pPr>
      <w:r>
        <w:rPr>
          <w:rFonts w:cs="Arial"/>
        </w:rPr>
        <w:t>b.</w:t>
      </w:r>
      <w:r>
        <w:rPr>
          <w:rFonts w:cs="Arial"/>
        </w:rPr>
        <w:tab/>
        <w:t>de datum van afgifte van het certificaat van vernietiging;</w:t>
      </w:r>
    </w:p>
    <w:p w:rsidR="0022149F" w:rsidRDefault="0022149F" w:rsidP="0022149F">
      <w:pPr>
        <w:pStyle w:val="art2enivo"/>
        <w:shd w:val="clear" w:color="auto" w:fill="D9D9D9" w:themeFill="background1" w:themeFillShade="D9"/>
        <w:suppressAutoHyphens/>
        <w:rPr>
          <w:rFonts w:cs="Arial"/>
        </w:rPr>
      </w:pPr>
      <w:r>
        <w:rPr>
          <w:rFonts w:cs="Arial"/>
        </w:rPr>
        <w:t>c.</w:t>
      </w:r>
      <w:r>
        <w:rPr>
          <w:rFonts w:cs="Arial"/>
        </w:rPr>
        <w:tab/>
        <w:t>het kenteken van het autowrak, inclusief de kenletters van het land daarop;</w:t>
      </w:r>
    </w:p>
    <w:p w:rsidR="0022149F" w:rsidRDefault="0022149F" w:rsidP="0022149F">
      <w:pPr>
        <w:pStyle w:val="art2enivo"/>
        <w:shd w:val="clear" w:color="auto" w:fill="D9D9D9" w:themeFill="background1" w:themeFillShade="D9"/>
        <w:suppressAutoHyphens/>
        <w:rPr>
          <w:rFonts w:cs="Arial"/>
        </w:rPr>
      </w:pPr>
      <w:r>
        <w:rPr>
          <w:rFonts w:cs="Arial"/>
        </w:rPr>
        <w:t>d.</w:t>
      </w:r>
      <w:r>
        <w:rPr>
          <w:rFonts w:cs="Arial"/>
        </w:rPr>
        <w:tab/>
        <w:t>de categorie van voertuigen waartoe het autowrak behoort alsmede het merk en het model van het autowrak;</w:t>
      </w:r>
    </w:p>
    <w:p w:rsidR="0022149F" w:rsidRDefault="0022149F" w:rsidP="0022149F">
      <w:pPr>
        <w:pStyle w:val="art2enivo"/>
        <w:shd w:val="clear" w:color="auto" w:fill="D9D9D9" w:themeFill="background1" w:themeFillShade="D9"/>
        <w:suppressAutoHyphens/>
        <w:rPr>
          <w:rFonts w:cs="Arial"/>
        </w:rPr>
      </w:pPr>
      <w:r>
        <w:rPr>
          <w:rFonts w:cs="Arial"/>
        </w:rPr>
        <w:t>e.</w:t>
      </w:r>
      <w:r>
        <w:rPr>
          <w:rFonts w:cs="Arial"/>
        </w:rPr>
        <w:tab/>
        <w:t>het chassisnummer van het autowrak; en</w:t>
      </w:r>
    </w:p>
    <w:p w:rsidR="0022149F" w:rsidRDefault="0022149F" w:rsidP="0022149F">
      <w:pPr>
        <w:pStyle w:val="art2enivo"/>
        <w:shd w:val="clear" w:color="auto" w:fill="D9D9D9" w:themeFill="background1" w:themeFillShade="D9"/>
        <w:suppressAutoHyphens/>
        <w:rPr>
          <w:rFonts w:cs="Arial"/>
        </w:rPr>
      </w:pPr>
      <w:r>
        <w:rPr>
          <w:rFonts w:cs="Arial"/>
        </w:rPr>
        <w:t>f.</w:t>
      </w:r>
      <w:r>
        <w:rPr>
          <w:rFonts w:cs="Arial"/>
        </w:rPr>
        <w:tab/>
        <w:t>de naam, het adres, de nationaliteit en de handtekening van de eigenaar of houder van het afgegeven autowrak.</w:t>
      </w:r>
    </w:p>
    <w:p w:rsidR="0022149F" w:rsidRDefault="0022149F" w:rsidP="0022149F">
      <w:pPr>
        <w:pStyle w:val="art1enivo"/>
        <w:shd w:val="clear" w:color="auto" w:fill="D9D9D9" w:themeFill="background1" w:themeFillShade="D9"/>
        <w:suppressAutoHyphens/>
        <w:rPr>
          <w:rFonts w:cs="Arial"/>
        </w:rPr>
      </w:pPr>
      <w:r>
        <w:rPr>
          <w:rFonts w:cs="Arial"/>
        </w:rPr>
        <w:t>3.</w:t>
      </w:r>
      <w:r>
        <w:rPr>
          <w:rFonts w:cs="Arial"/>
        </w:rPr>
        <w:tab/>
        <w:t>Bij het certificaat van vernietiging wordt het bij het autowrak behorende kentekenbewijs gevoegd.</w:t>
      </w:r>
    </w:p>
    <w:p w:rsidR="0022149F" w:rsidRDefault="0022149F" w:rsidP="0022149F">
      <w:pPr>
        <w:pStyle w:val="art1enivo"/>
        <w:shd w:val="clear" w:color="auto" w:fill="D9D9D9" w:themeFill="background1" w:themeFillShade="D9"/>
        <w:suppressAutoHyphens/>
        <w:rPr>
          <w:rFonts w:cs="Arial"/>
        </w:rPr>
      </w:pPr>
      <w:r>
        <w:rPr>
          <w:rFonts w:cs="Arial"/>
        </w:rPr>
        <w:t>4.</w:t>
      </w:r>
      <w:r>
        <w:rPr>
          <w:rFonts w:cs="Arial"/>
        </w:rPr>
        <w:tab/>
        <w:t>Indien het bij het autowrak behorende kentekenbewijs niet aanwezig is, wordt dat op het certificaat van vernietiging aangegeven.</w:t>
      </w:r>
    </w:p>
    <w:p w:rsidR="0022149F" w:rsidRDefault="0022149F" w:rsidP="0022149F">
      <w:pPr>
        <w:pStyle w:val="artikelkop"/>
        <w:shd w:val="clear" w:color="auto" w:fill="D9D9D9" w:themeFill="background1" w:themeFillShade="D9"/>
      </w:pPr>
      <w:r>
        <w:t xml:space="preserve">Artikel 3.27h </w:t>
      </w:r>
    </w:p>
    <w:p w:rsidR="0022149F" w:rsidRDefault="0022149F" w:rsidP="0022149F">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3.26a van het besluit wordt bij het demonteren van LPG-tanks en de opslag van de gedemonteerde LPG-tanks ten minste voldaan aan het tweede tot en met zesde lid.</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Het aftappen van LPG uit een LPG-tank bij een inrichting type B is niet toegestaan.</w:t>
      </w:r>
    </w:p>
    <w:p w:rsidR="0022149F" w:rsidRDefault="0022149F" w:rsidP="0022149F">
      <w:pPr>
        <w:pStyle w:val="art1enivo"/>
        <w:shd w:val="clear" w:color="auto" w:fill="D9D9D9" w:themeFill="background1" w:themeFillShade="D9"/>
        <w:suppressAutoHyphens/>
        <w:rPr>
          <w:rFonts w:cs="Arial"/>
        </w:rPr>
      </w:pPr>
      <w:r>
        <w:rPr>
          <w:rFonts w:cs="Arial"/>
        </w:rPr>
        <w:t>3.</w:t>
      </w:r>
      <w:r>
        <w:rPr>
          <w:rFonts w:cs="Arial"/>
        </w:rPr>
        <w:tab/>
        <w:t>Het demonteren van een LPG-tank geschiedt in de open lucht of in een goed geventileerde ruimte.</w:t>
      </w:r>
    </w:p>
    <w:p w:rsidR="0022149F" w:rsidRDefault="0022149F" w:rsidP="0022149F">
      <w:pPr>
        <w:pStyle w:val="art1enivo"/>
        <w:shd w:val="clear" w:color="auto" w:fill="D9D9D9" w:themeFill="background1" w:themeFillShade="D9"/>
        <w:suppressAutoHyphens/>
        <w:rPr>
          <w:rFonts w:cs="Arial"/>
        </w:rPr>
      </w:pPr>
      <w:r>
        <w:rPr>
          <w:rFonts w:cs="Arial"/>
        </w:rPr>
        <w:t>4.</w:t>
      </w:r>
      <w:r>
        <w:rPr>
          <w:rFonts w:cs="Arial"/>
        </w:rPr>
        <w:tab/>
        <w:t>De gedemonteerde LPG-tanks waarvan LPG nog niet is afgetapt, worden bij een inrichting type B ten minste eenmaal per zes maanden uit de inrichting afgevoerd.</w:t>
      </w:r>
    </w:p>
    <w:p w:rsidR="0022149F" w:rsidRDefault="0022149F" w:rsidP="0022149F">
      <w:pPr>
        <w:pStyle w:val="art1enivo"/>
        <w:shd w:val="clear" w:color="auto" w:fill="D9D9D9" w:themeFill="background1" w:themeFillShade="D9"/>
        <w:suppressAutoHyphens/>
        <w:rPr>
          <w:rFonts w:cs="Arial"/>
        </w:rPr>
      </w:pPr>
      <w:r>
        <w:rPr>
          <w:rFonts w:cs="Arial"/>
        </w:rPr>
        <w:t>5.</w:t>
      </w:r>
      <w:r>
        <w:rPr>
          <w:rFonts w:cs="Arial"/>
        </w:rPr>
        <w:tab/>
        <w:t>Bij een inrichting type B zijn maximaal 24 gedemonteerde LPG-tanks aanwezig, waarvan LPG nog niet is afgetapt.</w:t>
      </w:r>
    </w:p>
    <w:p w:rsidR="0022149F" w:rsidRDefault="0022149F" w:rsidP="0022149F">
      <w:pPr>
        <w:pStyle w:val="art1enivo"/>
        <w:shd w:val="clear" w:color="auto" w:fill="D9D9D9" w:themeFill="background1" w:themeFillShade="D9"/>
        <w:suppressAutoHyphens/>
        <w:rPr>
          <w:rFonts w:cs="Arial"/>
        </w:rPr>
      </w:pPr>
      <w:r>
        <w:rPr>
          <w:rFonts w:cs="Arial"/>
        </w:rPr>
        <w:t>6.</w:t>
      </w:r>
      <w:r>
        <w:rPr>
          <w:rFonts w:cs="Arial"/>
        </w:rPr>
        <w:tab/>
        <w:t>Gedemonteerde LPG-tanks waarvan LPG nog niet is afgetapt, worden als zodanig aangeduid en gescheiden opgeslagen van de LPG-tanks waarvan LPG is afgetapt.</w:t>
      </w:r>
    </w:p>
    <w:p w:rsidR="0022149F" w:rsidRDefault="0022149F" w:rsidP="0022149F">
      <w:pPr>
        <w:pStyle w:val="artikelkop"/>
        <w:shd w:val="clear" w:color="auto" w:fill="D9D9D9" w:themeFill="background1" w:themeFillShade="D9"/>
      </w:pPr>
      <w:r>
        <w:t xml:space="preserve">Artikel 3.27i </w:t>
      </w:r>
    </w:p>
    <w:p w:rsidR="0022149F" w:rsidRDefault="0022149F" w:rsidP="0022149F">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als bedoeld in het artikel 3.26a van het besluit, wordt bij het neutraliseren van airbags of gordelspanners uit autowrakken of wrakken van tweewielige motorvoertuigen of de opslag van gedemonteerde airbags of gordelspanners binnen de inrichting tot een maximale hoeveelheid van 1000 gedemonteerde airbags en gordelspanners, voldaan aan het tweede tot en met het twaalfde lid.</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Het neutraliseren van airbags en gordelspanners gebeurt overeenkomstig paragraaf 6 van NEN 7557.</w:t>
      </w:r>
    </w:p>
    <w:p w:rsidR="0022149F" w:rsidRDefault="0022149F" w:rsidP="0022149F">
      <w:pPr>
        <w:pStyle w:val="art1enivo"/>
        <w:shd w:val="clear" w:color="auto" w:fill="D9D9D9" w:themeFill="background1" w:themeFillShade="D9"/>
        <w:suppressAutoHyphens/>
        <w:rPr>
          <w:rFonts w:cs="Arial"/>
        </w:rPr>
      </w:pPr>
      <w:r>
        <w:rPr>
          <w:rFonts w:cs="Arial"/>
        </w:rPr>
        <w:t>3.</w:t>
      </w:r>
      <w:r>
        <w:rPr>
          <w:rFonts w:cs="Arial"/>
        </w:rPr>
        <w:tab/>
        <w:t>Het ontsteken van mechanische airbags wordt niet uitgevoerd bij een inrichting type A of type B.</w:t>
      </w:r>
    </w:p>
    <w:p w:rsidR="0022149F" w:rsidRDefault="0022149F" w:rsidP="0022149F">
      <w:pPr>
        <w:pStyle w:val="art1enivo"/>
        <w:shd w:val="clear" w:color="auto" w:fill="D9D9D9" w:themeFill="background1" w:themeFillShade="D9"/>
        <w:suppressAutoHyphens/>
        <w:rPr>
          <w:rFonts w:cs="Arial"/>
        </w:rPr>
      </w:pPr>
      <w:r>
        <w:rPr>
          <w:rFonts w:cs="Arial"/>
        </w:rPr>
        <w:t>4.</w:t>
      </w:r>
      <w:r>
        <w:rPr>
          <w:rFonts w:cs="Arial"/>
        </w:rPr>
        <w:tab/>
        <w:t>Na demontage worden de gedemonteerde airbags of gordelspanners, met uitzondering van de werkvoorraad, opgeslagen in een daarvoor bestemde, voor transport van gedemonteerde airbags en gordelspanners geschikte container of een voor opslag bestemde ruimte, die zodanig is uitgevoerd dat voldoende drukontlasting mogelijk is en waar de gedemonteerde airbags en gordelspanners gescheiden worden van de overige stoffen en materialen door middel van een afscheiding van gaas van voldoende sterkte bestaande uit staaldraad met een vrije opening van maximaal vijf centimeter dan wel door opslag in een separaat brandcompartiment.</w:t>
      </w:r>
    </w:p>
    <w:p w:rsidR="0022149F" w:rsidRDefault="0022149F" w:rsidP="0022149F">
      <w:pPr>
        <w:pStyle w:val="art1enivo"/>
        <w:shd w:val="clear" w:color="auto" w:fill="D9D9D9" w:themeFill="background1" w:themeFillShade="D9"/>
        <w:suppressAutoHyphens/>
        <w:rPr>
          <w:rFonts w:cs="Arial"/>
        </w:rPr>
      </w:pPr>
      <w:r>
        <w:rPr>
          <w:rFonts w:cs="Arial"/>
        </w:rPr>
        <w:t>5.</w:t>
      </w:r>
      <w:r>
        <w:rPr>
          <w:rFonts w:cs="Arial"/>
        </w:rPr>
        <w:tab/>
        <w:t>Gedemonteerde mechanische airbags en gordelspanners worden zodanig gescheiden van elkaar opgeslagen in een voorziening als bedoeld in het vierde lid dat de kans op onbedoeld activeren van deze airbags en gordelspanners zoveel mogelijk wordt beperkt.</w:t>
      </w:r>
    </w:p>
    <w:p w:rsidR="0022149F" w:rsidRDefault="0022149F" w:rsidP="0022149F">
      <w:pPr>
        <w:pStyle w:val="art1enivo"/>
        <w:shd w:val="clear" w:color="auto" w:fill="D9D9D9" w:themeFill="background1" w:themeFillShade="D9"/>
        <w:suppressAutoHyphens/>
        <w:rPr>
          <w:rFonts w:cs="Arial"/>
        </w:rPr>
      </w:pPr>
      <w:r>
        <w:rPr>
          <w:rFonts w:cs="Arial"/>
        </w:rPr>
        <w:t>6.</w:t>
      </w:r>
      <w:r>
        <w:rPr>
          <w:rFonts w:cs="Arial"/>
        </w:rPr>
        <w:tab/>
        <w:t>De ruimte, bedoeld in het vierde lid, bevindt zich op één centrale locatie binnen de inrichting, buiten bereik van onbevoegden.</w:t>
      </w:r>
    </w:p>
    <w:p w:rsidR="0022149F" w:rsidRDefault="0022149F" w:rsidP="0022149F">
      <w:pPr>
        <w:pStyle w:val="art1enivo"/>
        <w:shd w:val="clear" w:color="auto" w:fill="D9D9D9" w:themeFill="background1" w:themeFillShade="D9"/>
        <w:suppressAutoHyphens/>
        <w:rPr>
          <w:rFonts w:cs="Arial"/>
        </w:rPr>
      </w:pPr>
      <w:r>
        <w:rPr>
          <w:rFonts w:cs="Arial"/>
        </w:rPr>
        <w:t>7.</w:t>
      </w:r>
      <w:r>
        <w:rPr>
          <w:rFonts w:cs="Arial"/>
        </w:rPr>
        <w:tab/>
        <w:t>In en rondom de ruimte, bedoeld in het vierde lid, wordt geen open vuur gemaakt en wordt niet gerookt.</w:t>
      </w:r>
    </w:p>
    <w:p w:rsidR="0022149F" w:rsidRDefault="0022149F" w:rsidP="0022149F">
      <w:pPr>
        <w:pStyle w:val="art1enivo"/>
        <w:shd w:val="clear" w:color="auto" w:fill="D9D9D9" w:themeFill="background1" w:themeFillShade="D9"/>
        <w:suppressAutoHyphens/>
        <w:rPr>
          <w:rFonts w:cs="Arial"/>
        </w:rPr>
      </w:pPr>
      <w:r>
        <w:rPr>
          <w:rFonts w:cs="Arial"/>
        </w:rPr>
        <w:t>8.</w:t>
      </w:r>
      <w:r>
        <w:rPr>
          <w:rFonts w:cs="Arial"/>
        </w:rPr>
        <w:tab/>
        <w:t>Bij de entree van de ruimte, bedoeld in het vierde lid, is een markering aangebracht waarmee wordt aangegeven dat hier gedemonteerde airbags en gordelspanners zijn opgeslagen.</w:t>
      </w:r>
    </w:p>
    <w:p w:rsidR="0022149F" w:rsidRDefault="0022149F" w:rsidP="0022149F">
      <w:pPr>
        <w:pStyle w:val="art1enivo"/>
        <w:shd w:val="clear" w:color="auto" w:fill="D9D9D9" w:themeFill="background1" w:themeFillShade="D9"/>
        <w:suppressAutoHyphens/>
        <w:rPr>
          <w:rFonts w:cs="Arial"/>
        </w:rPr>
      </w:pPr>
      <w:r>
        <w:rPr>
          <w:rFonts w:cs="Arial"/>
        </w:rPr>
        <w:t>9.</w:t>
      </w:r>
      <w:r>
        <w:rPr>
          <w:rFonts w:cs="Arial"/>
        </w:rPr>
        <w:tab/>
        <w:t>De airbags worden met de afdekkap naar boven geplaatst.</w:t>
      </w:r>
    </w:p>
    <w:p w:rsidR="0022149F" w:rsidRDefault="0022149F" w:rsidP="0022149F">
      <w:pPr>
        <w:pStyle w:val="art1enivo"/>
        <w:shd w:val="clear" w:color="auto" w:fill="D9D9D9" w:themeFill="background1" w:themeFillShade="D9"/>
        <w:suppressAutoHyphens/>
        <w:rPr>
          <w:rFonts w:cs="Arial"/>
        </w:rPr>
      </w:pPr>
      <w:r>
        <w:rPr>
          <w:rFonts w:cs="Arial"/>
        </w:rPr>
        <w:t>10.</w:t>
      </w:r>
      <w:r>
        <w:rPr>
          <w:rFonts w:cs="Arial"/>
        </w:rPr>
        <w:tab/>
        <w:t>Elektrische airbags en gordelspanners worden niet aan statische lading blootgesteld indien de bekabeling, die direct gemonteerd is aan een airbag of gordelspanner, beschadigd is.</w:t>
      </w:r>
    </w:p>
    <w:p w:rsidR="0022149F" w:rsidRDefault="0022149F" w:rsidP="0022149F">
      <w:pPr>
        <w:pStyle w:val="art1enivo"/>
        <w:shd w:val="clear" w:color="auto" w:fill="D9D9D9" w:themeFill="background1" w:themeFillShade="D9"/>
        <w:suppressAutoHyphens/>
        <w:rPr>
          <w:rFonts w:cs="Arial"/>
        </w:rPr>
      </w:pPr>
      <w:r>
        <w:rPr>
          <w:rFonts w:cs="Arial"/>
        </w:rPr>
        <w:t>11.</w:t>
      </w:r>
      <w:r>
        <w:rPr>
          <w:rFonts w:cs="Arial"/>
        </w:rPr>
        <w:tab/>
        <w:t>Bij een inrichting type A of type B worden geen elektrische airbags of gordelspanners ontstoken die zodanig beschadigd zijn dat de airbags en gordelspanners niet op een veilige wijze in het autowrak kunnen worden geneutraliseerd.</w:t>
      </w:r>
    </w:p>
    <w:p w:rsidR="0022149F" w:rsidRDefault="0022149F" w:rsidP="0022149F">
      <w:pPr>
        <w:pStyle w:val="art1enivo"/>
        <w:shd w:val="clear" w:color="auto" w:fill="D9D9D9" w:themeFill="background1" w:themeFillShade="D9"/>
        <w:suppressAutoHyphens/>
        <w:rPr>
          <w:rFonts w:cs="Arial"/>
        </w:rPr>
      </w:pPr>
      <w:r>
        <w:rPr>
          <w:rFonts w:cs="Arial"/>
        </w:rPr>
        <w:t>12.</w:t>
      </w:r>
      <w:r>
        <w:rPr>
          <w:rFonts w:cs="Arial"/>
        </w:rPr>
        <w:tab/>
        <w:t>De airbags en gordelspanners, bedoeld in het tiende lid, worden gedemonteerd en worden na demontage afgevoerd naar een persoon als bedoeld in artikel 10.37, tweede lid, van de wet.</w:t>
      </w:r>
    </w:p>
    <w:p w:rsidR="0022149F" w:rsidRDefault="0022149F" w:rsidP="0022149F">
      <w:pPr>
        <w:pStyle w:val="artikelkop"/>
        <w:shd w:val="clear" w:color="auto" w:fill="D9D9D9" w:themeFill="background1" w:themeFillShade="D9"/>
      </w:pPr>
      <w:r>
        <w:t xml:space="preserve">Artikel 3.27j </w:t>
      </w:r>
    </w:p>
    <w:p w:rsidR="0022149F" w:rsidRDefault="0022149F" w:rsidP="0022149F">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als bedoeld in het artikel 3.26b, tweede lid, van het besluit, worden stof en gassen die vrijkomen bij het ontsteken van airbags of gordelspanners voor zover dat redelijkerwijs mogelijk is, doelmatig aan de bron afgezogen.</w:t>
      </w:r>
    </w:p>
    <w:p w:rsidR="0022149F" w:rsidRDefault="0022149F" w:rsidP="0022149F">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als bedoeld in het artikel 3.26b, tweede lid, van het besluit, worden stof en gassen, ontstaan bij het ontsteken van airbags of gordelspanners,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22149F" w:rsidRDefault="0022149F" w:rsidP="0022149F">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maatwerkvoorschriften stellen aan de ligging en uitvoering van het afvoerpunt van de emissies naar de buitenlucht, bedoeld in het tweede lid.</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eerste lid niet van toepassing voor zover er geen verandering van de inrichting plaatsvindt waarvoor een melding krachtens artikel 1.10 van het besluit nodig is en voor zover de emissies als bedoeld in het eerste lid niet toenemen en de wijze van afvoer van die emissies naar de buitenlucht niet verandert.</w:t>
      </w:r>
    </w:p>
    <w:p w:rsidR="0022149F" w:rsidRDefault="0022149F" w:rsidP="0022149F">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kan het bevoegd gezag maatwerkvoorschriften als bedoeld in het derde lid stellen.</w:t>
      </w:r>
    </w:p>
    <w:p w:rsidR="0022149F" w:rsidRDefault="0022149F" w:rsidP="0022149F">
      <w:pPr>
        <w:pStyle w:val="artikelkop"/>
        <w:shd w:val="clear" w:color="auto" w:fill="D9D9D9" w:themeFill="background1" w:themeFillShade="D9"/>
      </w:pPr>
      <w:r>
        <w:t xml:space="preserve">Artikel 3.27k </w:t>
      </w:r>
    </w:p>
    <w:p w:rsidR="0022149F" w:rsidRDefault="0022149F" w:rsidP="0022149F">
      <w:pPr>
        <w:pStyle w:val="artplat"/>
        <w:shd w:val="clear" w:color="auto" w:fill="D9D9D9" w:themeFill="background1" w:themeFillShade="D9"/>
        <w:suppressAutoHyphens/>
        <w:rPr>
          <w:rFonts w:cs="Arial"/>
        </w:rPr>
      </w:pPr>
      <w:r>
        <w:rPr>
          <w:rFonts w:cs="Arial"/>
        </w:rPr>
        <w:t>Aan artikel 3.26b, eerste lid, van het besluit wordt in ieder geval voldaan indien:</w:t>
      </w:r>
    </w:p>
    <w:p w:rsidR="0022149F" w:rsidRDefault="0022149F" w:rsidP="0022149F">
      <w:pPr>
        <w:pStyle w:val="artplatletter"/>
        <w:shd w:val="clear" w:color="auto" w:fill="D9D9D9" w:themeFill="background1" w:themeFillShade="D9"/>
        <w:suppressAutoHyphens/>
        <w:rPr>
          <w:rFonts w:cs="Arial"/>
        </w:rPr>
      </w:pPr>
      <w:r>
        <w:rPr>
          <w:rFonts w:cs="Arial"/>
        </w:rPr>
        <w:t>a.</w:t>
      </w:r>
      <w:r>
        <w:rPr>
          <w:rFonts w:cs="Arial"/>
        </w:rPr>
        <w:tab/>
        <w:t>op jaarbasis minder dan 5000 autowrakken worden gedemonteerd, of</w:t>
      </w:r>
    </w:p>
    <w:p w:rsidR="0022149F" w:rsidRDefault="0022149F" w:rsidP="0022149F">
      <w:pPr>
        <w:pStyle w:val="artplatletter"/>
        <w:shd w:val="clear" w:color="auto" w:fill="D9D9D9" w:themeFill="background1" w:themeFillShade="D9"/>
        <w:suppressAutoHyphens/>
        <w:rPr>
          <w:rFonts w:cs="Arial"/>
        </w:rPr>
      </w:pPr>
      <w:r>
        <w:rPr>
          <w:rFonts w:cs="Arial"/>
        </w:rPr>
        <w:t>b.</w:t>
      </w:r>
      <w:r>
        <w:rPr>
          <w:rFonts w:cs="Arial"/>
        </w:rPr>
        <w:tab/>
        <w:t>de afgezogen emissies die vrijkomen bij het ontsteken van airbags en gordelspanners worden gevoerd door een filtrerende afscheider die in goede staat van onderhoud verkeert, periodiek gecontroleerd wordt en zo vaak als voor de goede werking nodig is, wordt schoongemaakt en vervangen.</w:t>
      </w:r>
    </w:p>
    <w:p w:rsidR="0022149F" w:rsidRPr="0022149F" w:rsidRDefault="0022149F" w:rsidP="0022149F"/>
    <w:p w:rsidR="00296032" w:rsidRPr="00296032" w:rsidRDefault="00296032">
      <w:pPr>
        <w:pStyle w:val="paragraaf"/>
      </w:pPr>
      <w:bookmarkStart w:id="100" w:name="_Toc431375593"/>
      <w:r w:rsidRPr="00296032">
        <w:t>§ 3.3.4.</w:t>
      </w:r>
      <w:r w:rsidRPr="00296032">
        <w:tab/>
        <w:t>Bieden van parkeergelegenheid in een parkeergarage</w:t>
      </w:r>
      <w:bookmarkEnd w:id="100"/>
    </w:p>
    <w:p w:rsidR="00296032" w:rsidRPr="00296032" w:rsidRDefault="00296032">
      <w:pPr>
        <w:pStyle w:val="artikelkop"/>
      </w:pPr>
      <w:r w:rsidRPr="00296032">
        <w:t>Artikel 3.26d</w:t>
      </w:r>
    </w:p>
    <w:p w:rsidR="00296032" w:rsidRPr="00620047" w:rsidRDefault="00296032">
      <w:pPr>
        <w:pStyle w:val="artplat"/>
      </w:pPr>
      <w:r w:rsidRPr="00620047">
        <w:t>Deze paragraaf is van toepassing op een parkeergarage met meer dan 20 parkeerplaatsen.</w:t>
      </w:r>
    </w:p>
    <w:p w:rsidR="00296032" w:rsidRPr="00296032" w:rsidRDefault="00296032">
      <w:pPr>
        <w:pStyle w:val="artikelkop"/>
      </w:pPr>
      <w:r w:rsidRPr="00296032">
        <w:t>Artikel 3.26e</w:t>
      </w:r>
    </w:p>
    <w:p w:rsidR="00296032" w:rsidRPr="00620047" w:rsidRDefault="00296032">
      <w:pPr>
        <w:pStyle w:val="art1enivo"/>
      </w:pPr>
      <w:r w:rsidRPr="00620047">
        <w:t>1.</w:t>
      </w:r>
      <w:r w:rsidRPr="00620047">
        <w:tab/>
        <w:t>Bij een mechanische ventilatie in een parkeergarage met meer dan 20 parkeerplaatsen wordt ten behoeve van:</w:t>
      </w:r>
    </w:p>
    <w:p w:rsidR="00296032" w:rsidRPr="00620047" w:rsidRDefault="00296032">
      <w:pPr>
        <w:pStyle w:val="art2enivo"/>
      </w:pPr>
      <w:r w:rsidRPr="00620047">
        <w:t>a.</w:t>
      </w:r>
      <w:r w:rsidRPr="00620047">
        <w:tab/>
        <w:t>het doelmatig verspreiden van emissies;</w:t>
      </w:r>
    </w:p>
    <w:p w:rsidR="00296032" w:rsidRPr="00620047" w:rsidRDefault="00296032">
      <w:pPr>
        <w:pStyle w:val="art2enivo"/>
      </w:pPr>
      <w:r w:rsidRPr="00620047">
        <w:t>b.</w:t>
      </w:r>
      <w:r w:rsidRPr="00620047">
        <w:tab/>
        <w:t>het voorkomen dan wel beperken van geurhinder, of</w:t>
      </w:r>
    </w:p>
    <w:p w:rsidR="00296032" w:rsidRPr="00620047" w:rsidRDefault="00296032">
      <w:pPr>
        <w:pStyle w:val="art2enivo"/>
      </w:pPr>
      <w:r w:rsidRPr="00620047">
        <w:t>c.</w:t>
      </w:r>
      <w:r w:rsidRPr="00620047">
        <w:tab/>
        <w:t>het voorkomen dan wel beperken van luchtverontreiniging door benzeen,</w:t>
      </w:r>
    </w:p>
    <w:p w:rsidR="00296032" w:rsidRPr="00620047" w:rsidRDefault="00296032">
      <w:pPr>
        <w:pStyle w:val="artplat"/>
      </w:pPr>
      <w:r w:rsidRPr="00620047">
        <w:t>voldaan aan de bij ministeriële regeling gestelde eisen.</w:t>
      </w:r>
    </w:p>
    <w:p w:rsidR="00296032" w:rsidRPr="00620047" w:rsidRDefault="00296032">
      <w:pPr>
        <w:pStyle w:val="art1enivo"/>
      </w:pPr>
      <w:r w:rsidRPr="00620047">
        <w:t>2.</w:t>
      </w:r>
      <w:r w:rsidRPr="00620047">
        <w:tab/>
        <w:t>Het bevoegd gezag kan bij maatwerkvoorschrift eisen stellen ten aanzien van:</w:t>
      </w:r>
    </w:p>
    <w:p w:rsidR="00296032" w:rsidRPr="00620047" w:rsidRDefault="00296032">
      <w:pPr>
        <w:pStyle w:val="art2enivo"/>
      </w:pPr>
      <w:r w:rsidRPr="00620047">
        <w:t>a.</w:t>
      </w:r>
      <w:r w:rsidRPr="00620047">
        <w:tab/>
        <w:t>de beperking van de emissie van benzeen uit een parkeergarage indien dit nodig is in het belang van de luchtkwaliteit, of</w:t>
      </w:r>
    </w:p>
    <w:p w:rsidR="00912FFD" w:rsidRDefault="00296032" w:rsidP="00912FFD">
      <w:pPr>
        <w:pStyle w:val="art2enivo"/>
      </w:pPr>
      <w:r w:rsidRPr="00620047">
        <w:t>b.</w:t>
      </w:r>
      <w:r w:rsidRPr="00620047">
        <w:tab/>
        <w:t>de aanzuigopeningen en uitblaasopeningen van de mechanische ventilatie van een parkeergarage en de uitvoering en het onderhoud van de ventilatoren indien dit nodig is in het belang van de luchtkwaliteit dan wel indien dit nodig is om de geurhinder te voorkomen dan wel voor zover dat niet mogelijk is te beperken.</w:t>
      </w:r>
      <w:r w:rsidRPr="00296032">
        <w:t xml:space="preserve"> </w:t>
      </w:r>
    </w:p>
    <w:p w:rsidR="00775A31" w:rsidRDefault="00775A31" w:rsidP="00912FFD">
      <w:pPr>
        <w:pStyle w:val="art2enivo"/>
      </w:pPr>
    </w:p>
    <w:p w:rsidR="00775A31" w:rsidRDefault="00775A31" w:rsidP="00775A31">
      <w:pPr>
        <w:pStyle w:val="art2enivo"/>
        <w:ind w:left="425"/>
      </w:pPr>
      <w:r w:rsidRPr="00775A31">
        <w:t>3.26f  [Vervallen per 01-01-2016]</w:t>
      </w:r>
    </w:p>
    <w:p w:rsidR="00912FFD" w:rsidRDefault="00912FFD" w:rsidP="00912FFD">
      <w:pPr>
        <w:pStyle w:val="paragraaf"/>
        <w:shd w:val="clear" w:color="auto" w:fill="D9D9D9" w:themeFill="background1" w:themeFillShade="D9"/>
      </w:pPr>
      <w:bookmarkStart w:id="101" w:name="_Toc431375594"/>
      <w:r>
        <w:t>§ 3.3.4.</w:t>
      </w:r>
      <w:r>
        <w:tab/>
        <w:t>Bieden van parkeergelegenheid in een parkeergarage</w:t>
      </w:r>
      <w:bookmarkEnd w:id="101"/>
    </w:p>
    <w:p w:rsidR="00912FFD" w:rsidRDefault="00912FFD" w:rsidP="00912FFD">
      <w:pPr>
        <w:pStyle w:val="artikelkop"/>
        <w:shd w:val="clear" w:color="auto" w:fill="D9D9D9" w:themeFill="background1" w:themeFillShade="D9"/>
      </w:pPr>
      <w:r>
        <w:t>Artikel 3.27l</w:t>
      </w:r>
    </w:p>
    <w:p w:rsidR="00912FFD" w:rsidRDefault="00912FFD" w:rsidP="00912FFD">
      <w:pPr>
        <w:pStyle w:val="art1enivo"/>
        <w:shd w:val="clear" w:color="auto" w:fill="D9D9D9" w:themeFill="background1" w:themeFillShade="D9"/>
      </w:pPr>
      <w:r>
        <w:t>1.</w:t>
      </w:r>
      <w:r>
        <w:tab/>
        <w:t>Ten behoeve van het doelmatig verspreiden van emissies, het voorkomen, dan wel zoveel mogelijk beperken van geurhinder en het voorkomen dan wel zoveel mogelijk beperken van luchtverontreiniging door benzeen als bedoeld in artikel 3.26e van het besluit, bij mechanische ventilatie in een parkeergarage die deel uitmaakt van een inrichting met ten minste 20 parkeerplaatsen:</w:t>
      </w:r>
    </w:p>
    <w:p w:rsidR="00912FFD" w:rsidRDefault="00912FFD" w:rsidP="00912FFD">
      <w:pPr>
        <w:pStyle w:val="art2enivo"/>
        <w:shd w:val="clear" w:color="auto" w:fill="D9D9D9" w:themeFill="background1" w:themeFillShade="D9"/>
      </w:pPr>
      <w:r>
        <w:t>a.</w:t>
      </w:r>
      <w:r>
        <w:tab/>
        <w:t>worden de aanzuigopeningen ten behoeve van de ventilatie in een verkeersluwe omgeving, of, indien dat niet mogelijk is, op ten minste vijf meter boven het straatniveau en buiten de beïnvloeding van de uitblaasopeningen aangebracht;</w:t>
      </w:r>
    </w:p>
    <w:p w:rsidR="00912FFD" w:rsidRDefault="00912FFD" w:rsidP="00912FFD">
      <w:pPr>
        <w:pStyle w:val="art2enivo"/>
        <w:shd w:val="clear" w:color="auto" w:fill="D9D9D9" w:themeFill="background1" w:themeFillShade="D9"/>
      </w:pPr>
      <w:r>
        <w:t>b.</w:t>
      </w:r>
      <w:r>
        <w:tab/>
        <w:t>wordt de uit de parkeergarage afgezogen lucht verticaal uitgeblazen op ten minste 5 meter boven het straatniveau of, indien binnen 25 meter van de uitblaasopening een gebouw is gelegen met een hoogste daklijn die meer dan vijf meter boven het straatniveau is gelegen, ten minste één meter boven de hoogste daklijn van dat gebouw;</w:t>
      </w:r>
    </w:p>
    <w:p w:rsidR="00912FFD" w:rsidRDefault="00912FFD" w:rsidP="00912FFD">
      <w:pPr>
        <w:pStyle w:val="art2enivo"/>
        <w:shd w:val="clear" w:color="auto" w:fill="D9D9D9" w:themeFill="background1" w:themeFillShade="D9"/>
      </w:pPr>
      <w:r>
        <w:t>c.</w:t>
      </w:r>
      <w:r>
        <w:tab/>
        <w:t>bedraagt de snelheid van de uitgeblazen lucht, gemeten bij de rand van de uitblaasopening, ten minste tien meter per seconde.</w:t>
      </w:r>
    </w:p>
    <w:p w:rsidR="00912FFD" w:rsidRPr="00912FFD" w:rsidRDefault="00912FFD" w:rsidP="00912FFD">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eerste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296032" w:rsidRPr="00296032" w:rsidRDefault="00912FFD">
      <w:pPr>
        <w:pStyle w:val="paragraaf"/>
      </w:pPr>
      <w:bookmarkStart w:id="102" w:name="_Toc431375595"/>
      <w:r w:rsidRPr="00912FFD">
        <w:t>§</w:t>
      </w:r>
      <w:r>
        <w:t xml:space="preserve"> </w:t>
      </w:r>
      <w:r w:rsidR="00296032" w:rsidRPr="00296032">
        <w:t>3.3.5.</w:t>
      </w:r>
      <w:r w:rsidR="00296032" w:rsidRPr="00296032">
        <w:tab/>
        <w:t>Bieden van gelegenheid tot het afmeren van pleziervaartuigen in een jachthaven</w:t>
      </w:r>
      <w:bookmarkEnd w:id="102"/>
    </w:p>
    <w:p w:rsidR="00296032" w:rsidRPr="00296032" w:rsidRDefault="00296032">
      <w:pPr>
        <w:pStyle w:val="artikelkop"/>
      </w:pPr>
      <w:r w:rsidRPr="00296032">
        <w:t>Artikel 3.26g</w:t>
      </w:r>
    </w:p>
    <w:p w:rsidR="00296032" w:rsidRPr="00620047" w:rsidRDefault="00296032">
      <w:pPr>
        <w:pStyle w:val="artplat"/>
      </w:pPr>
      <w:r w:rsidRPr="00620047">
        <w:t>Deze paragraaf is van toepassing op een jachthaven met meer dan 50 ligplaatsen.</w:t>
      </w:r>
    </w:p>
    <w:p w:rsidR="00296032" w:rsidRPr="00296032" w:rsidRDefault="00296032">
      <w:pPr>
        <w:pStyle w:val="artikelkop"/>
      </w:pPr>
      <w:r w:rsidRPr="00296032">
        <w:t>Artikel 3.26h</w:t>
      </w:r>
    </w:p>
    <w:p w:rsidR="00296032" w:rsidRPr="00620047" w:rsidRDefault="00296032">
      <w:pPr>
        <w:pStyle w:val="art1enivo"/>
      </w:pPr>
      <w:r w:rsidRPr="00620047">
        <w:t>1.</w:t>
      </w:r>
      <w:r w:rsidRPr="00620047">
        <w:tab/>
        <w:t>Bij het in het vuilwaterriool lozen van ingenomen bilgewater van pleziervaartuigen wordt ten minste voldaan aan het tweede tot en met het vierde lid.</w:t>
      </w:r>
    </w:p>
    <w:p w:rsidR="00296032" w:rsidRPr="00620047" w:rsidRDefault="00296032">
      <w:pPr>
        <w:pStyle w:val="art1enivo"/>
      </w:pPr>
      <w:r w:rsidRPr="00620047">
        <w:t>2.</w:t>
      </w:r>
      <w:r w:rsidRPr="00620047">
        <w:tab/>
        <w:t>Het afvalwater bevat in enig steekmonster niet meer dan:</w:t>
      </w:r>
    </w:p>
    <w:p w:rsidR="00296032" w:rsidRPr="00620047" w:rsidRDefault="00296032">
      <w:pPr>
        <w:pStyle w:val="art2enivo"/>
      </w:pPr>
      <w:r w:rsidRPr="00620047">
        <w:t>a.</w:t>
      </w:r>
      <w:r w:rsidRPr="00620047">
        <w:tab/>
        <w:t>20 milligram olie per liter;</w:t>
      </w:r>
    </w:p>
    <w:p w:rsidR="00296032" w:rsidRPr="00620047" w:rsidRDefault="00296032">
      <w:pPr>
        <w:pStyle w:val="art2enivo"/>
      </w:pPr>
      <w:r w:rsidRPr="00620047">
        <w:t>b.</w:t>
      </w:r>
      <w:r w:rsidRPr="00620047">
        <w:tab/>
        <w:t>300 milligram onopgeloste stoffen per liter.</w:t>
      </w:r>
    </w:p>
    <w:p w:rsidR="00296032" w:rsidRPr="00620047" w:rsidRDefault="00296032">
      <w:pPr>
        <w:pStyle w:val="art1enivo"/>
      </w:pPr>
      <w:r w:rsidRPr="00620047">
        <w:t>3.</w:t>
      </w:r>
      <w:r w:rsidRPr="00620047">
        <w:tab/>
        <w:t>In afwijking van het tweede lid bedraagt het gehalte aan olie ten hoogste 200 milligram per liter in enig steekmonster, indien het afvalwater voorafgaand aan vermenging met ander afvalwater wordt geleid door een slibvangput en olieafscheider die:</w:t>
      </w:r>
    </w:p>
    <w:p w:rsidR="00296032" w:rsidRPr="00620047" w:rsidRDefault="00296032">
      <w:pPr>
        <w:pStyle w:val="art2enivo"/>
      </w:pPr>
      <w:r w:rsidRPr="00620047">
        <w:t xml:space="preserve">a. </w:t>
      </w:r>
      <w:r w:rsidRPr="00620047">
        <w:tab/>
        <w:t>voldoen aan en worden gebruikt conform NEN-EN 858-1 en 2, of</w:t>
      </w:r>
    </w:p>
    <w:p w:rsidR="00296032" w:rsidRPr="00620047" w:rsidRDefault="00296032">
      <w:pPr>
        <w:pStyle w:val="art2enivo"/>
      </w:pPr>
      <w:r w:rsidRPr="00620047">
        <w:t xml:space="preserve">b. </w:t>
      </w:r>
      <w:r w:rsidRPr="00620047">
        <w:tab/>
        <w:t>zijn geplaatst voor het van toepassing worden van dit besluit of een deel daarvan op een activiteit in de inrichting en op de hoeveelheid afvalwater zijn afgestemd..</w:t>
      </w:r>
    </w:p>
    <w:p w:rsidR="00296032" w:rsidRPr="00620047" w:rsidRDefault="00296032">
      <w:pPr>
        <w:pStyle w:val="art1enivo"/>
      </w:pPr>
      <w:r w:rsidRPr="00620047">
        <w:t>4.</w:t>
      </w:r>
      <w:r w:rsidRPr="00620047">
        <w:tab/>
        <w:t>Het te lozen afvalwater kan op een doelmatige wijze worden bemonsterd.</w:t>
      </w:r>
    </w:p>
    <w:p w:rsidR="00296032" w:rsidRPr="00296032" w:rsidRDefault="00296032">
      <w:pPr>
        <w:pStyle w:val="artikelkop"/>
      </w:pPr>
      <w:r w:rsidRPr="00296032">
        <w:t>Artikel 3.26i</w:t>
      </w:r>
    </w:p>
    <w:p w:rsidR="00296032" w:rsidRPr="00620047" w:rsidRDefault="00296032">
      <w:pPr>
        <w:pStyle w:val="art1enivo"/>
      </w:pPr>
      <w:r w:rsidRPr="00620047">
        <w:t>1.</w:t>
      </w:r>
      <w:r w:rsidRPr="00620047">
        <w:tab/>
        <w:t>In het belang van het doelmatig beheer van afvalstoffen worden in een jachthaven van gebruikers van de jachthaven in ieder geval de afvalstoffen, genoemd onder a tot en met d, ingenomen.</w:t>
      </w:r>
    </w:p>
    <w:p w:rsidR="00296032" w:rsidRPr="00620047" w:rsidRDefault="00296032">
      <w:pPr>
        <w:pStyle w:val="art2enivo"/>
      </w:pPr>
      <w:r w:rsidRPr="00620047">
        <w:t>a.</w:t>
      </w:r>
      <w:r w:rsidRPr="00620047">
        <w:tab/>
        <w:t>Indien een jachthaven beschikt over meer dan 50 ligplaatsen en binnen de jachthaven het afleveren van vloeibare brandstoffen aan vaartuigen plaatsvindt, neemt de jachthaven in:</w:t>
      </w:r>
    </w:p>
    <w:p w:rsidR="00296032" w:rsidRPr="00620047" w:rsidRDefault="00296032">
      <w:pPr>
        <w:pStyle w:val="art3enivo"/>
      </w:pPr>
      <w:r w:rsidRPr="00620047">
        <w:t>1°. afgewerkte olie en smeervet van onderhoud aan pleziervaartuigen, en</w:t>
      </w:r>
    </w:p>
    <w:p w:rsidR="00296032" w:rsidRPr="00620047" w:rsidRDefault="00296032">
      <w:pPr>
        <w:pStyle w:val="art3enivo"/>
      </w:pPr>
      <w:r w:rsidRPr="00620047">
        <w:t>2°. olie- en vethoudend afval van onderhoud aan pleziervaartuigen.</w:t>
      </w:r>
    </w:p>
    <w:p w:rsidR="00296032" w:rsidRPr="00620047" w:rsidRDefault="00296032">
      <w:pPr>
        <w:pStyle w:val="art2enivo"/>
      </w:pPr>
      <w:r w:rsidRPr="00620047">
        <w:t>b.</w:t>
      </w:r>
      <w:r w:rsidRPr="00620047">
        <w:tab/>
        <w:t>Indien een jachthaven beschikt over meer dan 50 ligplaatsen en binnen de jachthaven het niet beroepsmatig onderhouden of repareren van pleziervaartuigen plaatsvindt, wordt in de jachthaven tevens ingenomen:</w:t>
      </w:r>
    </w:p>
    <w:p w:rsidR="00296032" w:rsidRPr="00620047" w:rsidRDefault="00296032">
      <w:pPr>
        <w:pStyle w:val="art3enivo"/>
      </w:pPr>
      <w:r w:rsidRPr="00620047">
        <w:t>1°. afgewerkte olie en smeervet van onderhoud aan pleziervaartuigen;</w:t>
      </w:r>
    </w:p>
    <w:p w:rsidR="00296032" w:rsidRPr="00620047" w:rsidRDefault="00296032">
      <w:pPr>
        <w:pStyle w:val="art3enivo"/>
      </w:pPr>
      <w:r w:rsidRPr="00620047">
        <w:t>2°. olie- en vethoudend afval van onderhoud aan pleziervaartuigen, en</w:t>
      </w:r>
    </w:p>
    <w:p w:rsidR="00296032" w:rsidRPr="00620047" w:rsidRDefault="00296032">
      <w:pPr>
        <w:pStyle w:val="art3enivo"/>
      </w:pPr>
      <w:r w:rsidRPr="00620047">
        <w:t>3°. afvalstoffen van reparatie- en onderhoudswerkzaamheden aan pleziervaartuigen, die niet beroepsmatig binnen de jachthaven worden uitgevoerd.</w:t>
      </w:r>
    </w:p>
    <w:p w:rsidR="00296032" w:rsidRPr="00620047" w:rsidRDefault="00296032">
      <w:pPr>
        <w:pStyle w:val="art2enivo"/>
      </w:pPr>
      <w:r w:rsidRPr="00620047">
        <w:t>c.</w:t>
      </w:r>
      <w:r w:rsidRPr="00620047">
        <w:tab/>
        <w:t>Indien een jachthaven beschikt over meer dan 50 ligplaatsen, daaronder niet begrepen ligplaatsen uitsluitend bestemd voor pleziervaartuigen die geen binnenboordmotor hebben, wordt in de jachthaven tevens bilgewater ingenomen.</w:t>
      </w:r>
    </w:p>
    <w:p w:rsidR="00296032" w:rsidRPr="00620047" w:rsidRDefault="00296032">
      <w:pPr>
        <w:pStyle w:val="art2enivo"/>
      </w:pPr>
      <w:r w:rsidRPr="00620047">
        <w:t>d.</w:t>
      </w:r>
      <w:r w:rsidRPr="00620047">
        <w:tab/>
        <w:t>Indien een jachthaven beschikt over meer dan 50 ligplaatsen, daaronder niet begrepen ligplaatsen uitsluitend bestemd voor pleziervaartuigen zonder een vaste afsluitbare verblijfsruimte, wordt in de jachthaven tevens huishoudelijk afvalwater en de inhoud van chemische toiletten ingenomen.</w:t>
      </w:r>
    </w:p>
    <w:p w:rsidR="00296032" w:rsidRPr="00620047" w:rsidRDefault="00296032">
      <w:pPr>
        <w:pStyle w:val="art1enivo"/>
      </w:pPr>
      <w:r w:rsidRPr="00620047">
        <w:t>2.</w:t>
      </w:r>
      <w:r w:rsidRPr="00620047">
        <w:tab/>
        <w:t>Indien twee of meer jachthavens in elkaars onmiddellijke nabijheid zijn gelegen, wordt voldaan aan het eerste lid indien de voorzieningen gemeenschappelijk worden aangebracht en beheerd en daartoe een overeenkomst is gesloten. De overeenkomst wordt ter goedkeuring voorgelegd aan het bevoegd gezag.</w:t>
      </w:r>
    </w:p>
    <w:p w:rsidR="00296032" w:rsidRPr="00620047" w:rsidRDefault="00296032">
      <w:pPr>
        <w:pStyle w:val="art1enivo"/>
      </w:pPr>
      <w:r w:rsidRPr="00620047">
        <w:t>3.</w:t>
      </w:r>
      <w:r w:rsidRPr="00620047">
        <w:tab/>
        <w:t xml:space="preserve">Indien een jachthaven in de onmiddellijke nabijheid is gelegen van een inrichting waarbinnen uitvoering wordt gegeven aan titel 10.4 van de wet, wordt voldaan aan het eerste lid indien de voorzieningen van die inrichting voldoen aan het eerste lid en gemeenschappelijk worden gebruikt op grond van een overeenkomst tussen de jachthaven en de inrichting. </w:t>
      </w:r>
      <w:r w:rsidRPr="00620047">
        <w:br/>
        <w:t>De overeenkomst wordt ter goedkeuring voorgelegd aan het bevoegd gezag.</w:t>
      </w:r>
    </w:p>
    <w:p w:rsidR="00296032" w:rsidRPr="00620047" w:rsidRDefault="00296032">
      <w:pPr>
        <w:pStyle w:val="art1enivo"/>
      </w:pPr>
      <w:r w:rsidRPr="00620047">
        <w:t>4.</w:t>
      </w:r>
      <w:r w:rsidRPr="00620047">
        <w:tab/>
        <w:t>Voor de inzameling, bedoeld in het eerste lid, wordt geen aparte financiële vergoeding gevraagd aan de gebruikers van de inrichting.</w:t>
      </w:r>
    </w:p>
    <w:p w:rsidR="00296032" w:rsidRPr="00620047" w:rsidRDefault="00296032">
      <w:pPr>
        <w:pStyle w:val="art1enivo"/>
      </w:pPr>
      <w:r w:rsidRPr="00620047">
        <w:t>5.</w:t>
      </w:r>
      <w:r w:rsidRPr="00620047">
        <w:tab/>
        <w:t>Indien een jachthaven niet op grond van het eerste lid behoeft te beschikken over een voorziening voor de inzameling van een bepaalde categorie afvalstoffen, wordt binnen de jachthaven duidelijk aangegeven waar de gebruikers van de jachthaven hun afvalstoffen kunnen afgeven.</w:t>
      </w:r>
    </w:p>
    <w:p w:rsidR="00296032" w:rsidRPr="00296032" w:rsidRDefault="00296032">
      <w:pPr>
        <w:pStyle w:val="artikelkop"/>
      </w:pPr>
      <w:r w:rsidRPr="00296032">
        <w:t>Artikel 3.26j</w:t>
      </w:r>
    </w:p>
    <w:p w:rsidR="00296032" w:rsidRPr="00620047" w:rsidRDefault="00296032">
      <w:pPr>
        <w:pStyle w:val="art1enivo"/>
      </w:pPr>
      <w:r w:rsidRPr="00620047">
        <w:t>1.</w:t>
      </w:r>
      <w:r w:rsidRPr="00620047">
        <w:tab/>
        <w:t>In afwijking van artikel 3.26i, eerste lid, worden de afvalstoffen, genoemd in dat lid, in een jachthaven die gewoonlijk wordt aangedaan door zeegaande pleziervaartuigen ingenomen ongeacht het aantal ligplaatsen in die inrichting.</w:t>
      </w:r>
    </w:p>
    <w:p w:rsidR="00296032" w:rsidRPr="00620047" w:rsidRDefault="00296032">
      <w:pPr>
        <w:pStyle w:val="art1enivo"/>
      </w:pPr>
      <w:r w:rsidRPr="00620047">
        <w:t>2.</w:t>
      </w:r>
      <w:r w:rsidRPr="00620047">
        <w:tab/>
        <w:t>Degene die een jachthaven drijft die gewoonlijk wordt aangedaan door zeegaande pleziervaartuigen, maakt bij de inning van het havengeld kenbaar welk aandeel daarvan bestemd is voor het instandhouden van de voorzieningen voor het in ontvangst nemen en verder beheren van afvalstoffen.</w:t>
      </w:r>
    </w:p>
    <w:p w:rsidR="00296032" w:rsidRPr="00620047" w:rsidRDefault="00296032">
      <w:pPr>
        <w:pStyle w:val="art1enivo"/>
      </w:pPr>
      <w:r w:rsidRPr="00620047">
        <w:t>3.</w:t>
      </w:r>
      <w:r w:rsidRPr="00620047">
        <w:tab/>
        <w:t>Degene die een jachthaven drijft die gewoonlijk wordt aangedaan door zeegaande pleziervaartuigen, stelt, na overleg met betrokken partijen, eens in de drie jaar een passend plan vast voor het in ontvangst nemen en verder beheren van afvalstoffen, en legt dit plan ter goedkeuring voor aan het bevoegd gezag.</w:t>
      </w:r>
    </w:p>
    <w:p w:rsidR="00296032" w:rsidRPr="00296032" w:rsidRDefault="00296032">
      <w:pPr>
        <w:pStyle w:val="artikelkop"/>
      </w:pPr>
      <w:r w:rsidRPr="00296032">
        <w:t>Artikel 3.26k</w:t>
      </w:r>
    </w:p>
    <w:p w:rsidR="00296032" w:rsidRDefault="00296032">
      <w:pPr>
        <w:pStyle w:val="artplat"/>
      </w:pPr>
      <w:r w:rsidRPr="00620047">
        <w:t>Ten aanzien van een jachthaven die gewoonlijk wordt aangedaan door zeegaande pleziervaartuigen en is aangewezen krachtens artikel 6 van de Wet voorkoming verontreiniging door schepen, zijn de artikelen 3.26i en 3.26j niet van toepassing..</w:t>
      </w:r>
    </w:p>
    <w:p w:rsidR="00285482" w:rsidRDefault="00285482"/>
    <w:p w:rsidR="00285482" w:rsidRDefault="00285482" w:rsidP="00285482">
      <w:pPr>
        <w:pStyle w:val="paragraaf"/>
        <w:shd w:val="clear" w:color="auto" w:fill="D9D9D9" w:themeFill="background1" w:themeFillShade="D9"/>
      </w:pPr>
      <w:bookmarkStart w:id="103" w:name="_Toc431375597"/>
      <w:r>
        <w:t>§ 3.3.5.</w:t>
      </w:r>
      <w:r>
        <w:tab/>
        <w:t>Bieden van gelegenheid tot het afmeren van pleziervaartuigen in een jachthaven</w:t>
      </w:r>
      <w:bookmarkEnd w:id="103"/>
    </w:p>
    <w:p w:rsidR="00285482" w:rsidRDefault="00285482" w:rsidP="00285482">
      <w:pPr>
        <w:pStyle w:val="artikelkop"/>
        <w:shd w:val="clear" w:color="auto" w:fill="D9D9D9" w:themeFill="background1" w:themeFillShade="D9"/>
      </w:pPr>
      <w:r>
        <w:t>Artikel 3.27m</w:t>
      </w:r>
    </w:p>
    <w:p w:rsidR="00285482" w:rsidRDefault="00285482" w:rsidP="00285482">
      <w:pPr>
        <w:pStyle w:val="artplat"/>
        <w:shd w:val="clear" w:color="auto" w:fill="D9D9D9" w:themeFill="background1" w:themeFillShade="D9"/>
        <w:suppressAutoHyphens/>
        <w:rPr>
          <w:rFonts w:cs="Arial"/>
        </w:rPr>
      </w:pPr>
      <w:r>
        <w:rPr>
          <w:rFonts w:cs="Arial"/>
        </w:rPr>
        <w:t>Aan artikel 3.26j, derde lid, van het besluit wordt in ieder geval voldaan indien een plan voor het in ontvangst nemen en verder beheren van afvalstoffen de volgende elementen bevat:</w:t>
      </w:r>
    </w:p>
    <w:p w:rsidR="00285482" w:rsidRDefault="00285482" w:rsidP="00285482">
      <w:pPr>
        <w:pStyle w:val="artplatletter"/>
        <w:shd w:val="clear" w:color="auto" w:fill="D9D9D9" w:themeFill="background1" w:themeFillShade="D9"/>
        <w:suppressAutoHyphens/>
        <w:rPr>
          <w:rFonts w:cs="Arial"/>
        </w:rPr>
      </w:pPr>
      <w:r>
        <w:rPr>
          <w:rFonts w:cs="Arial"/>
        </w:rPr>
        <w:t>a.</w:t>
      </w:r>
      <w:r>
        <w:rPr>
          <w:rFonts w:cs="Arial"/>
        </w:rPr>
        <w:tab/>
        <w:t>een beoordeling van de behoefte aan voorzieningen voor de ontvangst van afvalstoffen, gelet op de behoefte van de zeegaande pleziervaartuigen die gewoonlijk de jachthaven aandoen;</w:t>
      </w:r>
    </w:p>
    <w:p w:rsidR="00285482" w:rsidRDefault="00285482" w:rsidP="00285482">
      <w:pPr>
        <w:pStyle w:val="artplatletter"/>
        <w:shd w:val="clear" w:color="auto" w:fill="D9D9D9" w:themeFill="background1" w:themeFillShade="D9"/>
        <w:suppressAutoHyphens/>
        <w:rPr>
          <w:rFonts w:cs="Arial"/>
        </w:rPr>
      </w:pPr>
      <w:r>
        <w:rPr>
          <w:rFonts w:cs="Arial"/>
        </w:rPr>
        <w:t>b.</w:t>
      </w:r>
      <w:r>
        <w:rPr>
          <w:rFonts w:cs="Arial"/>
        </w:rPr>
        <w:tab/>
        <w:t>een beschrijving van de voorzieningen voor de inzameling van afvalstoffen en de capaciteit daarvan;</w:t>
      </w:r>
    </w:p>
    <w:p w:rsidR="00285482" w:rsidRDefault="00285482" w:rsidP="00285482">
      <w:pPr>
        <w:pStyle w:val="artplatletter"/>
        <w:shd w:val="clear" w:color="auto" w:fill="D9D9D9" w:themeFill="background1" w:themeFillShade="D9"/>
        <w:suppressAutoHyphens/>
        <w:rPr>
          <w:rFonts w:cs="Arial"/>
        </w:rPr>
      </w:pPr>
      <w:r>
        <w:rPr>
          <w:rFonts w:cs="Arial"/>
        </w:rPr>
        <w:t>c.</w:t>
      </w:r>
      <w:r>
        <w:rPr>
          <w:rFonts w:cs="Arial"/>
        </w:rPr>
        <w:tab/>
        <w:t>een beschrijving van de procedures voor de afgifte van de betrokken afvalstoffen;</w:t>
      </w:r>
    </w:p>
    <w:p w:rsidR="00285482" w:rsidRDefault="00285482" w:rsidP="00285482">
      <w:pPr>
        <w:pStyle w:val="artplatletter"/>
        <w:shd w:val="clear" w:color="auto" w:fill="D9D9D9" w:themeFill="background1" w:themeFillShade="D9"/>
        <w:suppressAutoHyphens/>
        <w:rPr>
          <w:rFonts w:cs="Arial"/>
        </w:rPr>
      </w:pPr>
      <w:r>
        <w:rPr>
          <w:rFonts w:cs="Arial"/>
        </w:rPr>
        <w:t>d.</w:t>
      </w:r>
      <w:r>
        <w:rPr>
          <w:rFonts w:cs="Arial"/>
        </w:rPr>
        <w:tab/>
        <w:t>een beschrijving van de procedures voor het melden van vermeende tekortkomingen in de voorzieningen;</w:t>
      </w:r>
    </w:p>
    <w:p w:rsidR="00285482" w:rsidRDefault="00285482" w:rsidP="00285482">
      <w:pPr>
        <w:pStyle w:val="artplatletter"/>
        <w:shd w:val="clear" w:color="auto" w:fill="D9D9D9" w:themeFill="background1" w:themeFillShade="D9"/>
        <w:suppressAutoHyphens/>
        <w:rPr>
          <w:rFonts w:cs="Arial"/>
        </w:rPr>
      </w:pPr>
      <w:r>
        <w:rPr>
          <w:rFonts w:cs="Arial"/>
        </w:rPr>
        <w:t>e.</w:t>
      </w:r>
      <w:r>
        <w:rPr>
          <w:rFonts w:cs="Arial"/>
        </w:rPr>
        <w:tab/>
        <w:t>een beschrijving van de procedures voor structureel overleg met havengebruikers, afvalverwerkers en andere betrokken partijen;</w:t>
      </w:r>
    </w:p>
    <w:p w:rsidR="00285482" w:rsidRDefault="00285482" w:rsidP="00285482">
      <w:pPr>
        <w:pStyle w:val="artplatletter"/>
        <w:shd w:val="clear" w:color="auto" w:fill="D9D9D9" w:themeFill="background1" w:themeFillShade="D9"/>
        <w:suppressAutoHyphens/>
        <w:rPr>
          <w:rFonts w:cs="Arial"/>
        </w:rPr>
      </w:pPr>
      <w:r>
        <w:rPr>
          <w:rFonts w:cs="Arial"/>
        </w:rPr>
        <w:t>f.</w:t>
      </w:r>
      <w:r>
        <w:rPr>
          <w:rFonts w:cs="Arial"/>
        </w:rPr>
        <w:tab/>
        <w:t>een beschrijving van de soort en de te verwachten hoeveelheden afvalstoffen;</w:t>
      </w:r>
    </w:p>
    <w:p w:rsidR="00285482" w:rsidRDefault="00285482" w:rsidP="00285482">
      <w:pPr>
        <w:pStyle w:val="artplatletter"/>
        <w:shd w:val="clear" w:color="auto" w:fill="D9D9D9" w:themeFill="background1" w:themeFillShade="D9"/>
        <w:suppressAutoHyphens/>
        <w:rPr>
          <w:rFonts w:cs="Arial"/>
        </w:rPr>
      </w:pPr>
      <w:r>
        <w:rPr>
          <w:rFonts w:cs="Arial"/>
        </w:rPr>
        <w:t>g.</w:t>
      </w:r>
      <w:r>
        <w:rPr>
          <w:rFonts w:cs="Arial"/>
        </w:rPr>
        <w:tab/>
        <w:t>een beschrijving van de methoden voor het registreren van het feitelijk gebruik van de voorzieningen voor de inzameling van afvalstoffen;</w:t>
      </w:r>
    </w:p>
    <w:p w:rsidR="00285482" w:rsidRDefault="00285482" w:rsidP="00285482">
      <w:pPr>
        <w:pStyle w:val="artplatletter"/>
        <w:shd w:val="clear" w:color="auto" w:fill="D9D9D9" w:themeFill="background1" w:themeFillShade="D9"/>
        <w:suppressAutoHyphens/>
        <w:rPr>
          <w:rFonts w:cs="Arial"/>
        </w:rPr>
      </w:pPr>
      <w:r>
        <w:rPr>
          <w:rFonts w:cs="Arial"/>
        </w:rPr>
        <w:t>h.</w:t>
      </w:r>
      <w:r>
        <w:rPr>
          <w:rFonts w:cs="Arial"/>
        </w:rPr>
        <w:tab/>
        <w:t>een beschrijving van de wijze waarop ingezamelde afvalstoffen worden verwijderd; en</w:t>
      </w:r>
    </w:p>
    <w:p w:rsidR="00285482" w:rsidRDefault="00285482" w:rsidP="00285482">
      <w:pPr>
        <w:pStyle w:val="artplatletter"/>
        <w:shd w:val="clear" w:color="auto" w:fill="D9D9D9" w:themeFill="background1" w:themeFillShade="D9"/>
        <w:suppressAutoHyphens/>
        <w:rPr>
          <w:rFonts w:cs="Arial"/>
        </w:rPr>
      </w:pPr>
      <w:r>
        <w:rPr>
          <w:rFonts w:cs="Arial"/>
        </w:rPr>
        <w:t>i.</w:t>
      </w:r>
      <w:r>
        <w:rPr>
          <w:rFonts w:cs="Arial"/>
        </w:rPr>
        <w:tab/>
        <w:t>vermelding van één of meerdere personen die verantwoordelijk zijn voor de uitvoering van het plan.</w:t>
      </w:r>
    </w:p>
    <w:p w:rsidR="00285482" w:rsidRPr="00620047" w:rsidRDefault="00285482">
      <w:pPr>
        <w:pStyle w:val="artplat"/>
      </w:pPr>
    </w:p>
    <w:p w:rsidR="00296032" w:rsidRPr="00296032" w:rsidRDefault="00296032">
      <w:pPr>
        <w:pStyle w:val="paragraaf"/>
      </w:pPr>
      <w:bookmarkStart w:id="104" w:name="_Toc431375598"/>
      <w:r w:rsidRPr="00296032">
        <w:t>§ 3.3.6 Het gebruik van hefschroefvliegtuigen bij ziekenhuizen</w:t>
      </w:r>
      <w:bookmarkEnd w:id="104"/>
    </w:p>
    <w:p w:rsidR="00296032" w:rsidRPr="00296032" w:rsidRDefault="00296032">
      <w:pPr>
        <w:pStyle w:val="artikelkop"/>
      </w:pPr>
      <w:r w:rsidRPr="00296032">
        <w:t xml:space="preserve">Artikel 3.26l </w:t>
      </w:r>
    </w:p>
    <w:p w:rsidR="00296032" w:rsidRPr="00620047" w:rsidRDefault="00296032">
      <w:pPr>
        <w:pStyle w:val="art1enivo"/>
      </w:pPr>
      <w:r w:rsidRPr="00620047">
        <w:t>1.</w:t>
      </w:r>
      <w:r w:rsidRPr="00620047">
        <w:tab/>
        <w:t>Deze paragraaf is van toepassing op het gebruik van hefschroefvliegtuigen bij ziekenhuizen.</w:t>
      </w:r>
    </w:p>
    <w:p w:rsidR="00296032" w:rsidRPr="00620047" w:rsidRDefault="00296032">
      <w:pPr>
        <w:pStyle w:val="art1enivo"/>
      </w:pPr>
      <w:r w:rsidRPr="00620047">
        <w:t xml:space="preserve">2. </w:t>
      </w:r>
      <w:r w:rsidRPr="00620047">
        <w:tab/>
        <w:t>De artikelen 2.17 tot en met 2.22 zijn niet van toepassing op het gebruik van hefschroefvliegtuigen bij ziekenhuizen.</w:t>
      </w:r>
    </w:p>
    <w:p w:rsidR="00296032" w:rsidRPr="00296032" w:rsidRDefault="00296032">
      <w:pPr>
        <w:pStyle w:val="artikelkop"/>
      </w:pPr>
      <w:r w:rsidRPr="00296032">
        <w:t xml:space="preserve">Artikel 3.26m </w:t>
      </w:r>
    </w:p>
    <w:p w:rsidR="00296032" w:rsidRPr="00620047" w:rsidRDefault="00296032">
      <w:pPr>
        <w:pStyle w:val="artplat"/>
      </w:pPr>
      <w:r w:rsidRPr="00620047">
        <w:t>Degene die een helitraumacentrum drijft, draagt er zorg voor dat het geluidsvermogensniveau van hefschroefvliegtuigen die door hem worden ingezet voor het vervoer van mobiele medische teams niet hoger is dan 140 dB(A).</w:t>
      </w:r>
    </w:p>
    <w:p w:rsidR="00296032" w:rsidRPr="00296032" w:rsidRDefault="00296032">
      <w:pPr>
        <w:pStyle w:val="artikelkop"/>
      </w:pPr>
      <w:r w:rsidRPr="00296032">
        <w:t xml:space="preserve">Artikel 3.26n </w:t>
      </w:r>
    </w:p>
    <w:p w:rsidR="00296032" w:rsidRPr="00620047" w:rsidRDefault="00296032">
      <w:pPr>
        <w:pStyle w:val="artplat"/>
      </w:pPr>
      <w:r w:rsidRPr="00620047">
        <w:t>Degene die een ziekenhuis, niet zijnde een helitraumacentrum, drijft, draagt er zorg voor dat zijn voorziening ten behoeve van het landen en opstijgen van hefschroefvliegtuigen uitsluitend door hefschroefvliegtuigen wordt gebruikt indien dit gebruik bijzonder is aangewezen voor:</w:t>
      </w:r>
    </w:p>
    <w:p w:rsidR="00296032" w:rsidRPr="00620047" w:rsidRDefault="00296032">
      <w:pPr>
        <w:pStyle w:val="artplatletter"/>
      </w:pPr>
      <w:r w:rsidRPr="00620047">
        <w:t>a.</w:t>
      </w:r>
      <w:r w:rsidRPr="00620047">
        <w:tab/>
        <w:t>het vervoer van ongevalslachtoffers en zieken die spoedeisende medische zorg behoeven, met inbegrip van apparatuur en begeleidend personeel;</w:t>
      </w:r>
    </w:p>
    <w:p w:rsidR="00296032" w:rsidRPr="00620047" w:rsidRDefault="00296032">
      <w:pPr>
        <w:pStyle w:val="artplatletter"/>
      </w:pPr>
      <w:r w:rsidRPr="00620047">
        <w:t>b.</w:t>
      </w:r>
      <w:r w:rsidRPr="00620047">
        <w:tab/>
        <w:t>het vervoer van pasgeboren kinderen die spoedeisende medische zorg behoeven, met inbegrip van apparatuur en begeleidend personeel;</w:t>
      </w:r>
    </w:p>
    <w:p w:rsidR="00296032" w:rsidRPr="00620047" w:rsidRDefault="00296032">
      <w:pPr>
        <w:pStyle w:val="artplatletter"/>
      </w:pPr>
      <w:r w:rsidRPr="00620047">
        <w:t>c.</w:t>
      </w:r>
      <w:r w:rsidRPr="00620047">
        <w:tab/>
        <w:t>het vervoer van organen of transplantatieteams in het kader van transplantatie;</w:t>
      </w:r>
    </w:p>
    <w:p w:rsidR="00296032" w:rsidRPr="00620047" w:rsidRDefault="00296032">
      <w:pPr>
        <w:pStyle w:val="artplatletter"/>
      </w:pPr>
      <w:r w:rsidRPr="00620047">
        <w:t>d.</w:t>
      </w:r>
      <w:r w:rsidRPr="00620047">
        <w:tab/>
        <w:t>het vervoer van een lid van een mobiel medisch team dat, nadat het mobiel medisch team met een hefschroefvliegtuig op een ongevallenlocatie is ingezet, met een ongevalslachtoffer of zieke die spoedeisende medische zorg behoeft anders dan met een hefschroefvliegtuig naar het ziekenhuis is vervoerd;</w:t>
      </w:r>
    </w:p>
    <w:p w:rsidR="00296032" w:rsidRPr="00620047" w:rsidRDefault="00296032">
      <w:pPr>
        <w:pStyle w:val="artplatletter"/>
      </w:pPr>
      <w:r w:rsidRPr="00620047">
        <w:t>e.</w:t>
      </w:r>
      <w:r w:rsidRPr="00620047">
        <w:tab/>
        <w:t>het verplaatsen van een hefschroefvliegtuig in verband met de opleiding en training van de piloot tot ten hoogste 20 vliegbewegingen per ziekenhuis per kalenderjaar.</w:t>
      </w:r>
    </w:p>
    <w:p w:rsidR="00296032" w:rsidRPr="00296032" w:rsidRDefault="00296032">
      <w:pPr>
        <w:pStyle w:val="artikelkop"/>
      </w:pPr>
      <w:r w:rsidRPr="00296032">
        <w:t xml:space="preserve">Artikel 3.26o </w:t>
      </w:r>
    </w:p>
    <w:p w:rsidR="00296032" w:rsidRPr="00620047" w:rsidRDefault="00296032">
      <w:pPr>
        <w:pStyle w:val="artplat"/>
      </w:pPr>
      <w:r w:rsidRPr="00620047">
        <w:t>Degene die een helitraumacentrum drijft, draagt er zorg voor dat zijn voorziening ten behoeve van het landen en opstijgen van hefschroefvliegtuigen uitsluitend door hefschroefvliegtuigen wordt gebruikt indien dit gebruik bijzonder aangewezen is voor:</w:t>
      </w:r>
    </w:p>
    <w:p w:rsidR="00296032" w:rsidRPr="00620047" w:rsidRDefault="00296032">
      <w:pPr>
        <w:pStyle w:val="artplatletter"/>
      </w:pPr>
      <w:r w:rsidRPr="00620047">
        <w:t>a.</w:t>
      </w:r>
      <w:r w:rsidRPr="00620047">
        <w:tab/>
        <w:t>het vervoer van ongevalslachtoffers en zieken die spoedeisende medische zorg behoeven, met inbegrip van apparatuur en begeleidend personeel;</w:t>
      </w:r>
    </w:p>
    <w:p w:rsidR="00296032" w:rsidRPr="00620047" w:rsidRDefault="00296032">
      <w:pPr>
        <w:pStyle w:val="artplatletter"/>
      </w:pPr>
      <w:r w:rsidRPr="00620047">
        <w:t>b.</w:t>
      </w:r>
      <w:r w:rsidRPr="00620047">
        <w:tab/>
        <w:t>het vervoer van pasgeboren kinderen die spoedeisende medische zorg behoeven, met inbegrip van apparatuur en begeleidend personeel;</w:t>
      </w:r>
    </w:p>
    <w:p w:rsidR="00296032" w:rsidRPr="00620047" w:rsidRDefault="00296032">
      <w:pPr>
        <w:pStyle w:val="artplatletter"/>
      </w:pPr>
      <w:r w:rsidRPr="00620047">
        <w:t>c.</w:t>
      </w:r>
      <w:r w:rsidRPr="00620047">
        <w:tab/>
        <w:t>het vervoer van organen of transplantatieteams in het kader van transplantatie;</w:t>
      </w:r>
    </w:p>
    <w:p w:rsidR="00296032" w:rsidRPr="00620047" w:rsidRDefault="00296032">
      <w:pPr>
        <w:pStyle w:val="artplatletter"/>
      </w:pPr>
      <w:r w:rsidRPr="00620047">
        <w:t>d.</w:t>
      </w:r>
      <w:r w:rsidRPr="00620047">
        <w:tab/>
        <w:t>het vervoer van mobiele medische teams, met inbegrip van apparatuur naar en van ongevallenlocaties;</w:t>
      </w:r>
    </w:p>
    <w:p w:rsidR="00296032" w:rsidRPr="00620047" w:rsidRDefault="00296032">
      <w:pPr>
        <w:pStyle w:val="artplatletter"/>
      </w:pPr>
      <w:r w:rsidRPr="00620047">
        <w:t>e.</w:t>
      </w:r>
      <w:r w:rsidRPr="00620047">
        <w:tab/>
        <w:t>het verplaatsen van een hefschroefvliegtuig in verband met de komst van een ander hefschroefvliegtuig dat ongevalslachtoffers, zieken en pasgeboren kinderen die spoedeisende medische zorg behoeven, organen of transplantatieteams vervoert;</w:t>
      </w:r>
    </w:p>
    <w:p w:rsidR="00296032" w:rsidRPr="00620047" w:rsidRDefault="00296032">
      <w:pPr>
        <w:pStyle w:val="artplatletter"/>
      </w:pPr>
      <w:r w:rsidRPr="00620047">
        <w:t>f.</w:t>
      </w:r>
      <w:r w:rsidRPr="00620047">
        <w:tab/>
        <w:t>het verplaatsen van een hefschroefvliegtuig tot ten hoogste 400 vliegbewegingen per helitraumacentrum per kalenderjaar in verband met:</w:t>
      </w:r>
    </w:p>
    <w:p w:rsidR="00296032" w:rsidRPr="00620047" w:rsidRDefault="00296032">
      <w:pPr>
        <w:pStyle w:val="art2enivo"/>
      </w:pPr>
      <w:r w:rsidRPr="00620047">
        <w:t>1.</w:t>
      </w:r>
      <w:r w:rsidRPr="00620047">
        <w:tab/>
        <w:t>onderhoud of reparatie;</w:t>
      </w:r>
    </w:p>
    <w:p w:rsidR="00296032" w:rsidRPr="00620047" w:rsidRDefault="00296032">
      <w:pPr>
        <w:pStyle w:val="art2enivo"/>
      </w:pPr>
      <w:r w:rsidRPr="00620047">
        <w:t>2.</w:t>
      </w:r>
      <w:r w:rsidRPr="00620047">
        <w:tab/>
        <w:t>tankvluchten;</w:t>
      </w:r>
    </w:p>
    <w:p w:rsidR="00296032" w:rsidRPr="00620047" w:rsidRDefault="00296032">
      <w:pPr>
        <w:pStyle w:val="art2enivo"/>
      </w:pPr>
      <w:r w:rsidRPr="00620047">
        <w:t>3.</w:t>
      </w:r>
      <w:r w:rsidRPr="00620047">
        <w:tab/>
        <w:t>opleiding en training van de piloot en van het mobiel medisch team.</w:t>
      </w:r>
    </w:p>
    <w:p w:rsidR="00296032" w:rsidRPr="00296032" w:rsidRDefault="00296032">
      <w:pPr>
        <w:pStyle w:val="artikelkop"/>
      </w:pPr>
      <w:r w:rsidRPr="00296032">
        <w:t xml:space="preserve">Artikel 3.26p </w:t>
      </w:r>
    </w:p>
    <w:p w:rsidR="00296032" w:rsidRPr="00620047" w:rsidRDefault="00296032">
      <w:pPr>
        <w:pStyle w:val="art1enivo"/>
      </w:pPr>
      <w:r w:rsidRPr="00620047">
        <w:t>1.</w:t>
      </w:r>
      <w:r w:rsidRPr="00620047">
        <w:tab/>
        <w:t>Degene die het helitraumacentrum of het ziekenhuis, niet zijnde een helitraumacentrum drijft, registreert met betrekking tot het gebruik van zijn voorziening ten behoeve van het landen en opstijgen van hefschroefvliegtuigen ten minste de volgende gegevens:</w:t>
      </w:r>
    </w:p>
    <w:p w:rsidR="00296032" w:rsidRPr="00620047" w:rsidRDefault="00296032">
      <w:pPr>
        <w:pStyle w:val="art2enivo"/>
      </w:pPr>
      <w:r w:rsidRPr="00620047">
        <w:t>a.</w:t>
      </w:r>
      <w:r w:rsidRPr="00620047">
        <w:tab/>
        <w:t>de reden voor het gebruik van de voorziening;</w:t>
      </w:r>
    </w:p>
    <w:p w:rsidR="00296032" w:rsidRPr="00620047" w:rsidRDefault="00296032">
      <w:pPr>
        <w:pStyle w:val="art2enivo"/>
      </w:pPr>
      <w:r w:rsidRPr="00620047">
        <w:t>b.</w:t>
      </w:r>
      <w:r w:rsidRPr="00620047">
        <w:tab/>
        <w:t>de tijd van vertrek;</w:t>
      </w:r>
    </w:p>
    <w:p w:rsidR="00296032" w:rsidRPr="00620047" w:rsidRDefault="00296032">
      <w:pPr>
        <w:pStyle w:val="art2enivo"/>
      </w:pPr>
      <w:r w:rsidRPr="00620047">
        <w:t>c.</w:t>
      </w:r>
      <w:r w:rsidRPr="00620047">
        <w:tab/>
        <w:t>de tijd van aankomst.</w:t>
      </w:r>
    </w:p>
    <w:p w:rsidR="00296032" w:rsidRPr="00620047" w:rsidRDefault="00296032">
      <w:pPr>
        <w:pStyle w:val="art1enivo"/>
      </w:pPr>
      <w:r w:rsidRPr="00620047">
        <w:t>2.</w:t>
      </w:r>
      <w:r w:rsidRPr="00620047">
        <w:tab/>
        <w:t>De registratie wordt binnen twee werkdagen na gebruik van de voorziening bijgewerkt en gedurende ten minste vijf jaar na het vastleggen in de registratie bewaard.</w:t>
      </w:r>
    </w:p>
    <w:p w:rsidR="00296032" w:rsidRPr="00296032" w:rsidRDefault="00296032">
      <w:pPr>
        <w:pStyle w:val="artikelkop"/>
      </w:pPr>
      <w:r w:rsidRPr="00296032">
        <w:t xml:space="preserve">Artikel 3.26q </w:t>
      </w:r>
    </w:p>
    <w:p w:rsidR="00296032" w:rsidRPr="00620047" w:rsidRDefault="00296032">
      <w:pPr>
        <w:pStyle w:val="artplat"/>
      </w:pPr>
      <w:r w:rsidRPr="00620047">
        <w:t>In afwijking van artikel 3.26m is het degene die op 1 februari 2003 een helitraumacentrum dreef, tot het moment van vervanging van het hefschroefvliegtuig dat op die datum werd ingezet voor het vervoer van mobiele medische teams, toegestaan een hefschroefvliegtuig in te zetten met een geluidsvermogensniveau van ten hoogste 145 dB(A).</w:t>
      </w:r>
      <w:bookmarkEnd w:id="98"/>
    </w:p>
    <w:p w:rsidR="00296032" w:rsidRPr="00620047" w:rsidRDefault="00296032">
      <w:pPr>
        <w:pStyle w:val="afdeling"/>
        <w:rPr>
          <w:rFonts w:cs="Arial"/>
        </w:rPr>
      </w:pPr>
      <w:bookmarkStart w:id="105" w:name="_Toc431375599"/>
      <w:r w:rsidRPr="00620047">
        <w:rPr>
          <w:rFonts w:cs="Arial"/>
        </w:rPr>
        <w:t>Afdeling 3.4 Opslaan van stoffen of het vullen van gasflessen</w:t>
      </w:r>
      <w:bookmarkEnd w:id="105"/>
    </w:p>
    <w:p w:rsidR="00296032" w:rsidRPr="00296032" w:rsidRDefault="00296032">
      <w:pPr>
        <w:pStyle w:val="paragraaf"/>
        <w:rPr>
          <w:rFonts w:cs="Arial"/>
        </w:rPr>
      </w:pPr>
      <w:bookmarkStart w:id="106" w:name="_Toc277243204"/>
      <w:bookmarkStart w:id="107" w:name="_Toc431375600"/>
      <w:r w:rsidRPr="00296032">
        <w:rPr>
          <w:rFonts w:cs="Arial"/>
        </w:rPr>
        <w:t>§ 3.4.1</w:t>
      </w:r>
      <w:r w:rsidRPr="00296032">
        <w:rPr>
          <w:rFonts w:cs="Arial"/>
        </w:rPr>
        <w:tab/>
        <w:t>Opslaan van propaan</w:t>
      </w:r>
      <w:bookmarkEnd w:id="106"/>
      <w:bookmarkEnd w:id="107"/>
    </w:p>
    <w:p w:rsidR="00296032" w:rsidRPr="00296032" w:rsidRDefault="00296032">
      <w:pPr>
        <w:pStyle w:val="artikelkop"/>
        <w:rPr>
          <w:rFonts w:cs="Arial"/>
        </w:rPr>
      </w:pPr>
      <w:r w:rsidRPr="00296032">
        <w:rPr>
          <w:rFonts w:cs="Arial"/>
        </w:rPr>
        <w:t>Artikel 3.27</w:t>
      </w:r>
    </w:p>
    <w:p w:rsidR="00296032" w:rsidRPr="00620047" w:rsidRDefault="00296032">
      <w:pPr>
        <w:rPr>
          <w:rFonts w:cs="Arial"/>
        </w:rPr>
      </w:pPr>
      <w:r w:rsidRPr="00620047">
        <w:rPr>
          <w:rFonts w:cs="Arial"/>
        </w:rPr>
        <w:t>Deze paragraaf is van toepassing op inrichtingen waarbij sprake is van het opslaan van propaan indien:</w:t>
      </w:r>
    </w:p>
    <w:p w:rsidR="00296032" w:rsidRPr="00620047" w:rsidRDefault="00296032">
      <w:pPr>
        <w:pStyle w:val="artplatletter"/>
        <w:rPr>
          <w:rFonts w:cs="Arial"/>
        </w:rPr>
      </w:pPr>
      <w:r w:rsidRPr="00620047">
        <w:rPr>
          <w:rFonts w:cs="Arial"/>
        </w:rPr>
        <w:t>a.</w:t>
      </w:r>
      <w:r w:rsidRPr="00620047">
        <w:rPr>
          <w:rFonts w:cs="Arial"/>
        </w:rPr>
        <w:tab/>
        <w:t>het opslaan van propaan geschiedt in opslagtanks elk met een inhoud van maximaal 13 kubieke meter;</w:t>
      </w:r>
    </w:p>
    <w:p w:rsidR="00296032" w:rsidRPr="00620047" w:rsidRDefault="00296032">
      <w:pPr>
        <w:pStyle w:val="artplatletter"/>
        <w:rPr>
          <w:rFonts w:cs="Arial"/>
        </w:rPr>
      </w:pPr>
      <w:r w:rsidRPr="00620047">
        <w:rPr>
          <w:rFonts w:cs="Arial"/>
        </w:rPr>
        <w:t>b.</w:t>
      </w:r>
      <w:r w:rsidRPr="00620047">
        <w:rPr>
          <w:rFonts w:cs="Arial"/>
        </w:rPr>
        <w:tab/>
        <w:t>niet meer dan twee opslagtanks binnen de inrichting aanwezig zijn; en</w:t>
      </w:r>
    </w:p>
    <w:p w:rsidR="00296032" w:rsidRPr="00620047" w:rsidRDefault="00296032">
      <w:pPr>
        <w:pStyle w:val="artplatletter"/>
        <w:rPr>
          <w:rFonts w:cs="Arial"/>
        </w:rPr>
      </w:pPr>
      <w:r w:rsidRPr="00620047">
        <w:rPr>
          <w:rFonts w:cs="Arial"/>
        </w:rPr>
        <w:t>c.</w:t>
      </w:r>
      <w:r w:rsidRPr="00620047">
        <w:rPr>
          <w:rFonts w:cs="Arial"/>
        </w:rPr>
        <w:tab/>
        <w:t>propaan uitsluitend in de gasfase aan een opslagtank wordt onttrokken behoudens het leegmaken van een opslagtank voor verplaatsing.</w:t>
      </w:r>
    </w:p>
    <w:p w:rsidR="00296032" w:rsidRPr="00296032" w:rsidRDefault="00296032">
      <w:pPr>
        <w:pStyle w:val="artikelkop"/>
        <w:rPr>
          <w:rFonts w:cs="Arial"/>
        </w:rPr>
      </w:pPr>
      <w:r w:rsidRPr="00296032">
        <w:rPr>
          <w:rFonts w:cs="Arial"/>
        </w:rPr>
        <w:t>Artikel 3.28</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Met betrekking tot de opstelplaats van een opslagtank met propaan, het vulpunt van een opslagtank met propaan en de opstelplaats van de tankwagen worden ten opzichte van buiten de inrichting gelegen kwetsbare en beperkt kwetsbare objecten, de in tabel 3.28 opgenomen afstanden in acht genomen, waarbij de afstanden gelden van het vulpunt en de opslagtank, gerekend vanaf de aansluitpunten van de leidingen alsmede het bovengrondse deel van de leidingen en de pomp bij de opslagtank:</w:t>
      </w:r>
    </w:p>
    <w:p w:rsidR="00296032" w:rsidRPr="00620047" w:rsidRDefault="00296032">
      <w:pPr>
        <w:pStyle w:val="tabelkop"/>
        <w:ind w:firstLine="426"/>
        <w:rPr>
          <w:rFonts w:cs="Arial"/>
        </w:rPr>
      </w:pPr>
      <w:r w:rsidRPr="00620047">
        <w:rPr>
          <w:rFonts w:cs="Arial"/>
        </w:rPr>
        <w:t>Tabel 3.28</w:t>
      </w:r>
      <w:r w:rsidRPr="00620047">
        <w:rPr>
          <w:rFonts w:cs="Arial"/>
        </w:rPr>
        <w:tab/>
        <w:t>Veiligheidsafstanden</w:t>
      </w:r>
    </w:p>
    <w:tbl>
      <w:tblPr>
        <w:tblW w:w="8363"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969"/>
        <w:gridCol w:w="2197"/>
        <w:gridCol w:w="2197"/>
      </w:tblGrid>
      <w:tr w:rsidR="00296032" w:rsidRPr="00620047">
        <w:trPr>
          <w:cantSplit/>
          <w:tblHeader/>
        </w:trPr>
        <w:tc>
          <w:tcPr>
            <w:tcW w:w="3969"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40" w:after="40"/>
              <w:rPr>
                <w:rFonts w:cs="Arial"/>
                <w:b/>
                <w:sz w:val="16"/>
                <w:szCs w:val="16"/>
              </w:rPr>
            </w:pPr>
          </w:p>
        </w:tc>
        <w:tc>
          <w:tcPr>
            <w:tcW w:w="21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Bevoorrading tot en met 5 keer per jaar </w:t>
            </w:r>
          </w:p>
        </w:tc>
        <w:tc>
          <w:tcPr>
            <w:tcW w:w="21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Bevoorrading meer dan 5 keer per jaar </w:t>
            </w:r>
          </w:p>
        </w:tc>
      </w:tr>
      <w:tr w:rsidR="00296032" w:rsidRPr="00620047">
        <w:trPr>
          <w:cantSplit/>
          <w:tblHeader/>
        </w:trPr>
        <w:tc>
          <w:tcPr>
            <w:tcW w:w="396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Opslagtank met propaan tot en met 5 kubieke meter </w:t>
            </w:r>
          </w:p>
        </w:tc>
        <w:tc>
          <w:tcPr>
            <w:tcW w:w="21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10 meter </w:t>
            </w:r>
          </w:p>
        </w:tc>
        <w:tc>
          <w:tcPr>
            <w:tcW w:w="21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 meter </w:t>
            </w:r>
          </w:p>
        </w:tc>
      </w:tr>
      <w:tr w:rsidR="00296032" w:rsidRPr="00620047">
        <w:trPr>
          <w:cantSplit/>
          <w:tblHeader/>
        </w:trPr>
        <w:tc>
          <w:tcPr>
            <w:tcW w:w="3969"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Opslagtank met propaan groter dan 5 kubieke meter tot en met 13 kubieke meter </w:t>
            </w:r>
          </w:p>
        </w:tc>
        <w:tc>
          <w:tcPr>
            <w:tcW w:w="21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15 meter </w:t>
            </w:r>
          </w:p>
        </w:tc>
        <w:tc>
          <w:tcPr>
            <w:tcW w:w="219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25 meter </w:t>
            </w:r>
          </w:p>
        </w:tc>
      </w:tr>
    </w:tbl>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Een opslagtank met propaan, het vulpunt van een opslagtank met propaan en de opstelplaats van de tankwagen is gelegen op ten minste de helft van de afstanden, genoemd in tabel 3.28, indien het objecten betreft waar ook een opslagtank met propaan of propeen aanwezig is.</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 afwijking van het eerste lid worden met betrekking tot de opstelplaats van een opslagtank met propaan, het vulpunt van een opslagtank met propaan en de opstelplaats van de tankwagen ten opzichte van gebouwen bestemd voor het verblijf, al dan niet gedurende een gedeelte van de dag, van minderjarigen, ouderen, zieken of gehandicapten, dan wel gebouwen waarin doorgaans grote aantallen personen gedurende een groot gedeelte van de dag aanwezig zijn, de volgende afstanden in acht genomen:</w:t>
      </w:r>
    </w:p>
    <w:p w:rsidR="00296032" w:rsidRPr="00620047" w:rsidRDefault="00296032">
      <w:pPr>
        <w:pStyle w:val="art2enivo"/>
        <w:rPr>
          <w:rFonts w:cs="Arial"/>
        </w:rPr>
      </w:pPr>
      <w:r w:rsidRPr="00620047">
        <w:rPr>
          <w:rFonts w:cs="Arial"/>
        </w:rPr>
        <w:t>a.</w:t>
      </w:r>
      <w:r w:rsidRPr="00620047">
        <w:rPr>
          <w:rFonts w:cs="Arial"/>
        </w:rPr>
        <w:tab/>
        <w:t>bij een opslagtank met propaan tot en met 5 kubieke meter: 25 meter;</w:t>
      </w:r>
    </w:p>
    <w:p w:rsidR="00296032" w:rsidRPr="00620047" w:rsidRDefault="00296032">
      <w:pPr>
        <w:pStyle w:val="art2enivo"/>
        <w:rPr>
          <w:rFonts w:cs="Arial"/>
        </w:rPr>
      </w:pPr>
      <w:r w:rsidRPr="00620047">
        <w:rPr>
          <w:rFonts w:cs="Arial"/>
        </w:rPr>
        <w:t>b.</w:t>
      </w:r>
      <w:r w:rsidRPr="00620047">
        <w:rPr>
          <w:rFonts w:cs="Arial"/>
        </w:rPr>
        <w:tab/>
        <w:t>bij een opslagtank met propaan van meer dan 5 kubieke meter tot en met 13 kubieke meter: 50 meter.</w:t>
      </w:r>
    </w:p>
    <w:p w:rsidR="00296032" w:rsidRDefault="00296032">
      <w:pPr>
        <w:pStyle w:val="art1enivo"/>
        <w:rPr>
          <w:rFonts w:cs="Arial"/>
        </w:rPr>
      </w:pPr>
      <w:r w:rsidRPr="00620047">
        <w:rPr>
          <w:rFonts w:cs="Arial"/>
          <w:bCs/>
        </w:rPr>
        <w:t>4.</w:t>
      </w:r>
      <w:r w:rsidRPr="00620047">
        <w:rPr>
          <w:rFonts w:cs="Arial"/>
          <w:bCs/>
        </w:rPr>
        <w:tab/>
      </w:r>
      <w:r w:rsidRPr="00620047">
        <w:rPr>
          <w:rFonts w:cs="Arial"/>
        </w:rPr>
        <w:t>Onverminderd het eerste tot en met derde lid, voldoet een opslagtank met propaan alsmede de bijbehorende leidingen en appendages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te stellen eisen.</w:t>
      </w:r>
    </w:p>
    <w:p w:rsidR="00A03CE5" w:rsidRDefault="00A03CE5" w:rsidP="00A03CE5"/>
    <w:p w:rsidR="00A03CE5" w:rsidRDefault="00A03CE5" w:rsidP="00A03CE5">
      <w:pPr>
        <w:pStyle w:val="paragraaf"/>
        <w:shd w:val="clear" w:color="auto" w:fill="D9D9D9" w:themeFill="background1" w:themeFillShade="D9"/>
      </w:pPr>
      <w:bookmarkStart w:id="108" w:name="_Toc431375601"/>
      <w:r>
        <w:t>§ 3.4.1.</w:t>
      </w:r>
      <w:r>
        <w:tab/>
        <w:t>Opslaan van propaan</w:t>
      </w:r>
      <w:bookmarkEnd w:id="108"/>
    </w:p>
    <w:p w:rsidR="00A03CE5" w:rsidRDefault="00A03CE5" w:rsidP="00A03CE5">
      <w:pPr>
        <w:pStyle w:val="artikelkop"/>
        <w:shd w:val="clear" w:color="auto" w:fill="D9D9D9" w:themeFill="background1" w:themeFillShade="D9"/>
      </w:pPr>
      <w:r>
        <w:t>Artikel 3.28</w:t>
      </w:r>
    </w:p>
    <w:p w:rsidR="00A03CE5" w:rsidRDefault="00A03CE5" w:rsidP="00A03CE5">
      <w:pPr>
        <w:pStyle w:val="artplat"/>
        <w:shd w:val="clear" w:color="auto" w:fill="D9D9D9" w:themeFill="background1" w:themeFillShade="D9"/>
        <w:suppressAutoHyphens/>
        <w:rPr>
          <w:rFonts w:cs="Arial"/>
        </w:rPr>
      </w:pPr>
      <w:r>
        <w:rPr>
          <w:rFonts w:cs="Arial"/>
        </w:rPr>
        <w:t>Deze paragraaf is van toepassing op inrichtingen waarbij sprake is van het opslaan van propaan als bedoeld in artikel 3.27 van het besluit.</w:t>
      </w:r>
    </w:p>
    <w:p w:rsidR="00A03CE5" w:rsidRDefault="00A03CE5" w:rsidP="00A03CE5">
      <w:pPr>
        <w:pStyle w:val="artikelkop"/>
        <w:shd w:val="clear" w:color="auto" w:fill="D9D9D9" w:themeFill="background1" w:themeFillShade="D9"/>
      </w:pPr>
      <w:r>
        <w:t>Artikel 3.29</w:t>
      </w:r>
    </w:p>
    <w:p w:rsidR="00A03CE5" w:rsidRDefault="00A03CE5" w:rsidP="00A03CE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is een opslagtank met propaan die op een bouwplaats is opgesteld en is geïnstalleerd ten behoeve van bouwactiviteiten, voorzover van toepassing, in overstemming met het Warenwetbesluit drukapparatuur en voldoet de opslagtank met propaan voorts aan hoofdstuk 7 van PGS 19.</w:t>
      </w:r>
    </w:p>
    <w:p w:rsidR="00A03CE5" w:rsidRDefault="00A03CE5" w:rsidP="00A03CE5">
      <w:pPr>
        <w:pStyle w:val="art1enivo"/>
        <w:shd w:val="clear" w:color="auto" w:fill="D9D9D9" w:themeFill="background1" w:themeFillShade="D9"/>
      </w:pPr>
      <w:r>
        <w:t>2.</w:t>
      </w:r>
      <w:r>
        <w:tab/>
        <w:t>Een opslagtank met propaan die anders dan op een bouwplaats is opgesteld of anders dan ten behoeve van bouwactiviteiten is geïnstalleerd, is, voor zover van toepassing, in overeenstemming met het Warenwetbesluit drukapparatuur en voldoet voorts aan de hoofdstukken 2 en 4, met uitzondering van de paragrafen 4.3 en 4.4, en aan de hoofdstukken 5 en 6 van PGS 19, met dien verstande dat een brandmuur niet is toegestaan.</w:t>
      </w:r>
    </w:p>
    <w:p w:rsidR="00A03CE5" w:rsidRDefault="00A03CE5" w:rsidP="00A03CE5">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Het bevoegd gezag kan bij maatwerkvoorschrift bepalen dat in afwijking van het tweede lid een brandmuur is toegestaan indien redelijkerwijs niet kan worden voldaan aan de interne veiligheidsafstanden uit de PGS 19. De brandmuur voldoet aan de paragrafen 4.2.4 tot en met 4.2.7 en de voorschriften 4.8.5, 4.8.7 van de PGS 19.</w:t>
      </w:r>
    </w:p>
    <w:p w:rsidR="00A03CE5" w:rsidRDefault="00A03CE5" w:rsidP="00A03CE5">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 xml:space="preserve">In afwijking van het eerste en tweede lid is voor een opslagtank met propaan die is geïnstalleerd voor </w:t>
      </w:r>
      <w:r w:rsidR="004F562B">
        <w:rPr>
          <w:rFonts w:eastAsiaTheme="minorEastAsia"/>
          <w:lang w:eastAsia="nl-NL"/>
        </w:rPr>
        <w:t>1 januari 2016</w:t>
      </w:r>
      <w:r>
        <w:rPr>
          <w:rFonts w:eastAsiaTheme="minorEastAsia"/>
          <w:lang w:eastAsia="nl-NL"/>
        </w:rPr>
        <w:t xml:space="preserve"> de interne veiligheidsafstand die gold tot die datum van toepassing indien die afstand kleiner is dan de afstand die volgt uit de PGS 19.</w:t>
      </w:r>
    </w:p>
    <w:p w:rsidR="00A03CE5" w:rsidRDefault="00A03CE5" w:rsidP="00A03CE5">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eerste en tweede lid is de veiligheidsafstand ten minste vijf meter tussen twee opslagtanks met propaan binnen de inrichting die in gebruik zijn genomen voor 1 januari 2010.</w:t>
      </w:r>
    </w:p>
    <w:p w:rsidR="00A03CE5" w:rsidRDefault="00A03CE5" w:rsidP="00A03CE5">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 xml:space="preserve">In afwijking van het eerste en tweede lid mag de afstand worden verkleind tot 3 meter voor opslagtanks die zijn geïnstalleerd voor </w:t>
      </w:r>
      <w:r w:rsidR="004F562B">
        <w:rPr>
          <w:rFonts w:eastAsiaTheme="minorEastAsia"/>
          <w:lang w:eastAsia="nl-NL"/>
        </w:rPr>
        <w:t>1 januari 2016</w:t>
      </w:r>
      <w:r>
        <w:rPr>
          <w:rFonts w:eastAsiaTheme="minorEastAsia"/>
          <w:lang w:eastAsia="nl-NL"/>
        </w:rPr>
        <w:t>, als er een brandmuur is geplaatst overeenkomstig CPR 11-2 voorschrift 8.1.5 of als voor die datum met een berekening is aangetoond dat de warmtestraling op de opslagtank ten hoogste 10 kW per vierkante meter bedraagt.</w:t>
      </w:r>
    </w:p>
    <w:p w:rsidR="00A03CE5" w:rsidRDefault="00A03CE5" w:rsidP="00A03CE5">
      <w:pPr>
        <w:pStyle w:val="artikelkop"/>
        <w:shd w:val="clear" w:color="auto" w:fill="D9D9D9" w:themeFill="background1" w:themeFillShade="D9"/>
      </w:pPr>
      <w:r>
        <w:t>Artikel 3.30</w:t>
      </w:r>
    </w:p>
    <w:p w:rsidR="00A03CE5" w:rsidRDefault="00A03CE5" w:rsidP="00A03CE5">
      <w:pPr>
        <w:pStyle w:val="artplat"/>
        <w:shd w:val="clear" w:color="auto" w:fill="D9D9D9" w:themeFill="background1" w:themeFillShade="D9"/>
        <w:suppressAutoHyphens/>
        <w:rPr>
          <w:rFonts w:cs="Arial"/>
        </w:rPr>
      </w:pPr>
      <w:r>
        <w:rPr>
          <w:rFonts w:cs="Arial"/>
        </w:rPr>
        <w:t>Een opslagtank met propaan met toebehoren, leidingen en andere installatieonderdelen als bedoeld in artikel 3.29, wordt gekeurd , herkeurd en onderhouden overeenkomstig NEN-EN 12817 en NPR 2578.</w:t>
      </w:r>
    </w:p>
    <w:p w:rsidR="00A03CE5" w:rsidRDefault="00A03CE5" w:rsidP="00A03CE5">
      <w:pPr>
        <w:pStyle w:val="artikelkop"/>
        <w:shd w:val="clear" w:color="auto" w:fill="D9D9D9" w:themeFill="background1" w:themeFillShade="D9"/>
      </w:pPr>
      <w:r>
        <w:t>Artikel 3.31</w:t>
      </w:r>
    </w:p>
    <w:p w:rsidR="00A03CE5" w:rsidRPr="00A03CE5" w:rsidRDefault="00A03CE5" w:rsidP="00A03CE5">
      <w:pPr>
        <w:shd w:val="clear" w:color="auto" w:fill="D9D9D9" w:themeFill="background1" w:themeFillShade="D9"/>
      </w:pPr>
      <w:r>
        <w:rPr>
          <w:rFonts w:cs="Arial"/>
        </w:rPr>
        <w:t>Van de bevindingen van de keuringen en herkeuringen als bedoeld in artikel 3.30 zijn binnen de inrichting gedagtekende verklaringen aanwezig of op een door het bevoegd gezag te stellen termijn beschikbaar gesteld, die zijn afgegeven door of namens degene die de keuringen of herkeuringen heeft uitgevoerd. Deze verklaringen zijn, evenals alle relevante informatie voor een juist gebruik van de installatie en rapportages van uitgevoerd onderhoud en werkzaamheden, opgenomen of samengevat in een installatieboek.</w:t>
      </w:r>
    </w:p>
    <w:p w:rsidR="00296032" w:rsidRPr="00296032" w:rsidRDefault="00296032">
      <w:pPr>
        <w:pStyle w:val="paragraaf"/>
      </w:pPr>
      <w:bookmarkStart w:id="109" w:name="_Toc431375602"/>
      <w:bookmarkStart w:id="110" w:name="_Toc277243205"/>
      <w:r w:rsidRPr="00296032">
        <w:t>§ 3.4.2.</w:t>
      </w:r>
      <w:r w:rsidRPr="00296032">
        <w:tab/>
        <w:t>Opslaan in ondergrondse opslagtanks van vloeibare brandstof, afgewerkte olie, bepaalde organische oplosmiddelen of vloeibare bodembedreigende stoffen die geen gevaarlijke stoffen of CMR stoffen zijn.</w:t>
      </w:r>
      <w:bookmarkEnd w:id="109"/>
    </w:p>
    <w:p w:rsidR="00296032" w:rsidRPr="00296032" w:rsidRDefault="00296032">
      <w:pPr>
        <w:pStyle w:val="artikelkop"/>
      </w:pPr>
      <w:r w:rsidRPr="00296032">
        <w:t>Artikel 3.29</w:t>
      </w:r>
    </w:p>
    <w:p w:rsidR="00296032" w:rsidRPr="00620047" w:rsidRDefault="00296032">
      <w:pPr>
        <w:pStyle w:val="art1enivo"/>
      </w:pPr>
      <w:r w:rsidRPr="00620047">
        <w:t>1.</w:t>
      </w:r>
      <w:r w:rsidRPr="00620047">
        <w:tab/>
        <w:t>Deze paragraaf is van toepassing op het opslaan in een ondergrondse opslagtank van metaal of kunststof van maximaal 150 kubieke meter van:</w:t>
      </w:r>
    </w:p>
    <w:p w:rsidR="00296032" w:rsidRPr="00620047" w:rsidRDefault="00296032">
      <w:pPr>
        <w:pStyle w:val="art2enivo"/>
      </w:pPr>
      <w:r w:rsidRPr="00620047">
        <w:t>a.</w:t>
      </w:r>
      <w:r w:rsidRPr="00620047">
        <w:tab/>
        <w:t>vloeibare brandstof;</w:t>
      </w:r>
    </w:p>
    <w:p w:rsidR="00296032" w:rsidRPr="00620047" w:rsidRDefault="00296032">
      <w:pPr>
        <w:pStyle w:val="art2enivo"/>
      </w:pPr>
      <w:r w:rsidRPr="00620047">
        <w:t>b.</w:t>
      </w:r>
      <w:r w:rsidRPr="00620047">
        <w:tab/>
        <w:t>afgewerkte olie;</w:t>
      </w:r>
    </w:p>
    <w:p w:rsidR="00296032" w:rsidRPr="00C667E9" w:rsidRDefault="00296032">
      <w:pPr>
        <w:pStyle w:val="art2enivo"/>
        <w:rPr>
          <w:lang w:val="en-AU"/>
        </w:rPr>
      </w:pPr>
      <w:r w:rsidRPr="00C667E9">
        <w:rPr>
          <w:lang w:val="en-AU"/>
        </w:rPr>
        <w:t>c.</w:t>
      </w:r>
      <w:r w:rsidRPr="00C667E9">
        <w:rPr>
          <w:lang w:val="en-AU"/>
        </w:rPr>
        <w:tab/>
        <w:t>butanon;</w:t>
      </w:r>
    </w:p>
    <w:p w:rsidR="00296032" w:rsidRPr="00C667E9" w:rsidRDefault="00296032">
      <w:pPr>
        <w:pStyle w:val="art2enivo"/>
        <w:rPr>
          <w:lang w:val="en-AU"/>
        </w:rPr>
      </w:pPr>
      <w:r w:rsidRPr="00C667E9">
        <w:rPr>
          <w:lang w:val="en-AU"/>
        </w:rPr>
        <w:t>d.</w:t>
      </w:r>
      <w:r w:rsidRPr="00C667E9">
        <w:rPr>
          <w:lang w:val="en-AU"/>
        </w:rPr>
        <w:tab/>
        <w:t>ethanol;</w:t>
      </w:r>
    </w:p>
    <w:p w:rsidR="00296032" w:rsidRPr="00C667E9" w:rsidRDefault="00296032">
      <w:pPr>
        <w:pStyle w:val="art2enivo"/>
        <w:rPr>
          <w:lang w:val="en-AU"/>
        </w:rPr>
      </w:pPr>
      <w:r w:rsidRPr="00C667E9">
        <w:rPr>
          <w:lang w:val="en-AU"/>
        </w:rPr>
        <w:t>e.</w:t>
      </w:r>
      <w:r w:rsidRPr="00C667E9">
        <w:rPr>
          <w:lang w:val="en-AU"/>
        </w:rPr>
        <w:tab/>
        <w:t>ethylethanoaat;</w:t>
      </w:r>
    </w:p>
    <w:p w:rsidR="00296032" w:rsidRPr="00884E13" w:rsidRDefault="00296032">
      <w:pPr>
        <w:pStyle w:val="art2enivo"/>
        <w:rPr>
          <w:lang w:val="en-US"/>
        </w:rPr>
      </w:pPr>
      <w:r w:rsidRPr="00884E13">
        <w:rPr>
          <w:lang w:val="en-US"/>
        </w:rPr>
        <w:t>f.</w:t>
      </w:r>
      <w:r w:rsidRPr="00884E13">
        <w:rPr>
          <w:lang w:val="en-US"/>
        </w:rPr>
        <w:tab/>
        <w:t>4-methyl-2-pentanon;</w:t>
      </w:r>
    </w:p>
    <w:p w:rsidR="00296032" w:rsidRPr="00884E13" w:rsidRDefault="00296032">
      <w:pPr>
        <w:pStyle w:val="art2enivo"/>
        <w:rPr>
          <w:lang w:val="en-US"/>
        </w:rPr>
      </w:pPr>
      <w:r w:rsidRPr="00884E13">
        <w:rPr>
          <w:lang w:val="en-US"/>
        </w:rPr>
        <w:t>g.</w:t>
      </w:r>
      <w:r w:rsidRPr="00884E13">
        <w:rPr>
          <w:lang w:val="en-US"/>
        </w:rPr>
        <w:tab/>
        <w:t>1-propanol;</w:t>
      </w:r>
    </w:p>
    <w:p w:rsidR="00296032" w:rsidRPr="00884E13" w:rsidRDefault="00296032">
      <w:pPr>
        <w:pStyle w:val="art2enivo"/>
        <w:rPr>
          <w:lang w:val="en-US"/>
        </w:rPr>
      </w:pPr>
      <w:r w:rsidRPr="00884E13">
        <w:rPr>
          <w:lang w:val="en-US"/>
        </w:rPr>
        <w:t>h.</w:t>
      </w:r>
      <w:r w:rsidRPr="00884E13">
        <w:rPr>
          <w:lang w:val="en-US"/>
        </w:rPr>
        <w:tab/>
        <w:t>2-propanol, of</w:t>
      </w:r>
    </w:p>
    <w:p w:rsidR="00296032" w:rsidRPr="00620047" w:rsidRDefault="00296032">
      <w:pPr>
        <w:pStyle w:val="art2enivo"/>
      </w:pPr>
      <w:r w:rsidRPr="00620047">
        <w:t>i.</w:t>
      </w:r>
      <w:r w:rsidRPr="00620047">
        <w:tab/>
        <w:t>propanon.</w:t>
      </w:r>
    </w:p>
    <w:p w:rsidR="00296032" w:rsidRPr="00620047" w:rsidRDefault="00296032">
      <w:pPr>
        <w:pStyle w:val="art1enivo"/>
      </w:pPr>
      <w:r w:rsidRPr="00620047">
        <w:t>2.</w:t>
      </w:r>
      <w:r w:rsidRPr="00620047">
        <w:tab/>
        <w:t>Deze paragraaf is ook van toepassing op het opslaan van een vloeibare bodembedreigende stof, die geen gevaarlijke stof of CMR-stof is, in een ondergrondse opslagtank van metaal of kunststof of in een betonnen constructie die geheel of gedeeltelijk ondergronds ligt.</w:t>
      </w:r>
    </w:p>
    <w:p w:rsidR="00296032" w:rsidRPr="00296032" w:rsidRDefault="00296032">
      <w:pPr>
        <w:pStyle w:val="artikelkop"/>
      </w:pPr>
      <w:r w:rsidRPr="00296032">
        <w:t>Artikel 3.30</w:t>
      </w:r>
    </w:p>
    <w:p w:rsidR="00296032" w:rsidRPr="00620047" w:rsidRDefault="00296032">
      <w:pPr>
        <w:pStyle w:val="artplat"/>
      </w:pPr>
      <w:r w:rsidRPr="00620047">
        <w:t>Bij het in gebruik hebben en bij het beëindigen van het gebruik van een ondergrondse opslagtank of een betonnen constructie als bedoeld in artikel 3.29 die wordt of werd gebruikt voor de opslag van de stoffen, genoemd in dat artikel, wordt ten behoeve van:</w:t>
      </w:r>
    </w:p>
    <w:p w:rsidR="00296032" w:rsidRPr="00620047" w:rsidRDefault="00296032">
      <w:pPr>
        <w:pStyle w:val="artplatletter"/>
      </w:pPr>
      <w:r w:rsidRPr="00620047">
        <w:t>a.</w:t>
      </w:r>
      <w:r w:rsidRPr="00620047">
        <w:tab/>
        <w:t>het realiseren van een verwaarloosbaar bodemrisico;</w:t>
      </w:r>
    </w:p>
    <w:p w:rsidR="00296032" w:rsidRPr="00620047" w:rsidRDefault="00296032">
      <w:pPr>
        <w:pStyle w:val="artplatletter"/>
      </w:pPr>
      <w:r w:rsidRPr="00620047">
        <w:t>b.</w:t>
      </w:r>
      <w:r w:rsidRPr="00620047">
        <w:tab/>
        <w:t>het voorkomen van risico's voor de omgeving en ongewone voorvallen, dan wel voor zover dat niet mogelijk is het zoveel mogelijk beperken van de risico's voor de omgeving en de kans dat ongewone voorvallen zich voordoen en de gevolgen hiervan;</w:t>
      </w:r>
    </w:p>
    <w:p w:rsidR="00296032" w:rsidRPr="00620047" w:rsidRDefault="00296032">
      <w:pPr>
        <w:pStyle w:val="artplatletter"/>
      </w:pPr>
      <w:r w:rsidRPr="00620047">
        <w:t>c.</w:t>
      </w:r>
      <w:r w:rsidRPr="00620047">
        <w:tab/>
        <w:t>het voorkomen dan wel voor zover dat niet mogelijk is het zoveel mogelijk beperken van verontreiniging van het grondwater, of</w:t>
      </w:r>
    </w:p>
    <w:p w:rsidR="00296032" w:rsidRPr="00620047" w:rsidRDefault="00296032">
      <w:pPr>
        <w:pStyle w:val="artplatletter"/>
      </w:pPr>
      <w:r w:rsidRPr="00620047">
        <w:t>d.</w:t>
      </w:r>
      <w:r w:rsidRPr="00620047">
        <w:tab/>
        <w:t>het voorkomen dan wel voor zover dat niet mogelijk is het zoveel mogelijk beperken van luchtverontreiniging,</w:t>
      </w:r>
    </w:p>
    <w:p w:rsidR="00296032" w:rsidRPr="00620047" w:rsidRDefault="00296032">
      <w:pPr>
        <w:pStyle w:val="artplat"/>
      </w:pPr>
      <w:r w:rsidRPr="00620047">
        <w:t>voldaan aan de bij ministeriële regeling gestelde eisen.</w:t>
      </w:r>
    </w:p>
    <w:p w:rsidR="00296032" w:rsidRPr="00296032" w:rsidRDefault="00296032">
      <w:pPr>
        <w:pStyle w:val="artikelkop"/>
      </w:pPr>
      <w:r w:rsidRPr="00296032">
        <w:t>Artikel 3.30a</w:t>
      </w:r>
    </w:p>
    <w:p w:rsidR="00296032" w:rsidRPr="00620047" w:rsidRDefault="00296032">
      <w:pPr>
        <w:pStyle w:val="art1enivo"/>
      </w:pPr>
      <w:r w:rsidRPr="00620047">
        <w:t>Met betrekking tot het vulpunt van een ondergrondse opslagtank met organische oplosmiddelen of de opstelplaats van een tankwagen, wordt ten opzichte van buiten de inrichting gelegen kwetsbare en beperkt kwetsbare objecten een afstand aangehouden van tenminste 20 meter.</w:t>
      </w:r>
    </w:p>
    <w:p w:rsidR="005260D0" w:rsidRDefault="005260D0" w:rsidP="005260D0"/>
    <w:p w:rsidR="005260D0" w:rsidRDefault="005260D0"/>
    <w:p w:rsidR="005260D0" w:rsidRDefault="005260D0" w:rsidP="005260D0">
      <w:pPr>
        <w:pStyle w:val="paragraaf"/>
        <w:shd w:val="clear" w:color="auto" w:fill="D9D9D9" w:themeFill="background1" w:themeFillShade="D9"/>
      </w:pPr>
      <w:bookmarkStart w:id="111" w:name="_Toc431375604"/>
      <w:r>
        <w:t>§ 3.4.2.</w:t>
      </w:r>
      <w:r>
        <w:tab/>
        <w:t>Opslaan in ondergrondse opslagtanks van vloeibare brandstof, afgewerkte olie, bepaalde organische oplosmiddelen of vloeibare bodembedreigende stoffen die geen gevaarlijke stoffen of CMR stoffen zijn</w:t>
      </w:r>
      <w:bookmarkEnd w:id="111"/>
    </w:p>
    <w:p w:rsidR="005260D0" w:rsidRDefault="005260D0" w:rsidP="005260D0">
      <w:pPr>
        <w:pStyle w:val="artikelkop"/>
        <w:shd w:val="clear" w:color="auto" w:fill="D9D9D9" w:themeFill="background1" w:themeFillShade="D9"/>
      </w:pPr>
      <w:r>
        <w:t>Artikel 3.32 [vervallen per 01-01-2013]</w:t>
      </w:r>
    </w:p>
    <w:p w:rsidR="005260D0" w:rsidRDefault="005260D0" w:rsidP="005260D0">
      <w:pPr>
        <w:pStyle w:val="artikelkop"/>
        <w:shd w:val="clear" w:color="auto" w:fill="D9D9D9" w:themeFill="background1" w:themeFillShade="D9"/>
        <w:rPr>
          <w:rFonts w:eastAsiaTheme="minorEastAsia"/>
          <w:lang w:eastAsia="nl-NL"/>
        </w:rPr>
      </w:pPr>
      <w:r>
        <w:rPr>
          <w:rFonts w:eastAsiaTheme="minorEastAsia"/>
          <w:lang w:eastAsia="nl-NL"/>
        </w:rPr>
        <w:t xml:space="preserve">Artikel 3.33 </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Ten behoeve van het realiseren van een verwaarloosbaar bodemrisico als bedoeld in artikel 3.30 van het besluit wordt bij het opslaan van vloeibare brandstof, afgewerkte olie of bepaalde organische oplosmiddelen, bedoeld in artikel 3.29, eerste lid, van het besluit en bij het opslaan van vloeibare bodembedreigende stoffen, bedoeld in artikel 3.29, tweede lid, van het besluit in een ondergrondse opslagtank van metaal of kunststof voldaan aan de artikelen 3.34 tot en met 3.37.</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Ten behoeve van het realiseren van een verwaarloosbaar bodemrisico als bedoeld in artikel 3.30 van het besluit wordt bij het opslaan van vloeibare bodembedreigende stoffen, bedoeld in artikel 3.29, tweede lid, van het besluit in een betonnen constructie die geheel of gedeeltelijk ondergronds ligt, voldaan aan artikel 3.37a.</w:t>
      </w:r>
    </w:p>
    <w:p w:rsidR="005260D0" w:rsidRDefault="005260D0" w:rsidP="0067284E">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Ten behoeve van voorkomen dan wel voor zover dat niet mogelijk is het zoveel mogelijk beperken van luchtverontreiniging wordt bij het opslaan van lichte olie in een ondergrondse opslagtank voldaan aan artikel 3.38a.</w:t>
      </w:r>
    </w:p>
    <w:p w:rsidR="0067284E" w:rsidRPr="0067284E" w:rsidRDefault="0067284E" w:rsidP="0067284E">
      <w:pPr>
        <w:shd w:val="clear" w:color="auto" w:fill="D9D9D9" w:themeFill="background1" w:themeFillShade="D9"/>
        <w:rPr>
          <w:rFonts w:eastAsiaTheme="minorEastAsia"/>
          <w:lang w:eastAsia="nl-NL"/>
        </w:rPr>
      </w:pPr>
      <w:r w:rsidRPr="0067284E">
        <w:rPr>
          <w:rFonts w:eastAsiaTheme="minorEastAsia"/>
          <w:lang w:eastAsia="nl-NL"/>
        </w:rPr>
        <w:t>4. Ten behoeve van het realiseren van een verwaarloosbaar bodemrisico of het voorkomen van risico’s voor de omgeving en ongewone voorvallen, dan wel, voor zover dat niet mogelijk is, het zoveel mogelijk beperken van de risico’s voor de omgeving en de kans dat ongewone voorvallen zich voordoen en de gevolgen hiervan als bedoeld in artikel 3.30 van het besluit wordt bij het opslaan van vloeibare brandstof, afgewerkte olie of bepaalde organische oplosmiddelen, bedoeld in artikel 3.29, eerste lid, van het besluit en bij het opslaan van vloeibare bodembedreigende stoffen, bedoeld in artikel 3.29, tweede lid, van het besluit in een ondergrondse opslagtank van metaal of kunststof voldaan aan artikel 3.38.</w:t>
      </w:r>
    </w:p>
    <w:p w:rsidR="005260D0" w:rsidRDefault="005260D0" w:rsidP="0067284E">
      <w:pPr>
        <w:pStyle w:val="artikelkop"/>
        <w:shd w:val="clear" w:color="auto" w:fill="D9D9D9" w:themeFill="background1" w:themeFillShade="D9"/>
      </w:pPr>
      <w:r>
        <w:t>Artikel 3.34</w:t>
      </w:r>
    </w:p>
    <w:p w:rsidR="005260D0" w:rsidRDefault="005260D0" w:rsidP="0067284E">
      <w:pPr>
        <w:pStyle w:val="art1enivo"/>
        <w:shd w:val="clear" w:color="auto" w:fill="D9D9D9" w:themeFill="background1" w:themeFillShade="D9"/>
        <w:suppressAutoHyphens/>
        <w:rPr>
          <w:rFonts w:cs="Arial"/>
          <w:szCs w:val="20"/>
        </w:rPr>
      </w:pPr>
      <w:r>
        <w:rPr>
          <w:rFonts w:cs="Arial"/>
        </w:rPr>
        <w:t>1.</w:t>
      </w:r>
      <w:r>
        <w:rPr>
          <w:rFonts w:cs="Arial"/>
        </w:rPr>
        <w:tab/>
        <w:t xml:space="preserve">Een ondergrondse opslagtank met de daarbij behorende leidingen en appendages is uitgevoerd en geïnstalleerd en </w:t>
      </w:r>
      <w:r>
        <w:rPr>
          <w:rFonts w:cs="Arial"/>
          <w:szCs w:val="20"/>
        </w:rPr>
        <w:t>wordt gerepareerd overeenkomstig het daartoe krachtens het Besluit bodemkwaliteit aangewezen normdocument door een bedrijf, dat daartoe beschikt over een erkenning op grond van dat besluit.</w:t>
      </w:r>
    </w:p>
    <w:p w:rsidR="005260D0" w:rsidRDefault="005260D0" w:rsidP="005260D0">
      <w:pPr>
        <w:pStyle w:val="art1enivo"/>
        <w:shd w:val="clear" w:color="auto" w:fill="D9D9D9" w:themeFill="background1" w:themeFillShade="D9"/>
        <w:suppressAutoHyphens/>
        <w:rPr>
          <w:rFonts w:cs="Arial"/>
          <w:szCs w:val="20"/>
        </w:rPr>
      </w:pPr>
      <w:r>
        <w:rPr>
          <w:rFonts w:cs="Arial"/>
        </w:rPr>
        <w:t>2.</w:t>
      </w:r>
      <w:r>
        <w:rPr>
          <w:rFonts w:cs="Arial"/>
        </w:rPr>
        <w:tab/>
      </w:r>
      <w:r>
        <w:rPr>
          <w:rFonts w:cs="Arial"/>
          <w:szCs w:val="20"/>
        </w:rPr>
        <w:t>Indien de ondergrondse opslagtank of de daarbij behorende leidingen of appendages van staal zijn, is een bodemweerstandsmeting uitgevoerd overeenkomstig het daartoe krachtens het Besluit bodemkwaliteit aangewezen normdocument door een bedrijf, dat daartoe beschikt over een erkenning op grond van dat besluit. Indien uit een bodemweerstandsmeting blijkt dat de specifieke elektrische weerstand van de bodem minder is dan 100 ohmmeter worden de opslagtank en de leidingen tegen corrosie beschermd door middel van een kathodische bescherming, aangebracht overeenkomstig het daartoe krachtens het Besluit bodemkwaliteit aangewezen normdocument door een bedrijf, dat daartoe beschikt over een erkenning op grond van dat besluit. De termijn waarbinnen de bodemweerstandsmeting wordt uitgevoerd is gelijk aan de keuringstermijn, bedoeld in artikel 3.35, tweede lid.</w:t>
      </w:r>
    </w:p>
    <w:p w:rsidR="005260D0" w:rsidRDefault="005260D0" w:rsidP="005260D0">
      <w:pPr>
        <w:pStyle w:val="art1enivo"/>
        <w:shd w:val="clear" w:color="auto" w:fill="D9D9D9" w:themeFill="background1" w:themeFillShade="D9"/>
        <w:suppressAutoHyphens/>
        <w:rPr>
          <w:rFonts w:cs="Arial"/>
          <w:szCs w:val="20"/>
        </w:rPr>
      </w:pPr>
      <w:r>
        <w:rPr>
          <w:rFonts w:cs="Arial"/>
        </w:rPr>
        <w:t>3.</w:t>
      </w:r>
      <w:r>
        <w:rPr>
          <w:rFonts w:cs="Arial"/>
        </w:rPr>
        <w:tab/>
      </w:r>
      <w:r>
        <w:rPr>
          <w:rFonts w:cs="Arial"/>
          <w:szCs w:val="20"/>
        </w:rPr>
        <w:t>Een aansluitpunt van een vul- of leegzuigleiding wordt geplaatst boven of in een vulpuntmorsbak of boven een vloeistofdichte vloer of verharding. De oppervlakte van de vloeistofdichte vloer of verharding bij een vulpunt bedraagt ten minste 12 vierkante meter, bij voorkeur met een afmeting van 4 meter bij 3 meter.</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In afwijking van het eerste lid wordt een ondergrondse opslagtank met vloeibare brandstof waarvan het vulpunt is geïnstalleerd voor 1 februari 2003, uiterlijk 1 februari 2018 voorzien van een aansluitmogelijkheid voor het afvoeren van statische elektriciteit.</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Het derde lid is tot 1 december 2028 niet van toepassing op vloeistofdichte vloeren als bedoeld in dat lid die al bestonden voor 1 december 2013.</w:t>
      </w:r>
    </w:p>
    <w:p w:rsidR="005260D0" w:rsidRDefault="005260D0" w:rsidP="005260D0">
      <w:pPr>
        <w:pStyle w:val="artikelkop"/>
        <w:shd w:val="clear" w:color="auto" w:fill="D9D9D9" w:themeFill="background1" w:themeFillShade="D9"/>
      </w:pPr>
      <w:r>
        <w:t>Artikel 3.35</w:t>
      </w:r>
    </w:p>
    <w:p w:rsidR="005260D0" w:rsidRDefault="005260D0" w:rsidP="005260D0">
      <w:pPr>
        <w:pStyle w:val="art1enivo"/>
        <w:shd w:val="clear" w:color="auto" w:fill="D9D9D9" w:themeFill="background1" w:themeFillShade="D9"/>
      </w:pPr>
      <w:r>
        <w:t>1.</w:t>
      </w:r>
      <w:r>
        <w:tab/>
        <w:t>Een ondergrondse opslagtank met de daarbij behorende leidingen en appendages van staal of van kunststof waarin vloeibare brandstof of een organisch oplosmiddel als bedoeld in artikel 3.29, onderdelen c tot en met i, van het besluit dan wel de stof, bedoeld in artikel 3.29, onderdeel j, van het besluit is opgeslagen, wordt beoordeeld en gecontroleerd overeenkomstig het daartoe krachtens het Besluit bodemkwaliteit aangewezen normdocument, door een persoon of instelling, die daartoe beschikt over een erkenning op grond van dat besluit.</w:t>
      </w:r>
    </w:p>
    <w:p w:rsidR="005260D0" w:rsidRDefault="005260D0" w:rsidP="005260D0">
      <w:pPr>
        <w:pStyle w:val="art1enivo"/>
        <w:shd w:val="clear" w:color="auto" w:fill="D9D9D9" w:themeFill="background1" w:themeFillShade="D9"/>
      </w:pPr>
      <w:r>
        <w:t>2.</w:t>
      </w:r>
      <w:r>
        <w:tab/>
        <w:t>Voor een ondergrondse opslagtank met de daarbij behorende leidingen en appendages gelden de keurings- en herkeuringstermijnen van tabel 3.35.</w:t>
      </w:r>
    </w:p>
    <w:p w:rsidR="005260D0" w:rsidRDefault="005260D0" w:rsidP="005260D0">
      <w:pPr>
        <w:pStyle w:val="tabelkop"/>
        <w:shd w:val="clear" w:color="auto" w:fill="D9D9D9" w:themeFill="background1" w:themeFillShade="D9"/>
        <w:ind w:left="1134" w:hanging="1134"/>
      </w:pPr>
      <w:r>
        <w:t>Tabel 3.35:</w:t>
      </w:r>
      <w:r>
        <w:tab/>
        <w:t>(Her)keuringstermijnen voor een ondergrondse opslagtank met de daarbij behorende leidingen en appendages voor vloeistoffen van PGS-klasse 1 tot en met PGS-klasse 4</w:t>
      </w:r>
    </w:p>
    <w:p w:rsidR="005260D0" w:rsidRDefault="005260D0" w:rsidP="005260D0">
      <w:pPr>
        <w:shd w:val="clear" w:color="auto" w:fill="D9D9D9" w:themeFill="background1" w:themeFillShade="D9"/>
      </w:pPr>
    </w:p>
    <w:tbl>
      <w:tblPr>
        <w:tblW w:w="95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4A0" w:firstRow="1" w:lastRow="0" w:firstColumn="1" w:lastColumn="0" w:noHBand="0" w:noVBand="1"/>
      </w:tblPr>
      <w:tblGrid>
        <w:gridCol w:w="4026"/>
        <w:gridCol w:w="2835"/>
        <w:gridCol w:w="2694"/>
      </w:tblGrid>
      <w:tr w:rsidR="005260D0">
        <w:tc>
          <w:tcPr>
            <w:tcW w:w="40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hideMark/>
          </w:tcPr>
          <w:p w:rsidR="005260D0" w:rsidRDefault="005260D0" w:rsidP="005260D0">
            <w:pPr>
              <w:pStyle w:val="artplat"/>
              <w:shd w:val="clear" w:color="auto" w:fill="D9D9D9" w:themeFill="background1" w:themeFillShade="D9"/>
              <w:rPr>
                <w:rFonts w:eastAsiaTheme="minorEastAsia"/>
                <w:b/>
                <w:bCs/>
              </w:rPr>
            </w:pPr>
            <w:r>
              <w:rPr>
                <w:b/>
                <w:bCs/>
              </w:rPr>
              <w:t>Staal enkelwandig</w:t>
            </w:r>
          </w:p>
        </w:tc>
        <w:tc>
          <w:tcPr>
            <w:tcW w:w="2835"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hideMark/>
          </w:tcPr>
          <w:p w:rsidR="005260D0" w:rsidRDefault="005260D0" w:rsidP="005260D0">
            <w:pPr>
              <w:pStyle w:val="artplat"/>
              <w:shd w:val="clear" w:color="auto" w:fill="D9D9D9" w:themeFill="background1" w:themeFillShade="D9"/>
              <w:jc w:val="center"/>
              <w:rPr>
                <w:rFonts w:eastAsiaTheme="minorEastAsia"/>
                <w:b/>
                <w:bCs/>
              </w:rPr>
            </w:pPr>
            <w:r>
              <w:rPr>
                <w:b/>
                <w:bCs/>
              </w:rPr>
              <w:t>Eerste (her)keuring</w:t>
            </w:r>
          </w:p>
        </w:tc>
        <w:tc>
          <w:tcPr>
            <w:tcW w:w="2694"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hideMark/>
          </w:tcPr>
          <w:p w:rsidR="005260D0" w:rsidRDefault="005260D0" w:rsidP="005260D0">
            <w:pPr>
              <w:pStyle w:val="artplat"/>
              <w:shd w:val="clear" w:color="auto" w:fill="D9D9D9" w:themeFill="background1" w:themeFillShade="D9"/>
              <w:jc w:val="center"/>
              <w:rPr>
                <w:rFonts w:eastAsiaTheme="minorEastAsia"/>
                <w:b/>
                <w:bCs/>
              </w:rPr>
            </w:pPr>
            <w:r>
              <w:rPr>
                <w:b/>
                <w:bCs/>
              </w:rPr>
              <w:t>Volgende herkeuring</w:t>
            </w:r>
          </w:p>
        </w:tc>
      </w:tr>
      <w:tr w:rsidR="005260D0">
        <w:tc>
          <w:tcPr>
            <w:tcW w:w="4026"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rPr>
                <w:rFonts w:eastAsiaTheme="minorEastAsia"/>
              </w:rPr>
            </w:pPr>
            <w:r>
              <w:t>Zonder coating of niet volledig gecoat</w:t>
            </w:r>
          </w:p>
        </w:tc>
        <w:tc>
          <w:tcPr>
            <w:tcW w:w="2835"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jc w:val="center"/>
              <w:rPr>
                <w:rFonts w:eastAsiaTheme="minorEastAsia"/>
              </w:rPr>
            </w:pPr>
            <w:r>
              <w:t>15 jaar</w:t>
            </w:r>
          </w:p>
        </w:tc>
        <w:tc>
          <w:tcPr>
            <w:tcW w:w="2694"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jc w:val="center"/>
              <w:rPr>
                <w:rFonts w:eastAsiaTheme="minorEastAsia"/>
              </w:rPr>
            </w:pPr>
            <w:r>
              <w:t>15 jaar</w:t>
            </w:r>
          </w:p>
        </w:tc>
      </w:tr>
      <w:tr w:rsidR="005260D0">
        <w:tc>
          <w:tcPr>
            <w:tcW w:w="4026"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rPr>
                <w:rFonts w:eastAsiaTheme="minorEastAsia"/>
              </w:rPr>
            </w:pPr>
            <w:r>
              <w:t>Volledig gecoat niet overeenkomstig BRL K790 of BRL K779</w:t>
            </w:r>
          </w:p>
        </w:tc>
        <w:tc>
          <w:tcPr>
            <w:tcW w:w="2835"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jc w:val="center"/>
              <w:rPr>
                <w:rFonts w:eastAsiaTheme="minorEastAsia"/>
              </w:rPr>
            </w:pPr>
            <w:r>
              <w:t>15 jaar</w:t>
            </w:r>
          </w:p>
        </w:tc>
        <w:tc>
          <w:tcPr>
            <w:tcW w:w="2694"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jc w:val="center"/>
              <w:rPr>
                <w:rFonts w:eastAsiaTheme="minorEastAsia"/>
              </w:rPr>
            </w:pPr>
            <w:r>
              <w:t>20 jaar</w:t>
            </w:r>
          </w:p>
        </w:tc>
      </w:tr>
      <w:tr w:rsidR="005260D0">
        <w:tc>
          <w:tcPr>
            <w:tcW w:w="4026"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rPr>
                <w:rFonts w:eastAsiaTheme="minorEastAsia"/>
              </w:rPr>
            </w:pPr>
            <w:r>
              <w:t>Volledig gecoat overeenkomstig BRL K790 of BRL K779</w:t>
            </w:r>
          </w:p>
        </w:tc>
        <w:tc>
          <w:tcPr>
            <w:tcW w:w="2835"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jc w:val="center"/>
              <w:rPr>
                <w:rFonts w:eastAsiaTheme="minorEastAsia"/>
              </w:rPr>
            </w:pPr>
            <w:r>
              <w:t>20 jaar</w:t>
            </w:r>
          </w:p>
        </w:tc>
        <w:tc>
          <w:tcPr>
            <w:tcW w:w="2694"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jc w:val="center"/>
              <w:rPr>
                <w:rFonts w:eastAsiaTheme="minorEastAsia"/>
              </w:rPr>
            </w:pPr>
            <w:r>
              <w:t>20 jaar</w:t>
            </w:r>
          </w:p>
        </w:tc>
      </w:tr>
    </w:tbl>
    <w:p w:rsidR="005260D0" w:rsidRDefault="005260D0" w:rsidP="005260D0">
      <w:pPr>
        <w:shd w:val="clear" w:color="auto" w:fill="D9D9D9" w:themeFill="background1" w:themeFillShade="D9"/>
      </w:pPr>
    </w:p>
    <w:tbl>
      <w:tblPr>
        <w:tblW w:w="95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4A0" w:firstRow="1" w:lastRow="0" w:firstColumn="1" w:lastColumn="0" w:noHBand="0" w:noVBand="1"/>
      </w:tblPr>
      <w:tblGrid>
        <w:gridCol w:w="4026"/>
        <w:gridCol w:w="2835"/>
        <w:gridCol w:w="2694"/>
      </w:tblGrid>
      <w:tr w:rsidR="005260D0">
        <w:trPr>
          <w:trHeight w:val="644"/>
        </w:trPr>
        <w:tc>
          <w:tcPr>
            <w:tcW w:w="40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hideMark/>
          </w:tcPr>
          <w:p w:rsidR="005260D0" w:rsidRDefault="005260D0" w:rsidP="005260D0">
            <w:pPr>
              <w:pStyle w:val="artplat"/>
              <w:shd w:val="clear" w:color="auto" w:fill="D9D9D9" w:themeFill="background1" w:themeFillShade="D9"/>
              <w:rPr>
                <w:rFonts w:eastAsiaTheme="minorEastAsia"/>
                <w:b/>
              </w:rPr>
            </w:pPr>
            <w:r>
              <w:rPr>
                <w:b/>
              </w:rPr>
              <w:t>Staal dubbelwandig met lekdetectie overeenkomstig BRL K910</w:t>
            </w:r>
          </w:p>
        </w:tc>
        <w:tc>
          <w:tcPr>
            <w:tcW w:w="2835"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hideMark/>
          </w:tcPr>
          <w:p w:rsidR="005260D0" w:rsidRDefault="005260D0" w:rsidP="005260D0">
            <w:pPr>
              <w:pStyle w:val="artplat"/>
              <w:shd w:val="clear" w:color="auto" w:fill="D9D9D9" w:themeFill="background1" w:themeFillShade="D9"/>
              <w:jc w:val="center"/>
              <w:rPr>
                <w:rFonts w:eastAsiaTheme="minorEastAsia"/>
                <w:b/>
              </w:rPr>
            </w:pPr>
            <w:r>
              <w:rPr>
                <w:b/>
              </w:rPr>
              <w:t>Eerste (her)keuring</w:t>
            </w:r>
          </w:p>
        </w:tc>
        <w:tc>
          <w:tcPr>
            <w:tcW w:w="2694"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hideMark/>
          </w:tcPr>
          <w:p w:rsidR="005260D0" w:rsidRDefault="005260D0" w:rsidP="005260D0">
            <w:pPr>
              <w:pStyle w:val="artplat"/>
              <w:shd w:val="clear" w:color="auto" w:fill="D9D9D9" w:themeFill="background1" w:themeFillShade="D9"/>
              <w:jc w:val="center"/>
              <w:rPr>
                <w:rFonts w:eastAsiaTheme="minorEastAsia"/>
                <w:b/>
              </w:rPr>
            </w:pPr>
            <w:r>
              <w:rPr>
                <w:b/>
              </w:rPr>
              <w:t>Volgende herkeuring</w:t>
            </w:r>
          </w:p>
        </w:tc>
      </w:tr>
      <w:tr w:rsidR="005260D0">
        <w:tc>
          <w:tcPr>
            <w:tcW w:w="4026"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rPr>
                <w:rFonts w:eastAsiaTheme="minorEastAsia"/>
              </w:rPr>
            </w:pPr>
            <w:r>
              <w:t>Ongeacht coating</w:t>
            </w:r>
          </w:p>
        </w:tc>
        <w:tc>
          <w:tcPr>
            <w:tcW w:w="2835"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jc w:val="center"/>
              <w:rPr>
                <w:rFonts w:eastAsiaTheme="minorEastAsia"/>
              </w:rPr>
            </w:pPr>
            <w:r>
              <w:t>20 jaar</w:t>
            </w:r>
          </w:p>
        </w:tc>
        <w:tc>
          <w:tcPr>
            <w:tcW w:w="2694"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jc w:val="center"/>
              <w:rPr>
                <w:rFonts w:eastAsiaTheme="minorEastAsia"/>
              </w:rPr>
            </w:pPr>
            <w:r>
              <w:t>20 jaar</w:t>
            </w:r>
          </w:p>
        </w:tc>
      </w:tr>
    </w:tbl>
    <w:p w:rsidR="005260D0" w:rsidRDefault="005260D0" w:rsidP="005260D0">
      <w:pPr>
        <w:shd w:val="clear" w:color="auto" w:fill="D9D9D9" w:themeFill="background1" w:themeFillShade="D9"/>
      </w:pPr>
    </w:p>
    <w:tbl>
      <w:tblPr>
        <w:tblW w:w="95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4A0" w:firstRow="1" w:lastRow="0" w:firstColumn="1" w:lastColumn="0" w:noHBand="0" w:noVBand="1"/>
      </w:tblPr>
      <w:tblGrid>
        <w:gridCol w:w="4026"/>
        <w:gridCol w:w="2835"/>
        <w:gridCol w:w="2694"/>
      </w:tblGrid>
      <w:tr w:rsidR="005260D0">
        <w:tc>
          <w:tcPr>
            <w:tcW w:w="40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hideMark/>
          </w:tcPr>
          <w:p w:rsidR="005260D0" w:rsidRDefault="005260D0" w:rsidP="005260D0">
            <w:pPr>
              <w:pStyle w:val="artplat"/>
              <w:shd w:val="clear" w:color="auto" w:fill="D9D9D9" w:themeFill="background1" w:themeFillShade="D9"/>
              <w:rPr>
                <w:rFonts w:eastAsiaTheme="minorEastAsia"/>
                <w:b/>
              </w:rPr>
            </w:pPr>
            <w:r>
              <w:rPr>
                <w:b/>
              </w:rPr>
              <w:t>Kunststof enkelwandig of dubbelwandig</w:t>
            </w:r>
          </w:p>
        </w:tc>
        <w:tc>
          <w:tcPr>
            <w:tcW w:w="2835"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hideMark/>
          </w:tcPr>
          <w:p w:rsidR="005260D0" w:rsidRDefault="005260D0" w:rsidP="005260D0">
            <w:pPr>
              <w:pStyle w:val="artplat"/>
              <w:shd w:val="clear" w:color="auto" w:fill="D9D9D9" w:themeFill="background1" w:themeFillShade="D9"/>
              <w:jc w:val="center"/>
              <w:rPr>
                <w:rFonts w:eastAsiaTheme="minorEastAsia"/>
                <w:b/>
              </w:rPr>
            </w:pPr>
            <w:r>
              <w:rPr>
                <w:b/>
              </w:rPr>
              <w:t>Eerste (her)keuring</w:t>
            </w:r>
          </w:p>
        </w:tc>
        <w:tc>
          <w:tcPr>
            <w:tcW w:w="2694"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hideMark/>
          </w:tcPr>
          <w:p w:rsidR="005260D0" w:rsidRDefault="005260D0" w:rsidP="005260D0">
            <w:pPr>
              <w:pStyle w:val="artplat"/>
              <w:shd w:val="clear" w:color="auto" w:fill="D9D9D9" w:themeFill="background1" w:themeFillShade="D9"/>
              <w:jc w:val="center"/>
              <w:rPr>
                <w:rFonts w:eastAsiaTheme="minorEastAsia"/>
                <w:b/>
              </w:rPr>
            </w:pPr>
            <w:r>
              <w:rPr>
                <w:b/>
              </w:rPr>
              <w:t>Volgende herkeuring</w:t>
            </w:r>
          </w:p>
        </w:tc>
      </w:tr>
      <w:tr w:rsidR="005260D0">
        <w:tc>
          <w:tcPr>
            <w:tcW w:w="4026"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rPr>
                <w:rFonts w:eastAsiaTheme="minorEastAsia"/>
              </w:rPr>
            </w:pPr>
            <w:r>
              <w:t>Kunststof tank Enkelwandige /dubbelwandige (GVK)</w:t>
            </w:r>
          </w:p>
        </w:tc>
        <w:tc>
          <w:tcPr>
            <w:tcW w:w="2835"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jc w:val="center"/>
              <w:rPr>
                <w:rFonts w:eastAsiaTheme="minorEastAsia"/>
              </w:rPr>
            </w:pPr>
            <w:r>
              <w:t>15 jaar</w:t>
            </w:r>
          </w:p>
        </w:tc>
        <w:tc>
          <w:tcPr>
            <w:tcW w:w="2694" w:type="dxa"/>
            <w:tcBorders>
              <w:top w:val="single" w:sz="4" w:space="0" w:color="808080"/>
              <w:left w:val="single" w:sz="4" w:space="0" w:color="808080"/>
              <w:bottom w:val="single" w:sz="4" w:space="0" w:color="808080"/>
              <w:right w:val="single" w:sz="4" w:space="0" w:color="808080"/>
            </w:tcBorders>
            <w:hideMark/>
          </w:tcPr>
          <w:p w:rsidR="005260D0" w:rsidRDefault="005260D0" w:rsidP="005260D0">
            <w:pPr>
              <w:pStyle w:val="artplat"/>
              <w:shd w:val="clear" w:color="auto" w:fill="D9D9D9" w:themeFill="background1" w:themeFillShade="D9"/>
              <w:jc w:val="center"/>
              <w:rPr>
                <w:rFonts w:eastAsiaTheme="minorEastAsia"/>
              </w:rPr>
            </w:pPr>
            <w:r>
              <w:t>15 jaar</w:t>
            </w:r>
          </w:p>
        </w:tc>
      </w:tr>
    </w:tbl>
    <w:p w:rsidR="005260D0" w:rsidRDefault="005260D0" w:rsidP="005260D0">
      <w:pPr>
        <w:shd w:val="clear" w:color="auto" w:fill="D9D9D9" w:themeFill="background1" w:themeFillShade="D9"/>
      </w:pPr>
    </w:p>
    <w:p w:rsidR="005260D0" w:rsidRDefault="005260D0" w:rsidP="005260D0">
      <w:pPr>
        <w:pStyle w:val="art1enivo"/>
        <w:shd w:val="clear" w:color="auto" w:fill="D9D9D9" w:themeFill="background1" w:themeFillShade="D9"/>
      </w:pPr>
      <w:r>
        <w:t>3.</w:t>
      </w:r>
      <w:r>
        <w:tab/>
        <w:t>Een dubbelwandige ondergrondse opslagtank van staal met de daarbij behorende appendages en dubbelwandige leidingen wordt jaarlijks gecontroleerd op de goede werking.</w:t>
      </w:r>
    </w:p>
    <w:p w:rsidR="005260D0" w:rsidRDefault="005260D0" w:rsidP="005260D0">
      <w:pPr>
        <w:pStyle w:val="art1enivo"/>
        <w:shd w:val="clear" w:color="auto" w:fill="D9D9D9" w:themeFill="background1" w:themeFillShade="D9"/>
      </w:pPr>
      <w:r>
        <w:t>4.</w:t>
      </w:r>
      <w:r>
        <w:tab/>
        <w:t>Bij de ondergrondse opslagtank, bedoeld in het eerste lid, vindt jaarlijks een controle plaats van:</w:t>
      </w:r>
    </w:p>
    <w:p w:rsidR="005260D0" w:rsidRDefault="005260D0" w:rsidP="005260D0">
      <w:pPr>
        <w:pStyle w:val="art2enivo"/>
        <w:shd w:val="clear" w:color="auto" w:fill="D9D9D9" w:themeFill="background1" w:themeFillShade="D9"/>
      </w:pPr>
      <w:r>
        <w:t>a.</w:t>
      </w:r>
      <w:r>
        <w:tab/>
        <w:t>de lekdetectie van een dubbelwandige opslagtank en de dubbelwandige leidingen, en</w:t>
      </w:r>
    </w:p>
    <w:p w:rsidR="005260D0" w:rsidRDefault="005260D0" w:rsidP="005260D0">
      <w:pPr>
        <w:pStyle w:val="art2enivo"/>
        <w:shd w:val="clear" w:color="auto" w:fill="D9D9D9" w:themeFill="background1" w:themeFillShade="D9"/>
      </w:pPr>
      <w:r>
        <w:t>b.</w:t>
      </w:r>
      <w:r>
        <w:tab/>
        <w:t>de aarding en de potentiaalvereffening van de vul- en dampretourleiding indien in de ondergrondse opslagtank vloeistoffen van PGS-klasse 1 en 2 zijn opgeslagen.</w:t>
      </w:r>
    </w:p>
    <w:p w:rsidR="005260D0" w:rsidRDefault="005260D0" w:rsidP="005260D0">
      <w:pPr>
        <w:pStyle w:val="art1enivo"/>
        <w:shd w:val="clear" w:color="auto" w:fill="D9D9D9" w:themeFill="background1" w:themeFillShade="D9"/>
      </w:pPr>
      <w:r>
        <w:t>5.</w:t>
      </w:r>
      <w:r>
        <w:tab/>
        <w:t xml:space="preserve">Een ondergrondse opslagtank wordt bij herkeuring inwendig gereinigd en beoordeeld door middel van betreding van de tank. Inwendige inspectie met behulp van een camera is toegestaan bij een volledig inwendig gecoate tank, indien deze inspectie wordt uitgevoerd overeenkomstig het daartoe krachtens het Besluit bodemkwaliteit </w:t>
      </w:r>
      <w:r w:rsidRPr="00D04D6E">
        <w:t>aangewezen normdocument. Indien bij herkeuring een ondergrondse opslagtank niet kan worden betreden of, indien toegestaan, middels</w:t>
      </w:r>
      <w:r>
        <w:t xml:space="preserve"> een camera-inspectie inwendig geïnspecteerd kan worden, wordt de opslagtank afgekeurd. Het gebruik van de opslagtank is in geval van afkeuring toegestaan tot de uiterste herkeuringsdatum.</w:t>
      </w:r>
    </w:p>
    <w:p w:rsidR="005260D0" w:rsidRDefault="005260D0" w:rsidP="005260D0">
      <w:pPr>
        <w:pStyle w:val="art1enivo"/>
        <w:shd w:val="clear" w:color="auto" w:fill="D9D9D9" w:themeFill="background1" w:themeFillShade="D9"/>
      </w:pPr>
      <w:r>
        <w:t>6.</w:t>
      </w:r>
      <w:r>
        <w:tab/>
        <w:t>In afwijking van het tweede lid wordt een ondergrondse opslagtank eenmaal per tien jaar herkeurd indien de ondergrondse opslagtank is gelegen in een grondwaterbeschermingsgebied.</w:t>
      </w:r>
    </w:p>
    <w:p w:rsidR="005260D0" w:rsidRDefault="005260D0" w:rsidP="005260D0">
      <w:pPr>
        <w:pStyle w:val="art1enivo"/>
        <w:shd w:val="clear" w:color="auto" w:fill="D9D9D9" w:themeFill="background1" w:themeFillShade="D9"/>
      </w:pPr>
      <w:r>
        <w:t>7.</w:t>
      </w:r>
      <w:r>
        <w:tab/>
        <w:t>In afwijking van het tweede lid wordt een ondergrondse opslagtank waarin afgewerkte olie is opgeslagen ten minste eenmaal per vijf jaar beoordeeld en gekeurd. De tank wordt daarbij ook inwendig beoordeeld.</w:t>
      </w:r>
    </w:p>
    <w:p w:rsidR="005260D0" w:rsidRDefault="005260D0" w:rsidP="005260D0">
      <w:pPr>
        <w:pStyle w:val="art1enivo"/>
        <w:shd w:val="clear" w:color="auto" w:fill="D9D9D9" w:themeFill="background1" w:themeFillShade="D9"/>
      </w:pPr>
      <w:r>
        <w:t>8.</w:t>
      </w:r>
      <w:r>
        <w:tab/>
        <w:t>Een ondergrondse opslagtank waarvan het vermoeden bestaat dat deze lek is of in een slechte toestand verkeert, wordt terstond op dichtheid gecontroleerd.</w:t>
      </w:r>
    </w:p>
    <w:p w:rsidR="005260D0" w:rsidRDefault="005260D0" w:rsidP="005260D0">
      <w:pPr>
        <w:pStyle w:val="art1enivo"/>
        <w:shd w:val="clear" w:color="auto" w:fill="D9D9D9" w:themeFill="background1" w:themeFillShade="D9"/>
      </w:pPr>
      <w:r>
        <w:t>9.</w:t>
      </w:r>
      <w:r>
        <w:tab/>
        <w:t>Een ondergrondse opslagtank waarin afgewerkte olie wordt opgeslagen, wordt ten minste eenmaal per jaar geleegd.</w:t>
      </w:r>
    </w:p>
    <w:p w:rsidR="005260D0" w:rsidRDefault="005260D0" w:rsidP="005260D0">
      <w:pPr>
        <w:pStyle w:val="art1enivo"/>
        <w:shd w:val="clear" w:color="auto" w:fill="D9D9D9" w:themeFill="background1" w:themeFillShade="D9"/>
      </w:pPr>
      <w:r>
        <w:t>10.</w:t>
      </w:r>
      <w:r>
        <w:tab/>
        <w:t>Indien een beoordeling als bedoeld in het eerste, vijfde of zevende lid of een controle als bedoeld in het eerste, vierde, achtste, negende lid of als bedoeld in artikel 3.36, zesde lid, leidt tot afkeuring van de ondergrondse opslagtank, wordt dit terstond gemeld aan het bevoegd gezag. Na de afkeuring wordt binnen acht weken het opslaan van vloeistoffen in de ondergrondse opslagtank beëindigd en wordt de vloeistof die zich in de opslagtank bevindt, verwijderd.</w:t>
      </w:r>
    </w:p>
    <w:p w:rsidR="005260D0" w:rsidRDefault="005260D0" w:rsidP="005260D0">
      <w:pPr>
        <w:pStyle w:val="art1enivo"/>
        <w:shd w:val="clear" w:color="auto" w:fill="D9D9D9" w:themeFill="background1" w:themeFillShade="D9"/>
      </w:pPr>
      <w:r>
        <w:t>11.</w:t>
      </w:r>
      <w:r>
        <w:tab/>
        <w:t>In afwijking van het vijfde, zevende lid en artikel 3.36, zesde lid, is een inwendige beoordeling of inwendige inspectie bij de keuring van een ondergrondse opslagtank niet noodzakelijk indien deze opslagtank dubbelwandig is uitgevoerd met een lekdetectiesysteem in de wand.</w:t>
      </w:r>
    </w:p>
    <w:p w:rsidR="005260D0" w:rsidRDefault="005260D0" w:rsidP="005260D0">
      <w:pPr>
        <w:pStyle w:val="art1enivo"/>
        <w:shd w:val="clear" w:color="auto" w:fill="D9D9D9" w:themeFill="background1" w:themeFillShade="D9"/>
      </w:pPr>
      <w:r>
        <w:t>12.</w:t>
      </w:r>
      <w:r>
        <w:tab/>
        <w:t>Een elektronisch lekdetectiesysteem voldoet aan de voorschriften 2.2.5 tot en met 2.2.7 van PGS 28.</w:t>
      </w:r>
    </w:p>
    <w:p w:rsidR="005260D0" w:rsidRDefault="005260D0" w:rsidP="005260D0">
      <w:pPr>
        <w:pStyle w:val="artikelkop"/>
        <w:shd w:val="clear" w:color="auto" w:fill="D9D9D9" w:themeFill="background1" w:themeFillShade="D9"/>
      </w:pPr>
      <w:r>
        <w:t>Artikel 3.36</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Een kathodische bescherming wordt ten minste eens per jaar op zijn goede werking gecontroleerd overeenkomstig het daartoe krachtens het Besluit bodemkwaliteit aangewezen normdocument door een instelling, die daartoe beschikt over een erkenning op grond van dat besluit.</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Plaatsen waar de uitwendige bekleding van de installatie is beschadigd en die niet kunnen worden gerepareerd, worden kathodisch beschermd indien de isolatieweerstand van de uitwendige bekleding groter is dan 25 kOhm per vierkante meter, bepaald volgens een daartoe krachtens het Besluit bodemkwaliteit aangewezen normdocument, door een instelling, die daartoe beschikt over een erkenning op grond van dat besluit.</w:t>
      </w:r>
    </w:p>
    <w:p w:rsidR="005260D0" w:rsidRDefault="005260D0" w:rsidP="005260D0">
      <w:pPr>
        <w:pStyle w:val="art1enivo"/>
        <w:shd w:val="clear" w:color="auto" w:fill="D9D9D9" w:themeFill="background1" w:themeFillShade="D9"/>
        <w:suppressAutoHyphens/>
        <w:rPr>
          <w:rFonts w:cs="Arial"/>
        </w:rPr>
      </w:pPr>
      <w:r>
        <w:rPr>
          <w:rFonts w:cs="Arial"/>
        </w:rPr>
        <w:t>3.</w:t>
      </w:r>
      <w:r>
        <w:rPr>
          <w:rFonts w:cs="Arial"/>
        </w:rPr>
        <w:tab/>
        <w:t>Indien uit de controle, bedoeld in het eerste lid, blijkt dat de kathodische bescherming niet goed functioneert, wordt deze direct hersteld overeenkomstig het daartoe krachtens het Besluit bodemkwaliteit aangewezen normdocument door een bedrijf, dat daartoe beschikt over een erkenning op grond van dat besluit.</w:t>
      </w:r>
    </w:p>
    <w:p w:rsidR="005260D0" w:rsidRDefault="005260D0" w:rsidP="005260D0">
      <w:pPr>
        <w:pStyle w:val="art1enivo"/>
        <w:shd w:val="clear" w:color="auto" w:fill="D9D9D9" w:themeFill="background1" w:themeFillShade="D9"/>
        <w:suppressAutoHyphens/>
        <w:rPr>
          <w:rFonts w:cs="Arial"/>
        </w:rPr>
      </w:pPr>
      <w:r>
        <w:rPr>
          <w:rFonts w:cs="Arial"/>
        </w:rPr>
        <w:t>4.</w:t>
      </w:r>
      <w:r>
        <w:rPr>
          <w:rFonts w:cs="Arial"/>
        </w:rPr>
        <w:tab/>
        <w:t>Indien een ondergrondse opslagtank van staal of de daarbij behorende stalen leidingen of appendages niet zijn voorzien van een kathodische bescherming, wordt ten minste eens per jaar een stroomopdrukproef uitgevoerd overeenkomstig het daartoe krachtens het Besluit bodemkwaliteit aangewezen normdocument door een instelling, die voor deze werkzaamheid beschikt over een erkenning op grond van dat besluit, tenzij de specifieke elektrische weerstand van de bodem meer bedraagt dan 100 ohmmeter en beschadiging van de tankinstallatie door zwerfstromen niet te verwachten is.</w:t>
      </w:r>
    </w:p>
    <w:p w:rsidR="005260D0" w:rsidRDefault="005260D0" w:rsidP="005260D0">
      <w:pPr>
        <w:pStyle w:val="art1enivo"/>
        <w:shd w:val="clear" w:color="auto" w:fill="D9D9D9" w:themeFill="background1" w:themeFillShade="D9"/>
      </w:pPr>
      <w:r>
        <w:t>5.</w:t>
      </w:r>
      <w:r>
        <w:tab/>
        <w:t>Bij een ondergrondse opslagtank van staal waarin vloeibare brandstof wordt opgeslagen, vindt jaarlijks een controle plaats op de aanwezigheid van water en bezinksel.</w:t>
      </w:r>
    </w:p>
    <w:p w:rsidR="005260D0" w:rsidRDefault="005260D0" w:rsidP="005260D0">
      <w:pPr>
        <w:pStyle w:val="art1enivo"/>
        <w:shd w:val="clear" w:color="auto" w:fill="D9D9D9" w:themeFill="background1" w:themeFillShade="D9"/>
      </w:pPr>
      <w:r>
        <w:t>6.</w:t>
      </w:r>
      <w:r>
        <w:tab/>
        <w:t>Indien tijdens de controle, bedoeld in het vijfde lid,water of bezinksel is aangetroffen, wordt dit terstond verwijderd. Van het verwijderde water worden de elektrische geleidbaarheid en de zuurgraad beoordeeld. Wanneer bij de derde opeenvolgende meting blijkt dat de zuurgraad en de elektrische geleidbaarheid van het in het bezinksel aangetroffen water buiten de normeisen vallen, wordt een inwendige inspectie van de ondergrondse opslagtank uitgevoerd. Indien een inwendige inspectie noodzakelijk is, wordt dit terstond gemeld aan het bevoegd gezag.</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7.</w:t>
      </w:r>
      <w:r>
        <w:rPr>
          <w:rFonts w:eastAsiaTheme="minorEastAsia"/>
          <w:lang w:eastAsia="nl-NL"/>
        </w:rPr>
        <w:tab/>
        <w:t>In afwijking van het vijfde lid vindt de controle, bedoeld in dat lid, eenmaal per drie jaar plaats indien de opslagtank aantoonbaar is voorzien van een inwendige coating overeenkomstig BRL K779 en die coating is aangebracht door een bedrijf dat daartoe is gecertificeerd op basis van BRL K790.</w:t>
      </w:r>
    </w:p>
    <w:p w:rsidR="005260D0" w:rsidRDefault="005260D0" w:rsidP="005260D0">
      <w:pPr>
        <w:pStyle w:val="artikelkop"/>
        <w:shd w:val="clear" w:color="auto" w:fill="D9D9D9" w:themeFill="background1" w:themeFillShade="D9"/>
      </w:pPr>
      <w:r>
        <w:t>Artikel 3.37</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Een ondergrondse opslagtank met de daarbij behorende leidingen en appendages die is afgekeurd, wordt binnen acht weken na afloop van de termijn, bedoeld in artikel 3.35, tweede lid, verwijderd.</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Degene die een ondergrondse opslagtank overeenkomstig het eerste lid verwijdert, verwijdert de ondergrondse opslagtank met de daarbij behorende leidingen en appendages binnen acht weken na het verstrijken van de keuringstermijn. Indien verwijdering als gevolg van de ligging redelijkerwijs niet kan worden gevergd wordt de ondergrondse opslagtank met de daarbij behorende leidingen en appendages binnen acht weken na het verstrijken van de keuringstermijn onklaar gemaakt.</w:t>
      </w:r>
    </w:p>
    <w:p w:rsidR="005260D0" w:rsidRDefault="005260D0" w:rsidP="005260D0">
      <w:pPr>
        <w:pStyle w:val="art1enivo"/>
        <w:shd w:val="clear" w:color="auto" w:fill="D9D9D9" w:themeFill="background1" w:themeFillShade="D9"/>
        <w:suppressAutoHyphens/>
        <w:rPr>
          <w:rFonts w:cs="Arial"/>
        </w:rPr>
      </w:pPr>
      <w:r>
        <w:rPr>
          <w:rFonts w:cs="Arial"/>
        </w:rPr>
        <w:t>3.</w:t>
      </w:r>
      <w:r>
        <w:rPr>
          <w:rFonts w:cs="Arial"/>
        </w:rPr>
        <w:tab/>
        <w:t>Het verwijderen of het onklaar maken van een ondergrondse opslagtank met de daarbij behorende leidingen en appendages geschiedt overeenkomstig het daartoe krachtens het Besluit bodemkwaliteit aangewezen normdocument door een bedrijf, dat daartoe beschikt over een erkenning op grond van dat besluit en wordt ten minste tien dagen voor aanvang van de werkzaamheden schriftelijk gemeld aan het bevoegd gezag.</w:t>
      </w:r>
    </w:p>
    <w:p w:rsidR="005260D0" w:rsidRDefault="005260D0" w:rsidP="005260D0">
      <w:pPr>
        <w:pStyle w:val="art1enivo"/>
        <w:shd w:val="clear" w:color="auto" w:fill="D9D9D9" w:themeFill="background1" w:themeFillShade="D9"/>
        <w:suppressAutoHyphens/>
        <w:rPr>
          <w:rFonts w:cs="Arial"/>
        </w:rPr>
      </w:pPr>
      <w:r>
        <w:rPr>
          <w:rFonts w:cs="Arial"/>
        </w:rPr>
        <w:t>4.</w:t>
      </w:r>
      <w:r>
        <w:rPr>
          <w:rFonts w:cs="Arial"/>
        </w:rPr>
        <w:tab/>
        <w:t>Na het verwijderen of het onklaar maken van de ondergrondse opslagtank met de daarbij behorende leidingen en appendages wordt een door een bedrijf als bedoeld in het derde lid, opgestelde schriftelijke rapportage van het verwijderen of het onklaar maken binnen drie maanden na afronding van de werkzaamheden aan het bevoegd gezag overgelegd. In deze rapportage worden ten minste vermeld:</w:t>
      </w:r>
    </w:p>
    <w:p w:rsidR="005260D0" w:rsidRDefault="005260D0" w:rsidP="005260D0">
      <w:pPr>
        <w:pStyle w:val="art2enivo"/>
        <w:shd w:val="clear" w:color="auto" w:fill="D9D9D9" w:themeFill="background1" w:themeFillShade="D9"/>
      </w:pPr>
      <w:r>
        <w:t>a.</w:t>
      </w:r>
      <w:r>
        <w:tab/>
        <w:t>het adres waar de opslagtank is gelegen met een nadere aanduiding van de situering;</w:t>
      </w:r>
    </w:p>
    <w:p w:rsidR="005260D0" w:rsidRDefault="005260D0" w:rsidP="005260D0">
      <w:pPr>
        <w:pStyle w:val="art2enivo"/>
        <w:shd w:val="clear" w:color="auto" w:fill="D9D9D9" w:themeFill="background1" w:themeFillShade="D9"/>
      </w:pPr>
      <w:r>
        <w:t>b.</w:t>
      </w:r>
      <w:r>
        <w:tab/>
        <w:t>de vloeistoffen die in de opslagtank opgeslagen zijn geweest, en</w:t>
      </w:r>
    </w:p>
    <w:p w:rsidR="005260D0" w:rsidRDefault="005260D0" w:rsidP="005260D0">
      <w:pPr>
        <w:pStyle w:val="art2enivo"/>
        <w:shd w:val="clear" w:color="auto" w:fill="D9D9D9" w:themeFill="background1" w:themeFillShade="D9"/>
      </w:pPr>
      <w:r>
        <w:t>c.</w:t>
      </w:r>
      <w:r>
        <w:tab/>
        <w:t>indien de opslagtank onklaar gemaakt is, de wijze van het onklaar maken en de toegepaste vulmassa.</w:t>
      </w:r>
    </w:p>
    <w:p w:rsidR="005260D0" w:rsidRDefault="005260D0" w:rsidP="005260D0">
      <w:pPr>
        <w:pStyle w:val="art1enivo"/>
        <w:shd w:val="clear" w:color="auto" w:fill="D9D9D9" w:themeFill="background1" w:themeFillShade="D9"/>
        <w:suppressAutoHyphens/>
        <w:rPr>
          <w:rFonts w:cs="Arial"/>
        </w:rPr>
      </w:pPr>
      <w:r>
        <w:rPr>
          <w:rFonts w:cs="Arial"/>
        </w:rPr>
        <w:t>5.</w:t>
      </w:r>
      <w:r>
        <w:rPr>
          <w:rFonts w:cs="Arial"/>
        </w:rPr>
        <w:tab/>
        <w:t>Voordat een ondergrondse opslagtank onklaar wordt gemaakt wordt deze inwendig gereinigd.</w:t>
      </w:r>
    </w:p>
    <w:p w:rsidR="005260D0" w:rsidRDefault="005260D0" w:rsidP="005260D0">
      <w:pPr>
        <w:pStyle w:val="art1enivo"/>
        <w:shd w:val="clear" w:color="auto" w:fill="D9D9D9" w:themeFill="background1" w:themeFillShade="D9"/>
        <w:suppressAutoHyphens/>
        <w:rPr>
          <w:rFonts w:cs="Arial"/>
        </w:rPr>
      </w:pPr>
      <w:r>
        <w:rPr>
          <w:rFonts w:cs="Arial"/>
        </w:rPr>
        <w:t>6.</w:t>
      </w:r>
      <w:r>
        <w:rPr>
          <w:rFonts w:cs="Arial"/>
        </w:rPr>
        <w:tab/>
        <w:t>Indien de ondergrondse opslagtank onklaar wordt gemaakt, wordt de ondergrondse opslagtank na het inwendig reinigen gevuld met een inerte vulmassa overeenkomstig het daartoe krachtens het Besluit bodemkwaliteit aangewezen normdocument door een bedrijf, dat daartoe beschikt over een erkenning op grond van dat besluit en wordt het vulpunt verwijderd, dan wel worden andere maatregelen getroffen, die verder gebruik voorkomen.</w:t>
      </w:r>
    </w:p>
    <w:p w:rsidR="005260D0" w:rsidRDefault="005260D0" w:rsidP="005260D0">
      <w:pPr>
        <w:pStyle w:val="art1enivo"/>
        <w:shd w:val="clear" w:color="auto" w:fill="D9D9D9" w:themeFill="background1" w:themeFillShade="D9"/>
        <w:suppressAutoHyphens/>
        <w:rPr>
          <w:rFonts w:cs="Arial"/>
        </w:rPr>
      </w:pPr>
      <w:r>
        <w:rPr>
          <w:rFonts w:cs="Arial"/>
        </w:rPr>
        <w:t>7.</w:t>
      </w:r>
      <w:r>
        <w:rPr>
          <w:rFonts w:cs="Arial"/>
        </w:rPr>
        <w:tab/>
        <w:t>Het inwendig reinigen van een ondergrondse opslagtank vindt plaats overeenkomstig een krachtens het Besluit bodemkwaliteit aangewezen normdocument, door een instelling, die daartoe beschikt over een erkenning op grond van dat besluit.</w:t>
      </w:r>
    </w:p>
    <w:p w:rsidR="005260D0" w:rsidRDefault="005260D0" w:rsidP="005260D0">
      <w:pPr>
        <w:pStyle w:val="artikelkop"/>
        <w:shd w:val="clear" w:color="auto" w:fill="D9D9D9" w:themeFill="background1" w:themeFillShade="D9"/>
        <w:rPr>
          <w:rFonts w:eastAsiaTheme="minorEastAsia"/>
          <w:lang w:eastAsia="nl-NL"/>
        </w:rPr>
      </w:pPr>
      <w:r>
        <w:rPr>
          <w:rFonts w:eastAsiaTheme="minorEastAsia"/>
          <w:lang w:eastAsia="nl-NL"/>
        </w:rPr>
        <w:t xml:space="preserve">Artikel 3.37a </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Een betonnen constructie die geheel of gedeeltelijk ondergronds ligt en wordt gebruikt voor het opslaan van een vloeibare bodembedreigende stof is gemaakt van een betonklasse die aantoonbaar bestand is tegen de inwerking van de opgeslagen stof.</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vul- en aftappunten van een betonnen constructie die geheel of gedeeltelijk ondergronds ligt en wordt gebruikt voor het opslaan van een vloeibare bodembedreigende stof zijn geplaatst boven een lekbak of boven een vloeistofdichte vloer of verharding.</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Een betonnen constructie die geheel of gedeeltelijk ondergronds ligt en wordt gebruikt voor het opslaan van een vloeibare bodembedreigende stof wordt jaarlijks leeggemaakt en visueel aan de binnenzijde geïnspecteerd. De toestand van de binnenzijde van de constructie wordt gefotografeerd of op een vergelijkbare manier vastgelegd, zodat de vergelijking met eerdere en latere inspecties gemaakt kan worden en wordt ten minste gedurende 6 jaar bewaard. Indien bij de inspectie verwering of beschadiging wordt geconstateerd, wordt de constructie gerepareerd voordat deze weer in gebruik wordt genomen.</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Uiterlijk 6 jaar na ingebruikname en vervolgens ten minste iedere 6 jaar wordt de visuele inspectie uitgevoerd door degene die de constructie heeft geplaatst of een andere door het bevoegd gezag geaccepteerde deskundige.</w:t>
      </w:r>
    </w:p>
    <w:p w:rsidR="005260D0" w:rsidRDefault="005260D0" w:rsidP="005260D0">
      <w:pPr>
        <w:pStyle w:val="artikelkop"/>
        <w:shd w:val="clear" w:color="auto" w:fill="D9D9D9" w:themeFill="background1" w:themeFillShade="D9"/>
      </w:pPr>
      <w:r>
        <w:t>Artikel 3.38</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r>
      <w:r w:rsidR="00F956AE" w:rsidRPr="00F956AE">
        <w:rPr>
          <w:rFonts w:cs="Arial"/>
        </w:rPr>
        <w:t>Bij het opslaan van stoffen in ondergrondse opslagtanks van metaal of kunststof alsmede het vullen en legen van deze opslagtanks wordt voldaan aan de volgende onderdelen van PGS 28:</w:t>
      </w:r>
    </w:p>
    <w:p w:rsidR="005260D0" w:rsidRDefault="005260D0" w:rsidP="005260D0">
      <w:pPr>
        <w:pStyle w:val="art2enivo"/>
        <w:shd w:val="clear" w:color="auto" w:fill="D9D9D9" w:themeFill="background1" w:themeFillShade="D9"/>
      </w:pPr>
      <w:r>
        <w:t>a.</w:t>
      </w:r>
      <w:r>
        <w:tab/>
        <w:t>de voorschriften 2.3.3 en 3.2.3 tot en met 3.2.5;</w:t>
      </w:r>
    </w:p>
    <w:p w:rsidR="005260D0" w:rsidRDefault="005260D0" w:rsidP="005260D0">
      <w:pPr>
        <w:pStyle w:val="art2enivo"/>
        <w:shd w:val="clear" w:color="auto" w:fill="D9D9D9" w:themeFill="background1" w:themeFillShade="D9"/>
      </w:pPr>
      <w:r>
        <w:t>b.</w:t>
      </w:r>
      <w:r>
        <w:tab/>
        <w:t>de paragrafen 3.3 en 5.2;</w:t>
      </w:r>
    </w:p>
    <w:p w:rsidR="005260D0" w:rsidRDefault="005260D0" w:rsidP="005260D0">
      <w:pPr>
        <w:pStyle w:val="art2enivo"/>
        <w:shd w:val="clear" w:color="auto" w:fill="D9D9D9" w:themeFill="background1" w:themeFillShade="D9"/>
      </w:pPr>
      <w:r>
        <w:t>c.</w:t>
      </w:r>
      <w:r>
        <w:tab/>
        <w:t>de voorschriften 5.7.2 en 5.7.3, en</w:t>
      </w:r>
    </w:p>
    <w:p w:rsidR="005260D0" w:rsidRDefault="005260D0" w:rsidP="005260D0">
      <w:pPr>
        <w:pStyle w:val="art2enivo"/>
        <w:shd w:val="clear" w:color="auto" w:fill="D9D9D9" w:themeFill="background1" w:themeFillShade="D9"/>
      </w:pPr>
      <w:r>
        <w:t>d.</w:t>
      </w:r>
      <w:r>
        <w:tab/>
        <w:t>de voorschriften 6.2.6 en 6.2.8.</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Indien een ondergrondse opslagtank die gebruikt is voor opslag van afgewerkte olie gebruikt gaat worden voor het opslaan van een andere vloeistof dan afgewerkte olie vindt voor de wisseling van de opgeslagen vloeistof een beoordeling en goedkeuring van de opslagtank plaats overeenkomstig artikel 3.35, eerste en tweede lid.</w:t>
      </w:r>
    </w:p>
    <w:p w:rsidR="005260D0" w:rsidRDefault="005260D0" w:rsidP="005260D0">
      <w:pPr>
        <w:pStyle w:val="art1enivo"/>
        <w:shd w:val="clear" w:color="auto" w:fill="D9D9D9" w:themeFill="background1" w:themeFillShade="D9"/>
      </w:pPr>
      <w:r>
        <w:t>3.</w:t>
      </w:r>
      <w:r>
        <w:tab/>
        <w:t>Het legen van een ondergrondse opslagtank met afgewerkte olie vindt plaats overeenkomstig paragraaf 3.5 van PGS 28.</w:t>
      </w:r>
    </w:p>
    <w:p w:rsidR="005260D0" w:rsidRDefault="005260D0" w:rsidP="005260D0">
      <w:pPr>
        <w:pStyle w:val="artikelkop"/>
        <w:shd w:val="clear" w:color="auto" w:fill="D9D9D9" w:themeFill="background1" w:themeFillShade="D9"/>
        <w:rPr>
          <w:rFonts w:eastAsiaTheme="minorEastAsia"/>
          <w:lang w:eastAsia="nl-NL"/>
        </w:rPr>
      </w:pPr>
      <w:r>
        <w:rPr>
          <w:rFonts w:eastAsiaTheme="minorEastAsia"/>
          <w:lang w:eastAsia="nl-NL"/>
        </w:rPr>
        <w:t xml:space="preserve">Artikel 3.38a </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Een ondergrondse opslagtank met daarbij behorende leidingen en appendages is zodanig uitgevoerd dat bij het vullen van een ondergrondse opslagtank met lichte olie de uit die opslagtank verdreven dampen door een gasdichte retourleiding kunnen worden teruggevoerd naar het reservoir van de tankwagen die de lichte olie levert. Het systeem is zo ontworpen dat drukopbouw zoveel mogelijk wordt voorkomen. Indien een vacuümdrukklep wordt toegepast bedraagt de drukopbouw in het gehele systeem niet meer dan de openingsdruk van de desbetreffende klep. Deze openingsdruk bedraagt niet meer dan 3,92 kilopascal.</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Indien lichte olie wordt aangeleverd worden de uit de ondergrondse opslagtank verdreven dampen teruggevoerd met de voorziening, bedoeld in het eerste lid.</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aansluitpunten van de vulleidingen en de dampretourleidingen zijn zodanig uitgevoerd dat verwisseling van de vulslang en de dampretourslang van en naar de tankwagen is uitgesloten.</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Het vullen van een ondergrondse opslagtank vindt niet plaats indien de dampretourleiding lek is.</w:t>
      </w:r>
    </w:p>
    <w:p w:rsidR="005260D0" w:rsidRPr="005260D0" w:rsidRDefault="005260D0" w:rsidP="005260D0">
      <w:pPr>
        <w:pStyle w:val="art1enivo"/>
        <w:shd w:val="clear" w:color="auto" w:fill="D9D9D9" w:themeFill="background1" w:themeFillShade="D9"/>
        <w:rPr>
          <w:rFonts w:cs="Arial"/>
        </w:rPr>
      </w:pPr>
      <w:r>
        <w:rPr>
          <w:rFonts w:eastAsiaTheme="minorEastAsia"/>
          <w:lang w:eastAsia="nl-NL"/>
        </w:rPr>
        <w:t>5.</w:t>
      </w:r>
      <w:r>
        <w:rPr>
          <w:rFonts w:eastAsiaTheme="minorEastAsia"/>
          <w:lang w:eastAsia="nl-NL"/>
        </w:rPr>
        <w:tab/>
        <w:t>Het eerste tot en met vierde lid zijn niet van toepassing op een inrichting met een debiet van lichte olie van minder dan 100 kubieke meter per jaar.</w:t>
      </w:r>
    </w:p>
    <w:p w:rsidR="005260D0" w:rsidRPr="005260D0" w:rsidRDefault="005260D0" w:rsidP="005260D0"/>
    <w:p w:rsidR="00296032" w:rsidRPr="00296032" w:rsidRDefault="00296032" w:rsidP="001F4D4E">
      <w:pPr>
        <w:pStyle w:val="paragraaf"/>
      </w:pPr>
      <w:bookmarkStart w:id="112" w:name="_Toc277243206"/>
      <w:bookmarkStart w:id="113" w:name="_Toc431375605"/>
      <w:bookmarkEnd w:id="110"/>
      <w:r w:rsidRPr="00296032">
        <w:t>§ 3.4.3 Opslaan en overslaan van goederen</w:t>
      </w:r>
      <w:bookmarkEnd w:id="112"/>
      <w:bookmarkEnd w:id="113"/>
    </w:p>
    <w:p w:rsidR="00296032" w:rsidRPr="00296032" w:rsidRDefault="00296032">
      <w:pPr>
        <w:pStyle w:val="artikelkop"/>
        <w:rPr>
          <w:rFonts w:cs="Arial"/>
        </w:rPr>
      </w:pPr>
      <w:r w:rsidRPr="00296032">
        <w:rPr>
          <w:rFonts w:cs="Arial"/>
        </w:rPr>
        <w:t>Artikel 3.31</w:t>
      </w:r>
    </w:p>
    <w:p w:rsidR="00296032" w:rsidRPr="00620047" w:rsidRDefault="00296032">
      <w:pPr>
        <w:pStyle w:val="art1enivo"/>
        <w:rPr>
          <w:rFonts w:cs="Arial"/>
        </w:rPr>
      </w:pPr>
      <w:r w:rsidRPr="00620047">
        <w:rPr>
          <w:rFonts w:cs="Arial"/>
        </w:rPr>
        <w:t>1.</w:t>
      </w:r>
      <w:r w:rsidRPr="00620047">
        <w:rPr>
          <w:rFonts w:cs="Arial"/>
        </w:rPr>
        <w:tab/>
        <w:t>Deze paragraaf is van toepassing op het op- en overslaan van inerte goederen.</w:t>
      </w:r>
    </w:p>
    <w:p w:rsidR="00296032" w:rsidRPr="00620047" w:rsidRDefault="00296032">
      <w:pPr>
        <w:pStyle w:val="art1enivo"/>
        <w:rPr>
          <w:rFonts w:cs="Arial"/>
        </w:rPr>
      </w:pPr>
      <w:r w:rsidRPr="00620047">
        <w:rPr>
          <w:rFonts w:cs="Arial"/>
        </w:rPr>
        <w:t>2.</w:t>
      </w:r>
      <w:r w:rsidRPr="00620047">
        <w:rPr>
          <w:rFonts w:cs="Arial"/>
        </w:rPr>
        <w:tab/>
        <w:t>Onverminderd het eerste lid is deze paragraaf voor zover het betreft inrichtingen type B van toepassing op het op- en overslaan van goederen, niet zijnde inerte goederen, voor zover dat niet is geregeld in de paragrafen 3.3.3, 3.4.1, 3.4.2, 3.4.5 tot en met 3.4.7, 3.4.11, 4.1.1 tot en met 4.1.4 en 4.1.7.</w:t>
      </w:r>
    </w:p>
    <w:p w:rsidR="00296032" w:rsidRPr="00620047" w:rsidRDefault="00296032">
      <w:pPr>
        <w:pStyle w:val="art1enivo"/>
        <w:rPr>
          <w:rFonts w:cs="Arial"/>
        </w:rPr>
      </w:pPr>
      <w:r w:rsidRPr="00620047">
        <w:rPr>
          <w:rFonts w:cs="Arial"/>
        </w:rPr>
        <w:t>3.</w:t>
      </w:r>
      <w:r w:rsidRPr="00620047">
        <w:rPr>
          <w:rFonts w:cs="Arial"/>
        </w:rPr>
        <w:tab/>
        <w:t>Onverminderd het eerste lid is deze paragraaf voor zover het betreft inrichtingen type C van toepassing op:</w:t>
      </w:r>
    </w:p>
    <w:p w:rsidR="00296032" w:rsidRPr="00620047" w:rsidRDefault="00296032">
      <w:pPr>
        <w:pStyle w:val="art2enivo"/>
        <w:rPr>
          <w:rFonts w:cs="Arial"/>
        </w:rPr>
      </w:pPr>
      <w:r w:rsidRPr="00620047">
        <w:rPr>
          <w:rFonts w:cs="Arial"/>
        </w:rPr>
        <w:t>a.</w:t>
      </w:r>
      <w:r w:rsidRPr="00620047">
        <w:rPr>
          <w:rFonts w:cs="Arial"/>
        </w:rPr>
        <w:tab/>
        <w:t>het op- en overslaan van goederen, niet zijnde inerte goederen, voor zover dat niet is geregeld in de paragrafen 3.4.1, 3.4.2, 3.4.4 tot en met 3.4.7, 3.4.11, 4.1.1. tot en met 4.1.4. en 4.1.7, bij:</w:t>
      </w:r>
      <w:r w:rsidRPr="00620047">
        <w:rPr>
          <w:rFonts w:cs="Arial"/>
        </w:rPr>
        <w:br/>
        <w:t>1°. een autodemontagebedrijf of een demontagebedrijf voor tweewielige motorvoertuigen;</w:t>
      </w:r>
      <w:r w:rsidRPr="00620047">
        <w:rPr>
          <w:rFonts w:cs="Arial"/>
        </w:rPr>
        <w:br/>
        <w:t>2°. een zuiveringtechnisch werk, of</w:t>
      </w:r>
      <w:r w:rsidRPr="00620047">
        <w:rPr>
          <w:rFonts w:cs="Arial"/>
        </w:rPr>
        <w:br/>
        <w:t>3°. een inrichting waar uitvoering wordt gegeven aan titel 10.4 van de wet;</w:t>
      </w:r>
    </w:p>
    <w:p w:rsidR="00296032" w:rsidRPr="00620047" w:rsidRDefault="00296032">
      <w:pPr>
        <w:pStyle w:val="art2enivo"/>
        <w:rPr>
          <w:rFonts w:cs="Arial"/>
        </w:rPr>
      </w:pPr>
      <w:r w:rsidRPr="00620047">
        <w:rPr>
          <w:rFonts w:cs="Arial"/>
        </w:rPr>
        <w:t>b.</w:t>
      </w:r>
      <w:r w:rsidRPr="00620047">
        <w:rPr>
          <w:rFonts w:cs="Arial"/>
        </w:rPr>
        <w:tab/>
        <w:t>het lozen in een aangewezen oppervlaktewaterlichaam als gevolg van het op- en overslaan van andere goederen dan inerte goederen.</w:t>
      </w:r>
    </w:p>
    <w:p w:rsidR="00296032" w:rsidRPr="00620047" w:rsidRDefault="00296032">
      <w:pPr>
        <w:pStyle w:val="art1enivo"/>
      </w:pPr>
      <w:r w:rsidRPr="00620047">
        <w:rPr>
          <w:rFonts w:cs="Arial"/>
        </w:rPr>
        <w:t>4.</w:t>
      </w:r>
      <w:r w:rsidRPr="00620047">
        <w:rPr>
          <w:rFonts w:cs="Arial"/>
        </w:rPr>
        <w:tab/>
      </w:r>
      <w:r w:rsidRPr="00620047">
        <w:t>Onverminderd het eerste tot en met derde lid is deze paragraaf van toepassing op het zeven van grond met een capaciteit daarvoor van minder dan 100.000 ton per jaar.</w:t>
      </w:r>
    </w:p>
    <w:p w:rsidR="00296032" w:rsidRPr="00620047" w:rsidRDefault="00296032">
      <w:pPr>
        <w:pStyle w:val="art1enivo"/>
        <w:rPr>
          <w:rFonts w:cs="Arial"/>
        </w:rPr>
      </w:pPr>
      <w:r w:rsidRPr="00620047">
        <w:rPr>
          <w:rFonts w:cs="Arial"/>
        </w:rPr>
        <w:t>5.</w:t>
      </w:r>
      <w:r w:rsidRPr="00620047">
        <w:rPr>
          <w:rFonts w:cs="Arial"/>
        </w:rPr>
        <w:tab/>
        <w:t>Bij ministeriële regeling worden goederen aangewezen welke in ieder geval worden aangemerkt als inerte goederen.</w:t>
      </w:r>
    </w:p>
    <w:p w:rsidR="00296032" w:rsidRPr="00296032" w:rsidRDefault="00296032">
      <w:pPr>
        <w:pStyle w:val="artikelkop"/>
        <w:rPr>
          <w:rFonts w:cs="Arial"/>
        </w:rPr>
      </w:pPr>
      <w:r w:rsidRPr="00296032">
        <w:rPr>
          <w:rFonts w:cs="Arial"/>
        </w:rPr>
        <w:t>Artikel 3.32</w:t>
      </w:r>
    </w:p>
    <w:p w:rsidR="00296032" w:rsidRPr="00620047" w:rsidRDefault="00296032">
      <w:pPr>
        <w:pStyle w:val="art1enivo"/>
      </w:pPr>
      <w:r w:rsidRPr="00620047">
        <w:t>1.</w:t>
      </w:r>
      <w:r w:rsidRPr="00620047">
        <w:tab/>
        <w:t>Goederen worden in de buitenlucht zodanig op- of overgeslagen dat:</w:t>
      </w:r>
    </w:p>
    <w:p w:rsidR="00296032" w:rsidRPr="00620047" w:rsidRDefault="00296032">
      <w:pPr>
        <w:pStyle w:val="art2enivo"/>
      </w:pPr>
      <w:r w:rsidRPr="00620047">
        <w:t>a.</w:t>
      </w:r>
      <w:r w:rsidRPr="00620047">
        <w:tab/>
        <w:t>zoveel mogelijk wordt voorkomen dat stofverspreiding optreedt die op een afstand van meer dan 2 meter van de bron met het blote oog waarneembaar is;</w:t>
      </w:r>
    </w:p>
    <w:p w:rsidR="00296032" w:rsidRPr="00620047" w:rsidRDefault="00296032">
      <w:pPr>
        <w:pStyle w:val="art2enivo"/>
      </w:pPr>
      <w:r w:rsidRPr="00620047">
        <w:t>b.</w:t>
      </w:r>
      <w:r w:rsidRPr="00620047">
        <w:tab/>
        <w:t>verontreiniging van de omgeving zoveel mogelijk wordt beperkt;</w:t>
      </w:r>
    </w:p>
    <w:p w:rsidR="00296032" w:rsidRPr="00620047" w:rsidRDefault="00296032">
      <w:pPr>
        <w:pStyle w:val="art2enivo"/>
      </w:pPr>
      <w:r w:rsidRPr="00620047">
        <w:t>c.</w:t>
      </w:r>
      <w:r w:rsidRPr="00620047">
        <w:tab/>
        <w:t>zoveel mogelijk wordt voorkomen dat goederen in een oppervlaktewaterlichaam geraken;</w:t>
      </w:r>
    </w:p>
    <w:p w:rsidR="00296032" w:rsidRPr="00620047" w:rsidRDefault="00296032">
      <w:pPr>
        <w:pStyle w:val="art2enivo"/>
      </w:pPr>
      <w:r w:rsidRPr="00620047">
        <w:t>d.</w:t>
      </w:r>
      <w:r w:rsidRPr="00620047">
        <w:tab/>
        <w:t>zoveel mogelijk wordt voorkomen dat goederen in een voorziening voor het beheer van afvalwater geraken.</w:t>
      </w:r>
    </w:p>
    <w:p w:rsidR="00296032" w:rsidRPr="00620047" w:rsidRDefault="00296032">
      <w:pPr>
        <w:pStyle w:val="art1enivo"/>
      </w:pPr>
      <w:r w:rsidRPr="00620047">
        <w:t>2.</w:t>
      </w:r>
      <w:r w:rsidRPr="00620047">
        <w:tab/>
        <w:t>Het eerste lid is van overeenkomstige toepassing op het zeven van grond.</w:t>
      </w:r>
    </w:p>
    <w:p w:rsidR="00296032" w:rsidRPr="00296032" w:rsidRDefault="00296032">
      <w:pPr>
        <w:pStyle w:val="artikelkop"/>
        <w:rPr>
          <w:rFonts w:cs="Arial"/>
        </w:rPr>
      </w:pPr>
      <w:r w:rsidRPr="00296032">
        <w:rPr>
          <w:rFonts w:cs="Arial"/>
        </w:rPr>
        <w:t>Artikel 3.33</w:t>
      </w:r>
    </w:p>
    <w:p w:rsidR="00296032" w:rsidRPr="00620047" w:rsidRDefault="00296032">
      <w:pPr>
        <w:pStyle w:val="art1enivo"/>
      </w:pPr>
      <w:r w:rsidRPr="00620047">
        <w:t>1.</w:t>
      </w:r>
      <w:r w:rsidRPr="00620047">
        <w:tab/>
        <w:t>Het in een voorziening voor de inzameling en het transport van afvalwater, niet zijnde een vuilwaterriool, lozen van afvalwater dat in contact is geweest met inerte goederen, is toegestaan indien het gehalte aan onopgeloste stoffen in enig steekmonster niet meer bedraagt dan 300 milligram per liter.</w:t>
      </w:r>
    </w:p>
    <w:p w:rsidR="00296032" w:rsidRPr="00620047" w:rsidRDefault="00296032">
      <w:pPr>
        <w:pStyle w:val="art1enivo"/>
      </w:pPr>
      <w:r w:rsidRPr="00620047">
        <w:t>2.</w:t>
      </w:r>
      <w:r w:rsidRPr="00620047">
        <w:tab/>
        <w:t>Bij het in het oppervlaktewater lozen van afvalwater dat met inerte goederen in contact is geweest, ontstaat geen visuele verontreiniging.</w:t>
      </w:r>
    </w:p>
    <w:p w:rsidR="00296032" w:rsidRPr="00620047" w:rsidRDefault="00296032">
      <w:pPr>
        <w:pStyle w:val="art1enivo"/>
      </w:pPr>
      <w:r w:rsidRPr="00620047">
        <w:t>3.</w:t>
      </w:r>
      <w:r w:rsidRPr="00620047">
        <w:tab/>
        <w:t>Het lozen op of in de bodem van afvalwater dat met inerte goederen in contact is geweest, is toegestaan.</w:t>
      </w:r>
    </w:p>
    <w:p w:rsidR="00296032" w:rsidRPr="00620047" w:rsidRDefault="00296032">
      <w:pPr>
        <w:pStyle w:val="art1enivo"/>
      </w:pPr>
      <w:r w:rsidRPr="00620047">
        <w:t>4.</w:t>
      </w:r>
      <w:r w:rsidRPr="00620047">
        <w:tab/>
        <w:t>Het in een vuilwaterriool lozen van afvalwater dat in contact is geweest met inerte goederen vindt slechts dan plaats indien het lozen, bedoeld in het eerste tot en met het derde lid, redelijkerwijs niet mogelijk is en het gehalte aan onopgeloste stoffen niet meer bedraagt dan 300 milligram per liter.</w:t>
      </w:r>
    </w:p>
    <w:p w:rsidR="00296032" w:rsidRPr="00620047" w:rsidRDefault="00296032">
      <w:pPr>
        <w:pStyle w:val="art1enivo"/>
      </w:pPr>
      <w:r w:rsidRPr="00620047">
        <w:t>5.</w:t>
      </w:r>
      <w:r w:rsidRPr="00620047">
        <w:tab/>
        <w:t>Het te lozen afvalwater, bedoeld in het eerste en vierde lid, kan op een doelmatige wijze worden bemonsterd.</w:t>
      </w:r>
    </w:p>
    <w:p w:rsidR="00296032" w:rsidRPr="00620047" w:rsidRDefault="00296032">
      <w:pPr>
        <w:pStyle w:val="art1enivo"/>
      </w:pPr>
      <w:r w:rsidRPr="00620047">
        <w:t>6.</w:t>
      </w:r>
      <w:r w:rsidRPr="00620047">
        <w:tab/>
        <w:t>Indien de opgeslagen inerte goederen worden bevochtigd, wordt afvalwater dat met opgeslagen goederen in contact is geweest, zoveel mogelijk voor dit bevochtigen gebruikt.</w:t>
      </w:r>
    </w:p>
    <w:p w:rsidR="00296032" w:rsidRPr="00296032" w:rsidRDefault="00296032">
      <w:pPr>
        <w:pStyle w:val="artikelkop"/>
        <w:rPr>
          <w:rFonts w:cs="Arial"/>
        </w:rPr>
      </w:pPr>
      <w:r w:rsidRPr="00620047">
        <w:rPr>
          <w:rFonts w:cs="Arial"/>
        </w:rPr>
        <w:t xml:space="preserve"> </w:t>
      </w:r>
      <w:r w:rsidRPr="00296032">
        <w:rPr>
          <w:rFonts w:cs="Arial"/>
        </w:rPr>
        <w:t>Artikel 3.34</w:t>
      </w:r>
    </w:p>
    <w:p w:rsidR="00296032" w:rsidRPr="00620047" w:rsidRDefault="00296032">
      <w:pPr>
        <w:pStyle w:val="art1enivo"/>
        <w:rPr>
          <w:rFonts w:cs="Arial"/>
        </w:rPr>
      </w:pPr>
      <w:r w:rsidRPr="00620047">
        <w:rPr>
          <w:rFonts w:cs="Arial"/>
        </w:rPr>
        <w:t>1.</w:t>
      </w:r>
      <w:r w:rsidRPr="00620047">
        <w:rPr>
          <w:rFonts w:cs="Arial"/>
        </w:rPr>
        <w:tab/>
        <w:t>Bij het lozen van afvalwater afkomstig van het op- en overslaan van goederen, niet zijnde inerte goederen, wordt ten minste voldaan aan het tweede tot en met negende lid.</w:t>
      </w:r>
    </w:p>
    <w:p w:rsidR="00296032" w:rsidRPr="00620047" w:rsidRDefault="00296032">
      <w:pPr>
        <w:pStyle w:val="art1enivo"/>
        <w:rPr>
          <w:rFonts w:cs="Arial"/>
        </w:rPr>
      </w:pPr>
      <w:r w:rsidRPr="00620047">
        <w:rPr>
          <w:rFonts w:cs="Arial"/>
        </w:rPr>
        <w:t>2.</w:t>
      </w:r>
      <w:r w:rsidRPr="00620047">
        <w:rPr>
          <w:rFonts w:cs="Arial"/>
        </w:rPr>
        <w:tab/>
        <w:t>Indien opgeslagen goederen als bedoeld in het eerste lid worden bevochtigd, wordt afvalwater dat met die goederen in contact is geweest, zoveel mogelijk voor dit bevochtigen gebruikt.</w:t>
      </w:r>
    </w:p>
    <w:p w:rsidR="00296032" w:rsidRPr="00620047" w:rsidRDefault="00296032">
      <w:pPr>
        <w:pStyle w:val="art1enivo"/>
        <w:rPr>
          <w:rFonts w:cs="Arial"/>
        </w:rPr>
      </w:pPr>
      <w:r w:rsidRPr="00620047">
        <w:rPr>
          <w:rFonts w:cs="Arial"/>
        </w:rPr>
        <w:t>3.</w:t>
      </w:r>
      <w:r w:rsidRPr="00620047">
        <w:rPr>
          <w:rFonts w:cs="Arial"/>
        </w:rPr>
        <w:tab/>
        <w:t>Het in een aangewezen oppervlaktewaterlichaam lozen van afvalwater dat in contact is geweest met goederen als bedoeld in het eerste lid waaruit geen vloeibare bodembedreigende stoffen kunnen lekken, is toegestaan indien in enig steekmonster de emissiegrenswaarden, vermeld in tabel 3.34, niet worden overschreden.</w:t>
      </w:r>
    </w:p>
    <w:p w:rsidR="00296032" w:rsidRPr="00620047" w:rsidRDefault="00296032">
      <w:pPr>
        <w:pStyle w:val="tabelkop"/>
        <w:ind w:firstLine="426"/>
        <w:rPr>
          <w:rFonts w:cs="Arial"/>
        </w:rPr>
      </w:pPr>
      <w:r w:rsidRPr="00620047">
        <w:rPr>
          <w:rFonts w:cs="Arial"/>
        </w:rPr>
        <w:t>Tabel 3.34</w:t>
      </w:r>
    </w:p>
    <w:tbl>
      <w:tblPr>
        <w:tblStyle w:val="Tabelraster"/>
        <w:tblW w:w="0" w:type="auto"/>
        <w:tblInd w:w="483" w:type="dxa"/>
        <w:tblLook w:val="04A0" w:firstRow="1" w:lastRow="0" w:firstColumn="1" w:lastColumn="0" w:noHBand="0" w:noVBand="1"/>
      </w:tblPr>
      <w:tblGrid>
        <w:gridCol w:w="5637"/>
        <w:gridCol w:w="2835"/>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563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b w:val="0"/>
              </w:rPr>
              <w:t>Parameter</w:t>
            </w:r>
          </w:p>
        </w:tc>
        <w:tc>
          <w:tcPr>
            <w:tcW w:w="28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b w:val="0"/>
              </w:rPr>
              <w:t>Emissiegrenswaarde</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563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Chemisch zuurstof verbruik </w:t>
            </w:r>
          </w:p>
        </w:tc>
        <w:tc>
          <w:tcPr>
            <w:tcW w:w="28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200 milligram per liter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563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Som zware metalen (som van arseen, chroom, koper, lood, nikkel en zink)</w:t>
            </w:r>
          </w:p>
        </w:tc>
        <w:tc>
          <w:tcPr>
            <w:tcW w:w="28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 milligram per liter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563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Minerale olie</w:t>
            </w:r>
          </w:p>
        </w:tc>
        <w:tc>
          <w:tcPr>
            <w:tcW w:w="28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20 milligram per liter</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45"/>
          <w:tblHeader/>
        </w:trPr>
        <w:tc>
          <w:tcPr>
            <w:tcW w:w="563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PAK's </w:t>
            </w:r>
          </w:p>
        </w:tc>
        <w:tc>
          <w:tcPr>
            <w:tcW w:w="28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50 microgram per liter</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42"/>
          <w:tblHeader/>
        </w:trPr>
        <w:tc>
          <w:tcPr>
            <w:tcW w:w="563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Extraheerbaar organisch chloor</w:t>
            </w:r>
          </w:p>
        </w:tc>
        <w:tc>
          <w:tcPr>
            <w:tcW w:w="28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5 microgram per liter</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42"/>
          <w:tblHeader/>
        </w:trPr>
        <w:tc>
          <w:tcPr>
            <w:tcW w:w="563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Totaal stikstof</w:t>
            </w:r>
          </w:p>
        </w:tc>
        <w:tc>
          <w:tcPr>
            <w:tcW w:w="28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10 milligram per liter</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42"/>
          <w:tblHeader/>
        </w:trPr>
        <w:tc>
          <w:tcPr>
            <w:tcW w:w="563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Fosfor</w:t>
            </w:r>
          </w:p>
        </w:tc>
        <w:tc>
          <w:tcPr>
            <w:tcW w:w="28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2 milligram per liter</w:t>
            </w:r>
          </w:p>
        </w:tc>
      </w:tr>
    </w:tbl>
    <w:p w:rsidR="00296032" w:rsidRPr="00620047" w:rsidRDefault="00296032">
      <w:pPr>
        <w:rPr>
          <w:rFonts w:cs="Arial"/>
        </w:rPr>
      </w:pPr>
    </w:p>
    <w:p w:rsidR="00296032" w:rsidRPr="00620047" w:rsidRDefault="00296032">
      <w:pPr>
        <w:pStyle w:val="art1enivo"/>
        <w:rPr>
          <w:rFonts w:cs="Arial"/>
        </w:rPr>
      </w:pPr>
      <w:r w:rsidRPr="00620047">
        <w:rPr>
          <w:rFonts w:cs="Arial"/>
        </w:rPr>
        <w:t>4.</w:t>
      </w:r>
      <w:r w:rsidRPr="00620047">
        <w:rPr>
          <w:rFonts w:cs="Arial"/>
        </w:rPr>
        <w:tab/>
        <w:t>Het bevoegd gezag kan met betrekking tot het lozen, bedoeld in het derde lid, bij maatwerkvoorschrift hogere emissiegrenswaarden vaststellen, voor zover het belang van de bescherming van het milieu zich daartegen niet verzet.</w:t>
      </w:r>
    </w:p>
    <w:p w:rsidR="00296032" w:rsidRPr="00620047" w:rsidRDefault="00296032">
      <w:pPr>
        <w:pStyle w:val="art1enivo"/>
        <w:rPr>
          <w:rFonts w:cs="Arial"/>
        </w:rPr>
      </w:pPr>
      <w:r w:rsidRPr="00620047">
        <w:rPr>
          <w:rFonts w:cs="Arial"/>
        </w:rPr>
        <w:t>5.</w:t>
      </w:r>
      <w:r w:rsidRPr="00620047">
        <w:rPr>
          <w:rFonts w:cs="Arial"/>
        </w:rPr>
        <w:tab/>
        <w:t>Bij het in een aangewezen oppervlaktewaterlichaam lozen van afvalwater dat in contact is geweest met goederen als bedoeld in het eerste lid waaruit geen vloeibare bodembedreigende stoffen kunnen lekken, ontstaat geen visuele verontreiniging.</w:t>
      </w:r>
    </w:p>
    <w:p w:rsidR="00296032" w:rsidRPr="00620047" w:rsidRDefault="00296032">
      <w:pPr>
        <w:pStyle w:val="art1enivo"/>
        <w:rPr>
          <w:rFonts w:cs="Arial"/>
        </w:rPr>
      </w:pPr>
      <w:r w:rsidRPr="00620047">
        <w:rPr>
          <w:rFonts w:cs="Arial"/>
        </w:rPr>
        <w:t>6.</w:t>
      </w:r>
      <w:r w:rsidRPr="00620047">
        <w:rPr>
          <w:rFonts w:cs="Arial"/>
        </w:rPr>
        <w:tab/>
        <w:t>Het lozen van afvalwater, bedoeld in het derde lid, in een vuilwaterriool is toegestaan indien het gehalte aan onopgeloste stoffen niet meer bedraagt dan 300 milligram per liter.</w:t>
      </w:r>
    </w:p>
    <w:p w:rsidR="00296032" w:rsidRPr="00620047" w:rsidRDefault="00296032">
      <w:pPr>
        <w:pStyle w:val="art1enivo"/>
        <w:rPr>
          <w:rFonts w:cs="Arial"/>
        </w:rPr>
      </w:pPr>
      <w:r w:rsidRPr="00620047">
        <w:rPr>
          <w:rFonts w:cs="Arial"/>
        </w:rPr>
        <w:t>7.</w:t>
      </w:r>
      <w:r w:rsidRPr="00620047">
        <w:rPr>
          <w:rFonts w:cs="Arial"/>
        </w:rPr>
        <w:tab/>
        <w:t>Het lozen van afvalwater dat in contact is geweest met goederen als bedoeld in het eerste lid in een vuilwaterriool is toegestaan indien enig steekmonster niet meer bevat dan:</w:t>
      </w:r>
    </w:p>
    <w:p w:rsidR="00296032" w:rsidRPr="00620047" w:rsidRDefault="00296032">
      <w:pPr>
        <w:pStyle w:val="art2enivo"/>
        <w:rPr>
          <w:rFonts w:cs="Arial"/>
        </w:rPr>
      </w:pPr>
      <w:r w:rsidRPr="00620047">
        <w:rPr>
          <w:rFonts w:cs="Arial"/>
        </w:rPr>
        <w:t>a.</w:t>
      </w:r>
      <w:r w:rsidRPr="00620047">
        <w:rPr>
          <w:rFonts w:cs="Arial"/>
        </w:rPr>
        <w:tab/>
        <w:t>20 milligram olie per liter;</w:t>
      </w:r>
    </w:p>
    <w:p w:rsidR="00296032" w:rsidRPr="00620047" w:rsidRDefault="00296032">
      <w:pPr>
        <w:pStyle w:val="art2enivo"/>
        <w:rPr>
          <w:rFonts w:cs="Arial"/>
        </w:rPr>
      </w:pPr>
      <w:r w:rsidRPr="00620047">
        <w:rPr>
          <w:rFonts w:cs="Arial"/>
        </w:rPr>
        <w:t>b.</w:t>
      </w:r>
      <w:r w:rsidRPr="00620047">
        <w:rPr>
          <w:rFonts w:cs="Arial"/>
        </w:rPr>
        <w:tab/>
        <w:t>300 milligram onopgeloste stoffen per liter.</w:t>
      </w:r>
    </w:p>
    <w:p w:rsidR="00296032" w:rsidRPr="00620047" w:rsidRDefault="00296032">
      <w:pPr>
        <w:pStyle w:val="art1enivo"/>
        <w:rPr>
          <w:rFonts w:cs="Arial"/>
        </w:rPr>
      </w:pPr>
      <w:r w:rsidRPr="00620047">
        <w:rPr>
          <w:rFonts w:cs="Arial"/>
        </w:rPr>
        <w:t>8.</w:t>
      </w:r>
      <w:r w:rsidRPr="00620047">
        <w:rPr>
          <w:rFonts w:cs="Arial"/>
        </w:rPr>
        <w:tab/>
        <w:t>In afwijking van het zevende lid bedraagt het gehalte aan olie ten hoogste 200 milligram per liter in enig steekmonster, indien het afvalwater voorafgaand aan vermenging met ander afvalwater wordt geleid door een slibvangput en olieafscheider die:</w:t>
      </w:r>
    </w:p>
    <w:p w:rsidR="00296032" w:rsidRPr="00620047" w:rsidRDefault="00296032">
      <w:pPr>
        <w:pStyle w:val="art2enivo"/>
      </w:pPr>
      <w:r w:rsidRPr="00620047">
        <w:t xml:space="preserve">a. </w:t>
      </w:r>
      <w:r w:rsidRPr="00620047">
        <w:tab/>
        <w:t>voldoen aan en worden gebruikt conform NEN-EN 858-1 en 2, of</w:t>
      </w:r>
    </w:p>
    <w:p w:rsidR="00296032" w:rsidRPr="00620047" w:rsidRDefault="00296032">
      <w:pPr>
        <w:pStyle w:val="art2enivo"/>
      </w:pPr>
      <w:r w:rsidRPr="00620047">
        <w:t xml:space="preserve">b. </w:t>
      </w:r>
      <w:r w:rsidRPr="00620047">
        <w:tab/>
        <w:t>zijn geplaatst voor het van toepassing worden van dit besluit of een deel daarvan op een activiteit in de inrichting en op de hoeveelheid afvalwater zijn afgestemd.</w:t>
      </w:r>
    </w:p>
    <w:p w:rsidR="00296032" w:rsidRPr="00620047" w:rsidRDefault="00296032">
      <w:pPr>
        <w:pStyle w:val="art1enivo"/>
        <w:rPr>
          <w:rFonts w:cs="Arial"/>
        </w:rPr>
      </w:pPr>
      <w:r w:rsidRPr="00620047">
        <w:rPr>
          <w:rFonts w:cs="Arial"/>
        </w:rPr>
        <w:t>9.</w:t>
      </w:r>
      <w:r w:rsidRPr="00620047">
        <w:rPr>
          <w:rFonts w:cs="Arial"/>
        </w:rPr>
        <w:tab/>
        <w:t>Het te lozen afvalwater, bedoeld in het derde tot en met achtste lid, kan op een doelmatige wijze worden bemonsterd.</w:t>
      </w:r>
    </w:p>
    <w:p w:rsidR="00296032" w:rsidRPr="00620047" w:rsidRDefault="00296032">
      <w:pPr>
        <w:pStyle w:val="art1enivo"/>
      </w:pPr>
      <w:r w:rsidRPr="00620047">
        <w:rPr>
          <w:rFonts w:cs="Arial"/>
        </w:rPr>
        <w:t>10.</w:t>
      </w:r>
      <w:r w:rsidRPr="00620047">
        <w:rPr>
          <w:rFonts w:cs="Arial"/>
        </w:rPr>
        <w:tab/>
        <w:t>Bij ministeriële regeling worden goederen aangewezen die voor de toepassing van deze paragraaf in ieder geval worden aangemerkt als goederen waaruit vloeibare bodembedreigende stoffen kunnen lekken.</w:t>
      </w:r>
    </w:p>
    <w:p w:rsidR="00296032" w:rsidRPr="00296032" w:rsidRDefault="00296032">
      <w:pPr>
        <w:pStyle w:val="artikelkop"/>
        <w:rPr>
          <w:rFonts w:cs="Arial"/>
        </w:rPr>
      </w:pPr>
      <w:r w:rsidRPr="00296032">
        <w:rPr>
          <w:rFonts w:cs="Arial"/>
        </w:rPr>
        <w:t>Artikel 3.35</w:t>
      </w:r>
    </w:p>
    <w:p w:rsidR="00296032" w:rsidRPr="00620047" w:rsidRDefault="00296032">
      <w:pPr>
        <w:pStyle w:val="art1enivo"/>
        <w:rPr>
          <w:rFonts w:cs="Arial"/>
        </w:rPr>
      </w:pPr>
      <w:r w:rsidRPr="00620047">
        <w:rPr>
          <w:rFonts w:cs="Arial"/>
        </w:rPr>
        <w:t>1.</w:t>
      </w:r>
      <w:r w:rsidRPr="00620047">
        <w:rPr>
          <w:rFonts w:cs="Arial"/>
        </w:rPr>
        <w:tab/>
        <w:t>Het boven een oppervlaktewaterlichaam opslaan van goederen, niet zijnde inerte goederen, vindt niet plaats, tenzij het opslaan benedendeks plaatsvindt op een binnenschip.</w:t>
      </w:r>
    </w:p>
    <w:p w:rsidR="00296032" w:rsidRPr="00620047" w:rsidRDefault="00296032">
      <w:pPr>
        <w:pStyle w:val="art1enivo"/>
        <w:rPr>
          <w:rFonts w:cs="Arial"/>
        </w:rPr>
      </w:pPr>
      <w:r w:rsidRPr="00620047">
        <w:rPr>
          <w:rFonts w:cs="Arial"/>
        </w:rPr>
        <w:t>2.</w:t>
      </w:r>
      <w:r w:rsidRPr="00620047">
        <w:rPr>
          <w:rFonts w:cs="Arial"/>
        </w:rPr>
        <w:tab/>
        <w:t>Indien goederen, niet zijnde inerte goederen, boven een oppervlaktewaterlichaam aanwezig zijn, wordt ten behoeve van het voorkomen dan wel voor zover dat niet mogelijk is het zoveel mogelijk beperken van verontreiniging van een oppervlaktewaterlichaam voldaan aan de bij ministeriële regeling te stellen eisen.</w:t>
      </w:r>
    </w:p>
    <w:p w:rsidR="00296032" w:rsidRPr="00296032" w:rsidRDefault="00296032">
      <w:pPr>
        <w:pStyle w:val="artikelkop"/>
        <w:rPr>
          <w:rFonts w:cs="Arial"/>
        </w:rPr>
      </w:pPr>
      <w:r w:rsidRPr="00296032">
        <w:rPr>
          <w:rFonts w:cs="Arial"/>
        </w:rPr>
        <w:t>Artikel 3.36</w:t>
      </w:r>
    </w:p>
    <w:p w:rsidR="00296032" w:rsidRPr="00620047" w:rsidRDefault="00296032">
      <w:pPr>
        <w:pStyle w:val="art1enivo"/>
        <w:rPr>
          <w:rFonts w:cs="Arial"/>
        </w:rPr>
      </w:pPr>
      <w:r w:rsidRPr="00620047">
        <w:rPr>
          <w:rFonts w:cs="Arial"/>
        </w:rPr>
        <w:t>1.</w:t>
      </w:r>
      <w:r w:rsidRPr="00620047">
        <w:rPr>
          <w:rFonts w:cs="Arial"/>
        </w:rPr>
        <w:tab/>
        <w:t>Bij het opslaan en overslaan van goederen, niet zijnde inerte goederen, wordt ten behoeve van het realiseren van een verwaarloosbaar bodemrisico, voldaan aan de bij ministeriële regeling te stellen eisen.</w:t>
      </w:r>
    </w:p>
    <w:p w:rsidR="00296032" w:rsidRPr="00620047" w:rsidRDefault="00296032">
      <w:pPr>
        <w:pStyle w:val="art1enivo"/>
        <w:rPr>
          <w:rFonts w:cs="Arial"/>
        </w:rPr>
      </w:pPr>
      <w:r w:rsidRPr="00620047">
        <w:rPr>
          <w:rFonts w:cs="Arial"/>
        </w:rPr>
        <w:t>2.</w:t>
      </w:r>
      <w:r w:rsidRPr="00620047">
        <w:rPr>
          <w:rFonts w:cs="Arial"/>
        </w:rPr>
        <w:tab/>
        <w:t>Bij het opslaan en overslaan van bederfelijke afvalstoffen wordt ten behoeve van het voorkomen dan wel beperken van geurhinder ten minste voldaan aan de bij ministeriële regeling te stellen eisen.</w:t>
      </w:r>
    </w:p>
    <w:p w:rsidR="00296032" w:rsidRPr="00620047" w:rsidRDefault="00296032">
      <w:pPr>
        <w:pStyle w:val="art1enivo"/>
      </w:pPr>
      <w:r w:rsidRPr="00620047">
        <w:t>3.</w:t>
      </w:r>
      <w:r w:rsidRPr="00620047">
        <w:tab/>
        <w:t>Bij het opslaan van autowrakken wordt ten behoeve van een doelmatig beheer van afvalstoffen ten minste voldaan aan de bij ministeriële regeling gestelde eisen</w:t>
      </w:r>
    </w:p>
    <w:p w:rsidR="00296032" w:rsidRPr="00296032" w:rsidRDefault="00296032">
      <w:pPr>
        <w:pStyle w:val="artikelkop"/>
        <w:rPr>
          <w:rFonts w:cs="Arial"/>
        </w:rPr>
      </w:pPr>
      <w:r w:rsidRPr="00296032">
        <w:rPr>
          <w:rFonts w:cs="Arial"/>
        </w:rPr>
        <w:t>Artikel 3.37</w:t>
      </w:r>
    </w:p>
    <w:p w:rsidR="00296032" w:rsidRPr="00620047" w:rsidRDefault="00296032">
      <w:pPr>
        <w:pStyle w:val="art1enivo"/>
        <w:rPr>
          <w:rFonts w:cs="Arial"/>
        </w:rPr>
      </w:pPr>
      <w:r w:rsidRPr="00620047">
        <w:rPr>
          <w:rFonts w:cs="Arial"/>
        </w:rPr>
        <w:t>1.</w:t>
      </w:r>
      <w:r w:rsidRPr="00620047">
        <w:rPr>
          <w:rFonts w:cs="Arial"/>
        </w:rPr>
        <w:tab/>
        <w:t>Bij de volgende windsnelheden vinden afhankelijk van de stuifgevoeligheid van de goederen, behorend tot de stuifklassen volgens bijlage 3, geen overslagactiviteiten plaats:</w:t>
      </w:r>
    </w:p>
    <w:p w:rsidR="00296032" w:rsidRPr="00620047" w:rsidRDefault="00296032">
      <w:pPr>
        <w:pStyle w:val="art2enivo"/>
        <w:rPr>
          <w:rFonts w:cs="Arial"/>
        </w:rPr>
      </w:pPr>
      <w:r w:rsidRPr="00620047">
        <w:rPr>
          <w:rFonts w:cs="Arial"/>
        </w:rPr>
        <w:t>a.</w:t>
      </w:r>
      <w:r w:rsidRPr="00620047">
        <w:rPr>
          <w:rFonts w:cs="Arial"/>
        </w:rPr>
        <w:tab/>
        <w:t>S1 en S2 bij een windsnelheid groter dan 8 meter per seconde;</w:t>
      </w:r>
    </w:p>
    <w:p w:rsidR="00296032" w:rsidRPr="00620047" w:rsidRDefault="00296032">
      <w:pPr>
        <w:pStyle w:val="art2enivo"/>
        <w:rPr>
          <w:rFonts w:cs="Arial"/>
        </w:rPr>
      </w:pPr>
      <w:r w:rsidRPr="00620047">
        <w:rPr>
          <w:rFonts w:cs="Arial"/>
        </w:rPr>
        <w:t>b.</w:t>
      </w:r>
      <w:r w:rsidRPr="00620047">
        <w:rPr>
          <w:rFonts w:cs="Arial"/>
        </w:rPr>
        <w:tab/>
        <w:t>S3 bij een windsnelheid groter dan 14 meter per seconde.</w:t>
      </w:r>
    </w:p>
    <w:p w:rsidR="00296032" w:rsidRPr="00620047" w:rsidRDefault="00296032">
      <w:pPr>
        <w:pStyle w:val="art1enivo"/>
        <w:rPr>
          <w:rFonts w:cs="Arial"/>
        </w:rPr>
      </w:pPr>
      <w:r w:rsidRPr="00620047">
        <w:rPr>
          <w:rFonts w:cs="Arial"/>
        </w:rPr>
        <w:t>2.</w:t>
      </w:r>
      <w:r w:rsidRPr="00620047">
        <w:rPr>
          <w:rFonts w:cs="Arial"/>
        </w:rPr>
        <w:tab/>
        <w:t>Indien degene die de inrichting drijft aantoont dat door het treffen van maatregelen verspreiding en morsing van losse goederen ten gevolge van de weersomstandigheden wordt voorkomen kan het bevoegd gezag bij maatwerkvoorschrift het eerste lid niet van toepassing verklaren en overslagactiviteiten bij grotere windsnelheden dan aangegeven in het eerste lid onder voorwaarden toestaan. Deze voorwaarden kunnen betrekking hebben op de toe te passen maatregelen om verspreiding of morsing van goederen te voorkomen of op hogere maximale windsnelheden dan genoemd in het eerste lid, waarboven overslag niet meer is toegestaan.</w:t>
      </w:r>
    </w:p>
    <w:p w:rsidR="00296032" w:rsidRPr="00296032" w:rsidRDefault="00296032">
      <w:pPr>
        <w:pStyle w:val="artikelkop"/>
        <w:rPr>
          <w:rFonts w:cs="Arial"/>
        </w:rPr>
      </w:pPr>
      <w:r w:rsidRPr="00296032">
        <w:rPr>
          <w:rFonts w:cs="Arial"/>
        </w:rPr>
        <w:t>Artikel 3.38</w:t>
      </w:r>
    </w:p>
    <w:p w:rsidR="00296032" w:rsidRPr="00620047" w:rsidRDefault="00296032">
      <w:pPr>
        <w:pStyle w:val="art1enivo"/>
        <w:rPr>
          <w:rFonts w:cs="Arial"/>
        </w:rPr>
      </w:pPr>
      <w:r w:rsidRPr="00620047">
        <w:rPr>
          <w:rFonts w:cs="Arial"/>
        </w:rPr>
        <w:t>1.</w:t>
      </w:r>
      <w:r w:rsidRPr="00620047">
        <w:rPr>
          <w:rFonts w:cs="Arial"/>
        </w:rPr>
        <w:tab/>
        <w:t>Het opslaan en mengen van goederen behorend tot stuifklassen S1 of S3 van bijlage 3 vindt plaats in gesloten ruimtes.</w:t>
      </w:r>
    </w:p>
    <w:p w:rsidR="00296032" w:rsidRPr="00620047" w:rsidRDefault="00296032">
      <w:pPr>
        <w:pStyle w:val="art1enivo"/>
        <w:rPr>
          <w:rFonts w:cs="Arial"/>
        </w:rPr>
      </w:pPr>
      <w:r w:rsidRPr="00620047">
        <w:rPr>
          <w:rFonts w:cs="Arial"/>
        </w:rPr>
        <w:t>2.</w:t>
      </w:r>
      <w:r w:rsidRPr="00620047">
        <w:rPr>
          <w:rFonts w:cs="Arial"/>
        </w:rPr>
        <w:tab/>
        <w:t>Onverminderd artikel 2.5, eerste, vierde en vijfde lid, en artikel 2.6 is bij het opslaan, overslaan en mengen van stuifgevoelige goederen in gesloten ruimtes de emissieconcentratie van stofklasse S niet meer dan:</w:t>
      </w:r>
    </w:p>
    <w:p w:rsidR="00296032" w:rsidRPr="00620047" w:rsidRDefault="00296032">
      <w:pPr>
        <w:pStyle w:val="art2enivo"/>
        <w:rPr>
          <w:rFonts w:cs="Arial"/>
        </w:rPr>
      </w:pPr>
      <w:r w:rsidRPr="00620047">
        <w:rPr>
          <w:rFonts w:cs="Arial"/>
        </w:rPr>
        <w:t>a.</w:t>
      </w:r>
      <w:r w:rsidRPr="00620047">
        <w:rPr>
          <w:rFonts w:cs="Arial"/>
        </w:rPr>
        <w:tab/>
        <w:t>5 milligram per normaal kubieke meter, indien de massastroom van stofklasse S gelijk is aan of groter is dan 200 gram per uur; en</w:t>
      </w:r>
    </w:p>
    <w:p w:rsidR="00296032" w:rsidRPr="00620047" w:rsidRDefault="00296032">
      <w:pPr>
        <w:pStyle w:val="art2enivo"/>
        <w:rPr>
          <w:rFonts w:cs="Arial"/>
        </w:rPr>
      </w:pPr>
      <w:r w:rsidRPr="00620047">
        <w:rPr>
          <w:rFonts w:cs="Arial"/>
        </w:rPr>
        <w:t>b.</w:t>
      </w:r>
      <w:r w:rsidRPr="00620047">
        <w:rPr>
          <w:rFonts w:cs="Arial"/>
        </w:rPr>
        <w:tab/>
        <w:t>50 milligram per normaal kubieke meter indien de massastroom kleiner is dan 200 gram per uur.</w:t>
      </w:r>
    </w:p>
    <w:p w:rsidR="00296032" w:rsidRPr="00620047" w:rsidRDefault="00296032">
      <w:pPr>
        <w:pStyle w:val="art1enivo"/>
        <w:rPr>
          <w:rFonts w:cs="Arial"/>
        </w:rPr>
      </w:pPr>
      <w:r w:rsidRPr="00620047">
        <w:rPr>
          <w:rFonts w:cs="Arial"/>
        </w:rPr>
        <w:t>3.</w:t>
      </w:r>
      <w:r w:rsidRPr="00620047">
        <w:rPr>
          <w:rFonts w:cs="Arial"/>
        </w:rPr>
        <w:tab/>
        <w:t>Bij pneumatisch transport van stuifgevoelige goederen behorend tot stuifklasse S1 of S2 van bijlage 3 is de emissie van stofklasse S uit een container, bulktransportwagen of ander transportmiddel niet hoger dan 10 milligram per normaal kubieke meter.</w:t>
      </w:r>
    </w:p>
    <w:p w:rsidR="00296032" w:rsidRPr="00296032" w:rsidRDefault="00296032">
      <w:pPr>
        <w:pStyle w:val="artikelkop"/>
        <w:rPr>
          <w:rFonts w:cs="Arial"/>
        </w:rPr>
      </w:pPr>
      <w:r w:rsidRPr="00296032">
        <w:rPr>
          <w:rFonts w:cs="Arial"/>
        </w:rPr>
        <w:t>Artikel 3.39</w:t>
      </w:r>
    </w:p>
    <w:p w:rsidR="00296032" w:rsidRPr="00620047" w:rsidRDefault="00296032">
      <w:pPr>
        <w:rPr>
          <w:rFonts w:cs="Arial"/>
        </w:rPr>
      </w:pPr>
      <w:r w:rsidRPr="00620047">
        <w:rPr>
          <w:rFonts w:cs="Arial"/>
        </w:rPr>
        <w:t>Bij het opslaan, overslaan en mengen van stuifgevoelige goederen in gesloten ruimtes worden ten behoeve van het voorkomen dan wel beperken van diffuse emissie en om het doelmatig verspreiden van emissies naar de buitenlucht te bevorderen ten minste de bij ministeriële regeling voorgeschreven maatregelen toegepast.</w:t>
      </w:r>
    </w:p>
    <w:p w:rsidR="00296032" w:rsidRPr="00296032" w:rsidRDefault="00296032">
      <w:pPr>
        <w:pStyle w:val="artikelkop"/>
        <w:rPr>
          <w:rFonts w:cs="Arial"/>
        </w:rPr>
      </w:pPr>
      <w:r w:rsidRPr="00296032">
        <w:rPr>
          <w:rFonts w:cs="Arial"/>
        </w:rPr>
        <w:t>Artikel 3.40</w:t>
      </w:r>
    </w:p>
    <w:p w:rsidR="00296032" w:rsidRDefault="00296032">
      <w:pPr>
        <w:pStyle w:val="artplat"/>
        <w:rPr>
          <w:rFonts w:cs="Arial"/>
        </w:rPr>
      </w:pPr>
      <w:r w:rsidRPr="00620047">
        <w:rPr>
          <w:rFonts w:cs="Arial"/>
        </w:rPr>
        <w:t>[vervallen</w:t>
      </w:r>
      <w:r w:rsidR="00E44BE5">
        <w:rPr>
          <w:rFonts w:cs="Arial"/>
        </w:rPr>
        <w:t xml:space="preserve"> per 1-1-2016</w:t>
      </w:r>
      <w:r w:rsidRPr="00620047">
        <w:rPr>
          <w:rFonts w:cs="Arial"/>
        </w:rPr>
        <w:t>].</w:t>
      </w:r>
    </w:p>
    <w:p w:rsidR="005260D0" w:rsidRDefault="005260D0">
      <w:pPr>
        <w:pStyle w:val="artplat"/>
        <w:rPr>
          <w:rFonts w:cs="Arial"/>
        </w:rPr>
      </w:pPr>
    </w:p>
    <w:p w:rsidR="00E44BE5" w:rsidRPr="00E44BE5" w:rsidRDefault="00E44BE5" w:rsidP="00E44BE5">
      <w:pPr>
        <w:pStyle w:val="artplat"/>
        <w:rPr>
          <w:rFonts w:cs="Arial"/>
        </w:rPr>
      </w:pPr>
      <w:r w:rsidRPr="00E44BE5">
        <w:rPr>
          <w:rFonts w:cs="Arial"/>
        </w:rPr>
        <w:t>§ 3.4.4  [Vervallen per 01-01-2013]</w:t>
      </w:r>
    </w:p>
    <w:p w:rsidR="00E44BE5" w:rsidRPr="00E44BE5" w:rsidRDefault="00E44BE5" w:rsidP="00E44BE5">
      <w:pPr>
        <w:pStyle w:val="artplat"/>
        <w:rPr>
          <w:rFonts w:cs="Arial"/>
        </w:rPr>
      </w:pPr>
    </w:p>
    <w:p w:rsidR="00E44BE5" w:rsidRPr="00E44BE5" w:rsidRDefault="00E44BE5" w:rsidP="00E44BE5">
      <w:pPr>
        <w:pStyle w:val="artplat"/>
        <w:rPr>
          <w:rFonts w:cs="Arial"/>
        </w:rPr>
      </w:pPr>
      <w:r w:rsidRPr="00E44BE5">
        <w:rPr>
          <w:rFonts w:cs="Arial"/>
        </w:rPr>
        <w:t>Artikel 3.41  [Vervallen per 01-01-2013]</w:t>
      </w:r>
    </w:p>
    <w:p w:rsidR="00E44BE5" w:rsidRPr="00E44BE5" w:rsidRDefault="00E44BE5" w:rsidP="00E44BE5">
      <w:pPr>
        <w:pStyle w:val="artplat"/>
        <w:rPr>
          <w:rFonts w:cs="Arial"/>
        </w:rPr>
      </w:pPr>
    </w:p>
    <w:p w:rsidR="00E44BE5" w:rsidRPr="00E44BE5" w:rsidRDefault="00E44BE5" w:rsidP="00E44BE5">
      <w:pPr>
        <w:pStyle w:val="artplat"/>
        <w:rPr>
          <w:rFonts w:cs="Arial"/>
        </w:rPr>
      </w:pPr>
      <w:r w:rsidRPr="00E44BE5">
        <w:rPr>
          <w:rFonts w:cs="Arial"/>
        </w:rPr>
        <w:t>Artikel 3.42  [Vervallen per 01-01-2013]</w:t>
      </w:r>
    </w:p>
    <w:p w:rsidR="00E44BE5" w:rsidRPr="00E44BE5" w:rsidRDefault="00E44BE5" w:rsidP="00E44BE5">
      <w:pPr>
        <w:pStyle w:val="artplat"/>
        <w:rPr>
          <w:rFonts w:cs="Arial"/>
        </w:rPr>
      </w:pPr>
    </w:p>
    <w:p w:rsidR="00E44BE5" w:rsidRPr="00E44BE5" w:rsidRDefault="00E44BE5" w:rsidP="00E44BE5">
      <w:pPr>
        <w:pStyle w:val="artplat"/>
        <w:rPr>
          <w:rFonts w:cs="Arial"/>
        </w:rPr>
      </w:pPr>
      <w:r w:rsidRPr="00E44BE5">
        <w:rPr>
          <w:rFonts w:cs="Arial"/>
        </w:rPr>
        <w:t>Artikel 3.43  [Vervallen per 01-01-2013]</w:t>
      </w:r>
    </w:p>
    <w:p w:rsidR="00E44BE5" w:rsidRPr="00E44BE5" w:rsidRDefault="00E44BE5" w:rsidP="00E44BE5">
      <w:pPr>
        <w:pStyle w:val="artplat"/>
        <w:rPr>
          <w:rFonts w:cs="Arial"/>
        </w:rPr>
      </w:pPr>
    </w:p>
    <w:p w:rsidR="00E44BE5" w:rsidRPr="00E44BE5" w:rsidRDefault="00E44BE5" w:rsidP="00E44BE5">
      <w:pPr>
        <w:pStyle w:val="artplat"/>
        <w:rPr>
          <w:rFonts w:cs="Arial"/>
        </w:rPr>
      </w:pPr>
      <w:r w:rsidRPr="00E44BE5">
        <w:rPr>
          <w:rFonts w:cs="Arial"/>
        </w:rPr>
        <w:t>Artikel 3.44  [Vervallen per 01-01-2013]</w:t>
      </w:r>
    </w:p>
    <w:p w:rsidR="00E44BE5" w:rsidRDefault="00E44BE5">
      <w:pPr>
        <w:pStyle w:val="artplat"/>
        <w:rPr>
          <w:rFonts w:cs="Arial"/>
        </w:rPr>
      </w:pPr>
    </w:p>
    <w:p w:rsidR="005260D0" w:rsidRDefault="005260D0" w:rsidP="005260D0">
      <w:pPr>
        <w:pStyle w:val="paragraaf"/>
        <w:shd w:val="clear" w:color="auto" w:fill="D9D9D9" w:themeFill="background1" w:themeFillShade="D9"/>
      </w:pPr>
      <w:bookmarkStart w:id="114" w:name="_Toc431375606"/>
      <w:r w:rsidRPr="00955469">
        <w:t>§</w:t>
      </w:r>
      <w:r>
        <w:t xml:space="preserve"> 3.4.3.</w:t>
      </w:r>
      <w:r>
        <w:tab/>
        <w:t xml:space="preserve">Opslaan en overslaan </w:t>
      </w:r>
      <w:r w:rsidRPr="002A3400">
        <w:t>van</w:t>
      </w:r>
      <w:r>
        <w:t xml:space="preserve"> goederen</w:t>
      </w:r>
      <w:bookmarkEnd w:id="114"/>
      <w:r>
        <w:t xml:space="preserve"> </w:t>
      </w:r>
    </w:p>
    <w:p w:rsidR="005260D0" w:rsidRDefault="005260D0" w:rsidP="005260D0">
      <w:pPr>
        <w:pStyle w:val="artikelkop"/>
        <w:shd w:val="clear" w:color="auto" w:fill="D9D9D9" w:themeFill="background1" w:themeFillShade="D9"/>
      </w:pPr>
      <w:r>
        <w:t xml:space="preserve">Artikel 3.39 </w:t>
      </w:r>
    </w:p>
    <w:p w:rsidR="005260D0" w:rsidRDefault="005260D0" w:rsidP="005260D0">
      <w:pPr>
        <w:pStyle w:val="artplat"/>
        <w:shd w:val="clear" w:color="auto" w:fill="D9D9D9" w:themeFill="background1" w:themeFillShade="D9"/>
        <w:suppressAutoHyphens/>
        <w:rPr>
          <w:rFonts w:cs="Arial"/>
        </w:rPr>
      </w:pPr>
      <w:r>
        <w:rPr>
          <w:rFonts w:cs="Arial"/>
        </w:rPr>
        <w:t xml:space="preserve">Voor de toepassing van artikel 3.31, </w:t>
      </w:r>
      <w:r w:rsidR="00F956AE">
        <w:rPr>
          <w:rFonts w:cs="Arial"/>
        </w:rPr>
        <w:t>vijfde</w:t>
      </w:r>
      <w:r>
        <w:rPr>
          <w:rFonts w:cs="Arial"/>
        </w:rPr>
        <w:t xml:space="preserve"> lid, van het besluit worden onder inerte goederen, in ieder geval de volgende goederen verstaan, voor zover deze niet verontreinigd zijn met bodembedreigende stoffen:</w:t>
      </w:r>
    </w:p>
    <w:p w:rsidR="005260D0" w:rsidRDefault="005260D0" w:rsidP="005260D0">
      <w:pPr>
        <w:pStyle w:val="artplatletter"/>
        <w:shd w:val="clear" w:color="auto" w:fill="D9D9D9" w:themeFill="background1" w:themeFillShade="D9"/>
        <w:suppressAutoHyphens/>
        <w:rPr>
          <w:rFonts w:cs="Arial"/>
        </w:rPr>
      </w:pPr>
      <w:r>
        <w:rPr>
          <w:rFonts w:cs="Arial"/>
        </w:rPr>
        <w:t>a.</w:t>
      </w:r>
      <w:r>
        <w:rPr>
          <w:rFonts w:cs="Arial"/>
        </w:rPr>
        <w:tab/>
        <w:t>bouwstoffen als bedoeld in artikel 1 van het Besluit bodemkwaliteit die binnen dat besluit toepasbaar zijn, uitgezonderd IBC-bouwstoffen als bedoeld in dat artikel;</w:t>
      </w:r>
    </w:p>
    <w:p w:rsidR="005260D0" w:rsidRDefault="005260D0" w:rsidP="005260D0">
      <w:pPr>
        <w:pStyle w:val="artplatletter"/>
        <w:shd w:val="clear" w:color="auto" w:fill="D9D9D9" w:themeFill="background1" w:themeFillShade="D9"/>
        <w:suppressAutoHyphens/>
        <w:rPr>
          <w:rFonts w:cs="Arial"/>
        </w:rPr>
      </w:pPr>
      <w:r>
        <w:rPr>
          <w:rFonts w:cs="Arial"/>
        </w:rPr>
        <w:t>b.</w:t>
      </w:r>
      <w:r>
        <w:rPr>
          <w:rFonts w:cs="Arial"/>
        </w:rPr>
        <w:tab/>
        <w:t xml:space="preserve">grond en baggerspecie als bedoeld in artikel 39 van het Besluit bodemkwaliteit; </w:t>
      </w:r>
    </w:p>
    <w:p w:rsidR="005260D0" w:rsidRDefault="005260D0" w:rsidP="005260D0">
      <w:pPr>
        <w:pStyle w:val="artplatletter"/>
        <w:shd w:val="clear" w:color="auto" w:fill="D9D9D9" w:themeFill="background1" w:themeFillShade="D9"/>
        <w:suppressAutoHyphens/>
        <w:rPr>
          <w:rFonts w:cs="Arial"/>
        </w:rPr>
      </w:pPr>
      <w:r>
        <w:rPr>
          <w:rFonts w:cs="Arial"/>
        </w:rPr>
        <w:t>c.</w:t>
      </w:r>
      <w:r>
        <w:rPr>
          <w:rFonts w:cs="Arial"/>
        </w:rPr>
        <w:tab/>
        <w:t>A-hout en ongeshredderd B-hout;</w:t>
      </w:r>
    </w:p>
    <w:p w:rsidR="005260D0" w:rsidRDefault="005260D0" w:rsidP="005260D0">
      <w:pPr>
        <w:pStyle w:val="artplatletter"/>
        <w:shd w:val="clear" w:color="auto" w:fill="D9D9D9" w:themeFill="background1" w:themeFillShade="D9"/>
        <w:suppressAutoHyphens/>
        <w:rPr>
          <w:rFonts w:cs="Arial"/>
        </w:rPr>
      </w:pPr>
      <w:r>
        <w:rPr>
          <w:rFonts w:cs="Arial"/>
        </w:rPr>
        <w:t>d.</w:t>
      </w:r>
      <w:r>
        <w:rPr>
          <w:rFonts w:cs="Arial"/>
        </w:rPr>
        <w:tab/>
        <w:t>snoeihout;</w:t>
      </w:r>
    </w:p>
    <w:p w:rsidR="005260D0" w:rsidRDefault="005260D0" w:rsidP="005260D0">
      <w:pPr>
        <w:pStyle w:val="artplatletter"/>
        <w:shd w:val="clear" w:color="auto" w:fill="D9D9D9" w:themeFill="background1" w:themeFillShade="D9"/>
        <w:suppressAutoHyphens/>
        <w:rPr>
          <w:rFonts w:cs="Arial"/>
        </w:rPr>
      </w:pPr>
      <w:r>
        <w:rPr>
          <w:rFonts w:cs="Arial"/>
        </w:rPr>
        <w:t>e.</w:t>
      </w:r>
      <w:r>
        <w:rPr>
          <w:rFonts w:cs="Arial"/>
        </w:rPr>
        <w:tab/>
        <w:t>banden van voertuigen;</w:t>
      </w:r>
    </w:p>
    <w:p w:rsidR="005260D0" w:rsidRDefault="005260D0" w:rsidP="005260D0">
      <w:pPr>
        <w:pStyle w:val="artplatletter"/>
        <w:shd w:val="clear" w:color="auto" w:fill="D9D9D9" w:themeFill="background1" w:themeFillShade="D9"/>
        <w:suppressAutoHyphens/>
        <w:rPr>
          <w:rFonts w:cs="Arial"/>
        </w:rPr>
      </w:pPr>
      <w:r>
        <w:rPr>
          <w:rFonts w:cs="Arial"/>
        </w:rPr>
        <w:t>f.</w:t>
      </w:r>
      <w:r>
        <w:rPr>
          <w:rFonts w:cs="Arial"/>
        </w:rPr>
        <w:tab/>
        <w:t>autowrakken waaruit alle vloeistoffen zijn afgetapt bij een autodemontagebedrijf en wrakken van tweewielige motorvoertuigen waaruit alle vloeistoffen zijn afgetapt bij een demontagebedrijf voor tweewielige motorvoertuigen;</w:t>
      </w:r>
    </w:p>
    <w:p w:rsidR="005260D0" w:rsidRDefault="005260D0" w:rsidP="005260D0">
      <w:pPr>
        <w:pStyle w:val="artplatletter"/>
        <w:shd w:val="clear" w:color="auto" w:fill="D9D9D9" w:themeFill="background1" w:themeFillShade="D9"/>
        <w:suppressAutoHyphens/>
        <w:rPr>
          <w:rFonts w:cs="Arial"/>
        </w:rPr>
      </w:pPr>
      <w:r>
        <w:rPr>
          <w:rFonts w:cs="Arial"/>
        </w:rPr>
        <w:t>g.</w:t>
      </w:r>
      <w:r>
        <w:rPr>
          <w:rFonts w:cs="Arial"/>
        </w:rPr>
        <w:tab/>
        <w:t>straatmeubilair;</w:t>
      </w:r>
    </w:p>
    <w:p w:rsidR="005260D0" w:rsidRDefault="005260D0" w:rsidP="005260D0">
      <w:pPr>
        <w:pStyle w:val="artplatletter"/>
        <w:shd w:val="clear" w:color="auto" w:fill="D9D9D9" w:themeFill="background1" w:themeFillShade="D9"/>
        <w:suppressAutoHyphens/>
        <w:rPr>
          <w:rFonts w:cs="Arial"/>
        </w:rPr>
      </w:pPr>
      <w:r>
        <w:rPr>
          <w:rFonts w:cs="Arial"/>
        </w:rPr>
        <w:t>h.</w:t>
      </w:r>
      <w:r>
        <w:rPr>
          <w:rFonts w:cs="Arial"/>
        </w:rPr>
        <w:tab/>
        <w:t>tuinmeubilair;</w:t>
      </w:r>
    </w:p>
    <w:p w:rsidR="005260D0" w:rsidRDefault="005260D0" w:rsidP="005260D0">
      <w:pPr>
        <w:pStyle w:val="artplatletter"/>
        <w:shd w:val="clear" w:color="auto" w:fill="D9D9D9" w:themeFill="background1" w:themeFillShade="D9"/>
        <w:suppressAutoHyphens/>
        <w:rPr>
          <w:rFonts w:cs="Arial"/>
        </w:rPr>
      </w:pPr>
      <w:r>
        <w:rPr>
          <w:rFonts w:cs="Arial"/>
        </w:rPr>
        <w:t>i.</w:t>
      </w:r>
      <w:r>
        <w:rPr>
          <w:rFonts w:cs="Arial"/>
        </w:rPr>
        <w:tab/>
        <w:t>aluminium, ijzer, roestvrij staal;</w:t>
      </w:r>
    </w:p>
    <w:p w:rsidR="005260D0" w:rsidRDefault="005260D0" w:rsidP="005260D0">
      <w:pPr>
        <w:pStyle w:val="artplatletter"/>
        <w:shd w:val="clear" w:color="auto" w:fill="D9D9D9" w:themeFill="background1" w:themeFillShade="D9"/>
        <w:suppressAutoHyphens/>
        <w:rPr>
          <w:rFonts w:cs="Arial"/>
        </w:rPr>
      </w:pPr>
      <w:r>
        <w:rPr>
          <w:rFonts w:cs="Arial"/>
        </w:rPr>
        <w:t>j.</w:t>
      </w:r>
      <w:r>
        <w:rPr>
          <w:rFonts w:cs="Arial"/>
        </w:rPr>
        <w:tab/>
        <w:t>kunststof anders dan lege, ongereinigde verpakkingen van voedingsmiddelen, smeerolie, verf, lak of drukinkt, gewasbeschermingsmiddelen, biociden of gevaarlijke stoffen;</w:t>
      </w:r>
    </w:p>
    <w:p w:rsidR="005260D0" w:rsidRDefault="005260D0" w:rsidP="005260D0">
      <w:pPr>
        <w:pStyle w:val="artplatletter"/>
        <w:shd w:val="clear" w:color="auto" w:fill="D9D9D9" w:themeFill="background1" w:themeFillShade="D9"/>
        <w:suppressAutoHyphens/>
        <w:rPr>
          <w:rFonts w:cs="Arial"/>
        </w:rPr>
      </w:pPr>
      <w:r>
        <w:rPr>
          <w:rFonts w:cs="Arial"/>
        </w:rPr>
        <w:t>k.</w:t>
      </w:r>
      <w:r>
        <w:rPr>
          <w:rFonts w:cs="Arial"/>
        </w:rPr>
        <w:tab/>
        <w:t>kunststofgeïsoleerde kabels anders dan oliedrukkabels, gepantserde papier-loodkabels en papiergeïsoleerde grondkabels;</w:t>
      </w:r>
    </w:p>
    <w:p w:rsidR="005260D0" w:rsidRDefault="005260D0" w:rsidP="005260D0">
      <w:pPr>
        <w:pStyle w:val="artplatletter"/>
        <w:shd w:val="clear" w:color="auto" w:fill="D9D9D9" w:themeFill="background1" w:themeFillShade="D9"/>
        <w:suppressAutoHyphens/>
        <w:rPr>
          <w:rFonts w:cs="Arial"/>
        </w:rPr>
      </w:pPr>
      <w:r>
        <w:rPr>
          <w:rFonts w:cs="Arial"/>
        </w:rPr>
        <w:t>l.</w:t>
      </w:r>
      <w:r>
        <w:rPr>
          <w:rFonts w:cs="Arial"/>
        </w:rPr>
        <w:tab/>
        <w:t>papier en karton;</w:t>
      </w:r>
    </w:p>
    <w:p w:rsidR="005260D0" w:rsidRDefault="005260D0" w:rsidP="005260D0">
      <w:pPr>
        <w:pStyle w:val="artplatletter"/>
        <w:shd w:val="clear" w:color="auto" w:fill="D9D9D9" w:themeFill="background1" w:themeFillShade="D9"/>
        <w:suppressAutoHyphens/>
        <w:rPr>
          <w:rFonts w:cs="Arial"/>
        </w:rPr>
      </w:pPr>
      <w:r>
        <w:rPr>
          <w:rFonts w:cs="Arial"/>
        </w:rPr>
        <w:t>m.</w:t>
      </w:r>
      <w:r>
        <w:rPr>
          <w:rFonts w:cs="Arial"/>
        </w:rPr>
        <w:tab/>
        <w:t>textiel en tapijt;</w:t>
      </w:r>
    </w:p>
    <w:p w:rsidR="005260D0" w:rsidRDefault="005260D0" w:rsidP="005260D0">
      <w:pPr>
        <w:pStyle w:val="artplatletter"/>
        <w:shd w:val="clear" w:color="auto" w:fill="D9D9D9" w:themeFill="background1" w:themeFillShade="D9"/>
        <w:suppressAutoHyphens/>
        <w:rPr>
          <w:rFonts w:cs="Arial"/>
        </w:rPr>
      </w:pPr>
      <w:r>
        <w:rPr>
          <w:rFonts w:cs="Arial"/>
        </w:rPr>
        <w:t>n.</w:t>
      </w:r>
      <w:r>
        <w:rPr>
          <w:rFonts w:cs="Arial"/>
        </w:rPr>
        <w:tab/>
        <w:t>vlakglas.</w:t>
      </w:r>
    </w:p>
    <w:p w:rsidR="005260D0" w:rsidRDefault="005260D0" w:rsidP="005260D0">
      <w:pPr>
        <w:pStyle w:val="artikelkop"/>
        <w:shd w:val="clear" w:color="auto" w:fill="D9D9D9" w:themeFill="background1" w:themeFillShade="D9"/>
      </w:pPr>
      <w:r>
        <w:t xml:space="preserve">Artikel 3.40 </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Aan artikel 3.32, aanhef en onder c, van het besluit wordt bij buitenopslag van goederen in ieder geval voldaan indien:</w:t>
      </w:r>
    </w:p>
    <w:p w:rsidR="005260D0" w:rsidRDefault="005260D0" w:rsidP="005260D0">
      <w:pPr>
        <w:pStyle w:val="art2enivo"/>
        <w:shd w:val="clear" w:color="auto" w:fill="D9D9D9" w:themeFill="background1" w:themeFillShade="D9"/>
        <w:suppressAutoHyphens/>
        <w:rPr>
          <w:rFonts w:cs="Arial"/>
        </w:rPr>
      </w:pPr>
      <w:r>
        <w:rPr>
          <w:rFonts w:cs="Arial"/>
        </w:rPr>
        <w:t>a.</w:t>
      </w:r>
      <w:r>
        <w:rPr>
          <w:rFonts w:cs="Arial"/>
        </w:rPr>
        <w:tab/>
        <w:t>op de laad- en loskade tot 2 meter uit de kaderand of oever geen opslag van goederen plaatsvindt, of</w:t>
      </w:r>
    </w:p>
    <w:p w:rsidR="005260D0" w:rsidRDefault="005260D0" w:rsidP="005260D0">
      <w:pPr>
        <w:pStyle w:val="art2enivo"/>
        <w:shd w:val="clear" w:color="auto" w:fill="D9D9D9" w:themeFill="background1" w:themeFillShade="D9"/>
        <w:suppressAutoHyphens/>
        <w:rPr>
          <w:rFonts w:cs="Arial"/>
        </w:rPr>
      </w:pPr>
      <w:r>
        <w:rPr>
          <w:rFonts w:cs="Arial"/>
        </w:rPr>
        <w:t>b.</w:t>
      </w:r>
      <w:r>
        <w:rPr>
          <w:rFonts w:cs="Arial"/>
        </w:rPr>
        <w:tab/>
        <w:t>er een deugdelijke keerwand aanwezig is en er geen product tussen de keerwand en de kade of oever ligt.</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Om te voldoen aan artikel 3.32, aanhef en onder c, van het besluit wordt bij het laden en lossen van schepen het schoonmaken van grijpers zo uitgevoerd dat overslagresten of spoelwater niet in het oppervlaktewater geraken.</w:t>
      </w:r>
    </w:p>
    <w:p w:rsidR="005260D0" w:rsidRDefault="005260D0" w:rsidP="005260D0">
      <w:pPr>
        <w:pStyle w:val="artikelkop"/>
        <w:shd w:val="clear" w:color="auto" w:fill="D9D9D9" w:themeFill="background1" w:themeFillShade="D9"/>
      </w:pPr>
      <w:r>
        <w:t>Artikel 3.41</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Aan artikel 3.32, aanhef en onder c, van het besluit wordt bij het laden en lossen van schepen met inerte goederen voldaan indien:</w:t>
      </w:r>
    </w:p>
    <w:p w:rsidR="005260D0" w:rsidRDefault="005260D0" w:rsidP="005260D0">
      <w:pPr>
        <w:pStyle w:val="art2enivo"/>
        <w:shd w:val="clear" w:color="auto" w:fill="D9D9D9" w:themeFill="background1" w:themeFillShade="D9"/>
        <w:suppressAutoHyphens/>
        <w:rPr>
          <w:rFonts w:cs="Arial"/>
        </w:rPr>
      </w:pPr>
      <w:r>
        <w:rPr>
          <w:rFonts w:cs="Arial"/>
        </w:rPr>
        <w:t>a.</w:t>
      </w:r>
      <w:r>
        <w:rPr>
          <w:rFonts w:cs="Arial"/>
        </w:rPr>
        <w:tab/>
        <w:t>bij het laden en lossen van inerte goederen de afstand tussen wal en schip zo klein mogelijk is, en in ieder geval niet groter is dan 5 meter, of</w:t>
      </w:r>
    </w:p>
    <w:p w:rsidR="005260D0" w:rsidRDefault="005260D0" w:rsidP="005260D0">
      <w:pPr>
        <w:pStyle w:val="art2enivo"/>
        <w:shd w:val="clear" w:color="auto" w:fill="D9D9D9" w:themeFill="background1" w:themeFillShade="D9"/>
        <w:suppressAutoHyphens/>
        <w:rPr>
          <w:rFonts w:cs="Arial"/>
        </w:rPr>
      </w:pPr>
      <w:r>
        <w:rPr>
          <w:rFonts w:cs="Arial"/>
        </w:rPr>
        <w:t>b.</w:t>
      </w:r>
      <w:r>
        <w:rPr>
          <w:rFonts w:cs="Arial"/>
        </w:rPr>
        <w:tab/>
        <w:t>het schip, waarin of waaruit wordt overgeslagen, met de wal wordt verbonden door een ponton of een morsklep.</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Aan artikel 3.32, aanhef en onder c, van het besluit wordt bij het laden en lossen van schepen met andere goederen dan inerte goederen voldaan indien:</w:t>
      </w:r>
    </w:p>
    <w:p w:rsidR="005260D0" w:rsidRDefault="005260D0" w:rsidP="005260D0">
      <w:pPr>
        <w:pStyle w:val="art2enivo"/>
        <w:shd w:val="clear" w:color="auto" w:fill="D9D9D9" w:themeFill="background1" w:themeFillShade="D9"/>
        <w:suppressAutoHyphens/>
        <w:rPr>
          <w:rFonts w:cs="Arial"/>
        </w:rPr>
      </w:pPr>
      <w:r>
        <w:rPr>
          <w:rFonts w:cs="Arial"/>
        </w:rPr>
        <w:t>a.</w:t>
      </w:r>
      <w:r>
        <w:rPr>
          <w:rFonts w:cs="Arial"/>
        </w:rPr>
        <w:tab/>
        <w:t xml:space="preserve">bij het laden en lossen van gevaarlijke stoffen, CMR-stoffen en goederen waaruit vloeibare bodembedreigende stoffen kunnen lekken de afstand tussen wal en schip zo klein mogelijk is, en in ieder geval niet groter is dan 1 meter, </w:t>
      </w:r>
    </w:p>
    <w:p w:rsidR="005260D0" w:rsidRDefault="005260D0" w:rsidP="005260D0">
      <w:pPr>
        <w:pStyle w:val="art2enivo"/>
        <w:shd w:val="clear" w:color="auto" w:fill="D9D9D9" w:themeFill="background1" w:themeFillShade="D9"/>
        <w:suppressAutoHyphens/>
        <w:rPr>
          <w:rFonts w:cs="Arial"/>
        </w:rPr>
      </w:pPr>
      <w:r>
        <w:rPr>
          <w:rFonts w:cs="Arial"/>
        </w:rPr>
        <w:t>b.</w:t>
      </w:r>
      <w:r>
        <w:rPr>
          <w:rFonts w:cs="Arial"/>
        </w:rPr>
        <w:tab/>
        <w:t>bij het laden en lossen van andere goederen dan inerte goederen, en dan de goederen, bedoeld onder a, de afstand tussen wal en schip zo klein mogelijk is, en in ieder geval niet groter is dan 2 meter, of</w:t>
      </w:r>
    </w:p>
    <w:p w:rsidR="005260D0" w:rsidRDefault="005260D0" w:rsidP="005260D0">
      <w:pPr>
        <w:pStyle w:val="art2enivo"/>
        <w:shd w:val="clear" w:color="auto" w:fill="D9D9D9" w:themeFill="background1" w:themeFillShade="D9"/>
        <w:suppressAutoHyphens/>
        <w:rPr>
          <w:rFonts w:cs="Arial"/>
        </w:rPr>
      </w:pPr>
      <w:r>
        <w:rPr>
          <w:rFonts w:cs="Arial"/>
        </w:rPr>
        <w:t>c.</w:t>
      </w:r>
      <w:r>
        <w:rPr>
          <w:rFonts w:cs="Arial"/>
        </w:rPr>
        <w:tab/>
        <w:t>het schip, waar in of uit wordt overgeslagen, met de wal wordt verbonden door een ponton of een morsklep.</w:t>
      </w:r>
    </w:p>
    <w:p w:rsidR="005260D0" w:rsidRDefault="005260D0" w:rsidP="005260D0">
      <w:pPr>
        <w:pStyle w:val="artikelkop"/>
        <w:shd w:val="clear" w:color="auto" w:fill="D9D9D9" w:themeFill="background1" w:themeFillShade="D9"/>
      </w:pPr>
      <w:r>
        <w:t xml:space="preserve">Artikel 3.42 </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verontreiniging van het oppervlaktewater worden goederen die boven een oppervlaktewaterlichaam worden opgeslagen en waaruit vloeibare bodembedreigende stoffen kunnen lekken, opgeslagen boven een voorziening die zich rondom of onder de opgeslagen stoffen bevindt en de bij normale bedrijfsvoering gemorste of wegspattende vloeistoffen kan opvangen.</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Op de voorziening, bedoeld in het eerste lid, is artikel 2.4 van overeenkomstige toepassing.</w:t>
      </w:r>
    </w:p>
    <w:p w:rsidR="005260D0" w:rsidRDefault="005260D0" w:rsidP="005260D0">
      <w:pPr>
        <w:pStyle w:val="art1enivo"/>
        <w:shd w:val="clear" w:color="auto" w:fill="D9D9D9" w:themeFill="background1" w:themeFillShade="D9"/>
        <w:suppressAutoHyphens/>
        <w:rPr>
          <w:rFonts w:cs="Arial"/>
        </w:rPr>
      </w:pPr>
      <w:r>
        <w:rPr>
          <w:rFonts w:cs="Arial"/>
        </w:rPr>
        <w:t>3.</w:t>
      </w:r>
      <w:r>
        <w:rPr>
          <w:rFonts w:cs="Arial"/>
        </w:rPr>
        <w:tab/>
        <w:t>Ten behoeve van het voorkomen dan wel zoveel mogelijk beperken van verontreiniging van het oppervlaktewater staan goederen waaruit vloeibare bodembedreigende stoffen kunnen lekken en die boven het oppervlaktewater bovendeks aanwezig zijn, opgesteld:</w:t>
      </w:r>
    </w:p>
    <w:p w:rsidR="005260D0" w:rsidRDefault="005260D0" w:rsidP="005260D0">
      <w:pPr>
        <w:pStyle w:val="art2enivo"/>
        <w:shd w:val="clear" w:color="auto" w:fill="D9D9D9" w:themeFill="background1" w:themeFillShade="D9"/>
        <w:suppressAutoHyphens/>
        <w:rPr>
          <w:rFonts w:cs="Arial"/>
        </w:rPr>
      </w:pPr>
      <w:r>
        <w:rPr>
          <w:rFonts w:cs="Arial"/>
        </w:rPr>
        <w:t>a.</w:t>
      </w:r>
      <w:r>
        <w:rPr>
          <w:rFonts w:cs="Arial"/>
        </w:rPr>
        <w:tab/>
        <w:t xml:space="preserve">boven een voorziening die zich rondom of onder de opgeslagen goederen bevindt en in staat is en de bij normale bedrijfsvoering gemorste of wegspattende vloeistoffen op te vangen en zodanig is uitgevoerd dat er geen hemelwater op of in terecht kan komen, of </w:t>
      </w:r>
    </w:p>
    <w:p w:rsidR="005260D0" w:rsidRDefault="005260D0" w:rsidP="005260D0">
      <w:pPr>
        <w:pStyle w:val="art2enivo"/>
        <w:shd w:val="clear" w:color="auto" w:fill="D9D9D9" w:themeFill="background1" w:themeFillShade="D9"/>
        <w:suppressAutoHyphens/>
        <w:rPr>
          <w:rFonts w:cs="Arial"/>
        </w:rPr>
      </w:pPr>
      <w:r>
        <w:rPr>
          <w:rFonts w:cs="Arial"/>
        </w:rPr>
        <w:t>b.</w:t>
      </w:r>
      <w:r>
        <w:rPr>
          <w:rFonts w:cs="Arial"/>
        </w:rPr>
        <w:tab/>
        <w:t>boven een doelmatige fysieke voorziening die vrijgekomen stoffen keert zolang als nodig is om met daarop afgestemde maatregelen te voorkomen dat deze stoffen in een oppervlaktewaterlichaam kunnen geraken.Artikel 2.3, tweede tot en met achtste lid, zijn van overeenkomstige toepassing, met dien verstande dat voor "bodem" wordt gelezen "oppervlaktewaterlichaam".</w:t>
      </w:r>
    </w:p>
    <w:p w:rsidR="005260D0" w:rsidRDefault="005260D0" w:rsidP="005260D0">
      <w:pPr>
        <w:pStyle w:val="artikelkop"/>
        <w:shd w:val="clear" w:color="auto" w:fill="D9D9D9" w:themeFill="background1" w:themeFillShade="D9"/>
      </w:pPr>
      <w:r>
        <w:t xml:space="preserve">Artikel 3.43 </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vindt het opslaan van goederen waaruit vloeibare bodembedreigende stoffen kunnen lekken, plaats boven een vloeistofdichte vloer of verharding of in gesloten verpakking, die voldoet aan de ADR-eisen voor vergelijkbare stoffen of anderszins deugdelijk is, boven een bodembeschermende voorziening.</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Ten behoeve van het realiseren van een verwaarloosbaar bodemrisico worden goederen, waaruit in een significante hoeveelheid bodembedreigende stoffen kunnen uitlogen, en die niet vallen onder het eerste lid, en restafval dat dergelijke stoffen kan bevatten, opgeslagen boven een vloeistofdichte vloer of verharding.</w:t>
      </w:r>
    </w:p>
    <w:p w:rsidR="005260D0" w:rsidRDefault="005260D0" w:rsidP="005260D0">
      <w:pPr>
        <w:pStyle w:val="art1enivo"/>
        <w:shd w:val="clear" w:color="auto" w:fill="D9D9D9" w:themeFill="background1" w:themeFillShade="D9"/>
        <w:suppressAutoHyphens/>
        <w:rPr>
          <w:rFonts w:cs="Arial"/>
        </w:rPr>
      </w:pPr>
      <w:r>
        <w:rPr>
          <w:rFonts w:cs="Arial"/>
        </w:rPr>
        <w:t>3.</w:t>
      </w:r>
      <w:r>
        <w:rPr>
          <w:rFonts w:cs="Arial"/>
        </w:rPr>
        <w:tab/>
        <w:t>In afwijking van het tweede lid vindt de opslag plaats boven een bodembeschermende voorziening indien deze zodanig tegen inregenen is beschermd dat uitlogen wordt voorkomen.</w:t>
      </w:r>
    </w:p>
    <w:p w:rsidR="005260D0" w:rsidRDefault="005260D0" w:rsidP="005260D0">
      <w:pPr>
        <w:pStyle w:val="art1enivo"/>
        <w:shd w:val="clear" w:color="auto" w:fill="D9D9D9" w:themeFill="background1" w:themeFillShade="D9"/>
        <w:suppressAutoHyphens/>
        <w:rPr>
          <w:rFonts w:cs="Arial"/>
        </w:rPr>
      </w:pPr>
      <w:r>
        <w:rPr>
          <w:rFonts w:cs="Arial"/>
        </w:rPr>
        <w:t>4.</w:t>
      </w:r>
      <w:r>
        <w:rPr>
          <w:rFonts w:cs="Arial"/>
        </w:rPr>
        <w:tab/>
        <w:t>In afwijking van het tweede lid vindt de opslag van zink plaats boven een bodembeschermende voorziening, indien opslag overeenkomstig het derde lid redelijkerwijs niet mogelijk is.</w:t>
      </w:r>
    </w:p>
    <w:p w:rsidR="005260D0" w:rsidRDefault="005260D0" w:rsidP="005260D0">
      <w:pPr>
        <w:pStyle w:val="art1enivo"/>
        <w:shd w:val="clear" w:color="auto" w:fill="D9D9D9" w:themeFill="background1" w:themeFillShade="D9"/>
        <w:suppressAutoHyphens/>
        <w:rPr>
          <w:rFonts w:cs="Arial"/>
        </w:rPr>
      </w:pPr>
      <w:r>
        <w:rPr>
          <w:rFonts w:cs="Arial"/>
        </w:rPr>
        <w:t>5.</w:t>
      </w:r>
      <w:r>
        <w:rPr>
          <w:rFonts w:cs="Arial"/>
        </w:rPr>
        <w:tab/>
        <w:t>Het bevoegd gezag kan bij maatwerkvoorschrift bepalen dat voor de opslag van andere metalen dan zink het tweede lid niet van toepassing is, indien opslag conform het derde lid redelijkerwijs niet mogelijk is, de opslag plaatsvindt boven een bodembeschermende voorziening, en het belang van de bescherming van het milieu zich daartegen niet verzet.</w:t>
      </w:r>
    </w:p>
    <w:p w:rsidR="005260D0" w:rsidRDefault="005260D0" w:rsidP="005260D0">
      <w:pPr>
        <w:pStyle w:val="art1enivo"/>
        <w:shd w:val="clear" w:color="auto" w:fill="D9D9D9" w:themeFill="background1" w:themeFillShade="D9"/>
        <w:suppressAutoHyphens/>
        <w:rPr>
          <w:rFonts w:cs="Arial"/>
        </w:rPr>
      </w:pPr>
      <w:r>
        <w:rPr>
          <w:rFonts w:cs="Arial"/>
        </w:rPr>
        <w:t>6.</w:t>
      </w:r>
      <w:r>
        <w:rPr>
          <w:rFonts w:cs="Arial"/>
        </w:rPr>
        <w:tab/>
        <w:t>C-hout met KOMO-certificaat, grond en niet verpompbare baggerspecie, bedoeld en geschikt voor toepassing overeenkomstig het Besluit bodemkwaliteit, die ter plaatse van de opslag niet voldoen aan de artikelen 52, 59 of 60 van dat besluit, worden opgeslagen boven een bodembeschermende voorziening.</w:t>
      </w:r>
    </w:p>
    <w:p w:rsidR="005260D0" w:rsidRDefault="005260D0" w:rsidP="005260D0">
      <w:pPr>
        <w:pStyle w:val="art1enivo"/>
        <w:shd w:val="clear" w:color="auto" w:fill="D9D9D9" w:themeFill="background1" w:themeFillShade="D9"/>
        <w:suppressAutoHyphens/>
        <w:rPr>
          <w:rFonts w:cs="Arial"/>
        </w:rPr>
      </w:pPr>
      <w:r>
        <w:rPr>
          <w:rFonts w:cs="Arial"/>
        </w:rPr>
        <w:t>7.</w:t>
      </w:r>
      <w:r>
        <w:rPr>
          <w:rFonts w:cs="Arial"/>
        </w:rPr>
        <w:tab/>
        <w:t>Verpompbare baggerspecie, bedoeld en geschikt voor toepassing overeenkomstig het Besluit bodemkwaliteit, die ter plaatse van de opslag niet voldoet aan de artikelen 52, 59 of 60 van het Besluit bodemkwaliteit wordt opgeslagen in een foliebassin.</w:t>
      </w:r>
    </w:p>
    <w:p w:rsidR="005260D0" w:rsidRDefault="005260D0" w:rsidP="005260D0">
      <w:pPr>
        <w:pStyle w:val="art1enivo"/>
        <w:shd w:val="clear" w:color="auto" w:fill="D9D9D9" w:themeFill="background1" w:themeFillShade="D9"/>
        <w:suppressAutoHyphens/>
        <w:rPr>
          <w:rFonts w:cs="Arial"/>
        </w:rPr>
      </w:pPr>
      <w:r>
        <w:rPr>
          <w:rFonts w:cs="Arial"/>
        </w:rPr>
        <w:t>8.</w:t>
      </w:r>
      <w:r>
        <w:rPr>
          <w:rFonts w:cs="Arial"/>
        </w:rPr>
        <w:tab/>
        <w:t>Op het opslaan, bedoeld in het zevende lid, zijn de artikelen 3.68 en 3.69 van overeenkomstige toepassing.</w:t>
      </w:r>
    </w:p>
    <w:p w:rsidR="005260D0" w:rsidRDefault="005260D0" w:rsidP="005260D0">
      <w:pPr>
        <w:pStyle w:val="artikelkop"/>
        <w:shd w:val="clear" w:color="auto" w:fill="D9D9D9" w:themeFill="background1" w:themeFillShade="D9"/>
      </w:pPr>
      <w:r>
        <w:t xml:space="preserve">Artikel 3.44 </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Voor de toepassing van paragraaf 3.4.3 van het besluit en de artikelen 3.42 en 3.43 worden als goederen waaruit vloeibare bodembedreigende stoffen kunnen lekken, in ieder geval aangemerkt:</w:t>
      </w:r>
    </w:p>
    <w:p w:rsidR="005260D0" w:rsidRDefault="005260D0" w:rsidP="005260D0">
      <w:pPr>
        <w:pStyle w:val="art2enivo"/>
        <w:shd w:val="clear" w:color="auto" w:fill="D9D9D9" w:themeFill="background1" w:themeFillShade="D9"/>
        <w:suppressAutoHyphens/>
        <w:rPr>
          <w:rFonts w:cs="Arial"/>
        </w:rPr>
      </w:pPr>
      <w:r>
        <w:rPr>
          <w:rFonts w:cs="Arial"/>
        </w:rPr>
        <w:t>a.</w:t>
      </w:r>
      <w:r>
        <w:rPr>
          <w:rFonts w:cs="Arial"/>
        </w:rPr>
        <w:tab/>
        <w:t>nat afval van het vegen van openbare straten en terreinen, markten en evenementen;</w:t>
      </w:r>
    </w:p>
    <w:p w:rsidR="005260D0" w:rsidRDefault="005260D0" w:rsidP="005260D0">
      <w:pPr>
        <w:pStyle w:val="art2enivo"/>
        <w:shd w:val="clear" w:color="auto" w:fill="D9D9D9" w:themeFill="background1" w:themeFillShade="D9"/>
        <w:suppressAutoHyphens/>
        <w:rPr>
          <w:rFonts w:cs="Arial"/>
        </w:rPr>
      </w:pPr>
      <w:r>
        <w:rPr>
          <w:rFonts w:cs="Arial"/>
        </w:rPr>
        <w:t>b.</w:t>
      </w:r>
      <w:r>
        <w:rPr>
          <w:rFonts w:cs="Arial"/>
        </w:rPr>
        <w:tab/>
        <w:t>nat afval van het legen van openbare afvalbakken en het opruimen van stranden;</w:t>
      </w:r>
    </w:p>
    <w:p w:rsidR="005260D0" w:rsidRDefault="005260D0" w:rsidP="005260D0">
      <w:pPr>
        <w:pStyle w:val="art2enivo"/>
        <w:shd w:val="clear" w:color="auto" w:fill="D9D9D9" w:themeFill="background1" w:themeFillShade="D9"/>
        <w:suppressAutoHyphens/>
        <w:rPr>
          <w:rFonts w:cs="Arial"/>
        </w:rPr>
      </w:pPr>
      <w:r>
        <w:rPr>
          <w:rFonts w:cs="Arial"/>
        </w:rPr>
        <w:t>c.</w:t>
      </w:r>
      <w:r>
        <w:rPr>
          <w:rFonts w:cs="Arial"/>
        </w:rPr>
        <w:tab/>
        <w:t>afval van het reinigen van havens, kanalen, sloten, grachten en vijvers;</w:t>
      </w:r>
    </w:p>
    <w:p w:rsidR="005260D0" w:rsidRDefault="005260D0" w:rsidP="005260D0">
      <w:pPr>
        <w:pStyle w:val="art2enivo"/>
        <w:shd w:val="clear" w:color="auto" w:fill="D9D9D9" w:themeFill="background1" w:themeFillShade="D9"/>
        <w:suppressAutoHyphens/>
        <w:rPr>
          <w:rFonts w:cs="Arial"/>
        </w:rPr>
      </w:pPr>
      <w:r>
        <w:rPr>
          <w:rFonts w:cs="Arial"/>
        </w:rPr>
        <w:t>d.</w:t>
      </w:r>
      <w:r>
        <w:rPr>
          <w:rFonts w:cs="Arial"/>
        </w:rPr>
        <w:tab/>
        <w:t>afval van het reinigen van riolen, kolken en gemalen;</w:t>
      </w:r>
    </w:p>
    <w:p w:rsidR="005260D0" w:rsidRDefault="005260D0" w:rsidP="005260D0">
      <w:pPr>
        <w:pStyle w:val="art2enivo"/>
        <w:shd w:val="clear" w:color="auto" w:fill="D9D9D9" w:themeFill="background1" w:themeFillShade="D9"/>
        <w:suppressAutoHyphens/>
        <w:rPr>
          <w:rFonts w:cs="Arial"/>
        </w:rPr>
      </w:pPr>
      <w:r>
        <w:rPr>
          <w:rFonts w:cs="Arial"/>
        </w:rPr>
        <w:t>e.</w:t>
      </w:r>
      <w:r>
        <w:rPr>
          <w:rFonts w:cs="Arial"/>
        </w:rPr>
        <w:tab/>
        <w:t>autowrakken of wrakken van tweewielige motorvoertuigen die vloeistoffen bevatten;</w:t>
      </w:r>
    </w:p>
    <w:p w:rsidR="005260D0" w:rsidRDefault="005260D0" w:rsidP="005260D0">
      <w:pPr>
        <w:pStyle w:val="art2enivo"/>
        <w:shd w:val="clear" w:color="auto" w:fill="D9D9D9" w:themeFill="background1" w:themeFillShade="D9"/>
        <w:suppressAutoHyphens/>
        <w:rPr>
          <w:rFonts w:cs="Arial"/>
        </w:rPr>
      </w:pPr>
      <w:r>
        <w:rPr>
          <w:rFonts w:cs="Arial"/>
        </w:rPr>
        <w:t>f.</w:t>
      </w:r>
      <w:r>
        <w:rPr>
          <w:rFonts w:cs="Arial"/>
        </w:rPr>
        <w:tab/>
        <w:t>onderdelen van autowrakken of wrakken van tweewielige motorvoertuigen die vloeistoffen bevatten;</w:t>
      </w:r>
    </w:p>
    <w:p w:rsidR="005260D0" w:rsidRDefault="005260D0" w:rsidP="005260D0">
      <w:pPr>
        <w:pStyle w:val="art2enivo"/>
        <w:shd w:val="clear" w:color="auto" w:fill="D9D9D9" w:themeFill="background1" w:themeFillShade="D9"/>
        <w:suppressAutoHyphens/>
        <w:rPr>
          <w:rFonts w:cs="Arial"/>
        </w:rPr>
      </w:pPr>
      <w:r>
        <w:rPr>
          <w:rFonts w:cs="Arial"/>
        </w:rPr>
        <w:t>g.</w:t>
      </w:r>
      <w:r>
        <w:rPr>
          <w:rFonts w:cs="Arial"/>
        </w:rPr>
        <w:tab/>
        <w:t>van buiten de inrichting afkomstige grond of baggerspecie waarvan de kwaliteit niet is vastgesteld op grond van artikel 38 van het Besluit bodemkwaliteit;</w:t>
      </w:r>
    </w:p>
    <w:p w:rsidR="005260D0" w:rsidRDefault="005260D0" w:rsidP="005260D0">
      <w:pPr>
        <w:pStyle w:val="art2enivo"/>
        <w:shd w:val="clear" w:color="auto" w:fill="D9D9D9" w:themeFill="background1" w:themeFillShade="D9"/>
        <w:suppressAutoHyphens/>
        <w:rPr>
          <w:rFonts w:cs="Arial"/>
        </w:rPr>
      </w:pPr>
      <w:r>
        <w:rPr>
          <w:rFonts w:cs="Arial"/>
        </w:rPr>
        <w:t>h.</w:t>
      </w:r>
      <w:r>
        <w:rPr>
          <w:rFonts w:cs="Arial"/>
        </w:rPr>
        <w:tab/>
        <w:t>van buiten de inrichting afkomstige grond of baggerspecie waarvan de kwaliteit de waarden, bedoeld in de artikelen 59 en 60, van het Besluit bodemkwaliteit overschrijdt, tenzij die ter plaatse van de opslag voldoet aan artikel 52 van dat besluit;</w:t>
      </w:r>
    </w:p>
    <w:p w:rsidR="005260D0" w:rsidRDefault="005260D0" w:rsidP="005260D0">
      <w:pPr>
        <w:pStyle w:val="art2enivo"/>
        <w:shd w:val="clear" w:color="auto" w:fill="D9D9D9" w:themeFill="background1" w:themeFillShade="D9"/>
        <w:suppressAutoHyphens/>
        <w:rPr>
          <w:rFonts w:cs="Arial"/>
        </w:rPr>
      </w:pPr>
      <w:r>
        <w:rPr>
          <w:rFonts w:cs="Arial"/>
        </w:rPr>
        <w:t>i.</w:t>
      </w:r>
      <w:r>
        <w:rPr>
          <w:rFonts w:cs="Arial"/>
        </w:rPr>
        <w:tab/>
        <w:t>afgedankte elektrische en elektronische apparatuur, waaruit vloeibare bodembedreigende stoffen kunnen lekken, uitgezonderd de apparatuur van particuliere huishoudens, bedoeld in artikel 1, eerste lid, onderdeel c, van de Regeling afgedankte elektrische en elektronische apparatuur die overeenkomstig de artikelen 4 en 5 van die regeling is ingenomen;</w:t>
      </w:r>
    </w:p>
    <w:p w:rsidR="005260D0" w:rsidRDefault="005260D0" w:rsidP="005260D0">
      <w:pPr>
        <w:pStyle w:val="art2enivo"/>
        <w:shd w:val="clear" w:color="auto" w:fill="D9D9D9" w:themeFill="background1" w:themeFillShade="D9"/>
        <w:suppressAutoHyphens/>
        <w:rPr>
          <w:rFonts w:cs="Arial"/>
        </w:rPr>
      </w:pPr>
      <w:r>
        <w:rPr>
          <w:rFonts w:cs="Arial"/>
        </w:rPr>
        <w:t>j.</w:t>
      </w:r>
      <w:r>
        <w:rPr>
          <w:rFonts w:cs="Arial"/>
        </w:rPr>
        <w:tab/>
        <w:t xml:space="preserve">metalen met aanhangende olie of emulsie voorafgaand aan en tijdens scheiding; </w:t>
      </w:r>
    </w:p>
    <w:p w:rsidR="005260D0" w:rsidRDefault="005260D0" w:rsidP="005260D0">
      <w:pPr>
        <w:pStyle w:val="art2enivo"/>
        <w:shd w:val="clear" w:color="auto" w:fill="D9D9D9" w:themeFill="background1" w:themeFillShade="D9"/>
        <w:suppressAutoHyphens/>
        <w:rPr>
          <w:rFonts w:cs="Arial"/>
        </w:rPr>
      </w:pPr>
      <w:r>
        <w:rPr>
          <w:rFonts w:cs="Arial"/>
        </w:rPr>
        <w:t>k.</w:t>
      </w:r>
      <w:r>
        <w:rPr>
          <w:rFonts w:cs="Arial"/>
        </w:rPr>
        <w:tab/>
        <w:t>gebruikte oliefilters, oliehoudende poetsdoeken en gebruikt absorptiemateriaal;</w:t>
      </w:r>
    </w:p>
    <w:p w:rsidR="005260D0" w:rsidRDefault="005260D0" w:rsidP="005260D0">
      <w:pPr>
        <w:pStyle w:val="art2enivo"/>
        <w:shd w:val="clear" w:color="auto" w:fill="D9D9D9" w:themeFill="background1" w:themeFillShade="D9"/>
        <w:suppressAutoHyphens/>
        <w:rPr>
          <w:rFonts w:cs="Arial"/>
        </w:rPr>
      </w:pPr>
      <w:r>
        <w:rPr>
          <w:rFonts w:cs="Arial"/>
        </w:rPr>
        <w:t>l.</w:t>
      </w:r>
      <w:r>
        <w:rPr>
          <w:rFonts w:cs="Arial"/>
        </w:rPr>
        <w:tab/>
        <w:t>gebruikte oliedrukkabels;</w:t>
      </w:r>
    </w:p>
    <w:p w:rsidR="005260D0" w:rsidRDefault="005260D0" w:rsidP="005260D0">
      <w:pPr>
        <w:pStyle w:val="art2enivo"/>
        <w:shd w:val="clear" w:color="auto" w:fill="D9D9D9" w:themeFill="background1" w:themeFillShade="D9"/>
        <w:suppressAutoHyphens/>
        <w:rPr>
          <w:rFonts w:cs="Arial"/>
        </w:rPr>
      </w:pPr>
      <w:r>
        <w:rPr>
          <w:rFonts w:cs="Arial"/>
        </w:rPr>
        <w:t>m.</w:t>
      </w:r>
      <w:r>
        <w:rPr>
          <w:rFonts w:cs="Arial"/>
        </w:rPr>
        <w:tab/>
        <w:t>beschadigde transformatoren en uitgelekte transformatoren;</w:t>
      </w:r>
    </w:p>
    <w:p w:rsidR="005260D0" w:rsidRDefault="005260D0" w:rsidP="005260D0">
      <w:pPr>
        <w:pStyle w:val="art2enivo"/>
        <w:shd w:val="clear" w:color="auto" w:fill="D9D9D9" w:themeFill="background1" w:themeFillShade="D9"/>
        <w:suppressAutoHyphens/>
        <w:rPr>
          <w:rFonts w:cs="Arial"/>
        </w:rPr>
      </w:pPr>
      <w:r>
        <w:rPr>
          <w:rFonts w:cs="Arial"/>
        </w:rPr>
        <w:t>n.</w:t>
      </w:r>
      <w:r>
        <w:rPr>
          <w:rFonts w:cs="Arial"/>
        </w:rPr>
        <w:tab/>
        <w:t>beschadigde oliehoudende apparaten;</w:t>
      </w:r>
    </w:p>
    <w:p w:rsidR="005260D0" w:rsidRDefault="005260D0" w:rsidP="005260D0">
      <w:pPr>
        <w:pStyle w:val="art2enivo"/>
        <w:shd w:val="clear" w:color="auto" w:fill="D9D9D9" w:themeFill="background1" w:themeFillShade="D9"/>
        <w:suppressAutoHyphens/>
        <w:rPr>
          <w:rFonts w:cs="Arial"/>
        </w:rPr>
      </w:pPr>
      <w:r>
        <w:rPr>
          <w:rFonts w:cs="Arial"/>
        </w:rPr>
        <w:t>o.</w:t>
      </w:r>
      <w:r>
        <w:rPr>
          <w:rFonts w:cs="Arial"/>
        </w:rPr>
        <w:tab/>
        <w:t>betonproducten in bekisting, waaruit ontkistingsmiddelen kunnen lekken.</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Voor de toepassing van artikel 3.43 worden onder goederen waaruit een significante hoeveelheid bodembedreigende stoffen kunnen uitlogen, in ieder geval verstaan:</w:t>
      </w:r>
    </w:p>
    <w:p w:rsidR="005260D0" w:rsidRDefault="005260D0" w:rsidP="005260D0">
      <w:pPr>
        <w:pStyle w:val="art2enivo"/>
        <w:shd w:val="clear" w:color="auto" w:fill="D9D9D9" w:themeFill="background1" w:themeFillShade="D9"/>
        <w:suppressAutoHyphens/>
        <w:rPr>
          <w:rFonts w:cs="Arial"/>
        </w:rPr>
      </w:pPr>
      <w:r>
        <w:rPr>
          <w:rFonts w:cs="Arial"/>
        </w:rPr>
        <w:t>a.</w:t>
      </w:r>
      <w:r>
        <w:rPr>
          <w:rFonts w:cs="Arial"/>
        </w:rPr>
        <w:tab/>
        <w:t>IBC-bouwstoffen als bedoeld in artikel 1 van het Besluit bodemkwaliteit;</w:t>
      </w:r>
    </w:p>
    <w:p w:rsidR="005260D0" w:rsidRDefault="005260D0" w:rsidP="005260D0">
      <w:pPr>
        <w:pStyle w:val="art2enivo"/>
        <w:shd w:val="clear" w:color="auto" w:fill="D9D9D9" w:themeFill="background1" w:themeFillShade="D9"/>
        <w:suppressAutoHyphens/>
        <w:rPr>
          <w:rFonts w:cs="Arial"/>
        </w:rPr>
      </w:pPr>
      <w:r>
        <w:rPr>
          <w:rFonts w:cs="Arial"/>
        </w:rPr>
        <w:t>b.</w:t>
      </w:r>
      <w:r>
        <w:rPr>
          <w:rFonts w:cs="Arial"/>
        </w:rPr>
        <w:tab/>
        <w:t>metalen met aanhangende olie of emulsie resterende na afscheiden van de olie of emulsie door centrifugeren of 48 uur uitlekken;</w:t>
      </w:r>
    </w:p>
    <w:p w:rsidR="005260D0" w:rsidRDefault="005260D0" w:rsidP="005260D0">
      <w:pPr>
        <w:pStyle w:val="art2enivo"/>
        <w:shd w:val="clear" w:color="auto" w:fill="D9D9D9" w:themeFill="background1" w:themeFillShade="D9"/>
        <w:suppressAutoHyphens/>
        <w:rPr>
          <w:rFonts w:cs="Arial"/>
        </w:rPr>
      </w:pPr>
      <w:r>
        <w:rPr>
          <w:rFonts w:cs="Arial"/>
        </w:rPr>
        <w:t>c.</w:t>
      </w:r>
      <w:r>
        <w:rPr>
          <w:rFonts w:cs="Arial"/>
        </w:rPr>
        <w:tab/>
        <w:t>andere metalen dan aluminium, ijzer en roestvrij staal;</w:t>
      </w:r>
    </w:p>
    <w:p w:rsidR="005260D0" w:rsidRDefault="005260D0" w:rsidP="005260D0">
      <w:pPr>
        <w:pStyle w:val="art2enivo"/>
        <w:shd w:val="clear" w:color="auto" w:fill="D9D9D9" w:themeFill="background1" w:themeFillShade="D9"/>
        <w:suppressAutoHyphens/>
        <w:rPr>
          <w:rFonts w:cs="Arial"/>
        </w:rPr>
      </w:pPr>
      <w:r>
        <w:rPr>
          <w:rFonts w:cs="Arial"/>
        </w:rPr>
        <w:t>d.</w:t>
      </w:r>
      <w:r>
        <w:rPr>
          <w:rFonts w:cs="Arial"/>
        </w:rPr>
        <w:tab/>
        <w:t xml:space="preserve">teerhoudend dakafval; </w:t>
      </w:r>
    </w:p>
    <w:p w:rsidR="005260D0" w:rsidRDefault="005260D0" w:rsidP="005260D0">
      <w:pPr>
        <w:pStyle w:val="art2enivo"/>
        <w:shd w:val="clear" w:color="auto" w:fill="D9D9D9" w:themeFill="background1" w:themeFillShade="D9"/>
        <w:suppressAutoHyphens/>
        <w:rPr>
          <w:rFonts w:cs="Arial"/>
        </w:rPr>
      </w:pPr>
      <w:r>
        <w:rPr>
          <w:rFonts w:cs="Arial"/>
        </w:rPr>
        <w:t>e.</w:t>
      </w:r>
      <w:r>
        <w:rPr>
          <w:rFonts w:cs="Arial"/>
        </w:rPr>
        <w:tab/>
        <w:t>composieten van teerhoudend dakafval;</w:t>
      </w:r>
    </w:p>
    <w:p w:rsidR="005260D0" w:rsidRDefault="005260D0" w:rsidP="005260D0">
      <w:pPr>
        <w:pStyle w:val="art2enivo"/>
        <w:shd w:val="clear" w:color="auto" w:fill="D9D9D9" w:themeFill="background1" w:themeFillShade="D9"/>
        <w:suppressAutoHyphens/>
        <w:rPr>
          <w:rFonts w:cs="Arial"/>
        </w:rPr>
      </w:pPr>
      <w:r>
        <w:rPr>
          <w:rFonts w:cs="Arial"/>
        </w:rPr>
        <w:t>f.</w:t>
      </w:r>
      <w:r>
        <w:rPr>
          <w:rFonts w:cs="Arial"/>
        </w:rPr>
        <w:tab/>
        <w:t>dakgrind verkleefd met teer;</w:t>
      </w:r>
    </w:p>
    <w:p w:rsidR="005260D0" w:rsidRDefault="005260D0" w:rsidP="005260D0">
      <w:pPr>
        <w:pStyle w:val="art2enivo"/>
        <w:shd w:val="clear" w:color="auto" w:fill="D9D9D9" w:themeFill="background1" w:themeFillShade="D9"/>
        <w:suppressAutoHyphens/>
        <w:rPr>
          <w:rFonts w:cs="Arial"/>
        </w:rPr>
      </w:pPr>
      <w:r>
        <w:rPr>
          <w:rFonts w:cs="Arial"/>
        </w:rPr>
        <w:t>g.</w:t>
      </w:r>
      <w:r>
        <w:rPr>
          <w:rFonts w:cs="Arial"/>
        </w:rPr>
        <w:tab/>
        <w:t>strooizout;</w:t>
      </w:r>
    </w:p>
    <w:p w:rsidR="005260D0" w:rsidRDefault="005260D0" w:rsidP="005260D0">
      <w:pPr>
        <w:pStyle w:val="art2enivo"/>
        <w:shd w:val="clear" w:color="auto" w:fill="D9D9D9" w:themeFill="background1" w:themeFillShade="D9"/>
        <w:suppressAutoHyphens/>
        <w:rPr>
          <w:rFonts w:cs="Arial"/>
        </w:rPr>
      </w:pPr>
      <w:r>
        <w:rPr>
          <w:rFonts w:cs="Arial"/>
        </w:rPr>
        <w:t>h.</w:t>
      </w:r>
      <w:r>
        <w:rPr>
          <w:rFonts w:cs="Arial"/>
        </w:rPr>
        <w:tab/>
        <w:t>teerhoudend asfalt;</w:t>
      </w:r>
    </w:p>
    <w:p w:rsidR="005260D0" w:rsidRDefault="005260D0" w:rsidP="005260D0">
      <w:pPr>
        <w:pStyle w:val="art2enivo"/>
        <w:shd w:val="clear" w:color="auto" w:fill="D9D9D9" w:themeFill="background1" w:themeFillShade="D9"/>
        <w:suppressAutoHyphens/>
        <w:rPr>
          <w:rFonts w:cs="Arial"/>
        </w:rPr>
      </w:pPr>
      <w:r>
        <w:rPr>
          <w:rFonts w:cs="Arial"/>
        </w:rPr>
        <w:t>i.</w:t>
      </w:r>
      <w:r>
        <w:rPr>
          <w:rFonts w:cs="Arial"/>
        </w:rPr>
        <w:tab/>
        <w:t>straalgrit;</w:t>
      </w:r>
    </w:p>
    <w:p w:rsidR="005260D0" w:rsidRDefault="005260D0" w:rsidP="005260D0">
      <w:pPr>
        <w:pStyle w:val="art2enivo"/>
        <w:shd w:val="clear" w:color="auto" w:fill="D9D9D9" w:themeFill="background1" w:themeFillShade="D9"/>
        <w:suppressAutoHyphens/>
        <w:rPr>
          <w:rFonts w:cs="Arial"/>
        </w:rPr>
      </w:pPr>
      <w:r>
        <w:rPr>
          <w:rFonts w:cs="Arial"/>
        </w:rPr>
        <w:t>j.</w:t>
      </w:r>
      <w:r>
        <w:rPr>
          <w:rFonts w:cs="Arial"/>
        </w:rPr>
        <w:tab/>
        <w:t>geshredderd B- en C-hout;</w:t>
      </w:r>
    </w:p>
    <w:p w:rsidR="005260D0" w:rsidRDefault="005260D0" w:rsidP="005260D0">
      <w:pPr>
        <w:pStyle w:val="art2enivo"/>
        <w:shd w:val="clear" w:color="auto" w:fill="D9D9D9" w:themeFill="background1" w:themeFillShade="D9"/>
        <w:suppressAutoHyphens/>
        <w:rPr>
          <w:rFonts w:cs="Arial"/>
        </w:rPr>
      </w:pPr>
      <w:r>
        <w:rPr>
          <w:rFonts w:cs="Arial"/>
        </w:rPr>
        <w:t>k.</w:t>
      </w:r>
      <w:r>
        <w:rPr>
          <w:rFonts w:cs="Arial"/>
        </w:rPr>
        <w:tab/>
        <w:t>C-hout zonder KOMO-certificaat;</w:t>
      </w:r>
    </w:p>
    <w:p w:rsidR="005260D0" w:rsidRDefault="005260D0" w:rsidP="005260D0">
      <w:pPr>
        <w:pStyle w:val="art2enivo"/>
        <w:shd w:val="clear" w:color="auto" w:fill="D9D9D9" w:themeFill="background1" w:themeFillShade="D9"/>
        <w:suppressAutoHyphens/>
        <w:rPr>
          <w:rFonts w:cs="Arial"/>
        </w:rPr>
      </w:pPr>
      <w:r>
        <w:rPr>
          <w:rFonts w:cs="Arial"/>
        </w:rPr>
        <w:t>l.</w:t>
      </w:r>
      <w:r>
        <w:rPr>
          <w:rFonts w:cs="Arial"/>
        </w:rPr>
        <w:tab/>
        <w:t>gebruikte gepantserde papier-loodkabels;</w:t>
      </w:r>
    </w:p>
    <w:p w:rsidR="005260D0" w:rsidRDefault="005260D0" w:rsidP="005260D0">
      <w:pPr>
        <w:pStyle w:val="art2enivo"/>
        <w:shd w:val="clear" w:color="auto" w:fill="D9D9D9" w:themeFill="background1" w:themeFillShade="D9"/>
        <w:suppressAutoHyphens/>
        <w:rPr>
          <w:rFonts w:cs="Arial"/>
        </w:rPr>
      </w:pPr>
      <w:r>
        <w:rPr>
          <w:rFonts w:cs="Arial"/>
        </w:rPr>
        <w:t>m.</w:t>
      </w:r>
      <w:r>
        <w:rPr>
          <w:rFonts w:cs="Arial"/>
        </w:rPr>
        <w:tab/>
        <w:t>gebruikte papiergeïsoleerde grondkabels;</w:t>
      </w:r>
    </w:p>
    <w:p w:rsidR="005260D0" w:rsidRDefault="005260D0" w:rsidP="005260D0">
      <w:pPr>
        <w:pStyle w:val="art2enivo"/>
        <w:shd w:val="clear" w:color="auto" w:fill="D9D9D9" w:themeFill="background1" w:themeFillShade="D9"/>
        <w:suppressAutoHyphens/>
        <w:rPr>
          <w:rFonts w:cs="Arial"/>
        </w:rPr>
      </w:pPr>
      <w:r>
        <w:rPr>
          <w:rFonts w:cs="Arial"/>
        </w:rPr>
        <w:t>n.</w:t>
      </w:r>
      <w:r>
        <w:rPr>
          <w:rFonts w:cs="Arial"/>
        </w:rPr>
        <w:tab/>
        <w:t>droog afval van het vegen van openbare straten en terreinen, markten en evenementen;</w:t>
      </w:r>
    </w:p>
    <w:p w:rsidR="005260D0" w:rsidRDefault="005260D0" w:rsidP="005260D0">
      <w:pPr>
        <w:pStyle w:val="art2enivo"/>
        <w:shd w:val="clear" w:color="auto" w:fill="D9D9D9" w:themeFill="background1" w:themeFillShade="D9"/>
        <w:suppressAutoHyphens/>
        <w:rPr>
          <w:rFonts w:cs="Arial"/>
        </w:rPr>
      </w:pPr>
      <w:r>
        <w:rPr>
          <w:rFonts w:cs="Arial"/>
        </w:rPr>
        <w:t>o.</w:t>
      </w:r>
      <w:r>
        <w:rPr>
          <w:rFonts w:cs="Arial"/>
        </w:rPr>
        <w:tab/>
        <w:t>droog afval van het legen van openbare afvalbakken en het opruimen van stranden;</w:t>
      </w:r>
    </w:p>
    <w:p w:rsidR="005260D0" w:rsidRDefault="005260D0" w:rsidP="005260D0">
      <w:pPr>
        <w:pStyle w:val="art2enivo"/>
        <w:shd w:val="clear" w:color="auto" w:fill="D9D9D9" w:themeFill="background1" w:themeFillShade="D9"/>
        <w:suppressAutoHyphens/>
        <w:rPr>
          <w:rFonts w:cs="Arial"/>
        </w:rPr>
      </w:pPr>
      <w:r>
        <w:rPr>
          <w:rFonts w:cs="Arial"/>
        </w:rPr>
        <w:t>p.</w:t>
      </w:r>
      <w:r>
        <w:rPr>
          <w:rFonts w:cs="Arial"/>
        </w:rPr>
        <w:tab/>
        <w:t>restafval waarin vaste bodembedreigende stoffen die in een significante hoeveelheid kunnen uitlogen, kan voorkomen, tenzij toepassing is gegeven aan artikel 2.14b van het besluit of anderszins is geborgd dat dit deze stoffen niet bevat.</w:t>
      </w:r>
    </w:p>
    <w:p w:rsidR="005260D0" w:rsidRDefault="005260D0" w:rsidP="005260D0">
      <w:pPr>
        <w:pStyle w:val="artikelkop"/>
        <w:shd w:val="clear" w:color="auto" w:fill="D9D9D9" w:themeFill="background1" w:themeFillShade="D9"/>
      </w:pPr>
      <w:r>
        <w:t xml:space="preserve">Artikel 3.45 </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Artikel 2.11 van het besluit is niet van toepassing op het opslaan van grond en baggerspecie als bedoeld in artikel 35 van het Besluit bodemkwaliteit, voor zover het opslaan van grond en baggerspecie binnen de inrichting eenmalig plaatsvindt.</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Het eerste lid van artikel 2.11 van het besluit is niet van toepassing op het opslaan van grond en baggerspecie als bedoeld in artikel 35 van het Besluit bodemkwaliteit, voor zover het opslaan van grond en baggerspecie binnen de inrichting vaker dan eenmalig plaatsvindt.</w:t>
      </w:r>
    </w:p>
    <w:p w:rsidR="005260D0" w:rsidRDefault="005260D0" w:rsidP="005260D0">
      <w:pPr>
        <w:pStyle w:val="artikelkop"/>
        <w:shd w:val="clear" w:color="auto" w:fill="D9D9D9" w:themeFill="background1" w:themeFillShade="D9"/>
      </w:pPr>
      <w:r>
        <w:t xml:space="preserve">Artikel 3.46 </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Ten behoeve van het voorkomen dan wel beperken van geurhinder worden opgeslagen bederfelijke afvalstoffen voor zover het niet-houtachtige plantenresten betreft binnen 14 dagen na de aanvoer uit de inrichting afgevoerd, of verwerkt in een composteringsplaats.</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Dierlijke bijproducten die worden gebruikt voor activiteiten als bedoeld in artikel 17, eerste lid, en artikel 18, eerste en tweede lid, van Verordening (EG) nr. 1069/2009 van het Europees Parlement en de Raad van 21 oktober 2009 tot vaststelling van gezondheidsvoorschriften inzake niet voor menselijke consumptie bestemde dierlijke bijproducten en afgeleide producten en tot intrekking van Verordening (EG) nr. 1774/2002 (verordening dierlijke bijproducten) (PbEU L 2009, 300), worden opgeslagen in vaten of containers of in een afgesloten ruimte. Indien die dierlijke bijproducten niet binnen een werkdag worden verwerkt, worden ze bewaard bij een omgevingstemperatuur van ten hoogste 10°C.</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Het bevoegd gezag kan, indien blijkt dat de geurhinder een aanvaardbaar niveau overschrijdt vanwege de op- en overslag van niet-houtachtige plantenresten of dierlijke bijproducten, bedoeld in het tweede lid, bij maatwerkvoorschrift eisen stellen aan de locatie van de opslag, de afvoer- of verwerkingsfrequentie en de toegepaste opslagvoorzieningen.</w:t>
      </w:r>
    </w:p>
    <w:p w:rsidR="005260D0" w:rsidRDefault="005260D0" w:rsidP="005260D0">
      <w:pPr>
        <w:pStyle w:val="artikelkop"/>
        <w:shd w:val="clear" w:color="auto" w:fill="D9D9D9" w:themeFill="background1" w:themeFillShade="D9"/>
      </w:pPr>
      <w:r>
        <w:t>Artikel 3.47</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Aan artikel 3.32, aanhef en onder a en b, van het besluit wordt bij de buitenopslag van goederen behorend tot de stuifklasse S2 van bijlage 3 bij het besluit in ieder geval voldaan indien de stoffen door besproeiing vochtig worden gehouden.</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Aan artikel 3.38, tweede lid, van het besluit wordt bij opslag van goederen behorend tot de stuifklasse S1 en S2 van bijlage 3 bij het besluit in ieder geval voldaan indien afgezogen lucht door een filtrerende afscheider wordt gevoerd die in goede staat van onderhoud verkeert, periodiek gecontroleerd wordt en zo vaak als voor de goede werking nodig is, wordt schoongemaakt en vervangen.</w:t>
      </w:r>
    </w:p>
    <w:p w:rsidR="005260D0" w:rsidRDefault="005260D0" w:rsidP="005260D0">
      <w:pPr>
        <w:pStyle w:val="artikelkop"/>
        <w:shd w:val="clear" w:color="auto" w:fill="D9D9D9" w:themeFill="background1" w:themeFillShade="D9"/>
      </w:pPr>
      <w:r>
        <w:t xml:space="preserve">Artikel 3.48 </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Aan artikel 3.38, tweede lid, van het besluit wordt bij het mengen van goederen behorend tot de stuifklassen S1, S2, S3 of S4 van bijlage 3 bij het besluit in een gesloten ruimte in ieder geval voldaan indien de ruimte op onderdruk wordt gehouden en de afgezogen lucht door een filtrerende afscheider wordt gevoerd die in goede staat van onderhoud verkeert, periodiek gecontroleerd wordt en zo vaak als voor de goede werking nodig is, wordt schoongemaakt en vervangen.</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Aan artikel 3.32, aanhef en onder a en b, van het besluit wordt bij het mengen van goederen behorend tot de stuifklasse S2 en S4 van bijlage 3 bij het besluit in de buitenlucht in ieder geval voldaan indien bij het opbouwen en afgraven van een menghoop deze goederen worden bevochtigd.</w:t>
      </w:r>
    </w:p>
    <w:p w:rsidR="005260D0" w:rsidRDefault="005260D0" w:rsidP="005260D0">
      <w:pPr>
        <w:pStyle w:val="artikelkop"/>
        <w:shd w:val="clear" w:color="auto" w:fill="D9D9D9" w:themeFill="background1" w:themeFillShade="D9"/>
      </w:pPr>
      <w:r>
        <w:t xml:space="preserve">Artikel 3.49 </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Aan artikel 3.32, aanhef en onder a en b, van het besluit wordt bij overslag van stuifgevoelige goederen in ieder geval voldaan indien:</w:t>
      </w:r>
    </w:p>
    <w:p w:rsidR="005260D0" w:rsidRDefault="005260D0" w:rsidP="005260D0">
      <w:pPr>
        <w:pStyle w:val="art2enivo"/>
        <w:shd w:val="clear" w:color="auto" w:fill="D9D9D9" w:themeFill="background1" w:themeFillShade="D9"/>
        <w:suppressAutoHyphens/>
        <w:rPr>
          <w:rFonts w:cs="Arial"/>
        </w:rPr>
      </w:pPr>
      <w:r>
        <w:rPr>
          <w:rFonts w:cs="Arial"/>
        </w:rPr>
        <w:t>a.</w:t>
      </w:r>
      <w:r>
        <w:rPr>
          <w:rFonts w:cs="Arial"/>
        </w:rPr>
        <w:tab/>
        <w:t xml:space="preserve">bij het laden en lossen in de open lucht de storthoogte wordt beperkt tot minder dan één meter, </w:t>
      </w:r>
    </w:p>
    <w:p w:rsidR="005260D0" w:rsidRDefault="005260D0" w:rsidP="005260D0">
      <w:pPr>
        <w:pStyle w:val="art2enivo"/>
        <w:shd w:val="clear" w:color="auto" w:fill="D9D9D9" w:themeFill="background1" w:themeFillShade="D9"/>
        <w:suppressAutoHyphens/>
        <w:rPr>
          <w:rFonts w:cs="Arial"/>
        </w:rPr>
      </w:pPr>
      <w:r>
        <w:rPr>
          <w:rFonts w:cs="Arial"/>
        </w:rPr>
        <w:t>b.</w:t>
      </w:r>
      <w:r>
        <w:rPr>
          <w:rFonts w:cs="Arial"/>
        </w:rPr>
        <w:tab/>
        <w:t>goederen uit de stuifklasse S2 en S4 van bijlage 3 bij het besluit afdoende worden bevochtigd, zo mogelijk vooraf, of</w:t>
      </w:r>
    </w:p>
    <w:p w:rsidR="005260D0" w:rsidRDefault="005260D0" w:rsidP="005260D0">
      <w:pPr>
        <w:pStyle w:val="art2enivo"/>
        <w:shd w:val="clear" w:color="auto" w:fill="D9D9D9" w:themeFill="background1" w:themeFillShade="D9"/>
        <w:suppressAutoHyphens/>
        <w:rPr>
          <w:rFonts w:cs="Arial"/>
        </w:rPr>
      </w:pPr>
      <w:r>
        <w:rPr>
          <w:rFonts w:cs="Arial"/>
        </w:rPr>
        <w:t>c.</w:t>
      </w:r>
      <w:r>
        <w:rPr>
          <w:rFonts w:cs="Arial"/>
        </w:rPr>
        <w:tab/>
        <w:t>de stofemissie van goederen uit de stuifklasse S2 en S4 van bijlage 3 bij het besluit tijdens het laden en lossen met een nevelgordijn wordt tegengegaan.</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Aan artikel 3.38 van het besluit wordt bij het vullen van een gesloten opslagruimte met goederen behorend tot de stuifklasse S1 en S2 van bijlage 3 bij het besluit in ieder geval voldaan indien het overstortpunt en daarmee de ruimte worden afgezogen, en de afgezogen luchtstroom wordt gevoerd door een filtrerende afscheider die in goede staat van onderhoud verkeert, periodiek wordt gecontroleerd en zo vaak als voor de goede werking nodig is, wordt schoongemaakt en vervangen.</w:t>
      </w:r>
    </w:p>
    <w:p w:rsidR="005260D0" w:rsidRDefault="005260D0" w:rsidP="005260D0">
      <w:pPr>
        <w:pStyle w:val="artikelkop"/>
        <w:shd w:val="clear" w:color="auto" w:fill="D9D9D9" w:themeFill="background1" w:themeFillShade="D9"/>
      </w:pPr>
      <w:r>
        <w:t xml:space="preserve">Artikel 3.50 </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Onverminderd artikel 3.49 wordt aan de artikelen 3.38 en 3.32, aanhef en onder a en b, van het besluit bij continu mechanisch transport van goederen behorend tot stofklasse S1 en S3 van bijlage 3 bij het besluit in ieder geval voldaan indien deze in een gesloten systeem worden getransporteerd, waarbij:</w:t>
      </w:r>
    </w:p>
    <w:p w:rsidR="005260D0" w:rsidRDefault="005260D0" w:rsidP="005260D0">
      <w:pPr>
        <w:pStyle w:val="art2enivo"/>
        <w:shd w:val="clear" w:color="auto" w:fill="D9D9D9" w:themeFill="background1" w:themeFillShade="D9"/>
        <w:suppressAutoHyphens/>
        <w:rPr>
          <w:rFonts w:cs="Arial"/>
        </w:rPr>
      </w:pPr>
      <w:r>
        <w:rPr>
          <w:rFonts w:cs="Arial"/>
        </w:rPr>
        <w:t>a.</w:t>
      </w:r>
      <w:r>
        <w:rPr>
          <w:rFonts w:cs="Arial"/>
        </w:rPr>
        <w:tab/>
        <w:t>de inlaat- en afwerpzijde van de transporteur zijn omkast, deze omkasting continu wordt afgezogen en het afgezogen stof zoveel mogelijk wordt teruggevoerd in de productstroom, of</w:t>
      </w:r>
    </w:p>
    <w:p w:rsidR="005260D0" w:rsidRDefault="005260D0" w:rsidP="005260D0">
      <w:pPr>
        <w:pStyle w:val="art2enivo"/>
        <w:shd w:val="clear" w:color="auto" w:fill="D9D9D9" w:themeFill="background1" w:themeFillShade="D9"/>
        <w:suppressAutoHyphens/>
        <w:rPr>
          <w:rFonts w:cs="Arial"/>
        </w:rPr>
      </w:pPr>
      <w:r>
        <w:rPr>
          <w:rFonts w:cs="Arial"/>
        </w:rPr>
        <w:t>b.</w:t>
      </w:r>
      <w:r>
        <w:rPr>
          <w:rFonts w:cs="Arial"/>
        </w:rPr>
        <w:tab/>
        <w:t>de inlaat- en afwerpzijde van de transporteur zijn voorzien van een afscherming in de vorm van windreductieschermen of sproeiers.</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Onverminderd artikel 3.49 wordt aan de artikelen 3.38, tweede lid, van het besluit en 3.32, aanhef en onder a en b, van het besluit bij continu mechanisch transport van goederen behorend tot stuifklasse S2 en S4 van bijlage 3 bij het besluit in ieder geval voldaan indien:</w:t>
      </w:r>
    </w:p>
    <w:p w:rsidR="005260D0" w:rsidRDefault="005260D0" w:rsidP="005260D0">
      <w:pPr>
        <w:pStyle w:val="art2enivo"/>
        <w:shd w:val="clear" w:color="auto" w:fill="D9D9D9" w:themeFill="background1" w:themeFillShade="D9"/>
        <w:suppressAutoHyphens/>
        <w:rPr>
          <w:rFonts w:cs="Arial"/>
        </w:rPr>
      </w:pPr>
      <w:r>
        <w:rPr>
          <w:rFonts w:cs="Arial"/>
        </w:rPr>
        <w:t>a.</w:t>
      </w:r>
      <w:r>
        <w:rPr>
          <w:rFonts w:cs="Arial"/>
        </w:rPr>
        <w:tab/>
        <w:t>goederen die in een open systeem worden getransporteerd zodanig worden bevochtigd, dat verstuiving wordt voorkomen, of</w:t>
      </w:r>
    </w:p>
    <w:p w:rsidR="005260D0" w:rsidRDefault="005260D0" w:rsidP="005260D0">
      <w:pPr>
        <w:pStyle w:val="art2enivo"/>
        <w:shd w:val="clear" w:color="auto" w:fill="D9D9D9" w:themeFill="background1" w:themeFillShade="D9"/>
        <w:suppressAutoHyphens/>
        <w:rPr>
          <w:rFonts w:cs="Arial"/>
        </w:rPr>
      </w:pPr>
      <w:r>
        <w:rPr>
          <w:rFonts w:cs="Arial"/>
        </w:rPr>
        <w:t>b.</w:t>
      </w:r>
      <w:r>
        <w:rPr>
          <w:rFonts w:cs="Arial"/>
        </w:rPr>
        <w:tab/>
        <w:t>open transportsystemen in de buitenlucht worden afgeschermd tegen windinvloeden door middel van langsschermen, dwarsschermen of halfronde overkappingen.</w:t>
      </w:r>
    </w:p>
    <w:p w:rsidR="005260D0" w:rsidRDefault="005260D0" w:rsidP="005260D0">
      <w:pPr>
        <w:pStyle w:val="art1enivo"/>
        <w:shd w:val="clear" w:color="auto" w:fill="D9D9D9" w:themeFill="background1" w:themeFillShade="D9"/>
        <w:suppressAutoHyphens/>
        <w:rPr>
          <w:rFonts w:cs="Arial"/>
        </w:rPr>
      </w:pPr>
      <w:r>
        <w:rPr>
          <w:rFonts w:cs="Arial"/>
        </w:rPr>
        <w:t>3.</w:t>
      </w:r>
      <w:r>
        <w:rPr>
          <w:rFonts w:cs="Arial"/>
        </w:rPr>
        <w:tab/>
        <w:t>Onverminderd artikel 3.49 wordt aan de artikelen 3.38 en 3.32, aanhef en onder a en b, van het besluit bij continu mechanisch transport van goederen behorend tot stuifklasse S3 van bijlage 3 bij het besluit in ieder geval voldaan indien goederen in open transportsystemen in de buitenlucht worden afgeschermd tegen windinvloeden door middel van langsschermen, dwarsschermen of halfronde overkappingen.</w:t>
      </w:r>
    </w:p>
    <w:p w:rsidR="005260D0" w:rsidRDefault="005260D0" w:rsidP="005260D0">
      <w:pPr>
        <w:pStyle w:val="artikelkop"/>
        <w:shd w:val="clear" w:color="auto" w:fill="D9D9D9" w:themeFill="background1" w:themeFillShade="D9"/>
      </w:pPr>
      <w:r>
        <w:t xml:space="preserve">Artikel 3.51 </w:t>
      </w:r>
    </w:p>
    <w:p w:rsidR="005260D0" w:rsidRDefault="005260D0" w:rsidP="005260D0">
      <w:pPr>
        <w:pStyle w:val="artplat"/>
        <w:shd w:val="clear" w:color="auto" w:fill="D9D9D9" w:themeFill="background1" w:themeFillShade="D9"/>
        <w:suppressAutoHyphens/>
        <w:rPr>
          <w:rFonts w:cs="Arial"/>
        </w:rPr>
      </w:pPr>
      <w:r>
        <w:rPr>
          <w:rFonts w:cs="Arial"/>
        </w:rPr>
        <w:t>Onverminderd artikel 3.49 wordt aan de artikelen 3.38 en 3.32, aanhef en onder a en b, van het besluit bij het overslaan van goederen behorend tot:</w:t>
      </w:r>
    </w:p>
    <w:p w:rsidR="005260D0" w:rsidRDefault="005260D0" w:rsidP="005260D0">
      <w:pPr>
        <w:pStyle w:val="art1enivo"/>
        <w:shd w:val="clear" w:color="auto" w:fill="D9D9D9" w:themeFill="background1" w:themeFillShade="D9"/>
      </w:pPr>
      <w:r>
        <w:t>a.</w:t>
      </w:r>
      <w:r>
        <w:tab/>
        <w:t>stuifklasse S1 van bijlage 3 bij het besluit door middel van storttrechters in ieder geval voldaan indien de trechters zijn voorzien van een afzuiginrichting;</w:t>
      </w:r>
    </w:p>
    <w:p w:rsidR="005260D0" w:rsidRDefault="005260D0" w:rsidP="005260D0">
      <w:pPr>
        <w:pStyle w:val="art1enivo"/>
        <w:shd w:val="clear" w:color="auto" w:fill="D9D9D9" w:themeFill="background1" w:themeFillShade="D9"/>
      </w:pPr>
      <w:r>
        <w:t>b.</w:t>
      </w:r>
      <w:r>
        <w:tab/>
        <w:t>stuifklasse S2 van bijlage 3 bij het besluit door middel van storttrechters in ieder geval voldaan indien de trechters zijn voorzien van een afzuiginrichting, of indien de goederen worden bevochtigd met behulp van een doelmatig werkende watersproei-installatie;</w:t>
      </w:r>
    </w:p>
    <w:p w:rsidR="005260D0" w:rsidRDefault="005260D0" w:rsidP="005260D0">
      <w:pPr>
        <w:pStyle w:val="art1enivo"/>
        <w:shd w:val="clear" w:color="auto" w:fill="D9D9D9" w:themeFill="background1" w:themeFillShade="D9"/>
      </w:pPr>
      <w:r>
        <w:t>c.</w:t>
      </w:r>
      <w:r>
        <w:tab/>
        <w:t>stuifklasse S3 van bijlage 3 bij het besluit door middel van storttrechters in ieder geval voldaan indien de trechters zijn voorzien van doelmatige windreductieschermen;</w:t>
      </w:r>
    </w:p>
    <w:p w:rsidR="005260D0" w:rsidRDefault="005260D0" w:rsidP="005260D0">
      <w:pPr>
        <w:pStyle w:val="art1enivo"/>
        <w:shd w:val="clear" w:color="auto" w:fill="D9D9D9" w:themeFill="background1" w:themeFillShade="D9"/>
      </w:pPr>
      <w:r>
        <w:t>d.</w:t>
      </w:r>
      <w:r>
        <w:tab/>
        <w:t>stuifklasse S4 van bijlage 3 bij het besluit door middel van storttrechters in ieder geval voldaan indien de goederen worden bevochtigd met behulp van een doelmatig werkende watersproei-installatie of indien de trechters zijn voorzien van doelmatige windreductieschermen.</w:t>
      </w:r>
    </w:p>
    <w:p w:rsidR="005260D0" w:rsidRDefault="005260D0" w:rsidP="005260D0">
      <w:pPr>
        <w:pStyle w:val="artikelkop"/>
        <w:shd w:val="clear" w:color="auto" w:fill="D9D9D9" w:themeFill="background1" w:themeFillShade="D9"/>
      </w:pPr>
      <w:r>
        <w:t xml:space="preserve">Artikel 3.52 </w:t>
      </w:r>
    </w:p>
    <w:p w:rsidR="005260D0" w:rsidRDefault="005260D0" w:rsidP="005260D0">
      <w:pPr>
        <w:pStyle w:val="artplat"/>
        <w:shd w:val="clear" w:color="auto" w:fill="D9D9D9" w:themeFill="background1" w:themeFillShade="D9"/>
        <w:suppressAutoHyphens/>
        <w:rPr>
          <w:rFonts w:cs="Arial"/>
        </w:rPr>
      </w:pPr>
      <w:r>
        <w:rPr>
          <w:rFonts w:cs="Arial"/>
        </w:rPr>
        <w:t>Onverminderd artikel 3.49 wordt aan de artikelen 3.38 en 3.32, aanhef en onder a en b, van het besluit bij het laden en lossen van goederen behorend tot stuifklasse S1, S2 en S3 van bijlage 3 bij het besluit met behulp van grijpers in ieder geval voldaan indien het laden en lossen plaatsvindt met deugdelijke en van de bovenkant afgesloten grijpers.</w:t>
      </w:r>
    </w:p>
    <w:p w:rsidR="005260D0" w:rsidRDefault="005260D0" w:rsidP="005260D0">
      <w:pPr>
        <w:pStyle w:val="artikelkop"/>
        <w:shd w:val="clear" w:color="auto" w:fill="D9D9D9" w:themeFill="background1" w:themeFillShade="D9"/>
      </w:pPr>
      <w:r>
        <w:t xml:space="preserve">Artikel 3.53 </w:t>
      </w:r>
    </w:p>
    <w:p w:rsidR="005260D0" w:rsidRDefault="005260D0" w:rsidP="005260D0">
      <w:pPr>
        <w:pStyle w:val="artplat"/>
        <w:shd w:val="clear" w:color="auto" w:fill="D9D9D9" w:themeFill="background1" w:themeFillShade="D9"/>
        <w:suppressAutoHyphens/>
        <w:rPr>
          <w:rFonts w:cs="Arial"/>
        </w:rPr>
      </w:pPr>
      <w:r>
        <w:rPr>
          <w:rFonts w:cs="Arial"/>
        </w:rPr>
        <w:t>Onverminderd artikel 3.49 wordt aan de artikelen 3.38 en 3.32, aanhef en onder a en b, van het besluit bij het beladen en lossen van lichters met goederen behorend tot de stuifklasse S1, S2, S3 en S4 van bijlage 3 bij het besluit in ieder geval voldaan indien de lichterbelader is uitgerust met een stortkoker die nagenoeg tot op de bodem van het ruim of tot op het reeds gestorte materiaal reikt.</w:t>
      </w:r>
    </w:p>
    <w:p w:rsidR="005260D0" w:rsidRDefault="005260D0" w:rsidP="005260D0">
      <w:pPr>
        <w:pStyle w:val="artikelkop"/>
        <w:shd w:val="clear" w:color="auto" w:fill="D9D9D9" w:themeFill="background1" w:themeFillShade="D9"/>
      </w:pPr>
      <w:r>
        <w:t xml:space="preserve">Artikel 3.54 </w:t>
      </w:r>
    </w:p>
    <w:p w:rsidR="005260D0" w:rsidRDefault="005260D0" w:rsidP="005260D0">
      <w:pPr>
        <w:pStyle w:val="artplat"/>
        <w:shd w:val="clear" w:color="auto" w:fill="D9D9D9" w:themeFill="background1" w:themeFillShade="D9"/>
        <w:suppressAutoHyphens/>
        <w:rPr>
          <w:rFonts w:cs="Arial"/>
        </w:rPr>
      </w:pPr>
      <w:r>
        <w:rPr>
          <w:rFonts w:cs="Arial"/>
        </w:rPr>
        <w:t>Onverminderd artikel 3.49 wordt aan de artikelen 3.38 en 3.32, aanhef en onder a en b, van het besluit bij het laden en lossen van stuifgevoelige goederen met behulp van pneumatische elevatoren in ieder geval voldaan indien stofverspreiding wordt tegengegaan door:</w:t>
      </w:r>
    </w:p>
    <w:p w:rsidR="005260D0" w:rsidRDefault="005260D0" w:rsidP="005260D0">
      <w:pPr>
        <w:pStyle w:val="art1enivo"/>
        <w:shd w:val="clear" w:color="auto" w:fill="D9D9D9" w:themeFill="background1" w:themeFillShade="D9"/>
      </w:pPr>
      <w:r>
        <w:t>a.</w:t>
      </w:r>
      <w:r>
        <w:tab/>
        <w:t>de weegbunkers en overstortpunten gesloten uit te voeren,</w:t>
      </w:r>
    </w:p>
    <w:p w:rsidR="005260D0" w:rsidRDefault="005260D0" w:rsidP="005260D0">
      <w:pPr>
        <w:pStyle w:val="art1enivo"/>
        <w:shd w:val="clear" w:color="auto" w:fill="D9D9D9" w:themeFill="background1" w:themeFillShade="D9"/>
      </w:pPr>
      <w:r>
        <w:t>b.</w:t>
      </w:r>
      <w:r>
        <w:tab/>
        <w:t>het neergeslagen stof in de overstortpunten regelmatig te verwijderen, of</w:t>
      </w:r>
    </w:p>
    <w:p w:rsidR="005260D0" w:rsidRDefault="005260D0" w:rsidP="005260D0">
      <w:pPr>
        <w:pStyle w:val="art1enivo"/>
        <w:shd w:val="clear" w:color="auto" w:fill="D9D9D9" w:themeFill="background1" w:themeFillShade="D9"/>
      </w:pPr>
      <w:r>
        <w:t>c.</w:t>
      </w:r>
      <w:r>
        <w:tab/>
        <w:t>de stortschoen af te zuigen.</w:t>
      </w:r>
    </w:p>
    <w:p w:rsidR="005260D0" w:rsidRDefault="005260D0" w:rsidP="005260D0">
      <w:pPr>
        <w:pStyle w:val="artikelkop"/>
        <w:shd w:val="clear" w:color="auto" w:fill="D9D9D9" w:themeFill="background1" w:themeFillShade="D9"/>
      </w:pPr>
      <w:r>
        <w:t xml:space="preserve">Artikel 3.55 </w:t>
      </w:r>
    </w:p>
    <w:p w:rsidR="005260D0" w:rsidRDefault="005260D0" w:rsidP="005260D0">
      <w:pPr>
        <w:pStyle w:val="art1enivo"/>
        <w:shd w:val="clear" w:color="auto" w:fill="D9D9D9" w:themeFill="background1" w:themeFillShade="D9"/>
        <w:suppressAutoHyphens/>
        <w:rPr>
          <w:rFonts w:cs="Arial"/>
        </w:rPr>
      </w:pPr>
      <w:r>
        <w:rPr>
          <w:rFonts w:cs="Arial"/>
        </w:rPr>
        <w:t>1.</w:t>
      </w:r>
      <w:r>
        <w:rPr>
          <w:rFonts w:cs="Arial"/>
        </w:rPr>
        <w:tab/>
        <w:t>Ten behoeve van het voorkomen dan wel beperken van diffuse emissie en het bevorderen van de doelmatige verspreiding van emissies naar de buitenlucht worden ten minste bij het inpandig opslaan en overslaan van stuifgevoelige goederen de emissies, bedoeld in artikel 3.38 van het besluit, die naar de buitenlucht worden afgevoerd, bovendaks en omhoog gericht afgevoerd, indien binnen 50 meter van een emissiepunt een gevoelig gebouw is gelegen, niet zijnde een gevoelig gebouw op een gezoneerd industrieterrein dan wel op een bedrijventerrein met minder dan één gevoelig gebouw per hectare.</w:t>
      </w:r>
    </w:p>
    <w:p w:rsidR="005260D0" w:rsidRDefault="005260D0" w:rsidP="005260D0">
      <w:pPr>
        <w:pStyle w:val="art1enivo"/>
        <w:shd w:val="clear" w:color="auto" w:fill="D9D9D9" w:themeFill="background1" w:themeFillShade="D9"/>
        <w:suppressAutoHyphens/>
        <w:rPr>
          <w:rFonts w:cs="Arial"/>
        </w:rPr>
      </w:pPr>
      <w:r>
        <w:rPr>
          <w:rFonts w:cs="Arial"/>
        </w:rPr>
        <w:t>2.</w:t>
      </w:r>
      <w:r>
        <w:rPr>
          <w:rFonts w:cs="Arial"/>
        </w:rPr>
        <w:tab/>
        <w:t>Het bevoegd gezag kan in het belang van de luchtkwaliteit en  maatwerkvoorschriften stellen met betrekking tot de ligging en uitvoering van het afvoerpunt van de emissies naar de lucht, bedoeld in artikel 3.38 van het besluit.</w:t>
      </w:r>
    </w:p>
    <w:p w:rsidR="005260D0" w:rsidRDefault="005260D0" w:rsidP="005260D0">
      <w:pPr>
        <w:pStyle w:val="artikelkop"/>
        <w:shd w:val="clear" w:color="auto" w:fill="D9D9D9" w:themeFill="background1" w:themeFillShade="D9"/>
        <w:rPr>
          <w:rFonts w:eastAsiaTheme="minorEastAsia"/>
          <w:lang w:eastAsia="nl-NL"/>
        </w:rPr>
      </w:pPr>
      <w:r>
        <w:rPr>
          <w:rFonts w:eastAsiaTheme="minorEastAsia"/>
          <w:lang w:eastAsia="nl-NL"/>
        </w:rPr>
        <w:t xml:space="preserve">Artikel 3.55a </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Ten behoeve van een doelmatig beheer van afvalstoffen als bedoeld in artikel 3.36, derde lid, van het besluit:</w:t>
      </w:r>
    </w:p>
    <w:p w:rsidR="005260D0" w:rsidRDefault="005260D0" w:rsidP="005260D0">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verricht een inrichting die overeenkomstig artikel 3.27f, vijfde lid, autowrakken opslaat, met betrekking tot die autowrakken geen demontagehandelingen of handelingen, waardoor de identiteit of de inhoud van de autowrakken niet meer herkenbaar is.</w:t>
      </w:r>
    </w:p>
    <w:p w:rsidR="005260D0" w:rsidRDefault="005260D0" w:rsidP="005260D0">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slaat een inrichting die overeenkomstig artikel 3.27f, vijfde lid, autowrakken opslaat, niet meer dan:</w:t>
      </w:r>
    </w:p>
    <w:p w:rsidR="005260D0" w:rsidRDefault="005260D0" w:rsidP="005260D0">
      <w:pPr>
        <w:pStyle w:val="art3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400 autowrakken op, indien de inrichting direct aan de kade is gelegen en de autowrakken via de kade worden vervoerd;</w:t>
      </w:r>
    </w:p>
    <w:p w:rsidR="005260D0" w:rsidRDefault="005260D0" w:rsidP="005260D0">
      <w:pPr>
        <w:pStyle w:val="art3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50 autowrakken op, indien de inrichting niet direct aan een kade is gelegen.</w:t>
      </w:r>
    </w:p>
    <w:p w:rsidR="005260D0" w:rsidRDefault="005260D0" w:rsidP="005260D0">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bevoegd gezag kan bij maatwerkvoorschrift een tijdelijke verhoging van de aantallen autowrakken, bedoeld in het eerste lid, onderdeel b, toestaan.</w:t>
      </w:r>
    </w:p>
    <w:p w:rsidR="00296032" w:rsidRPr="00620047" w:rsidRDefault="00296032">
      <w:pPr>
        <w:pStyle w:val="artplat"/>
        <w:rPr>
          <w:rFonts w:cs="Arial"/>
        </w:rPr>
      </w:pPr>
    </w:p>
    <w:p w:rsidR="00296032" w:rsidRPr="00296032" w:rsidRDefault="00296032">
      <w:pPr>
        <w:pStyle w:val="paragraaf"/>
        <w:rPr>
          <w:rFonts w:cs="Arial"/>
        </w:rPr>
      </w:pPr>
      <w:bookmarkStart w:id="115" w:name="_Toc431375607"/>
      <w:r w:rsidRPr="00296032">
        <w:rPr>
          <w:rFonts w:cs="Arial"/>
        </w:rPr>
        <w:t>§ 3.4.5 Opslaan van agrarische bedrijfsstoffen</w:t>
      </w:r>
      <w:bookmarkEnd w:id="115"/>
    </w:p>
    <w:p w:rsidR="00296032" w:rsidRPr="00296032" w:rsidRDefault="00296032">
      <w:pPr>
        <w:pStyle w:val="artikelkop"/>
        <w:rPr>
          <w:rFonts w:cs="Arial"/>
        </w:rPr>
      </w:pPr>
      <w:r w:rsidRPr="00296032">
        <w:rPr>
          <w:rFonts w:cs="Arial"/>
        </w:rPr>
        <w:t>Artikel 3.45</w:t>
      </w:r>
    </w:p>
    <w:p w:rsidR="00296032" w:rsidRPr="00620047" w:rsidRDefault="00296032">
      <w:pPr>
        <w:pStyle w:val="art1enivo"/>
        <w:rPr>
          <w:rFonts w:cs="Arial"/>
        </w:rPr>
      </w:pPr>
      <w:r w:rsidRPr="00620047">
        <w:rPr>
          <w:rFonts w:cs="Arial"/>
        </w:rPr>
        <w:t>1.</w:t>
      </w:r>
      <w:r w:rsidRPr="00620047">
        <w:rPr>
          <w:rFonts w:cs="Arial"/>
        </w:rPr>
        <w:tab/>
        <w:t>Deze paragraaf is van toepassing op het opslaan van agrarische bedrijfsstoffen met een totaal volume van meer dan 3 kubieke meter.</w:t>
      </w:r>
    </w:p>
    <w:p w:rsidR="00296032" w:rsidRPr="00620047" w:rsidRDefault="00296032">
      <w:pPr>
        <w:pStyle w:val="art1enivo"/>
        <w:rPr>
          <w:rFonts w:cs="Arial"/>
        </w:rPr>
      </w:pPr>
      <w:r w:rsidRPr="00620047">
        <w:rPr>
          <w:rFonts w:cs="Arial"/>
        </w:rPr>
        <w:t>2.</w:t>
      </w:r>
      <w:r w:rsidRPr="00620047">
        <w:rPr>
          <w:rFonts w:cs="Arial"/>
        </w:rPr>
        <w:tab/>
        <w:t>In afwijking van het eerste lid is deze paragraaf niet van toepassing op het opslaan van dierlijke meststoffen die niet verpompbaar zijn, met een totaal volume van meer dan 600 kubieke meter.</w:t>
      </w:r>
    </w:p>
    <w:p w:rsidR="00296032" w:rsidRPr="00296032" w:rsidRDefault="00296032">
      <w:pPr>
        <w:pStyle w:val="artikelkop"/>
        <w:rPr>
          <w:rFonts w:cs="Arial"/>
        </w:rPr>
      </w:pPr>
      <w:r w:rsidRPr="00296032">
        <w:rPr>
          <w:rFonts w:cs="Arial"/>
        </w:rPr>
        <w:t>Artikel 3.46</w:t>
      </w:r>
    </w:p>
    <w:p w:rsidR="00296032" w:rsidRPr="00620047" w:rsidRDefault="00296032">
      <w:pPr>
        <w:pStyle w:val="art1enivo"/>
        <w:rPr>
          <w:rFonts w:cs="Arial"/>
        </w:rPr>
      </w:pPr>
      <w:r w:rsidRPr="00620047">
        <w:rPr>
          <w:rFonts w:cs="Arial"/>
        </w:rPr>
        <w:t>1.</w:t>
      </w:r>
      <w:r w:rsidRPr="00620047">
        <w:rPr>
          <w:rFonts w:cs="Arial"/>
        </w:rPr>
        <w:tab/>
        <w:t>Het opslaan van agrarische bedrijfsstoffen vindt plaats op ten minste:</w:t>
      </w:r>
    </w:p>
    <w:p w:rsidR="00296032" w:rsidRPr="00620047" w:rsidRDefault="00296032">
      <w:pPr>
        <w:pStyle w:val="art2enivo"/>
        <w:rPr>
          <w:rFonts w:cs="Arial"/>
        </w:rPr>
      </w:pPr>
      <w:r w:rsidRPr="00620047">
        <w:rPr>
          <w:rFonts w:cs="Arial"/>
        </w:rPr>
        <w:t>a.</w:t>
      </w:r>
      <w:r w:rsidRPr="00620047">
        <w:rPr>
          <w:rFonts w:cs="Arial"/>
        </w:rPr>
        <w:tab/>
        <w:t>100 meter afstand tot een geurgevoelig object dat binnen de bebouwde kom is gelegen, of</w:t>
      </w:r>
    </w:p>
    <w:p w:rsidR="00296032" w:rsidRPr="00620047" w:rsidRDefault="00296032">
      <w:pPr>
        <w:pStyle w:val="art2enivo"/>
        <w:rPr>
          <w:rFonts w:cs="Arial"/>
        </w:rPr>
      </w:pPr>
      <w:r w:rsidRPr="00620047">
        <w:rPr>
          <w:rFonts w:cs="Arial"/>
        </w:rPr>
        <w:t>b.</w:t>
      </w:r>
      <w:r w:rsidRPr="00620047">
        <w:rPr>
          <w:rFonts w:cs="Arial"/>
        </w:rPr>
        <w:tab/>
        <w:t>50 meter afstand tot een geurgevoelig object dat buiten de bebouwde kom is gelegen.</w:t>
      </w:r>
    </w:p>
    <w:p w:rsidR="00296032" w:rsidRPr="00620047" w:rsidRDefault="00296032">
      <w:pPr>
        <w:pStyle w:val="art1enivo"/>
        <w:rPr>
          <w:rFonts w:cs="Arial"/>
        </w:rPr>
      </w:pPr>
      <w:r w:rsidRPr="00620047">
        <w:rPr>
          <w:rFonts w:cs="Arial"/>
        </w:rPr>
        <w:t>2.</w:t>
      </w:r>
      <w:r w:rsidRPr="00620047">
        <w:rPr>
          <w:rFonts w:cs="Arial"/>
        </w:rPr>
        <w:tab/>
        <w:t>Het eerste lid is niet van toepassing op het opslaan van agrarische bedrijfsstoffen, indien de plaats waar deze bedrijfsstoffen zijn opgeslagen, is gelegen binnen een van de afstanden genoemd in dat lid, het opslaan reeds voor 1 januari 2013 plaatsvond en verplaatsing van de opgeslagen bedrijfsstoffen redelijkerwijs niet kan worden gevergd.</w:t>
      </w:r>
    </w:p>
    <w:p w:rsidR="00296032" w:rsidRPr="00620047" w:rsidRDefault="00296032">
      <w:pPr>
        <w:pStyle w:val="art1enivo"/>
        <w:rPr>
          <w:rFonts w:cs="Arial"/>
        </w:rPr>
      </w:pPr>
      <w:r w:rsidRPr="00620047">
        <w:rPr>
          <w:rFonts w:cs="Arial"/>
        </w:rPr>
        <w:t>3.</w:t>
      </w:r>
      <w:r w:rsidRPr="00620047">
        <w:rPr>
          <w:rFonts w:cs="Arial"/>
        </w:rPr>
        <w:tab/>
        <w:t>Indien het tweede lid van toepassing is:</w:t>
      </w:r>
    </w:p>
    <w:p w:rsidR="00296032" w:rsidRPr="00620047" w:rsidRDefault="00296032">
      <w:pPr>
        <w:pStyle w:val="art2enivo"/>
      </w:pPr>
      <w:r w:rsidRPr="00620047">
        <w:t>a.</w:t>
      </w:r>
      <w:r w:rsidRPr="00620047">
        <w:tab/>
        <w:t>treft degene die de inrichting drijft maatregelen of voorzieningen die geurhinder voorkomen of tot een aanvaardbaar risico beperken, en</w:t>
      </w:r>
    </w:p>
    <w:p w:rsidR="00296032" w:rsidRPr="00620047" w:rsidRDefault="00296032">
      <w:pPr>
        <w:pStyle w:val="art2enivo"/>
      </w:pPr>
      <w:r w:rsidRPr="00620047">
        <w:t>b.</w:t>
      </w:r>
      <w:r w:rsidRPr="00620047">
        <w:tab/>
        <w:t>geeft degene die de inrichting drijft op verzoek van het bevoegd gezag aan welke maatregelen of voorzieningen hij daartoe heeft getroffen of zal treffen.</w:t>
      </w:r>
    </w:p>
    <w:p w:rsidR="00296032" w:rsidRPr="00620047" w:rsidRDefault="00296032">
      <w:pPr>
        <w:pStyle w:val="art1enivo"/>
        <w:rPr>
          <w:rFonts w:cs="Arial"/>
        </w:rPr>
      </w:pPr>
      <w:r w:rsidRPr="00620047">
        <w:rPr>
          <w:rFonts w:cs="Arial"/>
        </w:rPr>
        <w:t>4.</w:t>
      </w:r>
      <w:r w:rsidRPr="00620047">
        <w:rPr>
          <w:rFonts w:cs="Arial"/>
        </w:rPr>
        <w:tab/>
        <w:t>Het eerste lid is niet van toepassing op het opslaan van vaste dierlijke meststoffen die niet afkomstig zijn van landbouwhuisdieren. Het opslaan van vaste dierlijke meststoffen die niet afkomstig zijn van landbouwhuisdieren vindt plaats:</w:t>
      </w:r>
    </w:p>
    <w:p w:rsidR="00296032" w:rsidRPr="00620047" w:rsidRDefault="00296032">
      <w:pPr>
        <w:pStyle w:val="art2enivo"/>
      </w:pPr>
      <w:r w:rsidRPr="00620047">
        <w:t>a.</w:t>
      </w:r>
      <w:r w:rsidRPr="00620047">
        <w:tab/>
        <w:t>in een afgesloten voorziening voor een periode van ten hoogste twee weken, of</w:t>
      </w:r>
    </w:p>
    <w:p w:rsidR="00296032" w:rsidRPr="00620047" w:rsidRDefault="00296032">
      <w:pPr>
        <w:pStyle w:val="art2enivo"/>
      </w:pPr>
      <w:r w:rsidRPr="00620047">
        <w:t>b.</w:t>
      </w:r>
      <w:r w:rsidRPr="00620047">
        <w:tab/>
        <w:t>op ten minste 50 meter afstand tot een geurgevoelig object.</w:t>
      </w:r>
    </w:p>
    <w:p w:rsidR="00296032" w:rsidRPr="00620047" w:rsidRDefault="00296032">
      <w:pPr>
        <w:pStyle w:val="art1enivo"/>
        <w:rPr>
          <w:rFonts w:cs="Arial"/>
        </w:rPr>
      </w:pPr>
      <w:r w:rsidRPr="00620047">
        <w:rPr>
          <w:rFonts w:cs="Arial"/>
        </w:rPr>
        <w:t>5.</w:t>
      </w:r>
      <w:r w:rsidRPr="00620047">
        <w:rPr>
          <w:rFonts w:cs="Arial"/>
        </w:rPr>
        <w:tab/>
        <w:t>In afwijking van het eerste lid vindt het opslaan van kuilvoer plaats op ten minste 25 meter afstand tot een geurgevoelig object.</w:t>
      </w:r>
    </w:p>
    <w:p w:rsidR="00296032" w:rsidRPr="00620047" w:rsidRDefault="00296032">
      <w:pPr>
        <w:pStyle w:val="art1enivo"/>
        <w:rPr>
          <w:rFonts w:cs="Arial"/>
        </w:rPr>
      </w:pPr>
      <w:r w:rsidRPr="00620047">
        <w:rPr>
          <w:rFonts w:cs="Arial"/>
        </w:rPr>
        <w:t>6.</w:t>
      </w:r>
      <w:r w:rsidRPr="00620047">
        <w:rPr>
          <w:rFonts w:cs="Arial"/>
        </w:rPr>
        <w:tab/>
        <w:t>Indien de afstand van het opslagen kuilvoer, niet zijnde knolgewassen, wortelgewassen of fruit, tot een geurgevoelig object minder dan 50 meter bedraagt, is het opslagen kuilvoer afgedekt, behoudens de periode dat veevoeder aan de veevoederopslag wordt toegevoegd of onttrokken.</w:t>
      </w:r>
    </w:p>
    <w:p w:rsidR="00296032" w:rsidRPr="00620047" w:rsidRDefault="00296032">
      <w:pPr>
        <w:pStyle w:val="art1enivo"/>
        <w:rPr>
          <w:rFonts w:cs="Arial"/>
        </w:rPr>
      </w:pPr>
      <w:r w:rsidRPr="00620047">
        <w:rPr>
          <w:rFonts w:cs="Arial"/>
        </w:rPr>
        <w:t>7.</w:t>
      </w:r>
      <w:r w:rsidRPr="00620047">
        <w:rPr>
          <w:rFonts w:cs="Arial"/>
        </w:rPr>
        <w:tab/>
        <w:t>De afstanden, genoemd in het eerste lid en vierde tot en met zesde lid, worden gemeten vanaf de buitenzijde van het geurgevoelig object tot het dichtstbijzijnde punt van de plaats waar de agrarische bedrijfsstoffen zijn opgeslagen.</w:t>
      </w:r>
    </w:p>
    <w:p w:rsidR="00296032" w:rsidRPr="00620047" w:rsidRDefault="00296032">
      <w:pPr>
        <w:pStyle w:val="art1enivo"/>
        <w:rPr>
          <w:rFonts w:cs="Arial"/>
        </w:rPr>
      </w:pPr>
      <w:r w:rsidRPr="00620047">
        <w:rPr>
          <w:rFonts w:cs="Arial"/>
        </w:rPr>
        <w:t>8.</w:t>
      </w:r>
      <w:r w:rsidRPr="00620047">
        <w:rPr>
          <w:rFonts w:cs="Arial"/>
        </w:rPr>
        <w:tab/>
        <w:t>Het bevoegd gezag kan, indien blijkt dat de geurhinder een aanvaardbaar niveau overschrijdt, onverminderd artikel 2.7a, bij maatwerkvoorschrift eisen stellen aan:</w:t>
      </w:r>
    </w:p>
    <w:p w:rsidR="00296032" w:rsidRPr="00620047" w:rsidRDefault="00296032">
      <w:pPr>
        <w:pStyle w:val="art2enivo"/>
        <w:rPr>
          <w:rFonts w:cs="Arial"/>
        </w:rPr>
      </w:pPr>
      <w:r w:rsidRPr="00620047">
        <w:rPr>
          <w:rFonts w:cs="Arial"/>
        </w:rPr>
        <w:t>a.</w:t>
      </w:r>
      <w:r w:rsidRPr="00620047">
        <w:rPr>
          <w:rFonts w:cs="Arial"/>
        </w:rPr>
        <w:tab/>
        <w:t>de situering van de plaats van de opgeslagen bedrijfsstoffen;</w:t>
      </w:r>
    </w:p>
    <w:p w:rsidR="00296032" w:rsidRPr="00620047" w:rsidRDefault="00296032">
      <w:pPr>
        <w:pStyle w:val="art2enivo"/>
        <w:rPr>
          <w:rFonts w:cs="Arial"/>
        </w:rPr>
      </w:pPr>
      <w:r w:rsidRPr="00620047">
        <w:rPr>
          <w:rFonts w:cs="Arial"/>
        </w:rPr>
        <w:t>b.</w:t>
      </w:r>
      <w:r w:rsidRPr="00620047">
        <w:rPr>
          <w:rFonts w:cs="Arial"/>
        </w:rPr>
        <w:tab/>
        <w:t>het afdekken van de opgeslagen agrarische bedrijfsstoffen, of</w:t>
      </w:r>
    </w:p>
    <w:p w:rsidR="00296032" w:rsidRPr="00620047" w:rsidRDefault="00296032">
      <w:pPr>
        <w:pStyle w:val="art2enivo"/>
        <w:rPr>
          <w:rFonts w:cs="Arial"/>
        </w:rPr>
      </w:pPr>
      <w:r w:rsidRPr="00620047">
        <w:rPr>
          <w:rFonts w:cs="Arial"/>
        </w:rPr>
        <w:t>c.</w:t>
      </w:r>
      <w:r w:rsidRPr="00620047">
        <w:rPr>
          <w:rFonts w:cs="Arial"/>
        </w:rPr>
        <w:tab/>
        <w:t>de frequentie van de afvoer van de opgeslagen agrarische bedrijfsstoffen.</w:t>
      </w:r>
    </w:p>
    <w:p w:rsidR="00296032" w:rsidRPr="00620047" w:rsidRDefault="00296032">
      <w:pPr>
        <w:pStyle w:val="art1enivo"/>
        <w:rPr>
          <w:rFonts w:cs="Arial"/>
        </w:rPr>
      </w:pPr>
      <w:r w:rsidRPr="00620047">
        <w:rPr>
          <w:rFonts w:cs="Arial"/>
        </w:rPr>
        <w:t>9.</w:t>
      </w:r>
      <w:r w:rsidRPr="00620047">
        <w:rPr>
          <w:rFonts w:cs="Arial"/>
        </w:rPr>
        <w:tab/>
        <w:t>Het eerste lid en vierde tot en met zesde lid zijn niet van toepassing op in plastic folie verpakte veevoederbalen.</w:t>
      </w:r>
    </w:p>
    <w:p w:rsidR="00296032" w:rsidRPr="00296032" w:rsidRDefault="00296032">
      <w:pPr>
        <w:pStyle w:val="artikelkop"/>
        <w:rPr>
          <w:rFonts w:cs="Arial"/>
        </w:rPr>
      </w:pPr>
      <w:r w:rsidRPr="00296032">
        <w:rPr>
          <w:rFonts w:cs="Arial"/>
        </w:rPr>
        <w:t>Artikel 3.47</w:t>
      </w:r>
    </w:p>
    <w:p w:rsidR="00296032" w:rsidRPr="00620047" w:rsidRDefault="00296032">
      <w:pPr>
        <w:pStyle w:val="art1enivo"/>
        <w:rPr>
          <w:rFonts w:cs="Arial"/>
        </w:rPr>
      </w:pPr>
      <w:r w:rsidRPr="00620047">
        <w:rPr>
          <w:rFonts w:cs="Arial"/>
        </w:rPr>
        <w:t>1.</w:t>
      </w:r>
      <w:r w:rsidRPr="00620047">
        <w:rPr>
          <w:rFonts w:cs="Arial"/>
        </w:rPr>
        <w:tab/>
        <w:t>Het in een vuilwaterriool lozen van afvalwater afkomstig van het opslaan van kuilvoer en dierlijke meststoffen die niet verpompbaar zijn, is verboden.</w:t>
      </w:r>
    </w:p>
    <w:p w:rsidR="00296032" w:rsidRPr="00620047" w:rsidRDefault="00296032">
      <w:pPr>
        <w:pStyle w:val="art1enivo"/>
        <w:rPr>
          <w:rFonts w:cs="Arial"/>
        </w:rPr>
      </w:pPr>
      <w:r w:rsidRPr="00620047">
        <w:rPr>
          <w:rFonts w:cs="Arial"/>
        </w:rPr>
        <w:t>2.</w:t>
      </w:r>
      <w:r w:rsidRPr="00620047">
        <w:rPr>
          <w:rFonts w:cs="Arial"/>
        </w:rPr>
        <w:tab/>
        <w:t>Het bevoegd gezag kan bij maatwerkvoorschrift het eerste lid niet van toepassing verklaren en het lozen toestaan, indien het belang van de bescherming van het milieu zich niet tegen het lozen in een vuilwaterriool verzet.</w:t>
      </w:r>
      <w:r w:rsidRPr="00620047">
        <w:rPr>
          <w:rFonts w:cs="Arial"/>
        </w:rPr>
        <w:tab/>
        <w:t>Artikel 2.2, vierde lid, is van overeenkomstige toepassing.</w:t>
      </w:r>
    </w:p>
    <w:p w:rsidR="00296032" w:rsidRPr="00620047" w:rsidRDefault="00296032">
      <w:pPr>
        <w:pStyle w:val="art1enivo"/>
        <w:rPr>
          <w:rFonts w:cs="Arial"/>
        </w:rPr>
      </w:pPr>
      <w:r w:rsidRPr="00620047">
        <w:rPr>
          <w:rFonts w:cs="Arial"/>
        </w:rPr>
        <w:t>3.</w:t>
      </w:r>
      <w:r w:rsidRPr="00620047">
        <w:rPr>
          <w:rFonts w:cs="Arial"/>
        </w:rPr>
        <w:tab/>
        <w:t>Het lozen van afvalwater op of in de bodem ten gevolge van het opslaan van agrarische bedrijfsstoffen is toegestaan, indien het afvalwater ten minste gelijkmatig wordt verspreid over de onverharde bodem.</w:t>
      </w:r>
    </w:p>
    <w:p w:rsidR="00296032" w:rsidRPr="00296032" w:rsidRDefault="00296032">
      <w:pPr>
        <w:pStyle w:val="artikelkop"/>
        <w:rPr>
          <w:rFonts w:cs="Arial"/>
        </w:rPr>
      </w:pPr>
      <w:r w:rsidRPr="00296032">
        <w:rPr>
          <w:rFonts w:cs="Arial"/>
        </w:rPr>
        <w:t>Artikel 3.48</w:t>
      </w:r>
    </w:p>
    <w:p w:rsidR="00296032" w:rsidRPr="00620047" w:rsidRDefault="00296032">
      <w:pPr>
        <w:pStyle w:val="artplat"/>
        <w:rPr>
          <w:rFonts w:cs="Arial"/>
        </w:rPr>
      </w:pPr>
      <w:r w:rsidRPr="00620047">
        <w:rPr>
          <w:rFonts w:cs="Arial"/>
        </w:rPr>
        <w:t>Bij het opslaan van agrarische bedrijfsstoffen wordt ten behoeve van het realiseren van een verwaarloosbaar bodemrisico alsmede ten behoeve van het voorkomen van de verontreiniging van een oppervlaktewaterlichaam, voldaan aan de bij ministeriële regeling gestelde eisen.</w:t>
      </w:r>
    </w:p>
    <w:p w:rsidR="00296032" w:rsidRPr="00296032" w:rsidRDefault="00296032">
      <w:pPr>
        <w:pStyle w:val="artikelkop"/>
        <w:rPr>
          <w:rFonts w:cs="Arial"/>
        </w:rPr>
      </w:pPr>
      <w:r w:rsidRPr="00296032">
        <w:rPr>
          <w:rFonts w:cs="Arial"/>
        </w:rPr>
        <w:t>Artikel 3.49</w:t>
      </w:r>
    </w:p>
    <w:p w:rsidR="00296032" w:rsidRPr="00620047" w:rsidRDefault="00296032">
      <w:pPr>
        <w:pStyle w:val="art1enivo"/>
        <w:rPr>
          <w:rFonts w:cs="Arial"/>
        </w:rPr>
      </w:pPr>
      <w:r w:rsidRPr="00620047">
        <w:rPr>
          <w:rFonts w:cs="Arial"/>
        </w:rPr>
        <w:t>Agrarische bedrijfsstoffen worden op onverhard oppervlak:</w:t>
      </w:r>
    </w:p>
    <w:p w:rsidR="00296032" w:rsidRPr="00620047" w:rsidRDefault="00296032">
      <w:pPr>
        <w:pStyle w:val="artplatletter"/>
        <w:rPr>
          <w:rFonts w:cs="Arial"/>
        </w:rPr>
      </w:pPr>
      <w:r w:rsidRPr="00620047">
        <w:rPr>
          <w:rFonts w:cs="Arial"/>
        </w:rPr>
        <w:t>a.</w:t>
      </w:r>
      <w:r w:rsidRPr="00620047">
        <w:rPr>
          <w:rFonts w:cs="Arial"/>
        </w:rPr>
        <w:tab/>
        <w:t>op een afstand van ten minste 5 meter vanaf de insteek van een oppervlaktewaterlichaam opgeslagen, of</w:t>
      </w:r>
    </w:p>
    <w:p w:rsidR="00296032" w:rsidRDefault="00296032">
      <w:pPr>
        <w:pStyle w:val="artplatletter"/>
        <w:rPr>
          <w:rFonts w:cs="Arial"/>
        </w:rPr>
      </w:pPr>
      <w:r w:rsidRPr="00620047">
        <w:rPr>
          <w:rFonts w:cs="Arial"/>
        </w:rPr>
        <w:t>b.</w:t>
      </w:r>
      <w:r w:rsidRPr="00620047">
        <w:rPr>
          <w:rFonts w:cs="Arial"/>
        </w:rPr>
        <w:tab/>
        <w:t>zodanig opgeslagen dat het te lozen hemelwater niet in contact kan komen met de opgeslagen agrarische bedrijfsstoffen.</w:t>
      </w:r>
    </w:p>
    <w:p w:rsidR="00293854" w:rsidRDefault="00293854">
      <w:pPr>
        <w:pStyle w:val="artplatletter"/>
        <w:rPr>
          <w:rFonts w:cs="Arial"/>
        </w:rPr>
      </w:pPr>
    </w:p>
    <w:p w:rsidR="00293854" w:rsidRDefault="00293854" w:rsidP="00293854">
      <w:pPr>
        <w:pStyle w:val="paragraaf"/>
        <w:shd w:val="clear" w:color="auto" w:fill="D9D9D9" w:themeFill="background1" w:themeFillShade="D9"/>
      </w:pPr>
      <w:bookmarkStart w:id="116" w:name="_Toc431375608"/>
      <w:r>
        <w:t>§ 3.4.5.</w:t>
      </w:r>
      <w:r>
        <w:tab/>
        <w:t>Opslaan van agrarische bedrijfsstoffen</w:t>
      </w:r>
      <w:bookmarkEnd w:id="116"/>
    </w:p>
    <w:p w:rsidR="00293854" w:rsidRDefault="00293854" w:rsidP="00293854">
      <w:pPr>
        <w:pStyle w:val="artikelkop"/>
        <w:shd w:val="clear" w:color="auto" w:fill="D9D9D9" w:themeFill="background1" w:themeFillShade="D9"/>
      </w:pPr>
      <w:r>
        <w:t xml:space="preserve">Artikel 3.65 </w:t>
      </w:r>
    </w:p>
    <w:p w:rsidR="00293854" w:rsidRDefault="00293854" w:rsidP="00293854">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en ten behoeve van het voorkomen van de verontreiniging van een oppervlaktewaterlichaam als bedoeld in artikel 3.48 van het besluit wordt bij het opslaan van agrarische bedrijfsstoffen voldaan aan het tweede tot en met negende lid.</w:t>
      </w:r>
    </w:p>
    <w:p w:rsidR="00293854" w:rsidRDefault="00293854" w:rsidP="00293854">
      <w:pPr>
        <w:pStyle w:val="art1enivo"/>
        <w:shd w:val="clear" w:color="auto" w:fill="D9D9D9" w:themeFill="background1" w:themeFillShade="D9"/>
        <w:suppressAutoHyphens/>
        <w:rPr>
          <w:rFonts w:cs="Arial"/>
        </w:rPr>
      </w:pPr>
      <w:r>
        <w:rPr>
          <w:rFonts w:cs="Arial"/>
        </w:rPr>
        <w:t>2.</w:t>
      </w:r>
      <w:r>
        <w:rPr>
          <w:rFonts w:cs="Arial"/>
        </w:rPr>
        <w:tab/>
        <w:t>Indien agrarische bedrijfsstoffen langer dan twee weken maar korter dan een half jaar op een onverhard oppervlak op een locatie worden opgeslagen, vindt het opslaan in elk geval plaats:</w:t>
      </w:r>
    </w:p>
    <w:p w:rsidR="00293854" w:rsidRDefault="00293854" w:rsidP="00293854">
      <w:pPr>
        <w:pStyle w:val="art2enivo"/>
        <w:shd w:val="clear" w:color="auto" w:fill="D9D9D9" w:themeFill="background1" w:themeFillShade="D9"/>
        <w:suppressAutoHyphens/>
        <w:rPr>
          <w:rFonts w:cs="Arial"/>
        </w:rPr>
      </w:pPr>
      <w:r>
        <w:rPr>
          <w:rFonts w:cs="Arial"/>
        </w:rPr>
        <w:t>a.</w:t>
      </w:r>
      <w:r>
        <w:rPr>
          <w:rFonts w:cs="Arial"/>
        </w:rPr>
        <w:tab/>
        <w:t>boven een absorberende laag met een dikte van ten minste 0,15 meter en een organische stofgehalte van ten minste 25%, en</w:t>
      </w:r>
    </w:p>
    <w:p w:rsidR="00293854" w:rsidRDefault="00293854" w:rsidP="00293854">
      <w:pPr>
        <w:pStyle w:val="art2enivo"/>
        <w:shd w:val="clear" w:color="auto" w:fill="D9D9D9" w:themeFill="background1" w:themeFillShade="D9"/>
        <w:suppressAutoHyphens/>
        <w:rPr>
          <w:rFonts w:cs="Arial"/>
        </w:rPr>
      </w:pPr>
      <w:r>
        <w:rPr>
          <w:rFonts w:cs="Arial"/>
        </w:rPr>
        <w:t>b.</w:t>
      </w:r>
      <w:r>
        <w:rPr>
          <w:rFonts w:cs="Arial"/>
        </w:rPr>
        <w:tab/>
        <w:t>zodanig dat contact met hemelwater wordt voorkomen.</w:t>
      </w:r>
    </w:p>
    <w:p w:rsidR="00293854" w:rsidRDefault="00293854" w:rsidP="00293854">
      <w:pPr>
        <w:pStyle w:val="art1enivo"/>
        <w:shd w:val="clear" w:color="auto" w:fill="D9D9D9" w:themeFill="background1" w:themeFillShade="D9"/>
        <w:suppressAutoHyphens/>
        <w:rPr>
          <w:rFonts w:cs="Arial"/>
        </w:rPr>
      </w:pPr>
      <w:r>
        <w:rPr>
          <w:rFonts w:cs="Arial"/>
        </w:rPr>
        <w:t>3.</w:t>
      </w:r>
      <w:r>
        <w:rPr>
          <w:rFonts w:cs="Arial"/>
        </w:rPr>
        <w:tab/>
        <w:t>Indien na het opslaan, bedoeld in het tweede lid, de opgeslagen agrarische bedrijfsstoffen worden verwijderd, wordt de absorberende laag eveneens verwijderd.</w:t>
      </w:r>
    </w:p>
    <w:p w:rsidR="00293854" w:rsidRDefault="00293854" w:rsidP="00293854">
      <w:pPr>
        <w:pStyle w:val="art1enivo"/>
        <w:shd w:val="clear" w:color="auto" w:fill="D9D9D9" w:themeFill="background1" w:themeFillShade="D9"/>
        <w:suppressAutoHyphens/>
        <w:rPr>
          <w:rFonts w:cs="Arial"/>
        </w:rPr>
      </w:pPr>
      <w:r>
        <w:rPr>
          <w:rFonts w:cs="Arial"/>
        </w:rPr>
        <w:t>4.</w:t>
      </w:r>
      <w:r>
        <w:rPr>
          <w:rFonts w:cs="Arial"/>
        </w:rPr>
        <w:tab/>
        <w:t>Indien agrarische bedrijfsstoffen anders dan pluimveemest gedurende een half jaar of langer worden opgeslagen, vindt het opslaan plaats op ten minste een vloeistofkerende voorziening. Artikel 2.3 is daarbij niet van toepassing.</w:t>
      </w:r>
    </w:p>
    <w:p w:rsidR="00293854" w:rsidRDefault="00293854" w:rsidP="00293854">
      <w:pPr>
        <w:pStyle w:val="art1enivo"/>
        <w:shd w:val="clear" w:color="auto" w:fill="D9D9D9" w:themeFill="background1" w:themeFillShade="D9"/>
        <w:suppressAutoHyphens/>
        <w:rPr>
          <w:rFonts w:cs="Arial"/>
        </w:rPr>
      </w:pPr>
      <w:r>
        <w:rPr>
          <w:rFonts w:cs="Arial"/>
        </w:rPr>
        <w:t>5.</w:t>
      </w:r>
      <w:r>
        <w:rPr>
          <w:rFonts w:cs="Arial"/>
        </w:rPr>
        <w:tab/>
        <w:t>Bij het opslaan van agrarische bedrijfsstoffen anders dan gedroogde pluimveemest op een vloeistofkerende of vloeistofdichte voorziening worden vloeistoffen opgevangen in een opslagvoorziening die wordt aangelegd overeenkomstig paragraaf 5.5 en de hoofdstukken 6 en 7 van BRL 2342 en is de vloeistofkerende of vloeistofdichte voorziening zodanig aangelegd dat de vloeistof naar deze opslagvoorziening stroomt.</w:t>
      </w:r>
    </w:p>
    <w:p w:rsidR="00293854" w:rsidRDefault="00293854" w:rsidP="00293854">
      <w:pPr>
        <w:pStyle w:val="art1enivo"/>
        <w:shd w:val="clear" w:color="auto" w:fill="D9D9D9" w:themeFill="background1" w:themeFillShade="D9"/>
        <w:suppressAutoHyphens/>
        <w:rPr>
          <w:rFonts w:cs="Arial"/>
        </w:rPr>
      </w:pPr>
      <w:r>
        <w:rPr>
          <w:rFonts w:cs="Arial"/>
        </w:rPr>
        <w:t>6.</w:t>
      </w:r>
      <w:r>
        <w:rPr>
          <w:rFonts w:cs="Arial"/>
        </w:rPr>
        <w:tab/>
        <w:t>In afwijking van het tweede tot en met vijfde lid zijn een absorberende laag als bedoeld in het tweede lid, een vloeistofkerende voorziening als bedoeld in het vierde lid en een opslagvoorziening als bedoeld in het vijfde lid niet vereist voor het opslaan van kuilvoer, indien het gehalte aan droge stof ten minste 40% bedraagt en de opslag zodanig is afgedekt dat contact met regenwater niet plaatsvindt.</w:t>
      </w:r>
    </w:p>
    <w:p w:rsidR="00293854" w:rsidRDefault="00293854" w:rsidP="00293854">
      <w:pPr>
        <w:pStyle w:val="art1enivo"/>
        <w:shd w:val="clear" w:color="auto" w:fill="D9D9D9" w:themeFill="background1" w:themeFillShade="D9"/>
        <w:suppressAutoHyphens/>
        <w:rPr>
          <w:rFonts w:cs="Arial"/>
        </w:rPr>
      </w:pPr>
      <w:r>
        <w:rPr>
          <w:rFonts w:cs="Arial"/>
        </w:rPr>
        <w:t>7.</w:t>
      </w:r>
      <w:r>
        <w:rPr>
          <w:rFonts w:cs="Arial"/>
        </w:rPr>
        <w:tab/>
        <w:t>Het tweede tot en met zesde lid zijn niet van toepassing op het opslaan van in folie verpakte veevoederbalen.</w:t>
      </w:r>
    </w:p>
    <w:p w:rsidR="00293854" w:rsidRDefault="00293854" w:rsidP="00293854">
      <w:pPr>
        <w:pStyle w:val="art1enivo"/>
        <w:shd w:val="clear" w:color="auto" w:fill="D9D9D9" w:themeFill="background1" w:themeFillShade="D9"/>
        <w:suppressAutoHyphens/>
        <w:rPr>
          <w:rFonts w:cs="Arial"/>
        </w:rPr>
      </w:pPr>
      <w:r>
        <w:rPr>
          <w:rFonts w:cs="Arial"/>
        </w:rPr>
        <w:t>8.</w:t>
      </w:r>
      <w:r>
        <w:rPr>
          <w:rFonts w:cs="Arial"/>
        </w:rPr>
        <w:tab/>
        <w:t>Indien pluimveemest op een locatie gedurende een half jaar of langer wordt opgeslagen, vindt het opslaan plaats boven een vloeistofkerende voorziening in een afgesloten ruimte met voldoende ventilatie. Artikel 2.3 is daarbij niet van toepassing.</w:t>
      </w:r>
    </w:p>
    <w:p w:rsidR="00293854" w:rsidRDefault="00293854" w:rsidP="00293854">
      <w:pPr>
        <w:pStyle w:val="art1enivo"/>
        <w:shd w:val="clear" w:color="auto" w:fill="D9D9D9" w:themeFill="background1" w:themeFillShade="D9"/>
        <w:suppressAutoHyphens/>
        <w:rPr>
          <w:rFonts w:cs="Arial"/>
        </w:rPr>
      </w:pPr>
      <w:r>
        <w:rPr>
          <w:rFonts w:cs="Arial"/>
        </w:rPr>
        <w:t>9.</w:t>
      </w:r>
      <w:r>
        <w:rPr>
          <w:rFonts w:cs="Arial"/>
        </w:rPr>
        <w:tab/>
        <w:t>Het tweede en derde lid zijn niet van toepassing op pluimveemest die  in een afgedekte container wordt opgeslagen.</w:t>
      </w:r>
    </w:p>
    <w:p w:rsidR="00293854" w:rsidRDefault="00293854" w:rsidP="00293854">
      <w:pPr>
        <w:pStyle w:val="art1enivo"/>
        <w:shd w:val="clear" w:color="auto" w:fill="D9D9D9" w:themeFill="background1" w:themeFillShade="D9"/>
      </w:pPr>
      <w:r>
        <w:t>10.</w:t>
      </w:r>
      <w:r>
        <w:tab/>
        <w:t>Het tweede, vierde en vijfde lid zijn tot 1 januari 2027 niet van toepassing op de opslag van kuilvoer indien een voorziening voor het opslaan van kuilvoer in gebruik was voor 1 januari 2013.</w:t>
      </w:r>
    </w:p>
    <w:p w:rsidR="00293854" w:rsidRDefault="00293854" w:rsidP="00293854">
      <w:pPr>
        <w:pStyle w:val="art1enivo"/>
        <w:shd w:val="clear" w:color="auto" w:fill="D9D9D9" w:themeFill="background1" w:themeFillShade="D9"/>
        <w:suppressAutoHyphens/>
        <w:rPr>
          <w:rFonts w:cs="Arial"/>
        </w:rPr>
      </w:pPr>
      <w:r>
        <w:rPr>
          <w:rFonts w:cs="Arial"/>
        </w:rPr>
        <w:t>11.</w:t>
      </w:r>
      <w:r>
        <w:rPr>
          <w:rFonts w:cs="Arial"/>
        </w:rPr>
        <w:tab/>
        <w:t>Artikel 2.11, eerste tot en met negende lid, van het besluit is niet van toepassing op het opslaan van agrarische bedrijfsstoffen.</w:t>
      </w:r>
    </w:p>
    <w:p w:rsidR="00293854" w:rsidRDefault="00293854" w:rsidP="00293854">
      <w:pPr>
        <w:shd w:val="clear" w:color="auto" w:fill="D9D9D9" w:themeFill="background1" w:themeFillShade="D9"/>
      </w:pPr>
    </w:p>
    <w:p w:rsidR="00293854" w:rsidRPr="00620047" w:rsidRDefault="00293854">
      <w:pPr>
        <w:pStyle w:val="artplatletter"/>
        <w:rPr>
          <w:rFonts w:cs="Arial"/>
        </w:rPr>
      </w:pPr>
    </w:p>
    <w:p w:rsidR="00296032" w:rsidRPr="00296032" w:rsidRDefault="00296032">
      <w:pPr>
        <w:pStyle w:val="paragraaf"/>
        <w:rPr>
          <w:rFonts w:cs="Arial"/>
        </w:rPr>
      </w:pPr>
      <w:bookmarkStart w:id="117" w:name="_Toc431375609"/>
      <w:r w:rsidRPr="00296032">
        <w:rPr>
          <w:rFonts w:cs="Arial"/>
        </w:rPr>
        <w:t>§ 3.4.6 Opslaan van drijfmest en digestaat</w:t>
      </w:r>
      <w:bookmarkEnd w:id="117"/>
    </w:p>
    <w:p w:rsidR="00296032" w:rsidRPr="00296032" w:rsidRDefault="00296032">
      <w:pPr>
        <w:pStyle w:val="artikelkop"/>
        <w:rPr>
          <w:rFonts w:cs="Arial"/>
        </w:rPr>
      </w:pPr>
      <w:r w:rsidRPr="00296032">
        <w:rPr>
          <w:rFonts w:cs="Arial"/>
        </w:rPr>
        <w:t>Artikel 3.50</w:t>
      </w:r>
    </w:p>
    <w:p w:rsidR="00296032" w:rsidRPr="00620047" w:rsidRDefault="00296032">
      <w:pPr>
        <w:pStyle w:val="art1enivo"/>
        <w:rPr>
          <w:rFonts w:cs="Arial"/>
        </w:rPr>
      </w:pPr>
      <w:r w:rsidRPr="00620047">
        <w:rPr>
          <w:rFonts w:cs="Arial"/>
        </w:rPr>
        <w:t>1.</w:t>
      </w:r>
      <w:r w:rsidRPr="00620047">
        <w:rPr>
          <w:rFonts w:cs="Arial"/>
        </w:rPr>
        <w:tab/>
        <w:t>Deze paragraaf is van toepassing op het opslaan van drijfmest in een of meer mestbassins met een gezamenlijke oppervlakte van ten hoogste 750 vierkante meter of een gezamenlijke inhoud van ten hoogste 2.500 kubieke meter.</w:t>
      </w:r>
    </w:p>
    <w:p w:rsidR="00296032" w:rsidRPr="00620047" w:rsidRDefault="00296032">
      <w:pPr>
        <w:pStyle w:val="art1enivo"/>
        <w:rPr>
          <w:rFonts w:cs="Arial"/>
        </w:rPr>
      </w:pPr>
      <w:r w:rsidRPr="00620047">
        <w:rPr>
          <w:rFonts w:cs="Arial"/>
        </w:rPr>
        <w:t>2.</w:t>
      </w:r>
      <w:r w:rsidRPr="00620047">
        <w:rPr>
          <w:rFonts w:cs="Arial"/>
        </w:rPr>
        <w:tab/>
        <w:t>Deze paragraaf is tevens van toepassing op het opslaan van stabiel digestaat in één of meer mestbassins met een gezamenlijke oppervlakte van ten hoogste 750 vierkante meter of een gezamenlijke inhoud van ten hoogste 2.500 kubieke meter.</w:t>
      </w:r>
    </w:p>
    <w:p w:rsidR="00296032" w:rsidRPr="00620047" w:rsidRDefault="00296032">
      <w:pPr>
        <w:pStyle w:val="art1enivo"/>
        <w:rPr>
          <w:rFonts w:cs="Arial"/>
        </w:rPr>
      </w:pPr>
      <w:r w:rsidRPr="00620047">
        <w:rPr>
          <w:rFonts w:cs="Arial"/>
        </w:rPr>
        <w:t>3.</w:t>
      </w:r>
      <w:r w:rsidRPr="00620047">
        <w:rPr>
          <w:rFonts w:cs="Arial"/>
        </w:rPr>
        <w:tab/>
        <w:t>Voor de berekening van de gezamenlijke oppervlakte en de gezamenlijke inhoud, bedoeld in het eerste en tweede lid, worden de inhoud en oppervlakte van mestkelders en ondergrondse mestbassins die zijn voorzien van een afdekking die als vloer kan fungeren en onderdeel zijn van een werktuigberging, opslagvoorziening of erfverharding, niet meegerekend.</w:t>
      </w:r>
    </w:p>
    <w:p w:rsidR="00296032" w:rsidRPr="00296032" w:rsidRDefault="00296032">
      <w:pPr>
        <w:pStyle w:val="artikelkop"/>
        <w:rPr>
          <w:rFonts w:cs="Arial"/>
        </w:rPr>
      </w:pPr>
      <w:r w:rsidRPr="00296032">
        <w:rPr>
          <w:rFonts w:cs="Arial"/>
        </w:rPr>
        <w:t>Artikel 3.51</w:t>
      </w:r>
    </w:p>
    <w:p w:rsidR="00296032" w:rsidRPr="00620047" w:rsidRDefault="00296032">
      <w:pPr>
        <w:pStyle w:val="art1enivo"/>
        <w:rPr>
          <w:rFonts w:cs="Arial"/>
        </w:rPr>
      </w:pPr>
      <w:r w:rsidRPr="00620047">
        <w:rPr>
          <w:rFonts w:cs="Arial"/>
        </w:rPr>
        <w:t>1.</w:t>
      </w:r>
      <w:r w:rsidRPr="00620047">
        <w:rPr>
          <w:rFonts w:cs="Arial"/>
        </w:rPr>
        <w:tab/>
        <w:t>Een mestbassin is gelegen op een afstand van ten minste 100 meter van een geurgevoelig object.</w:t>
      </w:r>
    </w:p>
    <w:p w:rsidR="00296032" w:rsidRPr="00620047" w:rsidRDefault="00296032">
      <w:pPr>
        <w:pStyle w:val="art1enivo"/>
        <w:rPr>
          <w:rFonts w:cs="Arial"/>
        </w:rPr>
      </w:pPr>
      <w:r w:rsidRPr="00620047">
        <w:rPr>
          <w:rFonts w:cs="Arial"/>
        </w:rPr>
        <w:t>2.</w:t>
      </w:r>
      <w:r w:rsidRPr="00620047">
        <w:rPr>
          <w:rFonts w:cs="Arial"/>
        </w:rPr>
        <w:tab/>
        <w:t>In afwijking van het eerste lid is een mestbassin gelegen op een afstand van ten minste 50 meter, indien het geurgevoelig object deel uitmaakt van een veehouderij.</w:t>
      </w:r>
    </w:p>
    <w:p w:rsidR="00296032" w:rsidRPr="00620047" w:rsidRDefault="00296032">
      <w:pPr>
        <w:pStyle w:val="art1enivo"/>
        <w:rPr>
          <w:rFonts w:cs="Arial"/>
        </w:rPr>
      </w:pPr>
      <w:r w:rsidRPr="00620047">
        <w:rPr>
          <w:rFonts w:cs="Arial"/>
        </w:rPr>
        <w:t>3.</w:t>
      </w:r>
      <w:r w:rsidRPr="00620047">
        <w:rPr>
          <w:rFonts w:cs="Arial"/>
        </w:rPr>
        <w:tab/>
        <w:t>In afwijking van het eerste en tweede lid bedragen de afstanden, genoemd in die leden 50 meter onderscheidenlijk 25 meter, indien de gezamenlijke oppervlakte van de in de inrichting aanwezige bassins minder bedraagt dan 350 vierkante meter.</w:t>
      </w:r>
    </w:p>
    <w:p w:rsidR="00296032" w:rsidRPr="00620047" w:rsidRDefault="00296032">
      <w:pPr>
        <w:pStyle w:val="art1enivo"/>
      </w:pPr>
      <w:r w:rsidRPr="00620047">
        <w:t>4.</w:t>
      </w:r>
      <w:r w:rsidRPr="00620047">
        <w:tab/>
        <w:t>Het eerste tot en met derde lid zijn niet van toepassing op een mestbassin dat is opgericht voor 1 januari 2013 en dat op grond van een omgevingsvergunning voor een activiteit als bedoeld in artikel 2.1, eerste lid, onderdeel e, van de Wet algemene bepalingen omgevingsrecht, dan wel op grond van het Besluit landbouw milieubeheer of het Besluit mestbassins milieubeheer op een kleinere afstand is gelegen dan de afstand die zou gelden op grond van het eerste tot en met derde lid, de afstand tot een geurgevoelig object niet is afgenomen en verplaatsing van het mestbassin redelijkerwijs niet kan worden gevergd.</w:t>
      </w:r>
    </w:p>
    <w:p w:rsidR="00296032" w:rsidRPr="00620047" w:rsidRDefault="00296032">
      <w:pPr>
        <w:pStyle w:val="art1enivo"/>
      </w:pPr>
      <w:r w:rsidRPr="00620047">
        <w:t>5.</w:t>
      </w:r>
      <w:r w:rsidRPr="00620047">
        <w:tab/>
        <w:t>Indien het vierde lid van toepassing is:</w:t>
      </w:r>
    </w:p>
    <w:p w:rsidR="00296032" w:rsidRPr="00620047" w:rsidRDefault="00296032">
      <w:pPr>
        <w:pStyle w:val="art2enivo"/>
      </w:pPr>
      <w:r w:rsidRPr="00620047">
        <w:t>a.</w:t>
      </w:r>
      <w:r w:rsidRPr="00620047">
        <w:tab/>
        <w:t>treft degene die de inrichting drijft maatregelen of voorzieningen die geurhinder voorkomen of tot een aanvaardbaar niveau beperken, en</w:t>
      </w:r>
    </w:p>
    <w:p w:rsidR="00296032" w:rsidRPr="00620047" w:rsidRDefault="00296032">
      <w:pPr>
        <w:pStyle w:val="art2enivo"/>
      </w:pPr>
      <w:r w:rsidRPr="00620047">
        <w:t>b.</w:t>
      </w:r>
      <w:r w:rsidRPr="00620047">
        <w:tab/>
        <w:t>geeft degene die de inrichting drijft op verzoek van het bevoegd gezag aan welke maatregelen of voorzieningen hij daartoe heeft getroffen of zal treffen.</w:t>
      </w:r>
    </w:p>
    <w:p w:rsidR="00296032" w:rsidRPr="00620047" w:rsidRDefault="00296032">
      <w:pPr>
        <w:pStyle w:val="art1enivo"/>
        <w:rPr>
          <w:rFonts w:cs="Arial"/>
        </w:rPr>
      </w:pPr>
      <w:r w:rsidRPr="00620047">
        <w:rPr>
          <w:rFonts w:cs="Arial"/>
        </w:rPr>
        <w:t>6.</w:t>
      </w:r>
      <w:r w:rsidRPr="00620047">
        <w:rPr>
          <w:rFonts w:cs="Arial"/>
        </w:rPr>
        <w:tab/>
        <w:t>Een mestbassin is gelegen:</w:t>
      </w:r>
    </w:p>
    <w:p w:rsidR="00296032" w:rsidRPr="00620047" w:rsidRDefault="00296032">
      <w:pPr>
        <w:pStyle w:val="art2enivo"/>
        <w:rPr>
          <w:rFonts w:cs="Arial"/>
        </w:rPr>
      </w:pPr>
      <w:r w:rsidRPr="00620047">
        <w:rPr>
          <w:rFonts w:cs="Arial"/>
        </w:rPr>
        <w:t>a.</w:t>
      </w:r>
      <w:r w:rsidRPr="00620047">
        <w:rPr>
          <w:rFonts w:cs="Arial"/>
        </w:rPr>
        <w:tab/>
        <w:t>op een afstand van ten minste 150 meter van een zeer kwetsbaar gebied, indien de gezamenlijke oppervlakte van de mestbassins ten hoogste 350 vierkante meter bedraagt, of</w:t>
      </w:r>
    </w:p>
    <w:p w:rsidR="00296032" w:rsidRPr="00620047" w:rsidRDefault="00296032">
      <w:pPr>
        <w:pStyle w:val="art2enivo"/>
        <w:rPr>
          <w:rFonts w:cs="Arial"/>
        </w:rPr>
      </w:pPr>
      <w:r w:rsidRPr="00620047">
        <w:rPr>
          <w:rFonts w:cs="Arial"/>
        </w:rPr>
        <w:t>b.</w:t>
      </w:r>
      <w:r w:rsidRPr="00620047">
        <w:rPr>
          <w:rFonts w:cs="Arial"/>
        </w:rPr>
        <w:tab/>
        <w:t>op een afstand van ten minste 250 meter van een zeer kwetsbaar gebied, indien de gezamenlijke oppervlakte van de mestbassins ten minste 350 vierkante meter bedraagt.</w:t>
      </w:r>
    </w:p>
    <w:p w:rsidR="00296032" w:rsidRPr="00620047" w:rsidRDefault="00296032">
      <w:pPr>
        <w:pStyle w:val="art1enivo"/>
        <w:rPr>
          <w:rFonts w:cs="Arial"/>
        </w:rPr>
      </w:pPr>
      <w:r w:rsidRPr="00620047">
        <w:rPr>
          <w:rFonts w:cs="Arial"/>
        </w:rPr>
        <w:t>7.</w:t>
      </w:r>
      <w:r w:rsidRPr="00620047">
        <w:rPr>
          <w:rFonts w:cs="Arial"/>
        </w:rPr>
        <w:tab/>
        <w:t>Het zesde lid, onderdeel a, is niet van toepassing op:</w:t>
      </w:r>
    </w:p>
    <w:p w:rsidR="00296032" w:rsidRPr="00620047" w:rsidRDefault="00296032">
      <w:pPr>
        <w:pStyle w:val="art2enivo"/>
        <w:rPr>
          <w:rFonts w:cs="Arial"/>
        </w:rPr>
      </w:pPr>
      <w:r w:rsidRPr="00620047">
        <w:rPr>
          <w:rFonts w:cs="Arial"/>
        </w:rPr>
        <w:t>a.</w:t>
      </w:r>
      <w:r w:rsidRPr="00620047">
        <w:rPr>
          <w:rFonts w:cs="Arial"/>
        </w:rPr>
        <w:tab/>
        <w:t>een mestbassin dat is opgericht voor 1 februari 1991, en</w:t>
      </w:r>
    </w:p>
    <w:p w:rsidR="00296032" w:rsidRPr="00620047" w:rsidRDefault="00296032">
      <w:pPr>
        <w:pStyle w:val="art2enivo"/>
        <w:rPr>
          <w:rFonts w:cs="Arial"/>
        </w:rPr>
      </w:pPr>
      <w:r w:rsidRPr="00620047">
        <w:rPr>
          <w:rFonts w:cs="Arial"/>
        </w:rPr>
        <w:t>b.</w:t>
      </w:r>
      <w:r w:rsidRPr="00620047">
        <w:rPr>
          <w:rFonts w:cs="Arial"/>
        </w:rPr>
        <w:tab/>
        <w:t>een uitbreiding van een veehouderij die is opgericht voor 1 februari 1991 met een mestbassin,</w:t>
      </w:r>
    </w:p>
    <w:p w:rsidR="00296032" w:rsidRPr="00620047" w:rsidRDefault="00296032">
      <w:pPr>
        <w:pStyle w:val="art1enivo"/>
        <w:ind w:firstLine="0"/>
      </w:pPr>
      <w:r w:rsidRPr="00620047">
        <w:t>indien de in dat onderdeel genoemde afstand tot een zeer kwetsbaar gebied niet of redelijkerwijs niet in acht kan worden genomen.</w:t>
      </w:r>
    </w:p>
    <w:p w:rsidR="00296032" w:rsidRPr="00620047" w:rsidRDefault="00296032">
      <w:pPr>
        <w:pStyle w:val="art1enivo"/>
        <w:rPr>
          <w:rFonts w:cs="Arial"/>
        </w:rPr>
      </w:pPr>
      <w:r w:rsidRPr="00620047">
        <w:rPr>
          <w:rFonts w:cs="Arial"/>
        </w:rPr>
        <w:t>8.</w:t>
      </w:r>
      <w:r w:rsidRPr="00620047">
        <w:rPr>
          <w:rFonts w:cs="Arial"/>
        </w:rPr>
        <w:tab/>
        <w:t>Het zesde lid is niet van toepassing, indien het mestbassin is opgericht in overeenstemming met dat lid en het mestbassin na het tijdstip van oprichting is komen te liggen binnen een van de afstanden van een zeer kwetsbaar gebied, genoemd in dat lid.</w:t>
      </w:r>
    </w:p>
    <w:p w:rsidR="00296032" w:rsidRPr="00620047" w:rsidRDefault="00296032">
      <w:pPr>
        <w:pStyle w:val="art1enivo"/>
        <w:rPr>
          <w:rFonts w:cs="Arial"/>
        </w:rPr>
      </w:pPr>
      <w:r w:rsidRPr="00620047">
        <w:rPr>
          <w:rFonts w:cs="Arial"/>
        </w:rPr>
        <w:t>9.</w:t>
      </w:r>
      <w:r w:rsidRPr="00620047">
        <w:rPr>
          <w:rFonts w:cs="Arial"/>
        </w:rPr>
        <w:tab/>
        <w:t>Het bevoegd gezag kan met betrekking tot een geval als bedoeld in het zevende lid, voor zover de bescherming van het milieu zich daartegen niet verzet, bij maatwerkvoorschrift een kleinere afstand tot een zeer kwetsbaar gebied vaststellen.</w:t>
      </w:r>
    </w:p>
    <w:p w:rsidR="00296032" w:rsidRPr="00620047" w:rsidRDefault="00296032">
      <w:pPr>
        <w:pStyle w:val="art1enivo"/>
        <w:rPr>
          <w:rFonts w:cs="Arial"/>
        </w:rPr>
      </w:pPr>
      <w:r w:rsidRPr="00620047">
        <w:rPr>
          <w:rFonts w:cs="Arial"/>
        </w:rPr>
        <w:t>10.</w:t>
      </w:r>
      <w:r w:rsidRPr="00620047">
        <w:rPr>
          <w:rFonts w:cs="Arial"/>
        </w:rPr>
        <w:tab/>
        <w:t>De afstanden, genoemd in het eerste tot en met zesde lid, worden gemeten vanaf de buitenzijde van het mestbassin tot de dichtstbijzijnde gevel van een geurgevoelig object dan wel tot de grens van een zeer kwetsbaar gebied.</w:t>
      </w:r>
    </w:p>
    <w:p w:rsidR="00296032" w:rsidRPr="00620047" w:rsidRDefault="00296032">
      <w:pPr>
        <w:pStyle w:val="art1enivo"/>
        <w:rPr>
          <w:rFonts w:cs="Arial"/>
        </w:rPr>
      </w:pPr>
      <w:r w:rsidRPr="00620047">
        <w:rPr>
          <w:rFonts w:cs="Arial"/>
        </w:rPr>
        <w:t>11.</w:t>
      </w:r>
      <w:r w:rsidRPr="00620047">
        <w:rPr>
          <w:rFonts w:cs="Arial"/>
        </w:rPr>
        <w:tab/>
        <w:t>Het eerste tot en met tiende lid is niet van toepassing op een mestkelder.</w:t>
      </w:r>
    </w:p>
    <w:p w:rsidR="00296032" w:rsidRPr="00620047" w:rsidRDefault="00296032">
      <w:pPr>
        <w:pStyle w:val="art1enivo"/>
        <w:rPr>
          <w:rStyle w:val="art2enivoChar"/>
        </w:rPr>
      </w:pPr>
      <w:r w:rsidRPr="00620047">
        <w:rPr>
          <w:rFonts w:cs="Arial"/>
        </w:rPr>
        <w:t>12.</w:t>
      </w:r>
      <w:r w:rsidRPr="00620047">
        <w:rPr>
          <w:rFonts w:cs="Arial"/>
        </w:rPr>
        <w:tab/>
        <w:t>Het bevoegd gezag kan, indien blijkt dat de geurhinder een aanvaardbaar niveau overschrijdt, onverminderd artikel 2.7a, bij maatwerkvoorschrift eisen stellen aan</w:t>
      </w:r>
      <w:r w:rsidRPr="00620047">
        <w:rPr>
          <w:rStyle w:val="art2enivoChar"/>
        </w:rPr>
        <w:t>:</w:t>
      </w:r>
    </w:p>
    <w:p w:rsidR="00296032" w:rsidRPr="00620047" w:rsidRDefault="00296032">
      <w:pPr>
        <w:pStyle w:val="art2enivo"/>
      </w:pPr>
      <w:r w:rsidRPr="00620047">
        <w:rPr>
          <w:rFonts w:cs="Arial"/>
        </w:rPr>
        <w:t>a.</w:t>
      </w:r>
      <w:r w:rsidRPr="00620047">
        <w:rPr>
          <w:rFonts w:cs="Arial"/>
        </w:rPr>
        <w:tab/>
        <w:t>de situering van het mestbassin;</w:t>
      </w:r>
    </w:p>
    <w:p w:rsidR="00296032" w:rsidRPr="00620047" w:rsidRDefault="00296032">
      <w:pPr>
        <w:pStyle w:val="art2enivo"/>
        <w:rPr>
          <w:rFonts w:cs="Arial"/>
        </w:rPr>
      </w:pPr>
      <w:r w:rsidRPr="00620047">
        <w:rPr>
          <w:rFonts w:cs="Arial"/>
        </w:rPr>
        <w:t>b.</w:t>
      </w:r>
      <w:r w:rsidRPr="00620047">
        <w:rPr>
          <w:rFonts w:cs="Arial"/>
        </w:rPr>
        <w:tab/>
        <w:t>het afdekken van het mestbassin, of</w:t>
      </w:r>
    </w:p>
    <w:p w:rsidR="00296032" w:rsidRPr="00620047" w:rsidRDefault="00296032">
      <w:pPr>
        <w:pStyle w:val="art2enivo"/>
        <w:rPr>
          <w:rFonts w:cs="Arial"/>
        </w:rPr>
      </w:pPr>
      <w:r w:rsidRPr="00620047">
        <w:rPr>
          <w:rFonts w:cs="Arial"/>
        </w:rPr>
        <w:t>c.</w:t>
      </w:r>
      <w:r w:rsidRPr="00620047">
        <w:rPr>
          <w:rFonts w:cs="Arial"/>
        </w:rPr>
        <w:tab/>
        <w:t>de frequentie en het tijdstip van de aan- en afvoer van de opgeslagen drijfmest en digestaat.</w:t>
      </w:r>
    </w:p>
    <w:p w:rsidR="00296032" w:rsidRPr="00296032" w:rsidRDefault="00296032">
      <w:pPr>
        <w:pStyle w:val="artikelkop"/>
        <w:rPr>
          <w:rFonts w:cs="Arial"/>
        </w:rPr>
      </w:pPr>
      <w:r w:rsidRPr="00296032">
        <w:rPr>
          <w:rFonts w:cs="Arial"/>
        </w:rPr>
        <w:t>Artikel 3.52</w:t>
      </w:r>
    </w:p>
    <w:p w:rsidR="00296032" w:rsidRPr="00620047" w:rsidRDefault="00296032">
      <w:pPr>
        <w:pStyle w:val="art1enivo"/>
        <w:rPr>
          <w:rFonts w:cs="Arial"/>
        </w:rPr>
      </w:pPr>
      <w:r w:rsidRPr="00620047">
        <w:rPr>
          <w:rFonts w:cs="Arial"/>
        </w:rPr>
        <w:t>Bij het opslaan van drijfmest en stabiel digestaat in een mestbassin wordt ten behoeve van:</w:t>
      </w:r>
    </w:p>
    <w:p w:rsidR="00296032" w:rsidRPr="00620047" w:rsidRDefault="00296032">
      <w:pPr>
        <w:pStyle w:val="art2enivo"/>
        <w:rPr>
          <w:rFonts w:cs="Arial"/>
        </w:rPr>
      </w:pPr>
      <w:r w:rsidRPr="00620047">
        <w:rPr>
          <w:rFonts w:cs="Arial"/>
        </w:rPr>
        <w:t>a.</w:t>
      </w:r>
      <w:r w:rsidRPr="00620047">
        <w:rPr>
          <w:rFonts w:cs="Arial"/>
        </w:rPr>
        <w:tab/>
        <w:t>het voorkomen dan wel voor zover dat niet mogelijk is het zoveel mogelijk beperken van de emissie van ammoniak, of</w:t>
      </w:r>
    </w:p>
    <w:p w:rsidR="00296032" w:rsidRPr="00620047" w:rsidRDefault="00296032">
      <w:pPr>
        <w:pStyle w:val="art2enivo"/>
        <w:rPr>
          <w:rFonts w:cs="Arial"/>
        </w:rPr>
      </w:pPr>
      <w:r w:rsidRPr="00620047">
        <w:rPr>
          <w:rFonts w:cs="Arial"/>
        </w:rPr>
        <w:t>b.</w:t>
      </w:r>
      <w:r w:rsidRPr="00620047">
        <w:rPr>
          <w:rFonts w:cs="Arial"/>
        </w:rPr>
        <w:tab/>
        <w:t>het realiseren van een verwaarloosbaar bodemrisico,</w:t>
      </w:r>
    </w:p>
    <w:p w:rsidR="00E066B3" w:rsidRDefault="00296032">
      <w:pPr>
        <w:pStyle w:val="artplat"/>
        <w:rPr>
          <w:rFonts w:cs="Arial"/>
        </w:rPr>
      </w:pPr>
      <w:r w:rsidRPr="00620047">
        <w:rPr>
          <w:rFonts w:cs="Arial"/>
        </w:rPr>
        <w:t>voldaan aan de bij ministeriële regeling gestelde eisen.</w:t>
      </w:r>
    </w:p>
    <w:p w:rsidR="00E066B3" w:rsidRDefault="00E066B3" w:rsidP="00E066B3">
      <w:pPr>
        <w:pStyle w:val="paragraaf"/>
        <w:shd w:val="clear" w:color="auto" w:fill="D9D9D9" w:themeFill="background1" w:themeFillShade="D9"/>
      </w:pPr>
      <w:bookmarkStart w:id="118" w:name="_Toc431375610"/>
      <w:r>
        <w:t>§ 3.4.6</w:t>
      </w:r>
      <w:r>
        <w:tab/>
        <w:t>Opslaan van drijfmest of digestaat</w:t>
      </w:r>
      <w:bookmarkEnd w:id="118"/>
    </w:p>
    <w:p w:rsidR="00E066B3" w:rsidRDefault="00E066B3" w:rsidP="00E066B3">
      <w:pPr>
        <w:pStyle w:val="artikelkop"/>
        <w:shd w:val="clear" w:color="auto" w:fill="D9D9D9" w:themeFill="background1" w:themeFillShade="D9"/>
      </w:pPr>
      <w:r>
        <w:t xml:space="preserve">Artikel 3.66 </w:t>
      </w:r>
    </w:p>
    <w:p w:rsidR="00E066B3" w:rsidRDefault="00E066B3" w:rsidP="00E066B3">
      <w:pPr>
        <w:pStyle w:val="art1enivo"/>
        <w:shd w:val="clear" w:color="auto" w:fill="D9D9D9" w:themeFill="background1" w:themeFillShade="D9"/>
        <w:suppressAutoHyphens/>
        <w:rPr>
          <w:rFonts w:cs="Arial"/>
        </w:rPr>
      </w:pPr>
      <w:r>
        <w:rPr>
          <w:rFonts w:cs="Arial"/>
        </w:rPr>
        <w:t>1.</w:t>
      </w:r>
      <w:r>
        <w:rPr>
          <w:rFonts w:cs="Arial"/>
        </w:rPr>
        <w:tab/>
        <w:t>Ten behoeve van het voorkomen dan wel voor zover dat niet mogelijk is het zoveel mogelijk beperken van de emissie van ammoniak als bedoeld in artikel 3.52, onder a, van het besluit wordt bij het opslaan van drijfmest of digestaat voldaan aan de artikelen 3.67 tot en met 3.69.</w:t>
      </w:r>
    </w:p>
    <w:p w:rsidR="00E066B3" w:rsidRDefault="00E066B3" w:rsidP="00E066B3">
      <w:pPr>
        <w:pStyle w:val="art1enivo"/>
        <w:shd w:val="clear" w:color="auto" w:fill="D9D9D9" w:themeFill="background1" w:themeFillShade="D9"/>
        <w:suppressAutoHyphens/>
        <w:rPr>
          <w:rFonts w:cs="Arial"/>
        </w:rPr>
      </w:pPr>
      <w:r>
        <w:rPr>
          <w:rFonts w:cs="Arial"/>
        </w:rPr>
        <w:t>2.</w:t>
      </w:r>
      <w:r>
        <w:rPr>
          <w:rFonts w:cs="Arial"/>
        </w:rPr>
        <w:tab/>
        <w:t>Ten behoeve van het realiseren van een verwaarloosbaar bodemrisico als bedoeld in artikel 3.52, onder b, van het besluit wordt bij het opslaan van drijfmest of digestaat voldaan aan de artikelen 3.68 tot en met 3.70.</w:t>
      </w:r>
    </w:p>
    <w:p w:rsidR="00E066B3" w:rsidRDefault="00E066B3" w:rsidP="00E066B3">
      <w:pPr>
        <w:pStyle w:val="art1enivo"/>
        <w:shd w:val="clear" w:color="auto" w:fill="D9D9D9" w:themeFill="background1" w:themeFillShade="D9"/>
      </w:pPr>
      <w:r>
        <w:t>3.</w:t>
      </w:r>
      <w:r>
        <w:tab/>
        <w:t>Artikel 2.11, eerste tot en met negende lid, van het besluit is niet van toepassing op het opslaan van drijfmest of digestaat.</w:t>
      </w:r>
    </w:p>
    <w:p w:rsidR="00E066B3" w:rsidRDefault="00E066B3" w:rsidP="00E066B3">
      <w:pPr>
        <w:pStyle w:val="artikelkop"/>
        <w:shd w:val="clear" w:color="auto" w:fill="D9D9D9" w:themeFill="background1" w:themeFillShade="D9"/>
      </w:pPr>
      <w:r>
        <w:t xml:space="preserve">Artikel 3.67 </w:t>
      </w:r>
    </w:p>
    <w:p w:rsidR="00E066B3" w:rsidRDefault="00E066B3" w:rsidP="00E066B3">
      <w:pPr>
        <w:pStyle w:val="art1enivo"/>
        <w:shd w:val="clear" w:color="auto" w:fill="D9D9D9" w:themeFill="background1" w:themeFillShade="D9"/>
      </w:pPr>
      <w:r>
        <w:t>1.</w:t>
      </w:r>
      <w:r>
        <w:tab/>
        <w:t>Een mestbassin is voorzien van een afdekking die is aangebracht op of in het bassin, aansluitend of, in het geval van een drijvende afdekking, nagenoeg aansluitend tegen de rand van het mestbassin en boven de drijfmest of het digestaat.</w:t>
      </w:r>
    </w:p>
    <w:p w:rsidR="00E066B3" w:rsidRDefault="00E066B3" w:rsidP="00E066B3">
      <w:pPr>
        <w:pStyle w:val="art1enivo"/>
        <w:shd w:val="clear" w:color="auto" w:fill="D9D9D9" w:themeFill="background1" w:themeFillShade="D9"/>
      </w:pPr>
      <w:r>
        <w:t>2.</w:t>
      </w:r>
      <w:r>
        <w:tab/>
        <w:t>Het eerste lid is niet van toepassing op een mestkelder.</w:t>
      </w:r>
    </w:p>
    <w:p w:rsidR="00E066B3" w:rsidRDefault="00E066B3" w:rsidP="00E066B3">
      <w:pPr>
        <w:pStyle w:val="art1enivo"/>
        <w:shd w:val="clear" w:color="auto" w:fill="D9D9D9" w:themeFill="background1" w:themeFillShade="D9"/>
      </w:pPr>
      <w:r>
        <w:t>3.</w:t>
      </w:r>
      <w:r>
        <w:tab/>
        <w:t>Het eerste lid is niet van toepassing op een ondergronds mestbassin, niet zijnde een mestkelder, indien dit bassin volledig is afgedekt door een gesloten constructie die als vloer kan fungeren.</w:t>
      </w:r>
    </w:p>
    <w:p w:rsidR="00E066B3" w:rsidRDefault="00E066B3" w:rsidP="00E066B3">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Het eerste tot en met derde lid zijn tot 1 januari 2018 niet van toepassing op een mestbassin dat is opgericht voor 1 juni 1987.</w:t>
      </w:r>
    </w:p>
    <w:p w:rsidR="00E066B3" w:rsidRDefault="00E066B3" w:rsidP="00E066B3">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het geval, bedoeld in het vierde lid, wordt het mestbassin, zolang het niet is voorzien van een afdekking:</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uitsluitend op of nabij de onderkant van het mestbassin gevuld, en</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doelmatig gevuld, maar niet verder dan 0,20 meter onder de rand.</w:t>
      </w:r>
    </w:p>
    <w:p w:rsidR="00E066B3" w:rsidRDefault="00E066B3" w:rsidP="00E066B3">
      <w:pPr>
        <w:pStyle w:val="artikelkop"/>
        <w:shd w:val="clear" w:color="auto" w:fill="D9D9D9" w:themeFill="background1" w:themeFillShade="D9"/>
      </w:pPr>
      <w:r>
        <w:t xml:space="preserve">Artikel 3.68 </w:t>
      </w:r>
    </w:p>
    <w:p w:rsidR="00E066B3" w:rsidRDefault="00E066B3" w:rsidP="00E066B3">
      <w:pPr>
        <w:pStyle w:val="art1enivo"/>
        <w:shd w:val="clear" w:color="auto" w:fill="D9D9D9" w:themeFill="background1" w:themeFillShade="D9"/>
        <w:suppressAutoHyphens/>
        <w:rPr>
          <w:rFonts w:cs="Arial"/>
        </w:rPr>
      </w:pPr>
      <w:r>
        <w:rPr>
          <w:rFonts w:cs="Arial"/>
        </w:rPr>
        <w:t>1.</w:t>
      </w:r>
      <w:r>
        <w:rPr>
          <w:rFonts w:cs="Arial"/>
        </w:rPr>
        <w:tab/>
        <w:t>Een mestbassin en de afdekking ervan worden aangelegd overeenkomstig paragraaf 5.5 en de hoofdstukken 6 en 7 van BRL 2342.</w:t>
      </w:r>
    </w:p>
    <w:p w:rsidR="00E066B3" w:rsidRDefault="00E066B3" w:rsidP="00E066B3">
      <w:pPr>
        <w:pStyle w:val="art1enivo"/>
        <w:shd w:val="clear" w:color="auto" w:fill="D9D9D9" w:themeFill="background1" w:themeFillShade="D9"/>
        <w:suppressAutoHyphens/>
        <w:rPr>
          <w:rFonts w:cs="Arial"/>
        </w:rPr>
      </w:pPr>
      <w:r>
        <w:rPr>
          <w:rFonts w:cs="Arial"/>
        </w:rPr>
        <w:t>2.</w:t>
      </w:r>
      <w:r>
        <w:rPr>
          <w:rFonts w:cs="Arial"/>
        </w:rPr>
        <w:tab/>
        <w:t>Een mestbassin, niet zijnde een ondergronds mestbassin, en de afdekking ervan zijn voorzien van een kwaliteitsverklaring mestbassin, waaruit blijkt dat het mestbassin en de afdekking zijn uitgevoerd overeenkomstig BRL 2342 en wat de referentieperiode mestbassins is. De kwaliteitsverklaring mestbassin is binnen de inrichting aanwezig.</w:t>
      </w:r>
    </w:p>
    <w:p w:rsidR="00E066B3" w:rsidRDefault="00E066B3" w:rsidP="00E066B3">
      <w:pPr>
        <w:pStyle w:val="art1enivo"/>
        <w:shd w:val="clear" w:color="auto" w:fill="D9D9D9" w:themeFill="background1" w:themeFillShade="D9"/>
        <w:suppressAutoHyphens/>
        <w:rPr>
          <w:rFonts w:cs="Arial"/>
        </w:rPr>
      </w:pPr>
      <w:r>
        <w:rPr>
          <w:rFonts w:cs="Arial"/>
        </w:rPr>
        <w:t>3.</w:t>
      </w:r>
      <w:r>
        <w:rPr>
          <w:rFonts w:cs="Arial"/>
        </w:rPr>
        <w:tab/>
        <w:t>Een mestbassin dat, of een afdekking die visueel waarneembaar lek is of in een slechte staat verkeert, wordt terstond gerepareerd.</w:t>
      </w:r>
    </w:p>
    <w:p w:rsidR="00E066B3" w:rsidRDefault="00E066B3" w:rsidP="00E066B3">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In afwijking van het eerste tot en met het derde lid zijn een mestbassin en een afdekking die zijn opgericht voor 1 januari 2013 uitgevoerd overeenkomstig de eisen die op het moment van oprichten van toepassing waren op grond van een vergunning dan wel het Besluit akkerbouwbedrijven milieubeheer, het Besluit mestbassins, het Besluit landbouw milieubeheer of het Besluit melkrundveehouderijen milieubeheer.</w:t>
      </w:r>
    </w:p>
    <w:p w:rsidR="00E066B3" w:rsidRDefault="00E066B3" w:rsidP="00E066B3">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Een mestbassin en een afdekking als bedoeld in het vierde lid zijn voorzien van een door de installateur verstrekte verklaring waaruit blijkt dat het mestbassin en de afdekking zijn uitgevoerd overeenkomstig de eisen, bedoeld in het vierde lid, en welke referentieperiode mestbassins van toepassing is.</w:t>
      </w:r>
    </w:p>
    <w:p w:rsidR="00E066B3" w:rsidRDefault="00E066B3" w:rsidP="00E066B3">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Indien in de verklaring, bedoeld in het vijfde lid, geen referentieperiode mestbassins is vermeld, geldt gerekend van het moment van aanleg van het mestbassin de volgende referentieperiode mestbassins:</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20 jaar voor een houten, betonnen of gemetseld mestbassin en betonnen afdekking;</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10 jaar voor een metalen mestbassin en afdekking;</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5 jaar voor een mestzak of een foliebassin;</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5 jaar voor de taludbescherming van een foliebassin, of</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10 jaar voor overige typen mestbassins en afdekkingen.</w:t>
      </w:r>
    </w:p>
    <w:p w:rsidR="00E066B3" w:rsidRDefault="00E066B3" w:rsidP="00E066B3">
      <w:pPr>
        <w:pStyle w:val="artikelkop"/>
        <w:shd w:val="clear" w:color="auto" w:fill="D9D9D9" w:themeFill="background1" w:themeFillShade="D9"/>
      </w:pPr>
      <w:r>
        <w:t xml:space="preserve">Artikel 3.69 </w:t>
      </w:r>
    </w:p>
    <w:p w:rsidR="00E066B3" w:rsidRDefault="00E066B3" w:rsidP="00E066B3">
      <w:pPr>
        <w:pStyle w:val="art1enivo"/>
        <w:shd w:val="clear" w:color="auto" w:fill="D9D9D9" w:themeFill="background1" w:themeFillShade="D9"/>
        <w:suppressAutoHyphens/>
        <w:rPr>
          <w:rFonts w:cs="Arial"/>
        </w:rPr>
      </w:pPr>
      <w:r>
        <w:rPr>
          <w:rFonts w:cs="Arial"/>
        </w:rPr>
        <w:t>1.</w:t>
      </w:r>
      <w:r>
        <w:rPr>
          <w:rFonts w:cs="Arial"/>
        </w:rPr>
        <w:tab/>
        <w:t>Een mestbassin en een afdekking worden overeenkomstig het daartoe in de Regeling bodemkwaliteit aangewezen normdocument beoordeeld en goedgekeurd door een persoon of instelling, die daartoe beschikt over een erkenning op grond van het Besluit bodemkwaliteit.</w:t>
      </w:r>
    </w:p>
    <w:p w:rsidR="00E066B3" w:rsidRDefault="00E066B3" w:rsidP="00E066B3">
      <w:pPr>
        <w:pStyle w:val="art1enivo"/>
        <w:shd w:val="clear" w:color="auto" w:fill="D9D9D9" w:themeFill="background1" w:themeFillShade="D9"/>
        <w:suppressAutoHyphens/>
        <w:rPr>
          <w:rFonts w:cs="Arial"/>
        </w:rPr>
      </w:pPr>
      <w:r>
        <w:rPr>
          <w:rFonts w:cs="Arial"/>
        </w:rPr>
        <w:t>2.</w:t>
      </w:r>
      <w:r>
        <w:rPr>
          <w:rFonts w:cs="Arial"/>
        </w:rPr>
        <w:tab/>
        <w:t>De beoordeling, bedoeld in het eerste lid, vindt plaats ten minste vier weken voor het aflopen van de referentieperiode mestbassins.</w:t>
      </w:r>
    </w:p>
    <w:p w:rsidR="00E066B3" w:rsidRDefault="00E066B3" w:rsidP="00E066B3">
      <w:pPr>
        <w:pStyle w:val="art1enivo"/>
        <w:shd w:val="clear" w:color="auto" w:fill="D9D9D9" w:themeFill="background1" w:themeFillShade="D9"/>
        <w:suppressAutoHyphens/>
        <w:rPr>
          <w:rFonts w:cs="Arial"/>
        </w:rPr>
      </w:pPr>
      <w:r>
        <w:rPr>
          <w:rFonts w:cs="Arial"/>
        </w:rPr>
        <w:t>3.</w:t>
      </w:r>
      <w:r>
        <w:rPr>
          <w:rFonts w:cs="Arial"/>
        </w:rPr>
        <w:tab/>
        <w:t>Bij goedkeuring van een mestbassin en een afdekking wordt door de persoon of instelling, bedoeld in het eerste lid, een nieuwe referentieperiode mestbassins vastgesteld.</w:t>
      </w:r>
    </w:p>
    <w:p w:rsidR="00E066B3" w:rsidRDefault="00E066B3" w:rsidP="00E066B3">
      <w:pPr>
        <w:pStyle w:val="art1enivo"/>
        <w:shd w:val="clear" w:color="auto" w:fill="D9D9D9" w:themeFill="background1" w:themeFillShade="D9"/>
        <w:suppressAutoHyphens/>
        <w:rPr>
          <w:rFonts w:cs="Arial"/>
        </w:rPr>
      </w:pPr>
      <w:r>
        <w:rPr>
          <w:rFonts w:cs="Arial"/>
        </w:rPr>
        <w:t>4.</w:t>
      </w:r>
      <w:r>
        <w:rPr>
          <w:rFonts w:cs="Arial"/>
        </w:rPr>
        <w:tab/>
        <w:t>Indien de goedkeuring, bedoeld in het derde lid, onder voorwaarden wordt gegeven, wordt binnen een termijn, gesteld door een persoon of instelling als bedoeld in het eerste lid, aan die voorwaarden voldaan.</w:t>
      </w:r>
    </w:p>
    <w:p w:rsidR="00E066B3" w:rsidRDefault="00E066B3" w:rsidP="00E066B3">
      <w:pPr>
        <w:pStyle w:val="art1enivo"/>
        <w:shd w:val="clear" w:color="auto" w:fill="D9D9D9" w:themeFill="background1" w:themeFillShade="D9"/>
        <w:suppressAutoHyphens/>
        <w:rPr>
          <w:rFonts w:cs="Arial"/>
        </w:rPr>
      </w:pPr>
      <w:r>
        <w:rPr>
          <w:rFonts w:cs="Arial"/>
        </w:rPr>
        <w:t>5.</w:t>
      </w:r>
      <w:r>
        <w:rPr>
          <w:rFonts w:cs="Arial"/>
        </w:rPr>
        <w:tab/>
        <w:t>Indien de beoordeling, bedoeld in het eerste lid, leidt tot afkeuring en het mestbassin of de afdekking reparatie behoeft, draagt degene die de inrichting drijft zorg voor reparatie en wordt het mestbassin of de afdekking binnen een termijn, gesteld door een persoon of instelling als bedoeld in het eerste lid opnieuw ter beoordeling aangeboden.</w:t>
      </w:r>
    </w:p>
    <w:p w:rsidR="00E066B3" w:rsidRDefault="00E066B3" w:rsidP="00E066B3">
      <w:pPr>
        <w:pStyle w:val="art1enivo"/>
        <w:shd w:val="clear" w:color="auto" w:fill="D9D9D9" w:themeFill="background1" w:themeFillShade="D9"/>
        <w:suppressAutoHyphens/>
        <w:rPr>
          <w:rFonts w:cs="Arial"/>
        </w:rPr>
      </w:pPr>
      <w:r>
        <w:rPr>
          <w:rFonts w:cs="Arial"/>
        </w:rPr>
        <w:t>6.</w:t>
      </w:r>
      <w:r>
        <w:rPr>
          <w:rFonts w:cs="Arial"/>
        </w:rPr>
        <w:tab/>
        <w:t>Indien reparatie als bedoeld in het vijfde lid niet plaatsvindt of een mestbassin of afdekking wordt afgekeurd en reparatie niet mogelijk is, wordt:</w:t>
      </w:r>
    </w:p>
    <w:p w:rsidR="00E066B3" w:rsidRDefault="00E066B3" w:rsidP="00E066B3">
      <w:pPr>
        <w:pStyle w:val="art2enivo"/>
        <w:shd w:val="clear" w:color="auto" w:fill="D9D9D9" w:themeFill="background1" w:themeFillShade="D9"/>
        <w:suppressAutoHyphens/>
        <w:rPr>
          <w:rFonts w:cs="Arial"/>
        </w:rPr>
      </w:pPr>
      <w:r>
        <w:rPr>
          <w:rFonts w:cs="Arial"/>
        </w:rPr>
        <w:t>a.</w:t>
      </w:r>
      <w:r>
        <w:rPr>
          <w:rFonts w:cs="Arial"/>
        </w:rPr>
        <w:tab/>
        <w:t>van de afkeuring terstond melding gemaakt bij het bevoegd gezag;</w:t>
      </w:r>
    </w:p>
    <w:p w:rsidR="00E066B3" w:rsidRDefault="00E066B3" w:rsidP="00E066B3">
      <w:pPr>
        <w:pStyle w:val="art2enivo"/>
        <w:shd w:val="clear" w:color="auto" w:fill="D9D9D9" w:themeFill="background1" w:themeFillShade="D9"/>
        <w:suppressAutoHyphens/>
        <w:rPr>
          <w:rFonts w:cs="Arial"/>
        </w:rPr>
      </w:pPr>
      <w:r>
        <w:rPr>
          <w:rFonts w:cs="Arial"/>
        </w:rPr>
        <w:t>b.</w:t>
      </w:r>
      <w:r>
        <w:rPr>
          <w:rFonts w:cs="Arial"/>
        </w:rPr>
        <w:tab/>
        <w:t>de drijfmest of het digestaat dat zich in het mestbassin bevindt onmiddellijk verwijderd, en</w:t>
      </w:r>
    </w:p>
    <w:p w:rsidR="00E066B3" w:rsidRDefault="00E066B3" w:rsidP="00E066B3">
      <w:pPr>
        <w:pStyle w:val="art2enivo"/>
        <w:shd w:val="clear" w:color="auto" w:fill="D9D9D9" w:themeFill="background1" w:themeFillShade="D9"/>
        <w:suppressAutoHyphens/>
        <w:rPr>
          <w:rFonts w:cs="Arial"/>
        </w:rPr>
      </w:pPr>
      <w:r>
        <w:rPr>
          <w:rFonts w:cs="Arial"/>
        </w:rPr>
        <w:t>c.</w:t>
      </w:r>
      <w:r>
        <w:rPr>
          <w:rFonts w:cs="Arial"/>
        </w:rPr>
        <w:tab/>
        <w:t>het opslaan van drijfmest of digestaat in het mestbassin beëindigd.</w:t>
      </w:r>
    </w:p>
    <w:p w:rsidR="00E066B3" w:rsidRDefault="00E066B3" w:rsidP="00E066B3">
      <w:pPr>
        <w:pStyle w:val="art1enivo"/>
        <w:shd w:val="clear" w:color="auto" w:fill="D9D9D9" w:themeFill="background1" w:themeFillShade="D9"/>
        <w:suppressAutoHyphens/>
        <w:rPr>
          <w:rFonts w:cs="Arial"/>
        </w:rPr>
      </w:pPr>
      <w:r>
        <w:rPr>
          <w:rFonts w:cs="Arial"/>
        </w:rPr>
        <w:t>7.</w:t>
      </w:r>
      <w:r>
        <w:rPr>
          <w:rFonts w:cs="Arial"/>
        </w:rPr>
        <w:tab/>
        <w:t>Het rapport van goedkeuring waarin een nieuwe referentieperiode mestbassins als bedoeld in het derde lid is opgenomen, is binnen de inrichting aanwezig.</w:t>
      </w:r>
    </w:p>
    <w:p w:rsidR="00E066B3" w:rsidRDefault="00E066B3" w:rsidP="00E066B3">
      <w:pPr>
        <w:pStyle w:val="art1enivo"/>
        <w:shd w:val="clear" w:color="auto" w:fill="D9D9D9" w:themeFill="background1" w:themeFillShade="D9"/>
        <w:suppressAutoHyphens/>
        <w:rPr>
          <w:rFonts w:cs="Arial"/>
        </w:rPr>
      </w:pPr>
      <w:r>
        <w:rPr>
          <w:rFonts w:cs="Arial"/>
        </w:rPr>
        <w:t>8.</w:t>
      </w:r>
      <w:r>
        <w:rPr>
          <w:rFonts w:cs="Arial"/>
        </w:rPr>
        <w:tab/>
        <w:t>Het eerste tot en met zevende lid is niet van toepassing op een ondergronds mestbassin voorzien van een afdekking die als vloer kan fungeren.</w:t>
      </w:r>
    </w:p>
    <w:p w:rsidR="00E066B3" w:rsidRDefault="00E066B3" w:rsidP="00E066B3">
      <w:pPr>
        <w:pStyle w:val="art1enivo"/>
        <w:shd w:val="clear" w:color="auto" w:fill="D9D9D9" w:themeFill="background1" w:themeFillShade="D9"/>
        <w:rPr>
          <w:rFonts w:eastAsiaTheme="minorEastAsia"/>
          <w:lang w:eastAsia="nl-NL"/>
        </w:rPr>
      </w:pPr>
      <w:r>
        <w:rPr>
          <w:rFonts w:eastAsiaTheme="minorEastAsia"/>
          <w:lang w:eastAsia="nl-NL"/>
        </w:rPr>
        <w:t>9.</w:t>
      </w:r>
      <w:r>
        <w:rPr>
          <w:rFonts w:eastAsiaTheme="minorEastAsia"/>
          <w:lang w:eastAsia="nl-NL"/>
        </w:rPr>
        <w:tab/>
        <w:t>In afwijking van het eerste lid wordt een mestbassin, met uitzondering van een ondergronds mestbassin voorzien van een afdekking die als vloer kan fungeren, dat is opgericht voor 1 januari 2013 en waarvoor geen kwaliteitsverklaring mestbassin is afgegeven, gekeurd overeenkomstig het eerste tot en met het zevende lid, met dien verstande dat de keuring, gerekend vanaf het moment van aanleg van het mestbassin, plaatsvindt ten minste vier weken voor het aflopen van de volgende referentieperiode mestbassins:</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20 jaar voor een houten, betonnen of gemetseld mestbassin en betonnen afdekking;</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10 jaar voor een metalen mestbassin en afdekking;</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5 jaar voor een mestzak of een foliebassin;</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5 jaar voor de taludbescherming van een foliebassin, of</w:t>
      </w:r>
    </w:p>
    <w:p w:rsidR="00E066B3" w:rsidRDefault="00E066B3" w:rsidP="00E066B3">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10 jaar voor overige typen mestbassins en afdekkingen.</w:t>
      </w:r>
    </w:p>
    <w:p w:rsidR="00E066B3" w:rsidRDefault="00E066B3" w:rsidP="00E066B3">
      <w:pPr>
        <w:pStyle w:val="artikelkop"/>
        <w:shd w:val="clear" w:color="auto" w:fill="D9D9D9" w:themeFill="background1" w:themeFillShade="D9"/>
      </w:pPr>
      <w:r>
        <w:t xml:space="preserve">Artikel 3.70 </w:t>
      </w:r>
    </w:p>
    <w:p w:rsidR="00E066B3" w:rsidRDefault="00E066B3" w:rsidP="00E066B3">
      <w:pPr>
        <w:pStyle w:val="art1enivo"/>
        <w:shd w:val="clear" w:color="auto" w:fill="D9D9D9" w:themeFill="background1" w:themeFillShade="D9"/>
      </w:pPr>
      <w:r>
        <w:t>Het vul- en zuigpunt van een mestbassin bevindt zich boven een lekbak.</w:t>
      </w:r>
    </w:p>
    <w:p w:rsidR="00E066B3" w:rsidRPr="00620047" w:rsidRDefault="00E066B3">
      <w:pPr>
        <w:pStyle w:val="artplat"/>
        <w:rPr>
          <w:rFonts w:cs="Arial"/>
        </w:rPr>
      </w:pPr>
    </w:p>
    <w:p w:rsidR="00296032" w:rsidRPr="00296032" w:rsidRDefault="00296032">
      <w:pPr>
        <w:pStyle w:val="paragraaf"/>
        <w:rPr>
          <w:rFonts w:cs="Arial"/>
        </w:rPr>
      </w:pPr>
      <w:bookmarkStart w:id="119" w:name="_Toc431375611"/>
      <w:r w:rsidRPr="00296032">
        <w:rPr>
          <w:rFonts w:cs="Arial"/>
        </w:rPr>
        <w:t>§ 3.4.7 Opslaan van vloeibare bijvoedermiddelen</w:t>
      </w:r>
      <w:bookmarkEnd w:id="119"/>
    </w:p>
    <w:p w:rsidR="00296032" w:rsidRPr="00296032" w:rsidRDefault="00296032">
      <w:pPr>
        <w:pStyle w:val="artikelkop"/>
        <w:rPr>
          <w:rFonts w:cs="Arial"/>
        </w:rPr>
      </w:pPr>
      <w:r w:rsidRPr="00296032">
        <w:rPr>
          <w:rFonts w:cs="Arial"/>
        </w:rPr>
        <w:t>Artikel 3.53</w:t>
      </w:r>
    </w:p>
    <w:p w:rsidR="00296032" w:rsidRPr="00620047" w:rsidRDefault="00296032">
      <w:pPr>
        <w:pStyle w:val="artplat"/>
        <w:rPr>
          <w:rFonts w:cs="Arial"/>
        </w:rPr>
      </w:pPr>
      <w:r w:rsidRPr="00620047">
        <w:rPr>
          <w:rFonts w:cs="Arial"/>
        </w:rPr>
        <w:t>Deze paragraaf is van toepassing op het opslaan van ten hoogste 1.000 kubieke meter van buiten de inrichting afkomstige vloeibare bijvoedermiddelen.</w:t>
      </w:r>
    </w:p>
    <w:p w:rsidR="00296032" w:rsidRPr="00296032" w:rsidRDefault="00296032">
      <w:pPr>
        <w:pStyle w:val="artikelkop"/>
        <w:rPr>
          <w:rFonts w:cs="Arial"/>
        </w:rPr>
      </w:pPr>
      <w:r w:rsidRPr="00296032">
        <w:rPr>
          <w:rFonts w:cs="Arial"/>
        </w:rPr>
        <w:t>Artikel 3.54</w:t>
      </w:r>
    </w:p>
    <w:p w:rsidR="00296032" w:rsidRDefault="00296032">
      <w:pPr>
        <w:pStyle w:val="artplat"/>
        <w:rPr>
          <w:rFonts w:cs="Arial"/>
        </w:rPr>
      </w:pPr>
      <w:r w:rsidRPr="00620047">
        <w:rPr>
          <w:rFonts w:cs="Arial"/>
        </w:rPr>
        <w:t>Bij het opslaan van vloeibare bijvoedermiddelen wordt ten behoeve van het voorkomen dan wel voor zover dat niet mogelijk is het tot een aanvaardbaar niveau beperken van geurhinder, voldaan aan de bij ministeriële regeling gestelde eisen.</w:t>
      </w:r>
    </w:p>
    <w:p w:rsidR="000466C0" w:rsidRDefault="000466C0">
      <w:pPr>
        <w:pStyle w:val="artplat"/>
        <w:rPr>
          <w:rFonts w:cs="Arial"/>
        </w:rPr>
      </w:pPr>
    </w:p>
    <w:p w:rsidR="000466C0" w:rsidRDefault="000466C0" w:rsidP="000466C0">
      <w:pPr>
        <w:pStyle w:val="paragraaf"/>
        <w:shd w:val="clear" w:color="auto" w:fill="D9D9D9" w:themeFill="background1" w:themeFillShade="D9"/>
      </w:pPr>
      <w:bookmarkStart w:id="120" w:name="_Toc431375612"/>
      <w:r>
        <w:t xml:space="preserve">§ 3.4.7. </w:t>
      </w:r>
      <w:r>
        <w:tab/>
        <w:t>Opslaan van vloeibare bijvoedermiddelen</w:t>
      </w:r>
      <w:bookmarkEnd w:id="120"/>
    </w:p>
    <w:p w:rsidR="000466C0" w:rsidRDefault="000466C0" w:rsidP="000466C0">
      <w:pPr>
        <w:pStyle w:val="artikelkop"/>
        <w:shd w:val="clear" w:color="auto" w:fill="D9D9D9" w:themeFill="background1" w:themeFillShade="D9"/>
      </w:pPr>
      <w:r>
        <w:t xml:space="preserve">Artikel 3.71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Ten behoeve van het voorkomen dan wel voor zover dat niet mogelijk is het tot een aanvaardbaar niveau beperken van geurhinder als bedoeld in artikel 3.54 van het besluit wordt bij het opslaan van vloeibare bijvoedermiddelen voldaan aan het tweede en derde lid.</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Het opslaan van vloeibare bijvoedermiddelen vindt plaats in een gesloten systeem.</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Het bevoegd gezag kan, indien blijkt dat de geurhinder een aanvaardbaar niveau overschrijdt, overeenkomstig artikel 2.7a, derde lid, van het besluit bij maatwerkvoorschrift eisen stellen aan:</w:t>
      </w:r>
    </w:p>
    <w:p w:rsidR="000466C0" w:rsidRDefault="000466C0" w:rsidP="000466C0">
      <w:pPr>
        <w:pStyle w:val="art2enivo"/>
        <w:shd w:val="clear" w:color="auto" w:fill="D9D9D9" w:themeFill="background1" w:themeFillShade="D9"/>
        <w:suppressAutoHyphens/>
        <w:rPr>
          <w:rFonts w:cs="Arial"/>
        </w:rPr>
      </w:pPr>
      <w:r>
        <w:rPr>
          <w:rFonts w:cs="Arial"/>
        </w:rPr>
        <w:t>a.</w:t>
      </w:r>
      <w:r>
        <w:rPr>
          <w:rFonts w:cs="Arial"/>
        </w:rPr>
        <w:tab/>
        <w:t>de aard van de bijvoedermiddelen;</w:t>
      </w:r>
    </w:p>
    <w:p w:rsidR="000466C0" w:rsidRDefault="000466C0" w:rsidP="000466C0">
      <w:pPr>
        <w:pStyle w:val="art2enivo"/>
        <w:shd w:val="clear" w:color="auto" w:fill="D9D9D9" w:themeFill="background1" w:themeFillShade="D9"/>
        <w:suppressAutoHyphens/>
        <w:rPr>
          <w:rFonts w:cs="Arial"/>
        </w:rPr>
      </w:pPr>
      <w:r>
        <w:rPr>
          <w:rFonts w:cs="Arial"/>
        </w:rPr>
        <w:t>b.</w:t>
      </w:r>
      <w:r>
        <w:rPr>
          <w:rFonts w:cs="Arial"/>
        </w:rPr>
        <w:tab/>
        <w:t>het gekoeld opslaan van de bijvoedermiddelen, of</w:t>
      </w:r>
    </w:p>
    <w:p w:rsidR="000466C0" w:rsidRDefault="000466C0" w:rsidP="000466C0">
      <w:pPr>
        <w:pStyle w:val="art2enivo"/>
        <w:shd w:val="clear" w:color="auto" w:fill="D9D9D9" w:themeFill="background1" w:themeFillShade="D9"/>
        <w:suppressAutoHyphens/>
        <w:rPr>
          <w:rFonts w:cs="Arial"/>
        </w:rPr>
      </w:pPr>
      <w:r>
        <w:rPr>
          <w:rFonts w:cs="Arial"/>
        </w:rPr>
        <w:t>c.</w:t>
      </w:r>
      <w:r>
        <w:rPr>
          <w:rFonts w:cs="Arial"/>
        </w:rPr>
        <w:tab/>
        <w:t>de situering van het opslaan van de bijvoedermiddelen ten opzichte van geurgevoelige objecten.</w:t>
      </w:r>
    </w:p>
    <w:p w:rsidR="000466C0" w:rsidRDefault="000466C0"/>
    <w:p w:rsidR="00296032" w:rsidRPr="00296032" w:rsidRDefault="00296032">
      <w:pPr>
        <w:pStyle w:val="paragraaf"/>
      </w:pPr>
      <w:bookmarkStart w:id="121" w:name="_Toc431375613"/>
      <w:r w:rsidRPr="00296032">
        <w:t>§ 3.4.8.</w:t>
      </w:r>
      <w:r w:rsidRPr="00296032">
        <w:tab/>
        <w:t>Het vullen van gasflessen met propaan of butaan</w:t>
      </w:r>
      <w:bookmarkEnd w:id="121"/>
    </w:p>
    <w:p w:rsidR="00296032" w:rsidRPr="00620047" w:rsidRDefault="00296032" w:rsidP="00C667E9">
      <w:pPr>
        <w:pStyle w:val="artikelkop"/>
      </w:pPr>
      <w:r w:rsidRPr="00620047">
        <w:t>Artikel 3.54a</w:t>
      </w:r>
    </w:p>
    <w:p w:rsidR="00296032" w:rsidRPr="00620047" w:rsidRDefault="00296032">
      <w:pPr>
        <w:pStyle w:val="artplat"/>
      </w:pPr>
      <w:r w:rsidRPr="00620047">
        <w:t>Deze paragraaf is van toepassing op het vullen met propaan of butaan van gasflessen met een inhoud van maximaal 12 liter vanuit een gasfles van maximaal 150 liter.</w:t>
      </w:r>
    </w:p>
    <w:p w:rsidR="00296032" w:rsidRPr="00296032" w:rsidRDefault="00296032">
      <w:pPr>
        <w:pStyle w:val="artikelkop"/>
      </w:pPr>
      <w:r w:rsidRPr="00296032">
        <w:t>Artikel 3.54b</w:t>
      </w:r>
    </w:p>
    <w:p w:rsidR="00296032" w:rsidRDefault="00296032">
      <w:pPr>
        <w:pStyle w:val="artplat"/>
      </w:pPr>
      <w:r w:rsidRPr="00620047">
        <w:t>Een vulstation voor het vullen van gasflessen voldoet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gestelde eisen.</w:t>
      </w:r>
    </w:p>
    <w:p w:rsidR="000466C0" w:rsidRDefault="000466C0">
      <w:pPr>
        <w:pStyle w:val="artplat"/>
      </w:pPr>
    </w:p>
    <w:p w:rsidR="000466C0" w:rsidRDefault="000466C0" w:rsidP="000466C0">
      <w:pPr>
        <w:pStyle w:val="paragraaf"/>
        <w:shd w:val="clear" w:color="auto" w:fill="D9D9D9" w:themeFill="background1" w:themeFillShade="D9"/>
      </w:pPr>
      <w:bookmarkStart w:id="122" w:name="_Toc431375614"/>
      <w:r>
        <w:t xml:space="preserve">§ 3.4.8. </w:t>
      </w:r>
      <w:r>
        <w:tab/>
        <w:t>Het vullen van gasflessen met propaan of butaan</w:t>
      </w:r>
      <w:bookmarkEnd w:id="122"/>
    </w:p>
    <w:p w:rsidR="000466C0" w:rsidRDefault="000466C0" w:rsidP="000466C0">
      <w:pPr>
        <w:pStyle w:val="artikelkop"/>
        <w:shd w:val="clear" w:color="auto" w:fill="D9D9D9" w:themeFill="background1" w:themeFillShade="D9"/>
      </w:pPr>
      <w:r>
        <w:t xml:space="preserve">Artikel 3.71a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3.54b van het besluit is in de vulplaats bij het vullen van gasflessen ten hoogste 300 liter aan gassen in flessen aanwezig.</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Het vulstation voldoet aan paragraaf 8.2.1, 8.2.2 en 8.2.6, 11.1, 12.1 en bijlage III van PGS 23.</w:t>
      </w:r>
    </w:p>
    <w:p w:rsidR="000466C0" w:rsidRPr="00620047" w:rsidRDefault="000466C0">
      <w:pPr>
        <w:pStyle w:val="artplat"/>
      </w:pPr>
    </w:p>
    <w:p w:rsidR="00296032" w:rsidRPr="00296032" w:rsidRDefault="00296032">
      <w:pPr>
        <w:pStyle w:val="paragraaf"/>
      </w:pPr>
      <w:bookmarkStart w:id="123" w:name="_Toc431375615"/>
      <w:r w:rsidRPr="00296032">
        <w:t>§ 3.4.9.</w:t>
      </w:r>
      <w:r w:rsidRPr="00296032">
        <w:tab/>
        <w:t>Opslaan van gasolie, smeerolie of afgewerkte olie in een bovengrondse opslagtank</w:t>
      </w:r>
      <w:bookmarkEnd w:id="123"/>
    </w:p>
    <w:p w:rsidR="00296032" w:rsidRPr="00296032" w:rsidRDefault="00296032">
      <w:pPr>
        <w:pStyle w:val="artikelkop"/>
      </w:pPr>
      <w:r w:rsidRPr="00296032">
        <w:t>Artikel 3.54c</w:t>
      </w:r>
    </w:p>
    <w:p w:rsidR="00296032" w:rsidRPr="00620047" w:rsidRDefault="00296032">
      <w:pPr>
        <w:pStyle w:val="art1enivo"/>
      </w:pPr>
      <w:r w:rsidRPr="00620047">
        <w:t>1.</w:t>
      </w:r>
      <w:r w:rsidRPr="00620047">
        <w:tab/>
        <w:t>Deze paragraaf is van toepassing op het opslaan van gasolie als bedoeld in artikel 26 van de Wet op de accijns, smeerolie of afgewerkte olie in een of meer bovengrondse opslagtanks, voor zover:</w:t>
      </w:r>
    </w:p>
    <w:p w:rsidR="00296032" w:rsidRPr="00620047" w:rsidRDefault="00296032">
      <w:pPr>
        <w:pStyle w:val="art2enivo"/>
      </w:pPr>
      <w:r w:rsidRPr="00620047">
        <w:t>a.</w:t>
      </w:r>
      <w:r w:rsidRPr="00620047">
        <w:tab/>
        <w:t>de gezamenlijke inhoud van bovengrondse opslagtanks voor gasolie of afgewerkte olie in de buitenlucht ten hoogste 150 kubieke meter is, of</w:t>
      </w:r>
    </w:p>
    <w:p w:rsidR="00296032" w:rsidRPr="00620047" w:rsidRDefault="00296032">
      <w:pPr>
        <w:pStyle w:val="art2enivo"/>
      </w:pPr>
      <w:r w:rsidRPr="00620047">
        <w:t>b.</w:t>
      </w:r>
      <w:r w:rsidRPr="00620047">
        <w:tab/>
        <w:t>de gezamenlijke inhoud van bovengrondse opslagtanks voor gasolie of afgewerkte olie inpandig ten hoogste 15 kubieke meter is.</w:t>
      </w:r>
    </w:p>
    <w:p w:rsidR="00296032" w:rsidRPr="00620047" w:rsidRDefault="00296032">
      <w:pPr>
        <w:pStyle w:val="art1enivo"/>
      </w:pPr>
      <w:r w:rsidRPr="00620047">
        <w:t>2.</w:t>
      </w:r>
      <w:r w:rsidRPr="00620047">
        <w:tab/>
        <w:t>Deze paragraaf is niet van toepassing op bovengrondse opslagtanks die zijn ingebouwd in een installatie.</w:t>
      </w:r>
    </w:p>
    <w:p w:rsidR="00296032" w:rsidRPr="00296032" w:rsidRDefault="00296032">
      <w:pPr>
        <w:pStyle w:val="artikelkop"/>
      </w:pPr>
      <w:r w:rsidRPr="00296032">
        <w:t>Artikel 3.54d</w:t>
      </w:r>
    </w:p>
    <w:p w:rsidR="00296032" w:rsidRPr="00620047" w:rsidRDefault="00296032">
      <w:pPr>
        <w:pStyle w:val="artplat"/>
      </w:pPr>
      <w:r w:rsidRPr="00620047">
        <w:t>Bij het in gebruik hebben en het beëindigen van het gebruik van een bovengrondse opslagtank die wordt dan wel werd gebruikt voor de opslag van gasolie, smeerolie of afgewerkte olie wordt ten behoeve van:</w:t>
      </w:r>
    </w:p>
    <w:p w:rsidR="00296032" w:rsidRPr="00620047" w:rsidRDefault="00296032">
      <w:pPr>
        <w:pStyle w:val="artplatletter"/>
      </w:pPr>
      <w:r w:rsidRPr="00620047">
        <w:t>a.</w:t>
      </w:r>
      <w:r w:rsidRPr="00620047">
        <w:tab/>
        <w:t>het realiseren van een verwaarloosbaar bodemrisico;</w:t>
      </w:r>
    </w:p>
    <w:p w:rsidR="00296032" w:rsidRPr="00620047" w:rsidRDefault="00296032">
      <w:pPr>
        <w:pStyle w:val="artplatletter"/>
      </w:pPr>
      <w:r w:rsidRPr="00620047">
        <w:t>b.</w:t>
      </w:r>
      <w:r w:rsidRPr="00620047">
        <w:tab/>
        <w:t>het voorkomen van risico's voor de omgeving en ongewone voorvallen, dan wel voor zover dat niet mogelijk is het zoveel mogelijk beperken van de risico's voor de omgeving en de kans dat ongewone voorvallen zich voordoen en de gevolgen hiervan, of</w:t>
      </w:r>
    </w:p>
    <w:p w:rsidR="00296032" w:rsidRPr="00620047" w:rsidRDefault="00296032">
      <w:pPr>
        <w:pStyle w:val="artplatletter"/>
      </w:pPr>
      <w:r w:rsidRPr="00620047">
        <w:t>c.</w:t>
      </w:r>
      <w:r w:rsidRPr="00620047">
        <w:tab/>
        <w:t>het voorkomen dan wel voor zover dat niet mogelijk is het zoveel mogelijk beperken van verontreiniging van een oppervlaktewaterlichaam,</w:t>
      </w:r>
    </w:p>
    <w:p w:rsidR="00296032" w:rsidRDefault="00296032">
      <w:pPr>
        <w:pStyle w:val="artplat"/>
      </w:pPr>
      <w:r w:rsidRPr="00620047">
        <w:t>voldaan aan de bij ministeriële regeling gestelde eisen.</w:t>
      </w:r>
    </w:p>
    <w:p w:rsidR="000466C0" w:rsidRDefault="000466C0">
      <w:pPr>
        <w:pStyle w:val="artplat"/>
      </w:pPr>
    </w:p>
    <w:p w:rsidR="000466C0" w:rsidRDefault="000466C0" w:rsidP="000466C0">
      <w:pPr>
        <w:pStyle w:val="paragraaf"/>
        <w:shd w:val="clear" w:color="auto" w:fill="D9D9D9" w:themeFill="background1" w:themeFillShade="D9"/>
      </w:pPr>
      <w:bookmarkStart w:id="124" w:name="_Toc431375616"/>
      <w:r>
        <w:t xml:space="preserve">§ 3.4.9. </w:t>
      </w:r>
      <w:r>
        <w:tab/>
        <w:t>Opslaan van gasolie, smeerolie of afgewerkte olie in een bovengrondse opslagtank</w:t>
      </w:r>
      <w:bookmarkEnd w:id="124"/>
    </w:p>
    <w:p w:rsidR="000466C0" w:rsidRDefault="000466C0" w:rsidP="000466C0">
      <w:pPr>
        <w:pStyle w:val="artikelkop"/>
        <w:shd w:val="clear" w:color="auto" w:fill="D9D9D9" w:themeFill="background1" w:themeFillShade="D9"/>
      </w:pPr>
      <w:r>
        <w:t>Artikel 3.71b</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en het voorkomen van risico's voor de omgeving en ongewone voorvallen, dan wel, voor zover dat niet mogelijk is, het zoveel mogelijk beperken van de risico's voor de omgeving en de kans dat ongewone voorvallen zich voordoen en de gevolgen hiervan als bedoeld in artikel 3.54d van het besluit, voldoet de opslag van gasolie in bovengrondse opslagtanks aan de artikelen 3.71c tot en met 3.71h.</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Ten behoeve van het realiseren van een verwaarloosbaar bodemrisico als bedoeld in artikel 3.54d van het besluit voldoet de opslag van smeerolie of afgewerkte olie in bovengrondse opslagtanks aan de artikelen 3.71f en 3.71h.</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Ten behoeve van het voorkomen dan wel voor zover dat niet mogelijk is het zoveel mogelijk beperken van verontreiniging van een oppervlaktewaterlichaam als bedoeld in artikel 3.54d van het besluit voldoet de opslag van gasolie, smeerolie of afgewerkte olie in bovengrondse opslagtanks boven een oppervlaktewaterlichaam aan de artikelen 3.71g en 3.71h.</w:t>
      </w:r>
    </w:p>
    <w:p w:rsidR="000466C0" w:rsidRDefault="000466C0" w:rsidP="000466C0">
      <w:pPr>
        <w:pStyle w:val="artikelkop"/>
        <w:shd w:val="clear" w:color="auto" w:fill="D9D9D9" w:themeFill="background1" w:themeFillShade="D9"/>
      </w:pPr>
      <w:r>
        <w:t>Artikel 3.71c</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De opslag van gasolie in bovengrondse opslagtanks vindt plaats in bovengrondse opslagtanks, die met de daarbij behorende leidingen en appendages naar hun aard en functie geschikt zijn voor de opslag van de desbetreffende stoffen.</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De bovengrondse opslagtanks en de daarbij behorende leidingen en appendages verkeren in goede staat.</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De opslag van gasolie in bovengrondse opslagtanks vindt op de vloer plaats.</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Het derde lid is niet van toepassing op een bovengrondse opslagtank met gasolie indien plaatsing op de vloer als gevolg van de constructie van de bijbehorende procesinstallatie niet mogelijk is.</w:t>
      </w:r>
    </w:p>
    <w:p w:rsidR="000466C0" w:rsidRDefault="000466C0" w:rsidP="000466C0">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 xml:space="preserve">Het derde lid is niet van toepassing op een bovengrondse opslagtank die niet op de vloer staat, en: </w:t>
      </w:r>
    </w:p>
    <w:p w:rsidR="000466C0" w:rsidRDefault="000466C0" w:rsidP="000466C0">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waarop op 31 december 2012 paragraaf 4.1.3.1 van toepassing was en die is geïnstalleerd voor de datum waarop paragraaf 4.1.3.1 op de opslagtank van toepassing werd, of</w:t>
      </w:r>
    </w:p>
    <w:p w:rsidR="000466C0" w:rsidRDefault="000466C0" w:rsidP="000466C0">
      <w:pPr>
        <w:pStyle w:val="art2enivo"/>
        <w:shd w:val="clear" w:color="auto" w:fill="D9D9D9" w:themeFill="background1" w:themeFillShade="D9"/>
        <w:rPr>
          <w:rFonts w:eastAsiaTheme="minorEastAsia"/>
          <w:lang w:eastAsia="nl-NL"/>
        </w:rPr>
      </w:pPr>
      <w:r>
        <w:rPr>
          <w:rFonts w:eastAsiaTheme="minorEastAsia"/>
          <w:lang w:eastAsia="nl-NL"/>
        </w:rPr>
        <w:t xml:space="preserve">b. </w:t>
      </w:r>
      <w:r>
        <w:rPr>
          <w:rFonts w:eastAsiaTheme="minorEastAsia"/>
          <w:lang w:eastAsia="nl-NL"/>
        </w:rPr>
        <w:tab/>
        <w:t>waarop op 31 december 2012 paragraaf 4.1.3.1 niet van toepassing was en die is geïnstalleerd voor de datum waarop paragraaf 3.4.9 op de opslagtank van toepassing werd.</w:t>
      </w:r>
    </w:p>
    <w:p w:rsidR="000466C0" w:rsidRDefault="000466C0" w:rsidP="000466C0">
      <w:pPr>
        <w:pStyle w:val="artikelkop"/>
        <w:shd w:val="clear" w:color="auto" w:fill="D9D9D9" w:themeFill="background1" w:themeFillShade="D9"/>
      </w:pPr>
      <w:r>
        <w:t>Artikel 3.71d</w:t>
      </w:r>
    </w:p>
    <w:p w:rsidR="000466C0" w:rsidRDefault="000466C0" w:rsidP="000466C0">
      <w:pPr>
        <w:pStyle w:val="art1enivo"/>
        <w:shd w:val="clear" w:color="auto" w:fill="D9D9D9" w:themeFill="background1" w:themeFillShade="D9"/>
      </w:pPr>
      <w:r>
        <w:t>1.</w:t>
      </w:r>
      <w:r>
        <w:tab/>
        <w:t>Een stationaire bovengrondse opslagtank met de daarbij behorende leidingen en appendages voor het opslaan van gasolie is uitgevoerd en geïnstalleerd en wordt gerepareerd of vervangen en beoordeeld of gecontroleerd overeenkomstig BRL K903, door een persoon of instelling die is gecertificeerd overeenkomstig die BRL.</w:t>
      </w:r>
    </w:p>
    <w:p w:rsidR="000466C0" w:rsidRDefault="000466C0" w:rsidP="000466C0">
      <w:pPr>
        <w:pStyle w:val="art1enivo"/>
        <w:shd w:val="clear" w:color="auto" w:fill="D9D9D9" w:themeFill="background1" w:themeFillShade="D9"/>
      </w:pPr>
      <w:r>
        <w:t>2.</w:t>
      </w:r>
      <w:r>
        <w:tab/>
        <w:t>Het opslaan van gasolie in een stationaire bovengrondse opslagtank met de daarbij behorende leidingen en appendages voldoet aan de volgende onderdelen van PGS 30:</w:t>
      </w:r>
    </w:p>
    <w:p w:rsidR="000466C0" w:rsidRDefault="000466C0" w:rsidP="000466C0">
      <w:pPr>
        <w:pStyle w:val="art2enivo"/>
        <w:shd w:val="clear" w:color="auto" w:fill="D9D9D9" w:themeFill="background1" w:themeFillShade="D9"/>
      </w:pPr>
      <w:r>
        <w:t>a.</w:t>
      </w:r>
      <w:r>
        <w:tab/>
        <w:t>de paragrafen 2.2 en 2.3;</w:t>
      </w:r>
    </w:p>
    <w:p w:rsidR="000466C0" w:rsidRDefault="000466C0" w:rsidP="000466C0">
      <w:pPr>
        <w:pStyle w:val="art2enivo"/>
        <w:shd w:val="clear" w:color="auto" w:fill="D9D9D9" w:themeFill="background1" w:themeFillShade="D9"/>
      </w:pPr>
      <w:r>
        <w:t>b.</w:t>
      </w:r>
      <w:r>
        <w:tab/>
        <w:t>de voorschriften 2.4.3, 2.6.1, 2.6.3 tot en met 2.6.6 en 2.6.14, en</w:t>
      </w:r>
    </w:p>
    <w:p w:rsidR="000466C0" w:rsidRDefault="000466C0" w:rsidP="000466C0">
      <w:pPr>
        <w:pStyle w:val="art2enivo"/>
        <w:shd w:val="clear" w:color="auto" w:fill="D9D9D9" w:themeFill="background1" w:themeFillShade="D9"/>
      </w:pPr>
      <w:r>
        <w:t>c.</w:t>
      </w:r>
      <w:r>
        <w:tab/>
        <w:t>paragraaf 4.2, met uitzondering van de voorschriften 4.2.3, 4.2.9, 4.2.12, 4.2.13, eerste volzin, 4.2.14 en tabel 4.1.</w:t>
      </w:r>
    </w:p>
    <w:p w:rsidR="000466C0" w:rsidRDefault="000466C0" w:rsidP="000466C0">
      <w:pPr>
        <w:pStyle w:val="art1enivo"/>
        <w:shd w:val="clear" w:color="auto" w:fill="D9D9D9" w:themeFill="background1" w:themeFillShade="D9"/>
      </w:pPr>
      <w:r>
        <w:t>3.</w:t>
      </w:r>
      <w:r>
        <w:tab/>
        <w:t>Een opslagtank als bedoeld in het eerste lid bevindt zich niet op een verdieping.</w:t>
      </w:r>
    </w:p>
    <w:p w:rsidR="000466C0" w:rsidRDefault="000466C0" w:rsidP="000466C0">
      <w:pPr>
        <w:pStyle w:val="art1enivo"/>
        <w:shd w:val="clear" w:color="auto" w:fill="D9D9D9" w:themeFill="background1" w:themeFillShade="D9"/>
      </w:pPr>
      <w:r>
        <w:t>4.</w:t>
      </w:r>
      <w:r>
        <w:tab/>
        <w:t>Het gebruik van een opslagtank waarin het opslaan, vullen en afleveren van gasolie plaatsvindt in een stationaire bovengrondse opslagtank met de daarbij behorende leidingen en appendages, voldoet aan de volgende onderdelen van PGS 30:</w:t>
      </w:r>
    </w:p>
    <w:p w:rsidR="000466C0" w:rsidRDefault="000466C0" w:rsidP="000466C0">
      <w:pPr>
        <w:pStyle w:val="art2enivo"/>
        <w:shd w:val="clear" w:color="auto" w:fill="D9D9D9" w:themeFill="background1" w:themeFillShade="D9"/>
      </w:pPr>
      <w:r>
        <w:t>a.</w:t>
      </w:r>
      <w:r>
        <w:tab/>
        <w:t>voorschrift 3.2.4;</w:t>
      </w:r>
    </w:p>
    <w:p w:rsidR="000466C0" w:rsidRDefault="000466C0" w:rsidP="000466C0">
      <w:pPr>
        <w:pStyle w:val="art2enivo"/>
        <w:shd w:val="clear" w:color="auto" w:fill="D9D9D9" w:themeFill="background1" w:themeFillShade="D9"/>
      </w:pPr>
      <w:r>
        <w:t>b.</w:t>
      </w:r>
      <w:r>
        <w:tab/>
        <w:t>de paragrafen 3.3, 3.5, 3.6, 5.2, 5.4, en</w:t>
      </w:r>
    </w:p>
    <w:p w:rsidR="000466C0" w:rsidRDefault="000466C0" w:rsidP="000466C0">
      <w:pPr>
        <w:pStyle w:val="art2enivo"/>
        <w:shd w:val="clear" w:color="auto" w:fill="D9D9D9" w:themeFill="background1" w:themeFillShade="D9"/>
      </w:pPr>
      <w:r>
        <w:t>c.</w:t>
      </w:r>
      <w:r>
        <w:tab/>
        <w:t>de voorschriften 5.5.1, 5.5.2 5.6.1, 5.6.3 en 5.6.4.</w:t>
      </w:r>
    </w:p>
    <w:p w:rsidR="000466C0" w:rsidRDefault="000466C0" w:rsidP="000466C0">
      <w:pPr>
        <w:pStyle w:val="art1enivo"/>
        <w:shd w:val="clear" w:color="auto" w:fill="D9D9D9" w:themeFill="background1" w:themeFillShade="D9"/>
      </w:pPr>
      <w:r>
        <w:t>5.</w:t>
      </w:r>
      <w:r>
        <w:tab/>
        <w:t>Een stationaire bovengrondse opslagtank voor het inpandig opslaan van gasolie in een werkruimte, in een ruimte met een noodstroomaggregaat of onder een woning heeft een inhoud van ten hoogste 3 kubieke meter.</w:t>
      </w:r>
    </w:p>
    <w:p w:rsidR="000466C0" w:rsidRDefault="000466C0" w:rsidP="000466C0">
      <w:pPr>
        <w:pStyle w:val="art1enivo"/>
        <w:shd w:val="clear" w:color="auto" w:fill="D9D9D9" w:themeFill="background1" w:themeFillShade="D9"/>
      </w:pPr>
      <w:r>
        <w:t>6.</w:t>
      </w:r>
      <w:r>
        <w:tab/>
        <w:t>Voor een stationaire bovengrondse opslagtank met de daarbij behorende leidingen en appendages gelden de keurings- en herkeuringstermijnen van tabel 3.71d.</w:t>
      </w:r>
    </w:p>
    <w:p w:rsidR="000466C0" w:rsidRDefault="000466C0" w:rsidP="000466C0">
      <w:pPr>
        <w:pStyle w:val="tabelkop"/>
        <w:shd w:val="clear" w:color="auto" w:fill="D9D9D9" w:themeFill="background1" w:themeFillShade="D9"/>
        <w:ind w:left="1843" w:hanging="1417"/>
      </w:pPr>
      <w:r>
        <w:t>Tabel 3.71d:</w:t>
      </w:r>
      <w:r>
        <w:tab/>
        <w:t>(Her)keuringstermijnen voor een stationaire bovengrondse opslagtank met de daarbij behorende leidingen en appendages voor vloeistoffen van PGS-klasse 2 tot en met PGS-klasse 4</w:t>
      </w:r>
    </w:p>
    <w:tbl>
      <w:tblPr>
        <w:tblStyle w:val="Tabelraster"/>
        <w:tblW w:w="9555" w:type="dxa"/>
        <w:tblInd w:w="0" w:type="dxa"/>
        <w:tblLook w:val="04A0" w:firstRow="1" w:lastRow="0" w:firstColumn="1" w:lastColumn="0" w:noHBand="0" w:noVBand="1"/>
      </w:tblPr>
      <w:tblGrid>
        <w:gridCol w:w="4310"/>
        <w:gridCol w:w="2551"/>
        <w:gridCol w:w="2694"/>
      </w:tblGrid>
      <w:tr w:rsidR="000466C0" w:rsidTr="00F43C9B">
        <w:trPr>
          <w:cnfStyle w:val="100000000000" w:firstRow="1" w:lastRow="0" w:firstColumn="0" w:lastColumn="0" w:oddVBand="0" w:evenVBand="0" w:oddHBand="0" w:evenHBand="0" w:firstRowFirstColumn="0" w:firstRowLastColumn="0" w:lastRowFirstColumn="0" w:lastRowLastColumn="0"/>
        </w:trPr>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bCs/>
                <w:sz w:val="24"/>
              </w:rPr>
            </w:pPr>
            <w:r>
              <w:rPr>
                <w:bCs/>
              </w:rPr>
              <w:t>Staal enkelwandig in gecertificeerde opvangbak</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bCs/>
                <w:sz w:val="24"/>
              </w:rPr>
            </w:pPr>
            <w:r>
              <w:rPr>
                <w:bCs/>
              </w:rPr>
              <w:t>Eerste (her)keuring</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bCs/>
                <w:sz w:val="24"/>
              </w:rPr>
            </w:pPr>
            <w:r>
              <w:rPr>
                <w:bCs/>
              </w:rPr>
              <w:t>Volgende herkeuring</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sz w:val="24"/>
              </w:rPr>
            </w:pPr>
            <w:r>
              <w:t>Zonder coating of niet volledig gecoat</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15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15 jaar</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sz w:val="24"/>
              </w:rPr>
            </w:pPr>
            <w:r>
              <w:t>Volledig gecoat niet overeenkomstig BRL K790 of BRL K779</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15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sz w:val="24"/>
              </w:rPr>
            </w:pPr>
            <w:r>
              <w:t>Volledig gecoat overeenkomstig BRL K790 of BRL K779</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r>
    </w:tbl>
    <w:p w:rsidR="000466C0" w:rsidRDefault="000466C0" w:rsidP="000466C0">
      <w:pPr>
        <w:shd w:val="clear" w:color="auto" w:fill="D9D9D9" w:themeFill="background1" w:themeFillShade="D9"/>
      </w:pPr>
    </w:p>
    <w:tbl>
      <w:tblPr>
        <w:tblStyle w:val="Tabelraster"/>
        <w:tblW w:w="9555" w:type="dxa"/>
        <w:tblInd w:w="0" w:type="dxa"/>
        <w:tblLook w:val="04A0" w:firstRow="1" w:lastRow="0" w:firstColumn="1" w:lastColumn="0" w:noHBand="0" w:noVBand="1"/>
      </w:tblPr>
      <w:tblGrid>
        <w:gridCol w:w="4310"/>
        <w:gridCol w:w="2551"/>
        <w:gridCol w:w="2694"/>
      </w:tblGrid>
      <w:tr w:rsidR="000466C0" w:rsidTr="00F43C9B">
        <w:trPr>
          <w:cnfStyle w:val="100000000000" w:firstRow="1" w:lastRow="0" w:firstColumn="0" w:lastColumn="0" w:oddVBand="0" w:evenVBand="0" w:oddHBand="0" w:evenHBand="0" w:firstRowFirstColumn="0" w:firstRowLastColumn="0" w:lastRowFirstColumn="0" w:lastRowLastColumn="0"/>
        </w:trPr>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F745E7">
            <w:pPr>
              <w:shd w:val="clear" w:color="auto" w:fill="D9D9D9" w:themeFill="background1" w:themeFillShade="D9"/>
              <w:spacing w:before="100" w:beforeAutospacing="1" w:after="100" w:afterAutospacing="1"/>
              <w:rPr>
                <w:rFonts w:eastAsiaTheme="minorEastAsia"/>
                <w:bCs/>
                <w:sz w:val="24"/>
              </w:rPr>
            </w:pPr>
            <w:r>
              <w:rPr>
                <w:bCs/>
              </w:rPr>
              <w:t>Staal dubbelwandig met lekdetectiepotsysteem</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bCs/>
                <w:sz w:val="24"/>
              </w:rPr>
            </w:pPr>
            <w:r>
              <w:rPr>
                <w:bCs/>
              </w:rPr>
              <w:t>Eerste (her)keuring</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bCs/>
                <w:sz w:val="24"/>
              </w:rPr>
            </w:pPr>
            <w:r>
              <w:rPr>
                <w:bCs/>
              </w:rPr>
              <w:t>Volgende herkeuring</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sz w:val="24"/>
              </w:rPr>
            </w:pPr>
            <w:r>
              <w:t>Zonder coating of niet volledig gecoat</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15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15 jaar</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sz w:val="24"/>
              </w:rPr>
            </w:pPr>
            <w:r>
              <w:t>Volledig gecoat niet overeenkomstig BRL K790 of BRL K779</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15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sz w:val="24"/>
              </w:rPr>
            </w:pPr>
            <w:r>
              <w:t>Volledig gecoat overeenkomstig BRL K790 of BRL K779</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r>
    </w:tbl>
    <w:p w:rsidR="000466C0" w:rsidRDefault="000466C0" w:rsidP="000466C0">
      <w:pPr>
        <w:shd w:val="clear" w:color="auto" w:fill="D9D9D9" w:themeFill="background1" w:themeFillShade="D9"/>
      </w:pPr>
    </w:p>
    <w:tbl>
      <w:tblPr>
        <w:tblStyle w:val="Tabelraster"/>
        <w:tblW w:w="9555" w:type="dxa"/>
        <w:tblInd w:w="0" w:type="dxa"/>
        <w:tblLook w:val="04A0" w:firstRow="1" w:lastRow="0" w:firstColumn="1" w:lastColumn="0" w:noHBand="0" w:noVBand="1"/>
      </w:tblPr>
      <w:tblGrid>
        <w:gridCol w:w="4310"/>
        <w:gridCol w:w="2551"/>
        <w:gridCol w:w="2694"/>
      </w:tblGrid>
      <w:tr w:rsidR="000466C0" w:rsidTr="00F43C9B">
        <w:trPr>
          <w:cnfStyle w:val="100000000000" w:firstRow="1" w:lastRow="0" w:firstColumn="0" w:lastColumn="0" w:oddVBand="0" w:evenVBand="0" w:oddHBand="0" w:evenHBand="0" w:firstRowFirstColumn="0" w:firstRowLastColumn="0" w:lastRowFirstColumn="0" w:lastRowLastColumn="0"/>
        </w:trPr>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bCs/>
                <w:sz w:val="24"/>
              </w:rPr>
            </w:pPr>
            <w:r>
              <w:rPr>
                <w:bCs/>
              </w:rPr>
              <w:t>Staal dubbelwandig met lekdetectie overeenkomstig BRL K910</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bCs/>
                <w:sz w:val="24"/>
              </w:rPr>
            </w:pPr>
            <w:r>
              <w:rPr>
                <w:bCs/>
              </w:rPr>
              <w:t>Eerste (her)keuring</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bCs/>
                <w:sz w:val="24"/>
              </w:rPr>
            </w:pPr>
            <w:r>
              <w:rPr>
                <w:bCs/>
              </w:rPr>
              <w:t>Volgende herkeuring</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sz w:val="24"/>
              </w:rPr>
            </w:pPr>
            <w:r>
              <w:t>Zonder coating of niet volledig gecoat</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15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sz w:val="24"/>
              </w:rPr>
            </w:pPr>
            <w:r>
              <w:t>Volledig gecoat niet overeenkomstig BRL K790 of BRL K779</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sz w:val="24"/>
              </w:rPr>
            </w:pPr>
            <w:r>
              <w:t>Volledig gecoat overeenkomstig BRL K790 of BRL K779</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r>
    </w:tbl>
    <w:p w:rsidR="000466C0" w:rsidRDefault="000466C0" w:rsidP="000466C0">
      <w:pPr>
        <w:shd w:val="clear" w:color="auto" w:fill="D9D9D9" w:themeFill="background1" w:themeFillShade="D9"/>
      </w:pPr>
    </w:p>
    <w:tbl>
      <w:tblPr>
        <w:tblStyle w:val="Tabelraster"/>
        <w:tblW w:w="9555" w:type="dxa"/>
        <w:tblInd w:w="0" w:type="dxa"/>
        <w:tblLook w:val="04A0" w:firstRow="1" w:lastRow="0" w:firstColumn="1" w:lastColumn="0" w:noHBand="0" w:noVBand="1"/>
      </w:tblPr>
      <w:tblGrid>
        <w:gridCol w:w="4310"/>
        <w:gridCol w:w="2551"/>
        <w:gridCol w:w="2694"/>
      </w:tblGrid>
      <w:tr w:rsidR="000466C0" w:rsidTr="00F43C9B">
        <w:trPr>
          <w:cnfStyle w:val="100000000000" w:firstRow="1" w:lastRow="0" w:firstColumn="0" w:lastColumn="0" w:oddVBand="0" w:evenVBand="0" w:oddHBand="0" w:evenHBand="0" w:firstRowFirstColumn="0" w:firstRowLastColumn="0" w:lastRowFirstColumn="0" w:lastRowLastColumn="0"/>
        </w:trPr>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bCs/>
                <w:sz w:val="24"/>
              </w:rPr>
            </w:pPr>
            <w:r>
              <w:rPr>
                <w:bCs/>
              </w:rPr>
              <w:t>Kunststof enkelwandig in gecertificeerde opvangbak</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bCs/>
                <w:sz w:val="24"/>
              </w:rPr>
            </w:pPr>
            <w:r>
              <w:rPr>
                <w:bCs/>
              </w:rPr>
              <w:t>Eerste (her)keuring</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bCs/>
                <w:sz w:val="24"/>
              </w:rPr>
            </w:pPr>
            <w:r>
              <w:rPr>
                <w:bCs/>
              </w:rPr>
              <w:t>Volgende herkeuring</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line="240" w:lineRule="auto"/>
              <w:rPr>
                <w:szCs w:val="20"/>
                <w:lang w:eastAsia="nl-NL"/>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15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15 jaar</w:t>
            </w:r>
          </w:p>
        </w:tc>
      </w:tr>
    </w:tbl>
    <w:p w:rsidR="000466C0" w:rsidRDefault="000466C0" w:rsidP="000466C0">
      <w:pPr>
        <w:shd w:val="clear" w:color="auto" w:fill="D9D9D9" w:themeFill="background1" w:themeFillShade="D9"/>
      </w:pPr>
    </w:p>
    <w:tbl>
      <w:tblPr>
        <w:tblStyle w:val="Tabelraster"/>
        <w:tblW w:w="9555" w:type="dxa"/>
        <w:tblInd w:w="0" w:type="dxa"/>
        <w:tblLook w:val="04A0" w:firstRow="1" w:lastRow="0" w:firstColumn="1" w:lastColumn="0" w:noHBand="0" w:noVBand="1"/>
      </w:tblPr>
      <w:tblGrid>
        <w:gridCol w:w="4310"/>
        <w:gridCol w:w="2551"/>
        <w:gridCol w:w="2694"/>
      </w:tblGrid>
      <w:tr w:rsidR="000466C0" w:rsidTr="00F43C9B">
        <w:trPr>
          <w:cnfStyle w:val="100000000000" w:firstRow="1" w:lastRow="0" w:firstColumn="0" w:lastColumn="0" w:oddVBand="0" w:evenVBand="0" w:oddHBand="0" w:evenHBand="0" w:firstRowFirstColumn="0" w:firstRowLastColumn="0" w:lastRowFirstColumn="0" w:lastRowLastColumn="0"/>
        </w:trPr>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rPr>
                <w:rFonts w:eastAsiaTheme="minorEastAsia"/>
                <w:bCs/>
                <w:sz w:val="24"/>
              </w:rPr>
            </w:pPr>
            <w:r>
              <w:rPr>
                <w:bCs/>
              </w:rPr>
              <w:t>Kunststof dubbelwandig met lekdetectie overeenkomstig BRL K910 </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bCs/>
                <w:sz w:val="24"/>
              </w:rPr>
            </w:pPr>
            <w:r>
              <w:rPr>
                <w:bCs/>
              </w:rPr>
              <w:t>Eerste (her)keuring</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bCs/>
                <w:sz w:val="24"/>
              </w:rPr>
            </w:pPr>
            <w:r>
              <w:rPr>
                <w:bCs/>
              </w:rPr>
              <w:t>Volgende herkeuring</w:t>
            </w:r>
          </w:p>
        </w:tc>
      </w:tr>
      <w:tr w:rsidR="000466C0"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rPr>
                <w:sz w:val="24"/>
              </w:rPr>
            </w:pPr>
            <w:r>
              <w:t> </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pacing w:before="100" w:beforeAutospacing="1" w:after="100" w:afterAutospacing="1"/>
              <w:jc w:val="center"/>
              <w:rPr>
                <w:rFonts w:eastAsiaTheme="minorEastAsia"/>
                <w:sz w:val="24"/>
              </w:rPr>
            </w:pPr>
            <w:r>
              <w:t>20 jaar</w:t>
            </w:r>
          </w:p>
        </w:tc>
      </w:tr>
    </w:tbl>
    <w:p w:rsidR="000466C0" w:rsidRDefault="000466C0" w:rsidP="000466C0">
      <w:pPr>
        <w:shd w:val="clear" w:color="auto" w:fill="D9D9D9" w:themeFill="background1" w:themeFillShade="D9"/>
      </w:pPr>
    </w:p>
    <w:p w:rsidR="000466C0" w:rsidRDefault="000466C0" w:rsidP="000466C0">
      <w:pPr>
        <w:pStyle w:val="art1enivo"/>
        <w:shd w:val="clear" w:color="auto" w:fill="D9D9D9" w:themeFill="background1" w:themeFillShade="D9"/>
      </w:pPr>
      <w:r>
        <w:t>7.</w:t>
      </w:r>
      <w:r>
        <w:tab/>
        <w:t>Een dubbelwandige stationaire bovengrondse opslagtank van staal of kunststof met de daarbij behorende appendages en dubbelwandige leidingen wordt jaarlijks op de goede werking gecontroleerd.</w:t>
      </w:r>
    </w:p>
    <w:p w:rsidR="000466C0" w:rsidRDefault="000466C0" w:rsidP="000466C0">
      <w:pPr>
        <w:pStyle w:val="art1enivo"/>
        <w:shd w:val="clear" w:color="auto" w:fill="D9D9D9" w:themeFill="background1" w:themeFillShade="D9"/>
      </w:pPr>
      <w:r>
        <w:t>8.</w:t>
      </w:r>
      <w:r>
        <w:tab/>
        <w:t xml:space="preserve">Bij de bovengrondse opslagtank, bedoeld in het eerste lid, vindt een jaarlijkse controle plaats: </w:t>
      </w:r>
    </w:p>
    <w:p w:rsidR="000466C0" w:rsidRDefault="000466C0" w:rsidP="000466C0">
      <w:pPr>
        <w:pStyle w:val="art2enivo"/>
        <w:shd w:val="clear" w:color="auto" w:fill="D9D9D9" w:themeFill="background1" w:themeFillShade="D9"/>
      </w:pPr>
      <w:r>
        <w:t>a.</w:t>
      </w:r>
      <w:r>
        <w:tab/>
        <w:t>van de kathodische bescherming van ondergrondse leidingen;</w:t>
      </w:r>
    </w:p>
    <w:p w:rsidR="000466C0" w:rsidRDefault="000466C0" w:rsidP="000466C0">
      <w:pPr>
        <w:pStyle w:val="art2enivo"/>
        <w:shd w:val="clear" w:color="auto" w:fill="D9D9D9" w:themeFill="background1" w:themeFillShade="D9"/>
      </w:pPr>
      <w:r>
        <w:t>b.</w:t>
      </w:r>
      <w:r>
        <w:tab/>
        <w:t>van de lekdetectie van een dubbelwandige opslagtank en de dubbelwandige leidingen;</w:t>
      </w:r>
    </w:p>
    <w:p w:rsidR="000466C0" w:rsidRDefault="000466C0" w:rsidP="000466C0">
      <w:pPr>
        <w:pStyle w:val="art2enivo"/>
        <w:shd w:val="clear" w:color="auto" w:fill="D9D9D9" w:themeFill="background1" w:themeFillShade="D9"/>
      </w:pPr>
      <w:r>
        <w:t>c.</w:t>
      </w:r>
      <w:r>
        <w:tab/>
        <w:t>van de aarding en de potentiaalvereffening van de vul- en dampretourleiding indien in de bovengrondse opslagtank vloeistoffen van PGS-klasse 1 en 2 zijn opgeslagen;</w:t>
      </w:r>
    </w:p>
    <w:p w:rsidR="000466C0" w:rsidRDefault="000466C0" w:rsidP="000466C0">
      <w:pPr>
        <w:pStyle w:val="art2enivo"/>
        <w:shd w:val="clear" w:color="auto" w:fill="D9D9D9" w:themeFill="background1" w:themeFillShade="D9"/>
      </w:pPr>
      <w:r>
        <w:t xml:space="preserve">d. </w:t>
      </w:r>
      <w:r>
        <w:tab/>
        <w:t>op de aanwezigheid van water in een stalen bovengrondse opslagtank. In afwijking van het eerste lid kan de controle worden uitgevoerd door een daartoe getraind persoon, met een waterzoekpasta die wordt aangebracht op de peilstok.</w:t>
      </w:r>
    </w:p>
    <w:p w:rsidR="000466C0" w:rsidRDefault="000466C0" w:rsidP="000466C0">
      <w:pPr>
        <w:pStyle w:val="art1enivo"/>
        <w:shd w:val="clear" w:color="auto" w:fill="D9D9D9" w:themeFill="background1" w:themeFillShade="D9"/>
      </w:pPr>
      <w:r>
        <w:t>9.</w:t>
      </w:r>
      <w:r>
        <w:tab/>
        <w:t>Een bovengrondse opslagtank wordt bij herkeuring inwendig gereinigd en beoordeeld door middel van betreding van de tank. Inwendige inspectie met behulp van een camera is toegestaan bij een volledig inwendig gecoate tank, indien deze inspectie wordt uitgevoerd overeenkomstig BRL K903. Indien bij herkeuring een bovengrondse opslagtank niet kan worden betreden of, indien toegestaan, middels een camera-inspectie inwendig geïnspecteerd kan worden, wordt de opslagtank afgekeurd. Het gebruik van de opslagtank is in geval van afkeuring toegestaan tot de uiterste herkeuringsdatum.</w:t>
      </w:r>
    </w:p>
    <w:p w:rsidR="000466C0" w:rsidRDefault="000466C0" w:rsidP="000466C0">
      <w:pPr>
        <w:pStyle w:val="art1enivo"/>
        <w:shd w:val="clear" w:color="auto" w:fill="D9D9D9" w:themeFill="background1" w:themeFillShade="D9"/>
      </w:pPr>
      <w:r>
        <w:t>10.</w:t>
      </w:r>
      <w:r>
        <w:tab/>
        <w:t xml:space="preserve">Het bevoegd gezag kan ten behoeve van het voorkomen van risico's voor de omgeving en ongewone voorvallen, dan wel voor zover dat niet mogelijk is het zoveel mogelijk beperken van de risico's voor de omgeving en de kans dat ongewone voorvallen zich voordoen en de gevolgen hiervan, bij maatwerkvoorschrift het derde lid niet van toepassing verklaren en toestaan dat een opslagtank zich op een verdieping bevindt. </w:t>
      </w:r>
    </w:p>
    <w:p w:rsidR="000466C0" w:rsidRDefault="000466C0" w:rsidP="000466C0">
      <w:pPr>
        <w:pStyle w:val="art1enivo"/>
        <w:shd w:val="clear" w:color="auto" w:fill="D9D9D9" w:themeFill="background1" w:themeFillShade="D9"/>
      </w:pPr>
      <w:r>
        <w:t>11.</w:t>
      </w:r>
      <w:r>
        <w:tab/>
        <w:t>Bij een maatwerkvoorschrift als bedoeld in het tiende lid kunnen eisen worden gesteld om de toegankelijkheid van de opslagtank voor de brandbestrijding te borgen.</w:t>
      </w:r>
    </w:p>
    <w:p w:rsidR="000466C0" w:rsidRDefault="000466C0" w:rsidP="000466C0">
      <w:pPr>
        <w:pStyle w:val="art1enivo"/>
        <w:shd w:val="clear" w:color="auto" w:fill="D9D9D9" w:themeFill="background1" w:themeFillShade="D9"/>
      </w:pPr>
      <w:r>
        <w:t>12.</w:t>
      </w:r>
      <w:r>
        <w:tab/>
        <w:t xml:space="preserve">In afwijking van het achtste lid vindt de controle, bedoeld in onderdeel d van dat lid, eenmaal per drie jaar plaats indien de opslagtank aantoonbaar is voorzien van een inwendige coating overeenkomstig BRL K779 en die coating is aangebracht door een bedrijf dat daartoe is gecertificeerd op basis van BRL K790. </w:t>
      </w:r>
    </w:p>
    <w:p w:rsidR="000466C0" w:rsidRDefault="000466C0" w:rsidP="000466C0">
      <w:pPr>
        <w:pStyle w:val="art1enivo"/>
        <w:shd w:val="clear" w:color="auto" w:fill="D9D9D9" w:themeFill="background1" w:themeFillShade="D9"/>
      </w:pPr>
      <w:r>
        <w:t>13.</w:t>
      </w:r>
      <w:r>
        <w:tab/>
        <w:t xml:space="preserve">Indien tijdens de controle, bedoeld in het achtste lid, onderdeel d, water is aangetroffen, wordt dit terstond verwijderd. Van het verwijderde water worden de elektrische geleidbaarheid en de zuurgraad beoordeeld. Wanneer bij de derde opeenvolgende meting blijkt dat de zuurgraad en de elektrische geleidbaarheid van het aangetroffen water buiten de normeisen vallen, wordt een inwendige inspectie van de bovengrondse opslagtank uitgevoerd. Indien een inwendige inspectie noodzakelijk is, wordt dit terstond gemeld aan het bevoegd gezag. </w:t>
      </w:r>
    </w:p>
    <w:p w:rsidR="000466C0" w:rsidRDefault="000466C0" w:rsidP="000466C0">
      <w:pPr>
        <w:pStyle w:val="art1enivo"/>
        <w:shd w:val="clear" w:color="auto" w:fill="D9D9D9" w:themeFill="background1" w:themeFillShade="D9"/>
      </w:pPr>
      <w:r>
        <w:t>14.</w:t>
      </w:r>
      <w:r>
        <w:tab/>
        <w:t>In afwijking van het negende en dertiende lid is een inwendige beoordeling of inwendige inspectie bij de keuring van een bovengrondse opslagtank niet noodzakelijk indien deze opslagtank dubbelwandig is uitgevoerd met een lekdetectiesysteem in de wand.</w:t>
      </w:r>
    </w:p>
    <w:p w:rsidR="000466C0" w:rsidRDefault="000466C0" w:rsidP="000466C0">
      <w:pPr>
        <w:pStyle w:val="art1enivo"/>
        <w:shd w:val="clear" w:color="auto" w:fill="D9D9D9" w:themeFill="background1" w:themeFillShade="D9"/>
      </w:pPr>
      <w:r>
        <w:t>15.</w:t>
      </w:r>
      <w:r>
        <w:tab/>
        <w:t>Indien een bovengrondse opslagtank voor gasolie is geïnstalleerd voor het tijdstip van het van toepassing worden van paragraaf 3.4.9 op de inrichting is het derde lid niet van toepassing tot het moment waarop de eerstvolgende keuring behoort plaats te vinden.</w:t>
      </w:r>
    </w:p>
    <w:p w:rsidR="000466C0" w:rsidRDefault="000466C0" w:rsidP="000466C0">
      <w:pPr>
        <w:pStyle w:val="art1enivo"/>
        <w:shd w:val="clear" w:color="auto" w:fill="D9D9D9" w:themeFill="background1" w:themeFillShade="D9"/>
      </w:pPr>
      <w:r>
        <w:t>16.</w:t>
      </w:r>
      <w:r>
        <w:tab/>
        <w:t>Het bevoegd gezag kan aan een opslagtank als bedoeld in het vijftiende lid bij maatwerkvoorschrift eisen stellen om de toegankelijkheid van de opslagtank voor de brandbestrijding te borgen.</w:t>
      </w:r>
    </w:p>
    <w:p w:rsidR="000466C0" w:rsidRDefault="000466C0" w:rsidP="000466C0">
      <w:pPr>
        <w:pStyle w:val="artikelkop"/>
        <w:shd w:val="clear" w:color="auto" w:fill="D9D9D9" w:themeFill="background1" w:themeFillShade="D9"/>
      </w:pPr>
      <w:r>
        <w:t>Artikel 3.71e</w:t>
      </w:r>
    </w:p>
    <w:p w:rsidR="000466C0" w:rsidRDefault="000466C0" w:rsidP="000466C0">
      <w:pPr>
        <w:pStyle w:val="artplat"/>
        <w:shd w:val="clear" w:color="auto" w:fill="D9D9D9" w:themeFill="background1" w:themeFillShade="D9"/>
        <w:suppressAutoHyphens/>
        <w:rPr>
          <w:rFonts w:cs="Arial"/>
        </w:rPr>
      </w:pPr>
      <w:r>
        <w:rPr>
          <w:rFonts w:cs="Arial"/>
        </w:rPr>
        <w:t>De opslag van gasolie in mobiele bovengrondse opslagtanks inclusief de bijbehorende leidingen en appendages, voldoet aan bijlage D van PGS 30.</w:t>
      </w:r>
    </w:p>
    <w:p w:rsidR="000466C0" w:rsidRDefault="000466C0" w:rsidP="000466C0">
      <w:pPr>
        <w:pStyle w:val="artikelkop"/>
        <w:shd w:val="clear" w:color="auto" w:fill="D9D9D9" w:themeFill="background1" w:themeFillShade="D9"/>
      </w:pPr>
      <w:r>
        <w:t>Artikel 3.71f</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De opslag van gasolie, smeerolie en afgewerkte olie in bovengrondse opslagtanks vindt plaats boven een lekbak.</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Het eerste lid is niet van toepassing op een opslagtank die dubbelwandig is uitgevoerd met een systeem voor lekdetectie:</w:t>
      </w:r>
    </w:p>
    <w:p w:rsidR="000466C0" w:rsidRDefault="000466C0" w:rsidP="000466C0">
      <w:pPr>
        <w:pStyle w:val="art2enivo"/>
        <w:shd w:val="clear" w:color="auto" w:fill="D9D9D9" w:themeFill="background1" w:themeFillShade="D9"/>
      </w:pPr>
      <w:r>
        <w:t xml:space="preserve">a. </w:t>
      </w:r>
      <w:r>
        <w:tab/>
        <w:t>dat ten minste eenmaal per jaar wordt beoordeeld en is goedgekeurd overeenkomstig BRL K903, door een bedrijf dat op grond van die BRL daartoe is gecertificeerd.</w:t>
      </w:r>
    </w:p>
    <w:p w:rsidR="000466C0" w:rsidRDefault="000466C0" w:rsidP="000466C0">
      <w:pPr>
        <w:pStyle w:val="art2enivo"/>
        <w:shd w:val="clear" w:color="auto" w:fill="D9D9D9" w:themeFill="background1" w:themeFillShade="D9"/>
      </w:pPr>
      <w:r>
        <w:t xml:space="preserve">b. </w:t>
      </w:r>
      <w:r>
        <w:tab/>
        <w:t>volgens de BRL K796 dat ten minste eenmaal per maand wordt gecontroleerd op goede werking. Bij het constateren van gebreken wordt het lekdetectiepotsysteem binnen een periode van een maand hersteld. Eenmaal per jaar wordt van de controle een aantekening in het installatieboek gemaakt.</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De vulpunten en aftappunten van een bovengrondse opslagtank met gasolie, smeerolie en afgewerkte olie zijn geplaatst boven een vloeistofdichte vloer of verharding of boven of in een lekbak.</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De opslagtank is voorzien van een overvulbeveiliging.</w:t>
      </w:r>
    </w:p>
    <w:p w:rsidR="000466C0" w:rsidRDefault="000466C0" w:rsidP="000466C0">
      <w:pPr>
        <w:pStyle w:val="art1enivo"/>
        <w:shd w:val="clear" w:color="auto" w:fill="D9D9D9" w:themeFill="background1" w:themeFillShade="D9"/>
        <w:suppressAutoHyphens/>
        <w:rPr>
          <w:rFonts w:cs="Arial"/>
        </w:rPr>
      </w:pPr>
      <w:r>
        <w:rPr>
          <w:rFonts w:cs="Arial"/>
        </w:rPr>
        <w:t>5.</w:t>
      </w:r>
      <w:r>
        <w:rPr>
          <w:rFonts w:cs="Arial"/>
        </w:rPr>
        <w:tab/>
        <w:t>Het vierde lid is niet van toepassing op een opslagtank voor afgewerkte olie die handmatig of onder vrij verval gevuld wordt.</w:t>
      </w:r>
    </w:p>
    <w:p w:rsidR="000466C0" w:rsidRDefault="000466C0" w:rsidP="000466C0">
      <w:pPr>
        <w:pStyle w:val="art1enivo"/>
        <w:shd w:val="clear" w:color="auto" w:fill="D9D9D9" w:themeFill="background1" w:themeFillShade="D9"/>
        <w:suppressAutoHyphens/>
        <w:rPr>
          <w:rFonts w:cs="Arial"/>
        </w:rPr>
      </w:pPr>
      <w:r>
        <w:rPr>
          <w:rFonts w:cs="Arial"/>
        </w:rPr>
        <w:t>6.</w:t>
      </w:r>
      <w:r>
        <w:rPr>
          <w:rFonts w:cs="Arial"/>
        </w:rPr>
        <w:tab/>
        <w:t>Boven de lekbak, bedoeld in het eerste lid, vindt geen opslag van andere gevaarlijke stoffen plaats, indien die kunnen reageren met de stoffen in de bovengrondse opslagtank.</w:t>
      </w:r>
    </w:p>
    <w:p w:rsidR="000466C0" w:rsidRDefault="000466C0" w:rsidP="000466C0">
      <w:pPr>
        <w:pStyle w:val="art1enivo"/>
        <w:shd w:val="clear" w:color="auto" w:fill="D9D9D9" w:themeFill="background1" w:themeFillShade="D9"/>
        <w:suppressAutoHyphens/>
      </w:pPr>
      <w:r>
        <w:t>7.</w:t>
      </w:r>
      <w:r>
        <w:tab/>
        <w:t xml:space="preserve">Een opslagtank voor afgewerkte olie wordt </w:t>
      </w:r>
      <w:r>
        <w:rPr>
          <w:rFonts w:cs="Arial"/>
        </w:rPr>
        <w:t>minimaal</w:t>
      </w:r>
      <w:r>
        <w:t xml:space="preserve"> eenmaal per jaar geleegd.</w:t>
      </w:r>
    </w:p>
    <w:p w:rsidR="000466C0" w:rsidRDefault="000466C0" w:rsidP="000466C0">
      <w:pPr>
        <w:pStyle w:val="artikelkop"/>
        <w:shd w:val="clear" w:color="auto" w:fill="D9D9D9" w:themeFill="background1" w:themeFillShade="D9"/>
      </w:pPr>
      <w:r>
        <w:t xml:space="preserve">Artikel 3.71g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De opslag van gasolie, smeerolie en afgewerkte olie in bovengrondse opslagtanks boven een oppervlaktewaterlichaam vindt plaats boven een voorziening die zich rondom of onder de opgeslagen stoffen bevindt en in staat is de bij normale bedrijfsvoering gemorste of wegspattende vloeistoffen op te vangen.</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Het eerste lid is niet van toepassing op een opslagtank die dubbelwandig is uitgevoerd met een systeem voor lekdetectie:</w:t>
      </w:r>
    </w:p>
    <w:p w:rsidR="000466C0" w:rsidRDefault="000466C0" w:rsidP="000466C0">
      <w:pPr>
        <w:pStyle w:val="art2enivo"/>
        <w:shd w:val="clear" w:color="auto" w:fill="D9D9D9" w:themeFill="background1" w:themeFillShade="D9"/>
      </w:pPr>
      <w:r>
        <w:t xml:space="preserve">a. </w:t>
      </w:r>
      <w:r>
        <w:tab/>
        <w:t>dat ten minste eenmaal per jaar wordt beoordeeld en is goedgekeurd overeenkomstig BRL K903, door een bedrijf dat op grond van die BRL daartoe is gecertificeerd;</w:t>
      </w:r>
    </w:p>
    <w:p w:rsidR="000466C0" w:rsidRDefault="000466C0" w:rsidP="000466C0">
      <w:pPr>
        <w:pStyle w:val="art2enivo"/>
        <w:shd w:val="clear" w:color="auto" w:fill="D9D9D9" w:themeFill="background1" w:themeFillShade="D9"/>
      </w:pPr>
      <w:r>
        <w:t xml:space="preserve">b. </w:t>
      </w:r>
      <w:r>
        <w:tab/>
        <w:t>volgens de BRL K796 dat ten minste eenmaal per maand wordt gecontroleerd op goede werking. Bij het constateren van gebreken wordt het lekdetectiepotsysteem binnen een periode van een maand hersteld. Eenmaal per jaar wordt van de controle een aantekening in het installatieboek gemaakt.</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De vulpunten en aftappunten van een bovengrondse opslagtank met gasolie, smeerolie en afgewerkte olie boven een oppervlaktewaterlichaam zijn geplaatst boven of in een voorziening die zich rondom of onder de opgeslagen stoffen bevindt en die de bij normale bedrijfsvoering gemorste of wegspattende vloeistoffen kan opvangen.</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De voorzieningen, bedoeld in het eerste en derde lid, zijn zodanig uitgevoerd dat:</w:t>
      </w:r>
    </w:p>
    <w:p w:rsidR="000466C0" w:rsidRDefault="000466C0" w:rsidP="000466C0">
      <w:pPr>
        <w:pStyle w:val="art2enivo"/>
        <w:shd w:val="clear" w:color="auto" w:fill="D9D9D9" w:themeFill="background1" w:themeFillShade="D9"/>
      </w:pPr>
      <w:r>
        <w:t>a.</w:t>
      </w:r>
      <w:r>
        <w:tab/>
        <w:t>gemorste of gelekte vloeistoffen effectief worden opgevangen en kunnen worden opgeruimd;</w:t>
      </w:r>
    </w:p>
    <w:p w:rsidR="000466C0" w:rsidRDefault="000466C0" w:rsidP="000466C0">
      <w:pPr>
        <w:pStyle w:val="art2enivo"/>
        <w:shd w:val="clear" w:color="auto" w:fill="D9D9D9" w:themeFill="background1" w:themeFillShade="D9"/>
      </w:pPr>
      <w:r>
        <w:t>b.</w:t>
      </w:r>
      <w:r>
        <w:tab/>
        <w:t>er geen hemelwater op of in terecht kan komen, tenzij het hemelwater regelmatig van of uit de voorziening wordt verwijderd.</w:t>
      </w:r>
    </w:p>
    <w:p w:rsidR="000466C0" w:rsidRDefault="000466C0" w:rsidP="000466C0">
      <w:pPr>
        <w:pStyle w:val="art1enivo"/>
        <w:shd w:val="clear" w:color="auto" w:fill="D9D9D9" w:themeFill="background1" w:themeFillShade="D9"/>
        <w:suppressAutoHyphens/>
        <w:rPr>
          <w:rFonts w:cs="Arial"/>
        </w:rPr>
      </w:pPr>
      <w:r>
        <w:rPr>
          <w:rFonts w:cs="Arial"/>
        </w:rPr>
        <w:t>5.</w:t>
      </w:r>
      <w:r>
        <w:rPr>
          <w:rFonts w:cs="Arial"/>
        </w:rPr>
        <w:tab/>
        <w:t>De voorzieningen, bedoeld in het eerste en derde lid, zijn bestand tegen de inwerking van de opgeslagen stoffen en de condities waaronder deze stoffen worden gebruikt of opgeslagen.</w:t>
      </w:r>
    </w:p>
    <w:p w:rsidR="000466C0" w:rsidRDefault="000466C0" w:rsidP="000466C0">
      <w:pPr>
        <w:pStyle w:val="art1enivo"/>
        <w:shd w:val="clear" w:color="auto" w:fill="D9D9D9" w:themeFill="background1" w:themeFillShade="D9"/>
        <w:suppressAutoHyphens/>
        <w:rPr>
          <w:rFonts w:cs="Arial"/>
        </w:rPr>
      </w:pPr>
      <w:r>
        <w:rPr>
          <w:rFonts w:cs="Arial"/>
        </w:rPr>
        <w:t>6.</w:t>
      </w:r>
      <w:r>
        <w:rPr>
          <w:rFonts w:cs="Arial"/>
        </w:rPr>
        <w:tab/>
        <w:t>De voorziening, bedoeld in het eerste lid, heeft een opvangcapaciteit van ten minste 10% van de inhoud van alle opgeslagen stoffen.</w:t>
      </w:r>
    </w:p>
    <w:p w:rsidR="000466C0" w:rsidRDefault="000466C0" w:rsidP="000466C0">
      <w:pPr>
        <w:pStyle w:val="art1enivo"/>
        <w:shd w:val="clear" w:color="auto" w:fill="D9D9D9" w:themeFill="background1" w:themeFillShade="D9"/>
        <w:suppressAutoHyphens/>
        <w:rPr>
          <w:rFonts w:cs="Arial"/>
        </w:rPr>
      </w:pPr>
      <w:r>
        <w:rPr>
          <w:rFonts w:cs="Arial"/>
        </w:rPr>
        <w:t>7.</w:t>
      </w:r>
      <w:r>
        <w:rPr>
          <w:rFonts w:cs="Arial"/>
        </w:rPr>
        <w:tab/>
        <w:t>De opslagtank is voorzien van een overvulbeveiliging.</w:t>
      </w:r>
    </w:p>
    <w:p w:rsidR="000466C0" w:rsidRDefault="000466C0" w:rsidP="000466C0">
      <w:pPr>
        <w:pStyle w:val="art1enivo"/>
        <w:shd w:val="clear" w:color="auto" w:fill="D9D9D9" w:themeFill="background1" w:themeFillShade="D9"/>
      </w:pPr>
      <w:r>
        <w:t xml:space="preserve">8. </w:t>
      </w:r>
      <w:r>
        <w:tab/>
        <w:t>Het zevende lid is niet van toepassing op een opslagtank voor afgewerkte olie die handmatig of onder vrij verval wordt gevuld.</w:t>
      </w:r>
    </w:p>
    <w:p w:rsidR="000466C0" w:rsidRDefault="000466C0" w:rsidP="000466C0">
      <w:pPr>
        <w:pStyle w:val="art1enivo"/>
        <w:shd w:val="clear" w:color="auto" w:fill="D9D9D9" w:themeFill="background1" w:themeFillShade="D9"/>
        <w:suppressAutoHyphens/>
      </w:pPr>
      <w:r>
        <w:t>9.</w:t>
      </w:r>
      <w:r>
        <w:tab/>
        <w:t xml:space="preserve">Een opslagtank voor afgewerkte olie wordt minimaal </w:t>
      </w:r>
      <w:r>
        <w:rPr>
          <w:rFonts w:cs="Arial"/>
        </w:rPr>
        <w:t>eenmaal</w:t>
      </w:r>
      <w:r>
        <w:t xml:space="preserve"> per jaar geleegd.</w:t>
      </w:r>
    </w:p>
    <w:p w:rsidR="000466C0" w:rsidRDefault="000466C0" w:rsidP="000466C0">
      <w:pPr>
        <w:pStyle w:val="artikelkop"/>
        <w:shd w:val="clear" w:color="auto" w:fill="D9D9D9" w:themeFill="background1" w:themeFillShade="D9"/>
      </w:pPr>
      <w:r>
        <w:t>Artikel 3.71h</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De artikelen 3.71d, 3.71f en 3.71g zijn niet van toepassing op een bovengrondse opslagtank met gasolie, smeerolie of afgewerkte olie die niet op de vloer staat.</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Aan de in het eerste lid bedoelde bovengrondse opslagtanks die niet op de vloer staan, kan het bevoegd gezag ten behoeve van het voorkomen van risico's voor de omgeving en ongewone voorvallen, dan wel, voor zover dat niet mogelijk is, het zoveel mogelijk beperken van de risico's voor de omgeving en de kans dat ongewone voorvallen zich voordoen en de gevolgen hiervan, maatwerkvoorschriften stellen met betrekking tot de plaats, de constructie, de keuring, de bodem- en veiligheidsvoorzieningen van de opslagtank.</w:t>
      </w:r>
    </w:p>
    <w:p w:rsidR="000466C0" w:rsidRPr="00620047" w:rsidRDefault="000466C0">
      <w:pPr>
        <w:pStyle w:val="artplat"/>
      </w:pPr>
    </w:p>
    <w:p w:rsidR="00296032" w:rsidRPr="00296032" w:rsidRDefault="00296032">
      <w:pPr>
        <w:pStyle w:val="paragraaf"/>
      </w:pPr>
      <w:bookmarkStart w:id="125" w:name="_Toc431375617"/>
      <w:r w:rsidRPr="00296032">
        <w:t>§ 3.4.10 Opslaan of bewerken van ontplofbare stoffen of voorwerpen bij defensie-inrichtingen</w:t>
      </w:r>
      <w:bookmarkEnd w:id="125"/>
    </w:p>
    <w:p w:rsidR="00296032" w:rsidRPr="00296032" w:rsidRDefault="00296032">
      <w:pPr>
        <w:pStyle w:val="artikelkop"/>
      </w:pPr>
      <w:r w:rsidRPr="00296032">
        <w:t xml:space="preserve">Artikel 3.54e </w:t>
      </w:r>
    </w:p>
    <w:p w:rsidR="00296032" w:rsidRPr="00620047" w:rsidRDefault="00296032">
      <w:pPr>
        <w:pStyle w:val="artplat"/>
      </w:pPr>
      <w:r w:rsidRPr="00620047">
        <w:t>Deze paragraaf is van toepassing op het opslaan of bewerken van gevaarlijke stoffen van de ADR klasse 1.1, 1.2, 1.3 of 1.4 binnen inrichtingen die in gebruik zijn bij de Nederlandse of een bondgenootschappelijke krijgsmacht.</w:t>
      </w:r>
    </w:p>
    <w:p w:rsidR="00296032" w:rsidRPr="00296032" w:rsidRDefault="00296032">
      <w:pPr>
        <w:pStyle w:val="artikelkop"/>
      </w:pPr>
      <w:r w:rsidRPr="00296032">
        <w:t xml:space="preserve">Artikel 3.54f </w:t>
      </w:r>
    </w:p>
    <w:p w:rsidR="00296032" w:rsidRPr="00620047" w:rsidRDefault="00296032">
      <w:pPr>
        <w:pStyle w:val="artplat"/>
      </w:pPr>
      <w:r w:rsidRPr="00620047">
        <w:t>Totdat voor inrichtingen die in gebruik zijn bij de Nederlandse of een bondgenootschappelijke krijgsmacht een omgevingsvergunning voor een categorie van activiteiten als bedoeld in artikel 2.2a, zevende lid, van het Besluit omgevingsrecht, is verleend, wordt voor de toepassing van artikel 3.54g uitgegaan van de munitie-QRA, die is opgesteld volgens de regels, gesteld krachtens artikel 2.6.7 van het Besluit algemene regels ruimtelijke ordening, en op grond waarvan de op het tijdstip van inwerkingtreding van artikel 3.54g geldende, krachtens artikel 2.6.5 van het Besluit algemene regels ruimtelijke ordening aangewezen veiligheidszones, zijn berekend.</w:t>
      </w:r>
    </w:p>
    <w:p w:rsidR="00296032" w:rsidRPr="00296032" w:rsidRDefault="00296032">
      <w:pPr>
        <w:pStyle w:val="artikelkop"/>
      </w:pPr>
      <w:r w:rsidRPr="00296032">
        <w:t xml:space="preserve">Artikel 3.54g </w:t>
      </w:r>
    </w:p>
    <w:p w:rsidR="00296032" w:rsidRPr="00620047" w:rsidRDefault="00296032">
      <w:pPr>
        <w:pStyle w:val="art1enivo"/>
      </w:pPr>
      <w:r w:rsidRPr="00620047">
        <w:t>1.</w:t>
      </w:r>
      <w:r w:rsidRPr="00620047">
        <w:tab/>
        <w:t>Gevaarlijke stoffen van de ADR klasse 1.1, 1.2 of 1.3 worden binnen inrichtingen die in gebruik zijn bij de Nederlandse of een bondgenootschappelijke krijgsmacht zodanig opgeslagen of bewerkt dat:</w:t>
      </w:r>
    </w:p>
    <w:p w:rsidR="00296032" w:rsidRPr="00620047" w:rsidRDefault="00296032">
      <w:pPr>
        <w:pStyle w:val="art2enivo"/>
      </w:pPr>
      <w:r w:rsidRPr="00620047">
        <w:t>a.</w:t>
      </w:r>
      <w:r w:rsidRPr="00620047">
        <w:tab/>
        <w:t>de veiligheidszones van de activiteit niet groter zijn dan de veiligheidszones die volgen uit de munitie-QRA;</w:t>
      </w:r>
    </w:p>
    <w:p w:rsidR="00296032" w:rsidRPr="00620047" w:rsidRDefault="00296032">
      <w:pPr>
        <w:pStyle w:val="art2enivo"/>
      </w:pPr>
      <w:r w:rsidRPr="00620047">
        <w:t>b.</w:t>
      </w:r>
      <w:r w:rsidRPr="00620047">
        <w:tab/>
        <w:t>de hoeveelheid gevaarlijke stoffen van de ADR klasse 1.1, 1.2 of 1.3 per opslagvoorziening niet groter is dan de hoeveelheid die is gebruikt in de munitie-QRA die is ingediend bij de aanvraag voor de laatst verleende omgevingsvergunning voor die activiteit, en</w:t>
      </w:r>
    </w:p>
    <w:p w:rsidR="00296032" w:rsidRPr="00620047" w:rsidRDefault="00296032">
      <w:pPr>
        <w:pStyle w:val="art2enivo"/>
      </w:pPr>
      <w:r w:rsidRPr="00620047">
        <w:t>c.</w:t>
      </w:r>
      <w:r w:rsidRPr="00620047">
        <w:tab/>
        <w:t>de bouwkundige staat van de voorzieningen waarin gevaarlijke stoffen van de ADR klasse 1.1 of 1.2 of meer dan 50 kilogram NEG van klasse 1.3 worden opgeslagen gelijk is aan de staat waarvan is uitgegaan in de munitie-QRA die is ingediend bij de aanvraag voor de laatst verleende omgevingsvergunning voor die activiteit.</w:t>
      </w:r>
    </w:p>
    <w:p w:rsidR="00296032" w:rsidRPr="00620047" w:rsidRDefault="00296032">
      <w:pPr>
        <w:pStyle w:val="art1enivo"/>
      </w:pPr>
      <w:r w:rsidRPr="00620047">
        <w:t>2.</w:t>
      </w:r>
      <w:r w:rsidRPr="00620047">
        <w:tab/>
        <w:t>In of op elke voorziening voor het opslaan of bewerken van gevaarlijke stoffen van de ADR klasse 1.1, 1.2 of 1.3 is duidelijk zichtbaar aangegeven welke hoeveelheid NEG per ADR klasse volgens het eerste lid, onderdeel b, aanwezig mag zijn.</w:t>
      </w:r>
    </w:p>
    <w:p w:rsidR="00296032" w:rsidRPr="00620047" w:rsidRDefault="00296032">
      <w:pPr>
        <w:pStyle w:val="art1enivo"/>
      </w:pPr>
      <w:r w:rsidRPr="00620047">
        <w:t>3.</w:t>
      </w:r>
      <w:r w:rsidRPr="00620047">
        <w:tab/>
        <w:t>Indien sprake is van het gezamenlijk opslaan van de ADR klassen 1.1, 1.2 of 1.3, is de totale hoeveelheid NEG niet groter dan de maximaal toegestane hoeveelheid van de klasse met de meest dominante effecten, vastgesteld in de munitie-QRA die is ingediend bij de aanvraag voor de laatst verleende omgevingsvergunning voor die activiteit.</w:t>
      </w:r>
    </w:p>
    <w:p w:rsidR="00296032" w:rsidRPr="00620047" w:rsidRDefault="00296032">
      <w:pPr>
        <w:pStyle w:val="art1enivo"/>
      </w:pPr>
      <w:r w:rsidRPr="00620047">
        <w:t>4.</w:t>
      </w:r>
      <w:r w:rsidRPr="00620047">
        <w:tab/>
        <w:t>In afwijking van het derde lid is de totale hoeveelheid NEG van een gezamenlijke opslag van de ADR klassen 1.2 en 1.3 niet groter dan de toegestane hoeveelheid van de ADR klasse 1.1, indien de gezamenlijke opslag van de ADR klassen 1.2 en 1.3 kan reageren als ADR klasse 1.1.</w:t>
      </w:r>
    </w:p>
    <w:p w:rsidR="00296032" w:rsidRDefault="00296032">
      <w:pPr>
        <w:pStyle w:val="art1enivo"/>
      </w:pPr>
      <w:r w:rsidRPr="00620047">
        <w:t>5.</w:t>
      </w:r>
      <w:r w:rsidRPr="00620047">
        <w:tab/>
        <w:t>Bij het opslaan of bewerken van gevaarlijke stoffen van de ADR klasse 1.1, 1.2, 1.3 of 1.4 binnen inrichtingen die in gebruik zijn bij de Nederlandse of een bondgenootschappelijke krijgsmacht wordt ten behoeve van het voorkomen van risico’s voor de omgeving en ongewone voorvallen, dan wel voor zover dat niet mogelijk is het zoveel mogelijk beperken van de risico’s voor de omgeving en de kans dat ongewone voorvallen zich voordoen en de gevolgen hiervan, voldaan aan de bij ministeriële regeling gestelde eisen.</w:t>
      </w:r>
    </w:p>
    <w:p w:rsidR="000466C0" w:rsidRDefault="000466C0" w:rsidP="000466C0"/>
    <w:p w:rsidR="000466C0" w:rsidRDefault="000466C0" w:rsidP="000466C0">
      <w:pPr>
        <w:pStyle w:val="paragraaf"/>
        <w:shd w:val="clear" w:color="auto" w:fill="D9D9D9" w:themeFill="background1" w:themeFillShade="D9"/>
        <w:rPr>
          <w:rFonts w:eastAsiaTheme="minorEastAsia"/>
          <w:lang w:eastAsia="nl-NL"/>
        </w:rPr>
      </w:pPr>
      <w:bookmarkStart w:id="126" w:name="_Toc431375618"/>
      <w:r>
        <w:rPr>
          <w:rFonts w:eastAsiaTheme="minorEastAsia"/>
          <w:lang w:eastAsia="nl-NL"/>
        </w:rPr>
        <w:t>§ 3.4.10.</w:t>
      </w:r>
      <w:r>
        <w:rPr>
          <w:rFonts w:eastAsiaTheme="minorEastAsia"/>
          <w:lang w:eastAsia="nl-NL"/>
        </w:rPr>
        <w:tab/>
        <w:t>Opslaan of bewerken van ontplofbare stoffen of voorwerpen bij defensie-inrichtingen</w:t>
      </w:r>
      <w:bookmarkEnd w:id="126"/>
    </w:p>
    <w:p w:rsidR="000466C0" w:rsidRDefault="000466C0" w:rsidP="000466C0">
      <w:pPr>
        <w:pStyle w:val="artikelkop"/>
        <w:shd w:val="clear" w:color="auto" w:fill="D9D9D9" w:themeFill="background1" w:themeFillShade="D9"/>
        <w:rPr>
          <w:rFonts w:eastAsiaTheme="minorEastAsia"/>
          <w:lang w:eastAsia="nl-NL"/>
        </w:rPr>
      </w:pPr>
      <w:r>
        <w:rPr>
          <w:rFonts w:eastAsiaTheme="minorEastAsia"/>
          <w:lang w:eastAsia="nl-NL"/>
        </w:rPr>
        <w:t xml:space="preserve">Artikel 3.71i </w:t>
      </w:r>
    </w:p>
    <w:p w:rsidR="000466C0" w:rsidRDefault="000466C0" w:rsidP="000466C0">
      <w:pPr>
        <w:pStyle w:val="artplat"/>
        <w:shd w:val="clear" w:color="auto" w:fill="D9D9D9" w:themeFill="background1" w:themeFillShade="D9"/>
        <w:rPr>
          <w:rFonts w:eastAsiaTheme="minorEastAsia"/>
          <w:lang w:eastAsia="nl-NL"/>
        </w:rPr>
      </w:pPr>
      <w:r>
        <w:rPr>
          <w:rFonts w:eastAsiaTheme="minorEastAsia"/>
          <w:lang w:eastAsia="nl-NL"/>
        </w:rPr>
        <w:t xml:space="preserve">Aan artikel 3.54g, eerste lid, onder a, van het besluit </w:t>
      </w:r>
      <w:r>
        <w:rPr>
          <w:rFonts w:eastAsiaTheme="minorEastAsia"/>
        </w:rPr>
        <w:t>wordt</w:t>
      </w:r>
      <w:r>
        <w:rPr>
          <w:rFonts w:eastAsiaTheme="minorEastAsia"/>
          <w:lang w:eastAsia="nl-NL"/>
        </w:rPr>
        <w:t xml:space="preserve"> in een inrichting van de Nederlandse of bondgenootschappelijke krijgsmacht in ieder geval voldaan, indien:</w:t>
      </w:r>
    </w:p>
    <w:p w:rsidR="000466C0" w:rsidRDefault="000466C0" w:rsidP="000466C0">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het opslaan van ontplofbare stoffen of voorwerpen voldoet aan de bepalingen 4101, 6101, 6103, 6105, eerste volzin, 6107, 6151, eerste en tweede lid, 6152, eerste tot en met derde lid, 6153, 6158 tot</w:t>
      </w:r>
      <w:r w:rsidR="00F745E7">
        <w:rPr>
          <w:rFonts w:eastAsiaTheme="minorEastAsia"/>
          <w:lang w:eastAsia="nl-NL"/>
        </w:rPr>
        <w:t xml:space="preserve"> </w:t>
      </w:r>
      <w:r>
        <w:rPr>
          <w:rFonts w:eastAsiaTheme="minorEastAsia"/>
          <w:lang w:eastAsia="nl-NL"/>
        </w:rPr>
        <w:t>en met 6161, 6301, 6302 en 6911 van de MP40-21;</w:t>
      </w:r>
    </w:p>
    <w:p w:rsidR="000466C0" w:rsidRDefault="000466C0" w:rsidP="000466C0">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het voorhanden hebben van ontplofbare stoffen of voorwerpen op een opstelplaats voldoet aan de bepalingen 16103 tot en met 16107 van de MP40-21;</w:t>
      </w:r>
    </w:p>
    <w:p w:rsidR="000466C0" w:rsidRDefault="000466C0" w:rsidP="000466C0">
      <w:pPr>
        <w:pStyle w:val="artplatletter"/>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het onderhoud aan of de modificatie van ontplofbare stoffen of voorwerpen plaatsvindt volgens de bepalingen 4101, 6101, 6103, 6105, eerste volzin, 6107, 6151, derde lid, 6152 eerste tot en met derde lid, 6153, 6158 tot en met 6161, 6301, 6302 en 12102 van de MP40-21, en</w:t>
      </w:r>
    </w:p>
    <w:p w:rsidR="000466C0" w:rsidRDefault="000466C0" w:rsidP="000466C0">
      <w:pPr>
        <w:pStyle w:val="artplatletter"/>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incidenteel onderhoud of modificatie van ontplofbare stoffen of voorwerpen plaatsvindt volgens de bepalingen 13403 en 13405 van de MP40-21.</w:t>
      </w:r>
    </w:p>
    <w:p w:rsidR="000466C0" w:rsidRDefault="000466C0" w:rsidP="000466C0">
      <w:pPr>
        <w:pStyle w:val="artikelkop"/>
        <w:shd w:val="clear" w:color="auto" w:fill="D9D9D9" w:themeFill="background1" w:themeFillShade="D9"/>
        <w:rPr>
          <w:rFonts w:eastAsiaTheme="minorEastAsia"/>
          <w:lang w:eastAsia="nl-NL"/>
        </w:rPr>
      </w:pPr>
      <w:r>
        <w:rPr>
          <w:rFonts w:eastAsiaTheme="minorEastAsia"/>
          <w:lang w:eastAsia="nl-NL"/>
        </w:rPr>
        <w:t xml:space="preserve">Artikel 3.71j </w:t>
      </w:r>
    </w:p>
    <w:p w:rsidR="000466C0" w:rsidRDefault="000466C0" w:rsidP="000466C0">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3.54g van het besluit worden stoffen van ADR-klasse 1.3, in een hoeveelheid van ten hoogste 50 kilogram, en stoffen van ADR-klasse 1.4, 1.5 of 1.6 bij een inrichting die in gebruik is bij de Nederlandse of een bondgenootschappelijke krijgsmacht opgeslagen:</w:t>
      </w:r>
    </w:p>
    <w:p w:rsidR="000466C0" w:rsidRDefault="000466C0" w:rsidP="000466C0">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overeenkomstig de bepalingen 9201 tot en met 9208 en 11301 tot en met 11303 van de MP 40-21, of</w:t>
      </w:r>
    </w:p>
    <w:p w:rsidR="000466C0" w:rsidRDefault="000466C0" w:rsidP="000466C0">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overeenkomstig artikel 3.71i, onder a.</w:t>
      </w:r>
    </w:p>
    <w:p w:rsidR="000466C0" w:rsidRDefault="000466C0" w:rsidP="000466C0">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 afwijking van het eerste lid wordt bij een inrichting die in gebruik is bij de Nederlandse of een bondgenootschappelijke krijgsmacht:</w:t>
      </w:r>
    </w:p>
    <w:p w:rsidR="000466C0" w:rsidRDefault="000466C0" w:rsidP="000466C0">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tot maximaal 25 kilogram vuurwerk en in beslag genomen vuurwerk met aan consumentenvuurwerk vergelijkbare eigenschappen opgeslagen in ten minste een brandveiligheidsopslagkast als bedoeld in voorschrift 3.10 van PGS 15 met een brandwerendheid van ten minste 60 minuten;</w:t>
      </w:r>
    </w:p>
    <w:p w:rsidR="000466C0" w:rsidRDefault="000466C0" w:rsidP="000466C0">
      <w:pPr>
        <w:shd w:val="clear" w:color="auto" w:fill="D9D9D9" w:themeFill="background1" w:themeFillShade="D9"/>
      </w:pPr>
      <w:r>
        <w:rPr>
          <w:rFonts w:eastAsiaTheme="minorEastAsia"/>
          <w:lang w:eastAsia="nl-NL"/>
        </w:rPr>
        <w:t>b.</w:t>
      </w:r>
      <w:r>
        <w:rPr>
          <w:rFonts w:eastAsiaTheme="minorEastAsia"/>
          <w:lang w:eastAsia="nl-NL"/>
        </w:rPr>
        <w:tab/>
        <w:t>tot maximaal 50 kilogram noodsignalen van de ADR klasse 1.3, opgeslagen in een brandcompartiment dan wel in een brandveiligheidsopslagkast als bedoeld in voorschrift 3.10 van PGS 15 met een brandwerendheid van ten minste 60 minuten.</w:t>
      </w:r>
    </w:p>
    <w:p w:rsidR="000466C0" w:rsidRPr="000466C0" w:rsidRDefault="000466C0" w:rsidP="000466C0"/>
    <w:p w:rsidR="00296032" w:rsidRPr="00296032" w:rsidRDefault="00296032">
      <w:pPr>
        <w:pStyle w:val="paragraaf"/>
      </w:pPr>
      <w:bookmarkStart w:id="127" w:name="_Toc431375619"/>
      <w:r w:rsidRPr="00296032">
        <w:t>§ 3.4.11 Op- en overslaan van verwijderd asbest</w:t>
      </w:r>
      <w:bookmarkEnd w:id="127"/>
    </w:p>
    <w:p w:rsidR="00296032" w:rsidRPr="00296032" w:rsidRDefault="00296032">
      <w:pPr>
        <w:pStyle w:val="artikelkop"/>
      </w:pPr>
      <w:r w:rsidRPr="00296032">
        <w:t xml:space="preserve">Artikel 3.54h </w:t>
      </w:r>
    </w:p>
    <w:p w:rsidR="00296032" w:rsidRPr="00620047" w:rsidRDefault="00296032">
      <w:pPr>
        <w:pStyle w:val="art1enivo"/>
      </w:pPr>
      <w:r w:rsidRPr="00620047">
        <w:t>1.</w:t>
      </w:r>
      <w:r w:rsidRPr="00620047">
        <w:tab/>
        <w:t>Deze paragraaf is van toepassing op het op- en overslaan van verwijderd asbest:</w:t>
      </w:r>
    </w:p>
    <w:p w:rsidR="00296032" w:rsidRPr="00620047" w:rsidRDefault="00296032">
      <w:pPr>
        <w:pStyle w:val="art2enivo"/>
      </w:pPr>
      <w:r w:rsidRPr="00620047">
        <w:t>a.</w:t>
      </w:r>
      <w:r w:rsidRPr="00620047">
        <w:tab/>
        <w:t>bij een inrichting waar uitvoering wordt gegeven aan titel 10.4 van de wet, of</w:t>
      </w:r>
    </w:p>
    <w:p w:rsidR="00296032" w:rsidRPr="00620047" w:rsidRDefault="00296032">
      <w:pPr>
        <w:pStyle w:val="art2enivo"/>
      </w:pPr>
      <w:r w:rsidRPr="00620047">
        <w:t>b.</w:t>
      </w:r>
      <w:r w:rsidRPr="00620047">
        <w:tab/>
        <w:t>dat afkomstig is van werkzaamheden die buiten de inrichting zijn verricht door degene die de inrichting drijft, in een hoeveelheid van ten hoogste 50 ton.</w:t>
      </w:r>
    </w:p>
    <w:p w:rsidR="00296032" w:rsidRPr="00620047" w:rsidRDefault="00296032">
      <w:pPr>
        <w:pStyle w:val="art1enivo"/>
      </w:pPr>
      <w:r w:rsidRPr="00620047">
        <w:t>2.</w:t>
      </w:r>
      <w:r w:rsidRPr="00620047">
        <w:tab/>
        <w:t>Deze paragraaf is van overeenkomstige toepassing op een verwijderd asbesthoudend product.</w:t>
      </w:r>
    </w:p>
    <w:p w:rsidR="00296032" w:rsidRPr="00296032" w:rsidRDefault="00296032">
      <w:pPr>
        <w:pStyle w:val="artikelkop"/>
      </w:pPr>
      <w:r w:rsidRPr="00296032">
        <w:t xml:space="preserve">Artikel 3.54i </w:t>
      </w:r>
    </w:p>
    <w:p w:rsidR="00296032" w:rsidRPr="00620047" w:rsidRDefault="00296032">
      <w:pPr>
        <w:pStyle w:val="art1enivo"/>
      </w:pPr>
      <w:r w:rsidRPr="00620047">
        <w:t>1.</w:t>
      </w:r>
      <w:r w:rsidRPr="00620047">
        <w:tab/>
        <w:t>In het belang van het doelmatig beheer van afvalstoffen wordt bij het op- en overslaan van asbest ten minste voldaan aan het tweede tot en met vierde lid.</w:t>
      </w:r>
    </w:p>
    <w:p w:rsidR="00296032" w:rsidRPr="00620047" w:rsidRDefault="00296032">
      <w:pPr>
        <w:pStyle w:val="art1enivo"/>
      </w:pPr>
      <w:r w:rsidRPr="00620047">
        <w:t>2.</w:t>
      </w:r>
      <w:r w:rsidRPr="00620047">
        <w:tab/>
        <w:t>Het op- en overslaan van asbest geeft geen stofverspreiding die met het blote oog waarneembaar is.</w:t>
      </w:r>
    </w:p>
    <w:p w:rsidR="00296032" w:rsidRPr="00620047" w:rsidRDefault="00296032">
      <w:pPr>
        <w:pStyle w:val="art1enivo"/>
      </w:pPr>
      <w:r w:rsidRPr="00620047">
        <w:t>3.</w:t>
      </w:r>
      <w:r w:rsidRPr="00620047">
        <w:tab/>
        <w:t>Asbest is uitsluitend aanwezig in een container en verpakt in niet luchtdoorlatend verpakkingsmateriaal van voldoende dikte en sterkte.</w:t>
      </w:r>
    </w:p>
    <w:p w:rsidR="00296032" w:rsidRPr="00620047" w:rsidRDefault="00296032">
      <w:pPr>
        <w:pStyle w:val="art1enivo"/>
      </w:pPr>
      <w:r w:rsidRPr="00620047">
        <w:t>4.</w:t>
      </w:r>
      <w:r w:rsidRPr="00620047">
        <w:tab/>
        <w:t>Als de inrichtinghouder asbest van verschillende saneringen samenvoegt in een container, legt hij per container vast van welke saneringen het asbest afkomstig is. De drijver van de inrichting bewaart deze gegevens gedurende ten minste vijf jaar.</w:t>
      </w:r>
    </w:p>
    <w:p w:rsidR="00296032" w:rsidRPr="00620047" w:rsidRDefault="00296032">
      <w:pPr>
        <w:pStyle w:val="art1enivo"/>
      </w:pPr>
      <w:r w:rsidRPr="00620047">
        <w:t>5.</w:t>
      </w:r>
      <w:r w:rsidRPr="00620047">
        <w:tab/>
        <w:t>Het vierde lid is niet van toepassing op asbest dat is ingenomen bij een inrichting waar uitvoering wordt gegeven aan titel 10.4 van de wet.</w:t>
      </w:r>
    </w:p>
    <w:p w:rsidR="00296032" w:rsidRPr="00620047" w:rsidRDefault="00296032">
      <w:pPr>
        <w:pStyle w:val="afdeling"/>
        <w:rPr>
          <w:rFonts w:cs="Arial"/>
        </w:rPr>
      </w:pPr>
      <w:bookmarkStart w:id="128" w:name="_Toc431375620"/>
      <w:r w:rsidRPr="00620047">
        <w:rPr>
          <w:rFonts w:cs="Arial"/>
        </w:rPr>
        <w:t>Afdeling 3.5 Agrarische activiteiten</w:t>
      </w:r>
      <w:bookmarkEnd w:id="128"/>
    </w:p>
    <w:p w:rsidR="00296032" w:rsidRPr="00296032" w:rsidRDefault="00296032">
      <w:pPr>
        <w:pStyle w:val="paragraaf"/>
        <w:rPr>
          <w:rFonts w:cs="Arial"/>
        </w:rPr>
      </w:pPr>
      <w:bookmarkStart w:id="129" w:name="_Toc431375621"/>
      <w:r w:rsidRPr="00296032">
        <w:rPr>
          <w:rFonts w:cs="Arial"/>
        </w:rPr>
        <w:t>§ 3.5.1 Telen of kweken van gewassen in een kas</w:t>
      </w:r>
      <w:bookmarkEnd w:id="129"/>
    </w:p>
    <w:p w:rsidR="00296032" w:rsidRPr="00296032" w:rsidRDefault="00296032">
      <w:pPr>
        <w:pStyle w:val="artikelkop"/>
        <w:rPr>
          <w:rFonts w:cs="Arial"/>
        </w:rPr>
      </w:pPr>
      <w:r w:rsidRPr="00296032">
        <w:rPr>
          <w:rFonts w:cs="Arial"/>
        </w:rPr>
        <w:t>Artikel 3.55</w:t>
      </w:r>
    </w:p>
    <w:p w:rsidR="00296032" w:rsidRPr="00620047" w:rsidRDefault="00296032">
      <w:pPr>
        <w:pStyle w:val="artplat"/>
        <w:rPr>
          <w:rFonts w:cs="Arial"/>
        </w:rPr>
      </w:pPr>
      <w:r w:rsidRPr="00620047">
        <w:rPr>
          <w:rFonts w:cs="Arial"/>
        </w:rPr>
        <w:t>Deze paragraaf is van toepassing op het telen of kweken van gewassen in een kas.</w:t>
      </w:r>
    </w:p>
    <w:p w:rsidR="00296032" w:rsidRPr="00296032" w:rsidRDefault="00296032">
      <w:pPr>
        <w:pStyle w:val="artikelkop"/>
        <w:rPr>
          <w:rFonts w:cs="Arial"/>
        </w:rPr>
      </w:pPr>
      <w:r w:rsidRPr="00296032">
        <w:rPr>
          <w:rFonts w:cs="Arial"/>
        </w:rPr>
        <w:t>Artikel 3.56</w:t>
      </w:r>
    </w:p>
    <w:p w:rsidR="00296032" w:rsidRPr="00620047" w:rsidRDefault="00296032">
      <w:pPr>
        <w:pStyle w:val="art1enivo"/>
        <w:rPr>
          <w:rFonts w:cs="Arial"/>
        </w:rPr>
      </w:pPr>
      <w:r w:rsidRPr="00620047">
        <w:rPr>
          <w:rFonts w:cs="Arial"/>
        </w:rPr>
        <w:t>1.</w:t>
      </w:r>
      <w:r w:rsidRPr="00620047">
        <w:rPr>
          <w:rFonts w:cs="Arial"/>
        </w:rPr>
        <w:tab/>
        <w:t>Een kas waarin assimilatiebelichting wordt toegepast, is aan de bovenzijde voorzien van een lichtscherminstallatie waarmee ten minste 98% van de lichtuitstraling kan worden gereduceerd.</w:t>
      </w:r>
    </w:p>
    <w:p w:rsidR="00296032" w:rsidRPr="00620047" w:rsidRDefault="00296032">
      <w:pPr>
        <w:pStyle w:val="art1enivo"/>
        <w:rPr>
          <w:rFonts w:cs="Arial"/>
        </w:rPr>
      </w:pPr>
      <w:r w:rsidRPr="00620047">
        <w:rPr>
          <w:rFonts w:cs="Arial"/>
        </w:rPr>
        <w:t>2.</w:t>
      </w:r>
      <w:r w:rsidRPr="00620047">
        <w:rPr>
          <w:rFonts w:cs="Arial"/>
        </w:rPr>
        <w:tab/>
        <w:t>Het eerste lid is niet van toepassing op een kas waarin uitsluitend assimilatiebelichting wordt toegepast buiten de donkerteperiode.</w:t>
      </w:r>
    </w:p>
    <w:p w:rsidR="00296032" w:rsidRPr="00620047" w:rsidRDefault="00296032">
      <w:pPr>
        <w:pStyle w:val="art1enivo"/>
      </w:pPr>
      <w:r w:rsidRPr="00620047">
        <w:t>3.</w:t>
      </w:r>
      <w:r w:rsidRPr="00620047">
        <w:tab/>
        <w:t>In afwijking van het eerste lid is een kas waarin assimilatiebelichting wordt toegepast tot 1 januari 2017 aan de bovenzijde voorzien van een lichtscherminstallatie waarmee ten minste 95% van de lichtuitstraling kan worden gereduceerd, indien deze lichtscherminstallatie is aangebracht voor 1 januari 2014.</w:t>
      </w:r>
    </w:p>
    <w:p w:rsidR="00296032" w:rsidRPr="00620047" w:rsidRDefault="00296032">
      <w:pPr>
        <w:pStyle w:val="art1enivo"/>
      </w:pPr>
      <w:r w:rsidRPr="00620047">
        <w:t>4.</w:t>
      </w:r>
      <w:r w:rsidRPr="00620047">
        <w:tab/>
        <w:t>Het eerste lid is tot 1 januari 2018 niet van toepassing op een kas waarin assimilatiebelichting wordt toegepast en waarbij het technisch of teelttechnisch redelijkerwijs niet kan worden gevergd de bovenzijde te voorzien van een lichtscherminstallatie als bedoeld in dat lid.</w:t>
      </w:r>
    </w:p>
    <w:p w:rsidR="00296032" w:rsidRPr="00620047" w:rsidRDefault="00296032">
      <w:pPr>
        <w:pStyle w:val="art1enivo"/>
      </w:pPr>
      <w:r w:rsidRPr="00620047">
        <w:t>5.</w:t>
      </w:r>
      <w:r w:rsidRPr="00620047">
        <w:tab/>
        <w:t>Het eerste en tweede lid zijn tot 1 januari 2021 niet van toepassing op een kas, kleiner dan 2.500 vierkante meter, waarin assimilatiebelichting wordt toegepast.</w:t>
      </w:r>
    </w:p>
    <w:p w:rsidR="00296032" w:rsidRPr="00620047" w:rsidRDefault="00296032">
      <w:pPr>
        <w:pStyle w:val="art1enivo"/>
      </w:pPr>
      <w:r w:rsidRPr="00620047">
        <w:t>6.</w:t>
      </w:r>
      <w:r w:rsidRPr="00620047">
        <w:tab/>
        <w:t>Op een kas als bedoeld in het vijfde lid is tot 1 januari 2021 paragraaf 1.5 van de bijlage bij het Besluit landbouw milieubeheer zoals deze luidde tot 1 januari 2013 van toepassing.</w:t>
      </w:r>
    </w:p>
    <w:p w:rsidR="00296032" w:rsidRPr="00620047" w:rsidRDefault="00296032">
      <w:pPr>
        <w:pStyle w:val="art1enivo"/>
      </w:pPr>
      <w:r w:rsidRPr="00620047">
        <w:t>7.</w:t>
      </w:r>
      <w:r w:rsidRPr="00620047">
        <w:tab/>
        <w:t>Het eerste en tweede lid zijn tot 1 januari 2018 niet van toepassing op een inrichting waar kunstmatige belichting van gewassen wordt toegepast, gericht op de beïnvloeding van het groeiproces van de gewassen, waarvan het geïnstalleerde elektrische vermogen op 1 januari 2013 minder bedraagt dan 20 Watt per vierkante meter.</w:t>
      </w:r>
    </w:p>
    <w:p w:rsidR="00296032" w:rsidRPr="00296032" w:rsidRDefault="00296032">
      <w:pPr>
        <w:pStyle w:val="artikelkop"/>
        <w:rPr>
          <w:rFonts w:cs="Arial"/>
        </w:rPr>
      </w:pPr>
      <w:r w:rsidRPr="00296032">
        <w:rPr>
          <w:rFonts w:cs="Arial"/>
        </w:rPr>
        <w:t>Artikel 3.57</w:t>
      </w:r>
    </w:p>
    <w:p w:rsidR="00296032" w:rsidRPr="00620047" w:rsidRDefault="00296032">
      <w:pPr>
        <w:pStyle w:val="art1enivo"/>
      </w:pPr>
      <w:r w:rsidRPr="00620047">
        <w:t>1.</w:t>
      </w:r>
      <w:r w:rsidRPr="00620047">
        <w:tab/>
        <w:t>Indien assimilatiebelichting met een verlichtingssterkte van ten minste 15.000 lux wordt toegepast, is vanaf het tijdstip van zonsondergang tot het tijdstip van zonsopgang de bovenzijde van de kas op een zodanige wijze afgeschermd dat ten minste 98% van de lichtuitstraling wordt gereduceerd.</w:t>
      </w:r>
    </w:p>
    <w:p w:rsidR="00296032" w:rsidRPr="00620047" w:rsidRDefault="00296032">
      <w:pPr>
        <w:pStyle w:val="art1enivo"/>
      </w:pPr>
      <w:r w:rsidRPr="00620047">
        <w:t>2.</w:t>
      </w:r>
      <w:r w:rsidRPr="00620047">
        <w:tab/>
        <w:t>Het bevoegd gezag kan, indien het belang van de bescherming van het milieu zich daartegen niet verzet, bij maatwerkvoorschrift buiten de donkerteperiode een ander percentage dan het percentage, bedoeld in het eerste lid, vaststellen.</w:t>
      </w:r>
    </w:p>
    <w:p w:rsidR="00296032" w:rsidRPr="00620047" w:rsidRDefault="00296032">
      <w:pPr>
        <w:pStyle w:val="art1enivo"/>
      </w:pPr>
      <w:r w:rsidRPr="00620047">
        <w:t>3.</w:t>
      </w:r>
      <w:r w:rsidRPr="00620047">
        <w:tab/>
        <w:t>Het eerste en tweede lid zijn tot 1 januari 2021 niet van toepassing op een kas, kleiner dan 2.500 vierkante meter, waarin assimilatiebelichting wordt toegepast.</w:t>
      </w:r>
    </w:p>
    <w:p w:rsidR="00296032" w:rsidRPr="00620047" w:rsidRDefault="00296032">
      <w:pPr>
        <w:pStyle w:val="art1enivo"/>
      </w:pPr>
      <w:r w:rsidRPr="00620047">
        <w:t>4.</w:t>
      </w:r>
      <w:r w:rsidRPr="00620047">
        <w:tab/>
        <w:t>Op een kas als bedoeld in het derde lid is tot 1 januari 2021 paragraaf 1.5 van de bijlage bij het Besluit landbouw milieubeheer zoals deze luidde tot 1 januari 2013 van toepassing.</w:t>
      </w:r>
    </w:p>
    <w:p w:rsidR="00296032" w:rsidRPr="00620047" w:rsidRDefault="00296032">
      <w:pPr>
        <w:pStyle w:val="art1enivo"/>
      </w:pPr>
      <w:r w:rsidRPr="00620047">
        <w:t>5.</w:t>
      </w:r>
      <w:r w:rsidRPr="00620047">
        <w:tab/>
        <w:t>Het eerste en tweede lid zijn tot 1 januari 2018 niet van toepassing op een inrichting waar kunstmatige belichting van gewassen wordt toegepast, gericht op de beïnvloeding van het groeiproces van de gewassen, waarvan het geïnstalleerde elektrische vermogen op 1 januari 2013 minder bedraagt dan 20 Watt per vierkante meter.</w:t>
      </w:r>
    </w:p>
    <w:p w:rsidR="00296032" w:rsidRPr="00296032" w:rsidRDefault="00296032">
      <w:pPr>
        <w:pStyle w:val="artikelkop"/>
        <w:rPr>
          <w:rFonts w:cs="Arial"/>
        </w:rPr>
      </w:pPr>
      <w:r w:rsidRPr="00296032">
        <w:rPr>
          <w:rFonts w:cs="Arial"/>
        </w:rPr>
        <w:t>Artikel 3.58</w:t>
      </w:r>
    </w:p>
    <w:p w:rsidR="00296032" w:rsidRPr="00620047" w:rsidRDefault="00296032">
      <w:pPr>
        <w:pStyle w:val="art1enivo"/>
        <w:rPr>
          <w:rFonts w:cs="Arial"/>
        </w:rPr>
      </w:pPr>
      <w:r w:rsidRPr="00620047">
        <w:rPr>
          <w:rFonts w:cs="Arial"/>
        </w:rPr>
        <w:t>1.</w:t>
      </w:r>
      <w:r w:rsidRPr="00620047">
        <w:rPr>
          <w:rFonts w:cs="Arial"/>
        </w:rPr>
        <w:tab/>
        <w:t>Indien assimilatiebelichting met een verlichtingssterkte van minder dan 15.000 lux wordt toegepast, is:</w:t>
      </w:r>
    </w:p>
    <w:p w:rsidR="00296032" w:rsidRPr="00620047" w:rsidRDefault="00296032">
      <w:pPr>
        <w:pStyle w:val="art2enivo"/>
        <w:rPr>
          <w:rFonts w:cs="Arial"/>
        </w:rPr>
      </w:pPr>
      <w:r w:rsidRPr="00620047">
        <w:rPr>
          <w:rFonts w:cs="Arial"/>
        </w:rPr>
        <w:t>a.</w:t>
      </w:r>
      <w:r w:rsidRPr="00620047">
        <w:rPr>
          <w:rFonts w:cs="Arial"/>
        </w:rPr>
        <w:tab/>
        <w:t>gedurende de donkerteperiode die toepassing niet toegestaan, tenzij de bovenzijde op een zodanige wijze is afgeschermd dat de lichtuitstraling met ten minste 98% wordt gereduceerd, en</w:t>
      </w:r>
    </w:p>
    <w:p w:rsidR="00296032" w:rsidRPr="00620047" w:rsidRDefault="00296032">
      <w:pPr>
        <w:pStyle w:val="art2enivo"/>
        <w:rPr>
          <w:rFonts w:cs="Arial"/>
        </w:rPr>
      </w:pPr>
      <w:r w:rsidRPr="00620047">
        <w:rPr>
          <w:rFonts w:cs="Arial"/>
        </w:rPr>
        <w:t>b.</w:t>
      </w:r>
      <w:r w:rsidRPr="00620047">
        <w:rPr>
          <w:rFonts w:cs="Arial"/>
        </w:rPr>
        <w:tab/>
        <w:t>gedurende de nanacht die toepassing niet toegestaan, tenzij de bovenzijde op een zodanige wijze is afgeschermd dat de lichtuitstraling met ten minste 74% wordt gereduceerd.</w:t>
      </w:r>
    </w:p>
    <w:p w:rsidR="00296032" w:rsidRPr="00620047" w:rsidRDefault="00296032">
      <w:pPr>
        <w:pStyle w:val="art1enivo"/>
        <w:rPr>
          <w:rFonts w:cs="Arial"/>
        </w:rPr>
      </w:pPr>
      <w:r w:rsidRPr="00620047">
        <w:rPr>
          <w:rFonts w:cs="Arial"/>
        </w:rPr>
        <w:t>2.</w:t>
      </w:r>
      <w:r w:rsidRPr="00620047">
        <w:rPr>
          <w:rFonts w:cs="Arial"/>
        </w:rPr>
        <w:tab/>
        <w:t>Het bevoegd gezag kan, indien het belang van de bescherming van het milieu zich daartegen niet verzet, bij maatwerkvoorschrift een ander percentage dan het percentage in het eerste lid, onder b, vaststellen.</w:t>
      </w:r>
    </w:p>
    <w:p w:rsidR="00296032" w:rsidRPr="00620047" w:rsidRDefault="00296032">
      <w:pPr>
        <w:pStyle w:val="art1enivo"/>
      </w:pPr>
      <w:r w:rsidRPr="00620047">
        <w:t>3.</w:t>
      </w:r>
      <w:r w:rsidRPr="00620047">
        <w:tab/>
        <w:t>Het eerste lid, onderdeel b, is tot 1 januari 2018 niet van toepassing op een kas waarin assimilatiebelichting wordt toegepast en waarbij het technisch of teelttechnisch redelijkerwijs niet kan worden gevergd de bovenzijde te voorzien van een lichtscherminstallatie als bedoeld in dat onderdeel.</w:t>
      </w:r>
    </w:p>
    <w:p w:rsidR="00296032" w:rsidRPr="00620047" w:rsidRDefault="00296032">
      <w:pPr>
        <w:pStyle w:val="art1enivo"/>
      </w:pPr>
      <w:r w:rsidRPr="00620047">
        <w:t>4.</w:t>
      </w:r>
      <w:r w:rsidRPr="00620047">
        <w:tab/>
        <w:t>In afwijking van het eerste en tweede lid is, indien assimilatiebelichting met een verlichtingssterkte van minder dan 15.000 lux wordt toegepast, tot 1 januari 2017 gedurende de donkerteperiode die toepassing niet toegestaan, tenzij de bovenzijde op een zodanige wijze is afgeschermd dat de lichtuitstraling met ten minste 95% wordt gereduceerd.</w:t>
      </w:r>
    </w:p>
    <w:p w:rsidR="00296032" w:rsidRPr="00620047" w:rsidRDefault="00296032">
      <w:pPr>
        <w:pStyle w:val="art1enivo"/>
      </w:pPr>
      <w:r w:rsidRPr="00620047">
        <w:t>5.</w:t>
      </w:r>
      <w:r w:rsidRPr="00620047">
        <w:tab/>
        <w:t>Het eerste en tweede lid zijn tot 1 januari 2021 niet van toepassing op een kas, kleiner dan 2.500 vierkante meter, waarin assimilatiebelichting wordt toegepast.</w:t>
      </w:r>
    </w:p>
    <w:p w:rsidR="00296032" w:rsidRPr="00620047" w:rsidRDefault="00296032">
      <w:pPr>
        <w:pStyle w:val="art1enivo"/>
      </w:pPr>
      <w:r w:rsidRPr="00620047">
        <w:t>6.</w:t>
      </w:r>
      <w:r w:rsidRPr="00620047">
        <w:tab/>
        <w:t>Op een kas als bedoeld in het vijfde lid is tot 1 januari 2021 paragraaf 1.5 van de bijlage bij het Besluit landbouw milieubeheer zoals deze luidde tot 1 januari 2013 van toepassing.</w:t>
      </w:r>
    </w:p>
    <w:p w:rsidR="00296032" w:rsidRPr="00620047" w:rsidRDefault="00296032">
      <w:pPr>
        <w:pStyle w:val="art1enivo"/>
      </w:pPr>
      <w:r w:rsidRPr="00620047">
        <w:t>7.</w:t>
      </w:r>
      <w:r w:rsidRPr="00620047">
        <w:tab/>
        <w:t>Het eerste en tweede lid zijn tot 1 januari 2018 niet van toepassing op een inrichting waar kunstmatige belichting van gewassen wordt toegepast, gericht op de beïnvloeding van het groeiproces van de gewassen, waarvan het geïnstalleerde elektrische vermogen op 1 januari 2013 minder bedraagt dan 20 Watt per vierkante meter.</w:t>
      </w:r>
    </w:p>
    <w:p w:rsidR="00296032" w:rsidRPr="00296032" w:rsidRDefault="00296032">
      <w:pPr>
        <w:pStyle w:val="artikelkop"/>
        <w:rPr>
          <w:rFonts w:cs="Arial"/>
        </w:rPr>
      </w:pPr>
      <w:r w:rsidRPr="00296032">
        <w:rPr>
          <w:rFonts w:cs="Arial"/>
        </w:rPr>
        <w:t>Artikel 3.59</w:t>
      </w:r>
    </w:p>
    <w:p w:rsidR="00296032" w:rsidRPr="00620047" w:rsidRDefault="00296032">
      <w:pPr>
        <w:pStyle w:val="art1enivo"/>
        <w:rPr>
          <w:rFonts w:cs="Arial"/>
        </w:rPr>
      </w:pPr>
      <w:r w:rsidRPr="00620047">
        <w:rPr>
          <w:rFonts w:cs="Arial"/>
        </w:rPr>
        <w:t>1.</w:t>
      </w:r>
      <w:r w:rsidRPr="00620047">
        <w:rPr>
          <w:rFonts w:cs="Arial"/>
        </w:rPr>
        <w:tab/>
        <w:t>Vanaf het tijdstip van zonsondergang tot het tijdstip van zonsopgang is de gevel van een kas waarin assimilatiebelichting wordt toegepast op een zodanige wijze afgeschermd dat de lichtuitstraling op een afstand van ten hoogste 10 meter van die gevel met ten minste 95% wordt gereduceerd en de gebruikte lampen buiten de inrichting niet zichtbaar zijn.</w:t>
      </w:r>
    </w:p>
    <w:p w:rsidR="00296032" w:rsidRPr="00620047" w:rsidRDefault="00296032">
      <w:pPr>
        <w:pStyle w:val="art1enivo"/>
      </w:pPr>
      <w:r w:rsidRPr="00620047">
        <w:t>2.</w:t>
      </w:r>
      <w:r w:rsidRPr="00620047">
        <w:tab/>
      </w:r>
      <w:r w:rsidRPr="00620047">
        <w:rPr>
          <w:b/>
        </w:rPr>
        <w:t>[Dit artikellid vervalt met ingang van 1 januari 2018]</w:t>
      </w:r>
      <w:r w:rsidRPr="00620047">
        <w:rPr>
          <w:b/>
        </w:rPr>
        <w:br/>
      </w:r>
      <w:r w:rsidRPr="00620047">
        <w:t>Het eerste lid is tot 1 januari 2018 niet van toepassing op een inrichting waar kunstmatige belichting van gewassen wordt toegepast, gericht op de beïnvloeding van het groeiproces van de gewassen, waarvan het geïnstalleerde elektrische vermogen op 1 januari 2013 minder bedraagt dan 20 Watt per vierkante meter.</w:t>
      </w:r>
    </w:p>
    <w:p w:rsidR="00296032" w:rsidRPr="00296032" w:rsidRDefault="00296032">
      <w:pPr>
        <w:pStyle w:val="artikelkop"/>
        <w:rPr>
          <w:rFonts w:cs="Arial"/>
        </w:rPr>
      </w:pPr>
      <w:r w:rsidRPr="00296032">
        <w:rPr>
          <w:rFonts w:cs="Arial"/>
        </w:rPr>
        <w:t>Artikel 3.60</w:t>
      </w:r>
    </w:p>
    <w:p w:rsidR="00296032" w:rsidRPr="00620047" w:rsidRDefault="00296032">
      <w:pPr>
        <w:pStyle w:val="art1enivo"/>
        <w:rPr>
          <w:rFonts w:cs="Arial"/>
        </w:rPr>
      </w:pPr>
      <w:r w:rsidRPr="00620047">
        <w:rPr>
          <w:rFonts w:cs="Arial"/>
        </w:rPr>
        <w:t>1.</w:t>
      </w:r>
      <w:r w:rsidRPr="00620047">
        <w:rPr>
          <w:rFonts w:cs="Arial"/>
        </w:rPr>
        <w:tab/>
        <w:t>Bij het lozen uit het hemelwaterafvoersysteem van een kas, wordt ten minste voldaan aan het tweede tot en met vijfde lid.</w:t>
      </w:r>
    </w:p>
    <w:p w:rsidR="00296032" w:rsidRPr="00620047" w:rsidRDefault="00296032">
      <w:pPr>
        <w:pStyle w:val="art1enivo"/>
        <w:rPr>
          <w:rFonts w:cs="Arial"/>
        </w:rPr>
      </w:pPr>
      <w:r w:rsidRPr="00620047">
        <w:rPr>
          <w:rFonts w:cs="Arial"/>
        </w:rPr>
        <w:t>2.</w:t>
      </w:r>
      <w:r w:rsidRPr="00620047">
        <w:rPr>
          <w:rFonts w:cs="Arial"/>
        </w:rPr>
        <w:tab/>
        <w:t>Het lozen in een vuilwaterriool is verboden.</w:t>
      </w:r>
    </w:p>
    <w:p w:rsidR="00296032" w:rsidRPr="00620047" w:rsidRDefault="00296032">
      <w:pPr>
        <w:pStyle w:val="art1enivo"/>
        <w:rPr>
          <w:rFonts w:cs="Arial"/>
        </w:rPr>
      </w:pPr>
      <w:r w:rsidRPr="00620047">
        <w:rPr>
          <w:rFonts w:cs="Arial"/>
        </w:rPr>
        <w:t>3.</w:t>
      </w:r>
      <w:r w:rsidRPr="00620047">
        <w:rPr>
          <w:rFonts w:cs="Arial"/>
        </w:rPr>
        <w:tab/>
        <w:t>Het lozen anders dan in een vuilwaterriool is toegestaan.</w:t>
      </w:r>
    </w:p>
    <w:p w:rsidR="00296032" w:rsidRPr="00620047" w:rsidRDefault="00296032">
      <w:pPr>
        <w:pStyle w:val="art1enivo"/>
        <w:rPr>
          <w:rFonts w:cs="Arial"/>
        </w:rPr>
      </w:pPr>
      <w:r w:rsidRPr="00620047">
        <w:rPr>
          <w:rFonts w:cs="Arial"/>
        </w:rPr>
        <w:t>4.</w:t>
      </w:r>
      <w:r w:rsidRPr="00620047">
        <w:rPr>
          <w:rFonts w:cs="Arial"/>
        </w:rPr>
        <w:tab/>
        <w:t>Indien bij het lozen, bedoeld in het derde lid, een hemelwateropvangvoorziening aanwezig is die volledig is benut, wordt het hemelwater geloosd via een overstortvoorziening, die is aangebracht voorafgaand aan de hemelwateropvangvoorziening.</w:t>
      </w:r>
    </w:p>
    <w:p w:rsidR="00296032" w:rsidRPr="00620047" w:rsidRDefault="00296032">
      <w:pPr>
        <w:pStyle w:val="art1enivo"/>
        <w:rPr>
          <w:rFonts w:cs="Arial"/>
        </w:rPr>
      </w:pPr>
      <w:r w:rsidRPr="00620047">
        <w:rPr>
          <w:rFonts w:cs="Arial"/>
        </w:rPr>
        <w:t>5.</w:t>
      </w:r>
      <w:r w:rsidRPr="00620047">
        <w:rPr>
          <w:rFonts w:cs="Arial"/>
        </w:rPr>
        <w:tab/>
        <w:t>Het vierde lid is niet van toepassing, indien:</w:t>
      </w:r>
    </w:p>
    <w:p w:rsidR="00296032" w:rsidRPr="00620047" w:rsidRDefault="00296032">
      <w:pPr>
        <w:pStyle w:val="art2enivo"/>
        <w:rPr>
          <w:rFonts w:cs="Arial"/>
        </w:rPr>
      </w:pPr>
      <w:r w:rsidRPr="00620047">
        <w:rPr>
          <w:rFonts w:cs="Arial"/>
        </w:rPr>
        <w:t>a.</w:t>
      </w:r>
      <w:r w:rsidRPr="00620047">
        <w:rPr>
          <w:rFonts w:cs="Arial"/>
        </w:rPr>
        <w:tab/>
        <w:t>de opvangvoorziening, bedoeld in dat lid, een inhoud heeft van ten minste 3500 kubieke meter per hectare teeltoppervlak;</w:t>
      </w:r>
    </w:p>
    <w:p w:rsidR="00296032" w:rsidRPr="00620047" w:rsidRDefault="00296032">
      <w:pPr>
        <w:pStyle w:val="art2enivo"/>
        <w:rPr>
          <w:rFonts w:cs="Arial"/>
        </w:rPr>
      </w:pPr>
      <w:r w:rsidRPr="00620047">
        <w:rPr>
          <w:rFonts w:cs="Arial"/>
        </w:rPr>
        <w:t>b.</w:t>
      </w:r>
      <w:r w:rsidRPr="00620047">
        <w:rPr>
          <w:rFonts w:cs="Arial"/>
        </w:rPr>
        <w:tab/>
        <w:t>de kas zodanig is gebouwd dat condenswater niet in het hemelwaterafvoersysteem kan geraken;</w:t>
      </w:r>
    </w:p>
    <w:p w:rsidR="00296032" w:rsidRPr="00620047" w:rsidRDefault="00296032">
      <w:pPr>
        <w:pStyle w:val="art2enivo"/>
        <w:rPr>
          <w:rFonts w:cs="Arial"/>
        </w:rPr>
      </w:pPr>
      <w:r w:rsidRPr="00620047">
        <w:rPr>
          <w:rFonts w:cs="Arial"/>
        </w:rPr>
        <w:t>c.</w:t>
      </w:r>
      <w:r w:rsidRPr="00620047">
        <w:rPr>
          <w:rFonts w:cs="Arial"/>
        </w:rPr>
        <w:tab/>
        <w:t>in de kas gewasbeschermingsmiddelen of biociden zodanig worden toegepast dat ze niet in het hemelwaterafvoersysteem kunnen geraken, of</w:t>
      </w:r>
    </w:p>
    <w:p w:rsidR="00296032" w:rsidRPr="00620047" w:rsidRDefault="00296032">
      <w:pPr>
        <w:pStyle w:val="art2enivo"/>
        <w:rPr>
          <w:rFonts w:cs="Arial"/>
        </w:rPr>
      </w:pPr>
      <w:r w:rsidRPr="00620047">
        <w:rPr>
          <w:rFonts w:cs="Arial"/>
        </w:rPr>
        <w:t>d.</w:t>
      </w:r>
      <w:r w:rsidRPr="00620047">
        <w:rPr>
          <w:rFonts w:cs="Arial"/>
        </w:rPr>
        <w:tab/>
        <w:t>in de kas uitsluitend sprake is van biologische productiemethoden.</w:t>
      </w:r>
    </w:p>
    <w:p w:rsidR="00296032" w:rsidRPr="00296032" w:rsidRDefault="00296032">
      <w:pPr>
        <w:pStyle w:val="artikelkop"/>
        <w:rPr>
          <w:rFonts w:cs="Arial"/>
        </w:rPr>
      </w:pPr>
      <w:r w:rsidRPr="00296032">
        <w:rPr>
          <w:rFonts w:cs="Arial"/>
        </w:rPr>
        <w:t>Artikel 3.61</w:t>
      </w:r>
    </w:p>
    <w:p w:rsidR="00296032" w:rsidRPr="00620047" w:rsidRDefault="00296032">
      <w:pPr>
        <w:pStyle w:val="art1enivo"/>
        <w:rPr>
          <w:rFonts w:cs="Arial"/>
        </w:rPr>
      </w:pPr>
      <w:r w:rsidRPr="00620047">
        <w:rPr>
          <w:rFonts w:cs="Arial"/>
        </w:rPr>
        <w:t>1.</w:t>
      </w:r>
      <w:r w:rsidRPr="00620047">
        <w:rPr>
          <w:rFonts w:cs="Arial"/>
        </w:rPr>
        <w:tab/>
        <w:t>Bij het lozen van condenswater afkomstig van condensvorming aan de binnenzijde van de kas dat via condensgootjes wordt verzameld, wordt ten minste voldaan aan het tweede en derde lid.</w:t>
      </w:r>
    </w:p>
    <w:p w:rsidR="00296032" w:rsidRPr="00620047" w:rsidRDefault="00296032">
      <w:pPr>
        <w:pStyle w:val="art1enivo"/>
        <w:rPr>
          <w:rFonts w:cs="Arial"/>
        </w:rPr>
      </w:pPr>
      <w:r w:rsidRPr="00620047">
        <w:rPr>
          <w:rFonts w:cs="Arial"/>
        </w:rPr>
        <w:t>2.</w:t>
      </w:r>
      <w:r w:rsidRPr="00620047">
        <w:rPr>
          <w:rFonts w:cs="Arial"/>
        </w:rPr>
        <w:tab/>
        <w:t>Het lozen in een vuilwaterriool is verboden, indien in de kas gewasbeschermingsmiddelen of biociden worden toegepast.</w:t>
      </w:r>
    </w:p>
    <w:p w:rsidR="00296032" w:rsidRPr="00620047" w:rsidRDefault="00296032">
      <w:pPr>
        <w:pStyle w:val="art1enivo"/>
        <w:rPr>
          <w:rFonts w:cs="Arial"/>
        </w:rPr>
      </w:pPr>
      <w:r w:rsidRPr="00620047">
        <w:rPr>
          <w:rFonts w:cs="Arial"/>
        </w:rPr>
        <w:t>3.</w:t>
      </w:r>
      <w:r w:rsidRPr="00620047">
        <w:rPr>
          <w:rFonts w:cs="Arial"/>
        </w:rPr>
        <w:tab/>
        <w:t>Het lozen anders dan in een vuilwaterriool is toegestaan, indien condenswater afkomstig is van een kas:</w:t>
      </w:r>
    </w:p>
    <w:p w:rsidR="00296032" w:rsidRPr="00620047" w:rsidRDefault="00296032">
      <w:pPr>
        <w:pStyle w:val="art2enivo"/>
        <w:rPr>
          <w:rFonts w:cs="Arial"/>
        </w:rPr>
      </w:pPr>
      <w:r w:rsidRPr="00620047">
        <w:rPr>
          <w:rFonts w:cs="Arial"/>
        </w:rPr>
        <w:t>a.</w:t>
      </w:r>
      <w:r w:rsidRPr="00620047">
        <w:rPr>
          <w:rFonts w:cs="Arial"/>
        </w:rPr>
        <w:tab/>
        <w:t>waarin geen gewasbeschermingsmiddelen of biociden worden toegepast, of</w:t>
      </w:r>
    </w:p>
    <w:p w:rsidR="00296032" w:rsidRPr="00620047" w:rsidRDefault="00296032">
      <w:pPr>
        <w:pStyle w:val="art2enivo"/>
        <w:rPr>
          <w:rFonts w:cs="Arial"/>
        </w:rPr>
      </w:pPr>
      <w:r w:rsidRPr="00620047">
        <w:rPr>
          <w:rFonts w:cs="Arial"/>
        </w:rPr>
        <w:t>b.</w:t>
      </w:r>
      <w:r w:rsidRPr="00620047">
        <w:rPr>
          <w:rFonts w:cs="Arial"/>
        </w:rPr>
        <w:tab/>
        <w:t>waarin uitsluitend sprake is van biologische productiemethoden.</w:t>
      </w:r>
    </w:p>
    <w:p w:rsidR="00296032" w:rsidRPr="00296032" w:rsidRDefault="00296032">
      <w:pPr>
        <w:pStyle w:val="artikelkop"/>
        <w:rPr>
          <w:rFonts w:cs="Arial"/>
        </w:rPr>
      </w:pPr>
      <w:r w:rsidRPr="00296032">
        <w:rPr>
          <w:rFonts w:cs="Arial"/>
        </w:rPr>
        <w:t>Artikel 3.62</w:t>
      </w:r>
    </w:p>
    <w:p w:rsidR="00296032" w:rsidRPr="00620047" w:rsidRDefault="00296032">
      <w:pPr>
        <w:pStyle w:val="art1enivo"/>
        <w:rPr>
          <w:rFonts w:cs="Arial"/>
        </w:rPr>
      </w:pPr>
      <w:r w:rsidRPr="00620047">
        <w:rPr>
          <w:rFonts w:cs="Arial"/>
        </w:rPr>
        <w:t>1.</w:t>
      </w:r>
      <w:r w:rsidRPr="00620047">
        <w:rPr>
          <w:rFonts w:cs="Arial"/>
        </w:rPr>
        <w:tab/>
        <w:t>Bij het lozen van afvalwater afkomstig van het reinigen van de buitenkant van een kas wordt ten minste voldaan aan tweede tot en met vierde lid.</w:t>
      </w:r>
    </w:p>
    <w:p w:rsidR="00296032" w:rsidRPr="00620047" w:rsidRDefault="00296032">
      <w:pPr>
        <w:pStyle w:val="art1enivo"/>
        <w:rPr>
          <w:rFonts w:cs="Arial"/>
        </w:rPr>
      </w:pPr>
      <w:r w:rsidRPr="00620047">
        <w:rPr>
          <w:rFonts w:cs="Arial"/>
        </w:rPr>
        <w:t>2.</w:t>
      </w:r>
      <w:r w:rsidRPr="00620047">
        <w:rPr>
          <w:rFonts w:cs="Arial"/>
        </w:rPr>
        <w:tab/>
        <w:t>Het lozen in een vuilwaterriool is verboden.</w:t>
      </w:r>
    </w:p>
    <w:p w:rsidR="00296032" w:rsidRPr="00620047" w:rsidRDefault="00296032">
      <w:pPr>
        <w:pStyle w:val="art1enivo"/>
        <w:rPr>
          <w:rFonts w:cs="Arial"/>
        </w:rPr>
      </w:pPr>
      <w:r w:rsidRPr="00620047">
        <w:rPr>
          <w:rFonts w:cs="Arial"/>
        </w:rPr>
        <w:t>3.</w:t>
      </w:r>
      <w:r w:rsidRPr="00620047">
        <w:rPr>
          <w:rFonts w:cs="Arial"/>
        </w:rPr>
        <w:tab/>
        <w:t>Het lozen anders dan in een vuilwaterriool is toegestaan.</w:t>
      </w:r>
    </w:p>
    <w:p w:rsidR="00296032" w:rsidRPr="00620047" w:rsidRDefault="00296032">
      <w:pPr>
        <w:pStyle w:val="art1enivo"/>
        <w:rPr>
          <w:rFonts w:cs="Arial"/>
        </w:rPr>
      </w:pPr>
      <w:r w:rsidRPr="00620047">
        <w:rPr>
          <w:rFonts w:cs="Arial"/>
        </w:rPr>
        <w:t>4.</w:t>
      </w:r>
      <w:r w:rsidRPr="00620047">
        <w:rPr>
          <w:rFonts w:cs="Arial"/>
        </w:rPr>
        <w:tab/>
        <w:t>Bij het lozen in een oppervlaktewaterlichaam vindt geen visuele verontreiniging plaats.</w:t>
      </w:r>
    </w:p>
    <w:p w:rsidR="00296032" w:rsidRPr="00296032" w:rsidRDefault="00296032">
      <w:pPr>
        <w:pStyle w:val="artikelkop"/>
        <w:rPr>
          <w:rFonts w:cs="Arial"/>
        </w:rPr>
      </w:pPr>
      <w:r w:rsidRPr="00296032">
        <w:rPr>
          <w:rFonts w:cs="Arial"/>
        </w:rPr>
        <w:t>Artikel 3.63</w:t>
      </w:r>
    </w:p>
    <w:p w:rsidR="00296032" w:rsidRPr="00620047" w:rsidRDefault="00296032">
      <w:pPr>
        <w:pStyle w:val="art1enivo"/>
        <w:rPr>
          <w:rFonts w:cs="Arial"/>
        </w:rPr>
      </w:pPr>
      <w:r w:rsidRPr="00620047">
        <w:rPr>
          <w:rFonts w:cs="Arial"/>
        </w:rPr>
        <w:t>1.</w:t>
      </w:r>
      <w:r w:rsidRPr="00620047">
        <w:rPr>
          <w:rFonts w:cs="Arial"/>
        </w:rPr>
        <w:tab/>
        <w:t>Het in een oppervlaktewaterlichaam lozen van:</w:t>
      </w:r>
    </w:p>
    <w:p w:rsidR="00296032" w:rsidRPr="00620047" w:rsidRDefault="00296032">
      <w:pPr>
        <w:pStyle w:val="art2enivo"/>
        <w:rPr>
          <w:rFonts w:cs="Arial"/>
        </w:rPr>
      </w:pPr>
      <w:r w:rsidRPr="00620047">
        <w:rPr>
          <w:rFonts w:cs="Arial"/>
        </w:rPr>
        <w:t>a.</w:t>
      </w:r>
      <w:r w:rsidRPr="00620047">
        <w:rPr>
          <w:rFonts w:cs="Arial"/>
        </w:rPr>
        <w:tab/>
        <w:t>spoelwater van filters van een waterdoseringsinstallatie;</w:t>
      </w:r>
    </w:p>
    <w:p w:rsidR="00296032" w:rsidRPr="00620047" w:rsidRDefault="00296032">
      <w:pPr>
        <w:pStyle w:val="art2enivo"/>
        <w:rPr>
          <w:rFonts w:cs="Arial"/>
        </w:rPr>
      </w:pPr>
      <w:r w:rsidRPr="00620047">
        <w:rPr>
          <w:rFonts w:cs="Arial"/>
        </w:rPr>
        <w:t>b.</w:t>
      </w:r>
      <w:r w:rsidRPr="00620047">
        <w:rPr>
          <w:rFonts w:cs="Arial"/>
        </w:rPr>
        <w:tab/>
        <w:t>afvalwater dat bloemvoorbehandelingsmiddelen uitsluitend op basis van actief chloor bevat;</w:t>
      </w:r>
    </w:p>
    <w:p w:rsidR="00296032" w:rsidRPr="00620047" w:rsidRDefault="00296032">
      <w:pPr>
        <w:pStyle w:val="art2enivo"/>
        <w:rPr>
          <w:rFonts w:cs="Arial"/>
        </w:rPr>
      </w:pPr>
      <w:r w:rsidRPr="00620047">
        <w:rPr>
          <w:rFonts w:cs="Arial"/>
        </w:rPr>
        <w:t>c.</w:t>
      </w:r>
      <w:r w:rsidRPr="00620047">
        <w:rPr>
          <w:rFonts w:cs="Arial"/>
        </w:rPr>
        <w:tab/>
        <w:t>drainagewater afkomstig van een teelt waarbij gewassen op een bodem groeien die in verbinding staat met de ondergrond;</w:t>
      </w:r>
    </w:p>
    <w:p w:rsidR="00296032" w:rsidRPr="00620047" w:rsidRDefault="00296032">
      <w:pPr>
        <w:pStyle w:val="art2enivo"/>
        <w:rPr>
          <w:rFonts w:cs="Arial"/>
        </w:rPr>
      </w:pPr>
      <w:r w:rsidRPr="00620047">
        <w:rPr>
          <w:rFonts w:cs="Arial"/>
        </w:rPr>
        <w:t>d.</w:t>
      </w:r>
      <w:r w:rsidRPr="00620047">
        <w:rPr>
          <w:rFonts w:cs="Arial"/>
        </w:rPr>
        <w:tab/>
        <w:t>drainwater;</w:t>
      </w:r>
    </w:p>
    <w:p w:rsidR="00296032" w:rsidRPr="00620047" w:rsidRDefault="00296032">
      <w:pPr>
        <w:pStyle w:val="art2enivo"/>
        <w:rPr>
          <w:rFonts w:cs="Arial"/>
        </w:rPr>
      </w:pPr>
      <w:r w:rsidRPr="00620047">
        <w:rPr>
          <w:rFonts w:cs="Arial"/>
        </w:rPr>
        <w:t>e.</w:t>
      </w:r>
      <w:r w:rsidRPr="00620047">
        <w:rPr>
          <w:rFonts w:cs="Arial"/>
        </w:rPr>
        <w:tab/>
        <w:t>afvalwater afkomstig van het spuiten of schrobben van vloeren, niet zijnde vloeren van ruimten waar gewasbeschermingsmiddelen of biociden worden aangemaakt;</w:t>
      </w:r>
    </w:p>
    <w:p w:rsidR="00296032" w:rsidRPr="00620047" w:rsidRDefault="00296032">
      <w:pPr>
        <w:pStyle w:val="art2enivo"/>
        <w:rPr>
          <w:rFonts w:cs="Arial"/>
        </w:rPr>
      </w:pPr>
      <w:r w:rsidRPr="00620047">
        <w:rPr>
          <w:rFonts w:cs="Arial"/>
        </w:rPr>
        <w:t>f.</w:t>
      </w:r>
      <w:r w:rsidRPr="00620047">
        <w:rPr>
          <w:rFonts w:cs="Arial"/>
        </w:rPr>
        <w:tab/>
        <w:t>reinigingswater van leidingen, druppelaars en slangen die onderdeel uitmaken van het systeem waarmee voedingswater aan het gewas wordt toegediend;</w:t>
      </w:r>
    </w:p>
    <w:p w:rsidR="00296032" w:rsidRPr="00620047" w:rsidRDefault="00296032">
      <w:pPr>
        <w:pStyle w:val="art2enivo"/>
        <w:rPr>
          <w:rFonts w:cs="Arial"/>
        </w:rPr>
      </w:pPr>
      <w:r w:rsidRPr="00620047">
        <w:rPr>
          <w:rFonts w:cs="Arial"/>
        </w:rPr>
        <w:t>g.</w:t>
      </w:r>
      <w:r w:rsidRPr="00620047">
        <w:rPr>
          <w:rFonts w:cs="Arial"/>
        </w:rPr>
        <w:tab/>
        <w:t>condenswater van stoomleidingen en condenswater van verwarmingsketels;</w:t>
      </w:r>
    </w:p>
    <w:p w:rsidR="00296032" w:rsidRPr="00620047" w:rsidRDefault="00296032">
      <w:pPr>
        <w:pStyle w:val="art2enivo"/>
        <w:rPr>
          <w:rFonts w:cs="Arial"/>
        </w:rPr>
      </w:pPr>
      <w:r w:rsidRPr="00620047">
        <w:rPr>
          <w:rFonts w:cs="Arial"/>
        </w:rPr>
        <w:t>h.</w:t>
      </w:r>
      <w:r w:rsidRPr="00620047">
        <w:rPr>
          <w:rFonts w:cs="Arial"/>
        </w:rPr>
        <w:tab/>
        <w:t>condenswater van warmtekrachtinstallaties, of</w:t>
      </w:r>
    </w:p>
    <w:p w:rsidR="00296032" w:rsidRPr="00620047" w:rsidRDefault="00296032">
      <w:pPr>
        <w:pStyle w:val="art2enivo"/>
        <w:rPr>
          <w:rFonts w:cs="Arial"/>
        </w:rPr>
      </w:pPr>
      <w:r w:rsidRPr="00620047">
        <w:rPr>
          <w:rFonts w:cs="Arial"/>
        </w:rPr>
        <w:t>i.</w:t>
      </w:r>
      <w:r w:rsidRPr="00620047">
        <w:rPr>
          <w:rFonts w:cs="Arial"/>
        </w:rPr>
        <w:tab/>
        <w:t>afvalwater afkomstig van het bij opkweekbedrijven doorspoelen van substraatblokken die bestemd zijn voor de opkweek van uitgangsmateriaal;</w:t>
      </w:r>
    </w:p>
    <w:p w:rsidR="00296032" w:rsidRPr="00620047" w:rsidRDefault="00296032">
      <w:pPr>
        <w:pStyle w:val="art2enivo"/>
        <w:rPr>
          <w:rFonts w:cs="Arial"/>
        </w:rPr>
      </w:pPr>
      <w:r w:rsidRPr="00620047">
        <w:rPr>
          <w:rFonts w:cs="Arial"/>
        </w:rPr>
        <w:t>is toegestaan, indien ten minste:</w:t>
      </w:r>
    </w:p>
    <w:p w:rsidR="00296032" w:rsidRPr="00620047" w:rsidRDefault="00296032">
      <w:pPr>
        <w:pStyle w:val="art2enivo"/>
        <w:rPr>
          <w:rFonts w:cs="Arial"/>
        </w:rPr>
      </w:pPr>
      <w:r w:rsidRPr="00620047">
        <w:rPr>
          <w:rFonts w:cs="Arial"/>
        </w:rPr>
        <w:t>1°.</w:t>
      </w:r>
      <w:r w:rsidRPr="00620047">
        <w:rPr>
          <w:rFonts w:cs="Arial"/>
        </w:rPr>
        <w:tab/>
        <w:t>het perceel waar het afvalwater vrijkomt niet is aangesloten op een vuilwaterriool of zuiveringtechnisch werk, waarop geloosd kan worden, en de afstand tot het dichtstbijzijnde vuilwaterriool waarop kan worden aangesloten en geloosd, meer dan 40 meter bedraagt, of</w:t>
      </w:r>
    </w:p>
    <w:p w:rsidR="00296032" w:rsidRPr="00620047" w:rsidRDefault="00296032">
      <w:pPr>
        <w:pStyle w:val="art2enivo"/>
        <w:rPr>
          <w:rFonts w:cs="Arial"/>
        </w:rPr>
      </w:pPr>
      <w:r w:rsidRPr="00620047">
        <w:rPr>
          <w:rFonts w:cs="Arial"/>
        </w:rPr>
        <w:t>2°.</w:t>
      </w:r>
      <w:r w:rsidRPr="00620047">
        <w:rPr>
          <w:rFonts w:cs="Arial"/>
        </w:rPr>
        <w:tab/>
        <w:t>het lozen, bedoeld onder a tot en met j, in een vuilwaterriool, waarop het perceel waar het afvalwater vrijkomt is aangesloten, gelet op de capaciteit van dat vuilwaterriool niet volledig mogelijk is.</w:t>
      </w:r>
    </w:p>
    <w:p w:rsidR="00296032" w:rsidRPr="00620047" w:rsidRDefault="00296032">
      <w:pPr>
        <w:pStyle w:val="art1enivo"/>
        <w:rPr>
          <w:rFonts w:cs="Arial"/>
        </w:rPr>
      </w:pPr>
      <w:r w:rsidRPr="00620047">
        <w:rPr>
          <w:rFonts w:cs="Arial"/>
        </w:rPr>
        <w:t>2.</w:t>
      </w:r>
      <w:r w:rsidRPr="00620047">
        <w:rPr>
          <w:rFonts w:cs="Arial"/>
        </w:rPr>
        <w:tab/>
        <w:t>De afstand, genoemd in het eerste lid, onderdeel 1°, wordt berekend:</w:t>
      </w:r>
    </w:p>
    <w:p w:rsidR="00296032" w:rsidRPr="00620047" w:rsidRDefault="00296032">
      <w:pPr>
        <w:pStyle w:val="art2enivo"/>
        <w:rPr>
          <w:rFonts w:cs="Arial"/>
        </w:rPr>
      </w:pPr>
      <w:r w:rsidRPr="00620047">
        <w:rPr>
          <w:rFonts w:cs="Arial"/>
        </w:rPr>
        <w:t>a.</w:t>
      </w:r>
      <w:r w:rsidRPr="00620047">
        <w:rPr>
          <w:rFonts w:cs="Arial"/>
        </w:rPr>
        <w:tab/>
        <w:t>vanaf de kadastrale grens van het perceel waar het afvalwater vrijkomt, en</w:t>
      </w:r>
    </w:p>
    <w:p w:rsidR="00296032" w:rsidRPr="00620047" w:rsidRDefault="00296032">
      <w:pPr>
        <w:pStyle w:val="art2enivo"/>
        <w:rPr>
          <w:rFonts w:cs="Arial"/>
        </w:rPr>
      </w:pPr>
      <w:r w:rsidRPr="00620047">
        <w:rPr>
          <w:rFonts w:cs="Arial"/>
        </w:rPr>
        <w:t>b.</w:t>
      </w:r>
      <w:r w:rsidRPr="00620047">
        <w:rPr>
          <w:rFonts w:cs="Arial"/>
        </w:rPr>
        <w:tab/>
        <w:t>langs de kortste lijn waarlangs de afvoerleidingen zonder overwegende bezwaren kunnen worden aangelegd.</w:t>
      </w:r>
    </w:p>
    <w:p w:rsidR="00296032" w:rsidRPr="00620047" w:rsidRDefault="00296032">
      <w:pPr>
        <w:pStyle w:val="art1enivo"/>
        <w:rPr>
          <w:rFonts w:cs="Arial"/>
        </w:rPr>
      </w:pPr>
      <w:r w:rsidRPr="00620047">
        <w:rPr>
          <w:rFonts w:cs="Arial"/>
        </w:rPr>
        <w:t>3.</w:t>
      </w:r>
      <w:r w:rsidRPr="00620047">
        <w:rPr>
          <w:rFonts w:cs="Arial"/>
        </w:rPr>
        <w:tab/>
        <w:t>In afwijking van het eerste lid, onderdeel 1°, kan het bevoegd gezag bij maatwerkvoorschrift een grotere afstand vaststellen dan de afstand, genoemd in dat onderdeel, waarbij de afstand niet meer dan 10 meter per 0,1 hectare teeltoppervlak bedraagt en wordt berekend overeenkomstig het tweede lid.</w:t>
      </w:r>
    </w:p>
    <w:p w:rsidR="00296032" w:rsidRPr="00620047" w:rsidRDefault="00296032">
      <w:pPr>
        <w:pStyle w:val="art1enivo"/>
        <w:rPr>
          <w:rFonts w:cs="Arial"/>
        </w:rPr>
      </w:pPr>
      <w:r w:rsidRPr="00620047">
        <w:rPr>
          <w:rFonts w:cs="Arial"/>
        </w:rPr>
        <w:t>4.</w:t>
      </w:r>
      <w:r w:rsidRPr="00620047">
        <w:rPr>
          <w:rFonts w:cs="Arial"/>
        </w:rPr>
        <w:tab/>
        <w:t xml:space="preserve"> In een geval bedoeld in het eerste lid, onder 2°:</w:t>
      </w:r>
    </w:p>
    <w:p w:rsidR="00296032" w:rsidRPr="00620047" w:rsidRDefault="00296032">
      <w:pPr>
        <w:pStyle w:val="art2enivo"/>
        <w:rPr>
          <w:rFonts w:cs="Arial"/>
        </w:rPr>
      </w:pPr>
      <w:r w:rsidRPr="00620047">
        <w:rPr>
          <w:rFonts w:cs="Arial"/>
        </w:rPr>
        <w:t>a.</w:t>
      </w:r>
      <w:r w:rsidRPr="00620047">
        <w:rPr>
          <w:rFonts w:cs="Arial"/>
        </w:rPr>
        <w:tab/>
        <w:t>wordt, voorafgaand aan het lozen in een oppervlaktewaterlichaam de afvoercapaciteit van het vuilwaterriool optimaal benut, en</w:t>
      </w:r>
    </w:p>
    <w:p w:rsidR="00296032" w:rsidRPr="00620047" w:rsidRDefault="00296032">
      <w:pPr>
        <w:pStyle w:val="art2enivo"/>
        <w:rPr>
          <w:rFonts w:cs="Arial"/>
        </w:rPr>
      </w:pPr>
      <w:r w:rsidRPr="00620047">
        <w:rPr>
          <w:rFonts w:cs="Arial"/>
        </w:rPr>
        <w:t>b.</w:t>
      </w:r>
      <w:r w:rsidRPr="00620047">
        <w:rPr>
          <w:rFonts w:cs="Arial"/>
        </w:rPr>
        <w:tab/>
        <w:t>vindt lozen in dat vuilwaterriool plaats in een bij ministeriële regeling aangegeven volgorde.</w:t>
      </w:r>
    </w:p>
    <w:p w:rsidR="00296032" w:rsidRPr="00620047" w:rsidRDefault="00296032">
      <w:pPr>
        <w:pStyle w:val="art1enivo"/>
        <w:rPr>
          <w:rFonts w:cs="Arial"/>
        </w:rPr>
      </w:pPr>
      <w:r w:rsidRPr="00620047">
        <w:rPr>
          <w:rFonts w:cs="Arial"/>
        </w:rPr>
        <w:t>5.</w:t>
      </w:r>
      <w:r w:rsidRPr="00620047">
        <w:rPr>
          <w:rFonts w:cs="Arial"/>
        </w:rPr>
        <w:tab/>
        <w:t>Het bevoegd gezag kan bij maatwerkvoorschrift dan wel bij gemeentelijke verordening een andere volgorde bepalen, dan de volgorde aangegeven in de ministeriële regeling, bedoeld in het vierde lid, onderdeel b.</w:t>
      </w:r>
    </w:p>
    <w:p w:rsidR="00296032" w:rsidRPr="00620047" w:rsidRDefault="00296032">
      <w:pPr>
        <w:pStyle w:val="art1enivo"/>
        <w:rPr>
          <w:rFonts w:cs="Arial"/>
        </w:rPr>
      </w:pPr>
      <w:r w:rsidRPr="00620047">
        <w:rPr>
          <w:rFonts w:cs="Arial"/>
        </w:rPr>
        <w:t>6.</w:t>
      </w:r>
      <w:r w:rsidRPr="00620047">
        <w:rPr>
          <w:rFonts w:cs="Arial"/>
        </w:rPr>
        <w:tab/>
        <w:t>Het bevoegd gezag kan met betrekking tot het vierde lid, onderdeel a, maatwerkvoorschriften stellen ten aanzien van:</w:t>
      </w:r>
    </w:p>
    <w:p w:rsidR="00296032" w:rsidRPr="00620047" w:rsidRDefault="00296032">
      <w:pPr>
        <w:pStyle w:val="art2enivo"/>
        <w:rPr>
          <w:rFonts w:cs="Arial"/>
        </w:rPr>
      </w:pPr>
      <w:r w:rsidRPr="00620047">
        <w:rPr>
          <w:rFonts w:cs="Arial"/>
        </w:rPr>
        <w:t>a.</w:t>
      </w:r>
      <w:r w:rsidRPr="00620047">
        <w:rPr>
          <w:rFonts w:cs="Arial"/>
        </w:rPr>
        <w:tab/>
        <w:t>de per tijdseenheid te lozen hoeveelheid;</w:t>
      </w:r>
    </w:p>
    <w:p w:rsidR="00296032" w:rsidRPr="00620047" w:rsidRDefault="00296032">
      <w:pPr>
        <w:pStyle w:val="art2enivo"/>
        <w:rPr>
          <w:rFonts w:cs="Arial"/>
        </w:rPr>
      </w:pPr>
      <w:r w:rsidRPr="00620047">
        <w:rPr>
          <w:rFonts w:cs="Arial"/>
        </w:rPr>
        <w:t>b.</w:t>
      </w:r>
      <w:r w:rsidRPr="00620047">
        <w:rPr>
          <w:rFonts w:cs="Arial"/>
        </w:rPr>
        <w:tab/>
        <w:t>voorzieningen die gespreide afvoer in het vuilwaterriool mogelijk maken, of</w:t>
      </w:r>
    </w:p>
    <w:p w:rsidR="00296032" w:rsidRPr="00620047" w:rsidRDefault="00296032">
      <w:pPr>
        <w:pStyle w:val="art2enivo"/>
        <w:rPr>
          <w:rFonts w:cs="Arial"/>
        </w:rPr>
      </w:pPr>
      <w:r w:rsidRPr="00620047">
        <w:rPr>
          <w:rFonts w:cs="Arial"/>
        </w:rPr>
        <w:t>c.</w:t>
      </w:r>
      <w:r w:rsidRPr="00620047">
        <w:rPr>
          <w:rFonts w:cs="Arial"/>
        </w:rPr>
        <w:tab/>
        <w:t>een buffervoorziening met een inhoud van ten hoogste 50 kubieke meter per hectare.</w:t>
      </w:r>
    </w:p>
    <w:p w:rsidR="00296032" w:rsidRPr="00620047" w:rsidRDefault="00296032">
      <w:pPr>
        <w:pStyle w:val="art1enivo"/>
        <w:rPr>
          <w:rFonts w:cs="Arial"/>
        </w:rPr>
      </w:pPr>
      <w:r w:rsidRPr="00620047">
        <w:rPr>
          <w:rFonts w:cs="Arial"/>
        </w:rPr>
        <w:t>7.</w:t>
      </w:r>
      <w:r w:rsidRPr="00620047">
        <w:rPr>
          <w:rFonts w:cs="Arial"/>
        </w:rPr>
        <w:tab/>
        <w:t>Indien met toepassing van het eerste lid, het lozen in een oppervlaktewaterlichaam is toegestaan, zijn op dat lozen de artikelen 3.66 en 3.71 van overeenkomstige toepassing.</w:t>
      </w:r>
    </w:p>
    <w:p w:rsidR="00296032" w:rsidRPr="00620047" w:rsidRDefault="00296032">
      <w:pPr>
        <w:pStyle w:val="art1enivo"/>
      </w:pPr>
      <w:r w:rsidRPr="00620047">
        <w:t>8.</w:t>
      </w:r>
      <w:r w:rsidRPr="00620047">
        <w:tab/>
        <w:t>In afwijking van het tweede lid, onderdeel a, wordt de afstand tot het dichtstbijzijnde vuilwaterriool of zuiveringstechnisch werk bij voortzetting van het lozen van afvalwater in het oppervlaktewaterlichaam dat voor 1 januari 2013 al plaatsvond, berekend vanaf de plaats waar het afvalwater vrijkomt.</w:t>
      </w:r>
    </w:p>
    <w:p w:rsidR="00296032" w:rsidRPr="00296032" w:rsidRDefault="00296032">
      <w:pPr>
        <w:pStyle w:val="artikelkop"/>
        <w:rPr>
          <w:rFonts w:cs="Arial"/>
        </w:rPr>
      </w:pPr>
      <w:r w:rsidRPr="00296032">
        <w:rPr>
          <w:rFonts w:cs="Arial"/>
        </w:rPr>
        <w:t>Artikel 3.64</w:t>
      </w:r>
    </w:p>
    <w:p w:rsidR="00296032" w:rsidRPr="00620047" w:rsidRDefault="00296032">
      <w:pPr>
        <w:pStyle w:val="art1enivo"/>
        <w:rPr>
          <w:rFonts w:cs="Arial"/>
        </w:rPr>
      </w:pPr>
      <w:r w:rsidRPr="00620047">
        <w:rPr>
          <w:rFonts w:cs="Arial"/>
        </w:rPr>
        <w:t>1.</w:t>
      </w:r>
      <w:r w:rsidRPr="00620047">
        <w:rPr>
          <w:rFonts w:cs="Arial"/>
        </w:rPr>
        <w:tab/>
        <w:t>Indien het op grond van artikel 3.63, eerste lid, is toegestaan drainagewater afkomstig van de teelt waarbij gewassen op materiaal groeien dat in verbinding staat met de ondergrond in een oppervlaktewaterlichaam te lozen vanaf een perceel dat voor 1 november 1994 niet voor glastuinbouwactiviteiten werd gebruikt, kan het bevoegd gezag, indien het belang van de bescherming van het milieu daartoe noodzaakt, in afwijking van artikel 3.63, eerste, derde, zesde of zevende lid, bij maatwerkvoorschrift eisen stellen waarmee het lozen wordt voorkomen of verder wordt beperkt, dan met toepassing van dat artikel het geval zou zijn.</w:t>
      </w:r>
      <w:r w:rsidRPr="00620047">
        <w:rPr>
          <w:rFonts w:cs="Arial"/>
        </w:rPr>
        <w:br/>
        <w:t>Artikel 2.2, vierde lid, is van overeenkomstige toepassing.</w:t>
      </w:r>
    </w:p>
    <w:p w:rsidR="00296032" w:rsidRPr="00620047" w:rsidRDefault="00296032">
      <w:pPr>
        <w:pStyle w:val="art1enivo"/>
        <w:rPr>
          <w:rFonts w:cs="Arial"/>
        </w:rPr>
      </w:pPr>
      <w:r w:rsidRPr="00620047">
        <w:rPr>
          <w:rFonts w:cs="Arial"/>
        </w:rPr>
        <w:t>2.</w:t>
      </w:r>
      <w:r w:rsidRPr="00620047">
        <w:rPr>
          <w:rFonts w:cs="Arial"/>
        </w:rPr>
        <w:tab/>
        <w:t>Indien het op grond van artikel 3.63, eerste lid, is toegestaan drainwater in een oppervlaktewaterlichaam te lozen vanaf een perceel dat voor 1 november 1994 niet voor het telen of kweken van gewassen in een kas werd gebruikt, kan het bevoegd gezag, indien het belang van de bescherming van het milieu daartoe noodzaakt, in afwijking van artikel 3.63, eerste, derde, zesde of zevende lid, met betrekking tot dat lozen bij maatwerkvoorschrift eisen stellen waarmee het lozen wordt voorkomen of verder wordt beperkt, dan met toepassing van dat artikel het geval zou zijn.</w:t>
      </w:r>
      <w:r w:rsidRPr="00620047">
        <w:rPr>
          <w:rFonts w:cs="Arial"/>
        </w:rPr>
        <w:br/>
        <w:t>Artikel 2.2, vierde lid, is van overeenkomstige toepassing.</w:t>
      </w:r>
    </w:p>
    <w:p w:rsidR="00296032" w:rsidRPr="00620047" w:rsidRDefault="00296032">
      <w:pPr>
        <w:pStyle w:val="art1enivo"/>
      </w:pPr>
      <w:r w:rsidRPr="00620047">
        <w:t>3.</w:t>
      </w:r>
      <w:r w:rsidRPr="00620047">
        <w:tab/>
        <w:t>Voor het lozen in een oppervlaktewaterlichaam van drainagewater afkomstig van de teelt waarbij gewassen op materiaal groeien dat in verbinding staat met de ondergrond vanaf een perceel dat voor 1 november 1994 niet voor glastuinbouwactiviteiten werd gebruikt, waarvoor tot het van toepassing worden van het eerste lid op dat lozen, een vergunning op grond van artikel 1 van de Wet verontreiniging oppervlaktewateren dan wel een vergunning op grond van artikel 6.2 van de Waterwet in werking en onherroepelijk was, worden de voorschriften van die vergunning aangemerkt als maatwerkvoorschriften, mits de voorschriften van die vergunning vallen binnen de bevoegdheid van het bevoegd gezag tot het stellen van maatwerkvoorschriften op grond van het eerste lid.</w:t>
      </w:r>
    </w:p>
    <w:p w:rsidR="00296032" w:rsidRPr="00620047" w:rsidRDefault="00296032">
      <w:pPr>
        <w:pStyle w:val="art1enivo"/>
      </w:pPr>
      <w:r w:rsidRPr="00620047">
        <w:t>4.</w:t>
      </w:r>
      <w:r w:rsidRPr="00620047">
        <w:tab/>
        <w:t>Voor het lozen in een oppervlaktewaterlichaam van drainwater vanaf een perceel dat voor 1 november 1994 niet voor glastuinbouwactiviteiten werd gebruikt, waarvoor tot het van toepassing worden van het tweede lid op dat lozen, een vergunning op grond van artikel 1 van de Wet verontreiniging oppervlaktewateren dan wel een vergunning op grond van artikel 6.2 van de Waterwet in werking en onherroepelijk was, worden de voorschriften van die vergunning aangemerkt als maatwerkvoorschriften, mits de voorschriften van die vergunning vallen binnen de bevoegdheid van het bevoegd gezag tot het stellen van maatwerkvoorschriften op grond van het tweede lid.</w:t>
      </w:r>
    </w:p>
    <w:p w:rsidR="00296032" w:rsidRPr="00296032" w:rsidRDefault="00296032">
      <w:pPr>
        <w:pStyle w:val="artikelkop"/>
        <w:rPr>
          <w:rFonts w:cs="Arial"/>
        </w:rPr>
      </w:pPr>
      <w:r w:rsidRPr="00296032">
        <w:rPr>
          <w:rFonts w:cs="Arial"/>
        </w:rPr>
        <w:t>Artikel 3.65</w:t>
      </w:r>
    </w:p>
    <w:p w:rsidR="00296032" w:rsidRPr="00620047" w:rsidRDefault="00296032">
      <w:pPr>
        <w:pStyle w:val="artplat"/>
        <w:rPr>
          <w:rFonts w:cs="Arial"/>
        </w:rPr>
      </w:pPr>
      <w:r w:rsidRPr="00620047">
        <w:rPr>
          <w:rFonts w:cs="Arial"/>
        </w:rPr>
        <w:t>Onverminderd de artikelen 3.56 tot en met 3.64, wordt bij substraatteelt in een kas voldaan aan de artikelen 3.66 tot en met 3.69.</w:t>
      </w:r>
    </w:p>
    <w:p w:rsidR="00296032" w:rsidRPr="00296032" w:rsidRDefault="00296032">
      <w:pPr>
        <w:pStyle w:val="artikelkop"/>
        <w:rPr>
          <w:rFonts w:cs="Arial"/>
        </w:rPr>
      </w:pPr>
      <w:r w:rsidRPr="00296032">
        <w:rPr>
          <w:rFonts w:cs="Arial"/>
        </w:rPr>
        <w:t>Artikel 3.66</w:t>
      </w:r>
    </w:p>
    <w:p w:rsidR="00296032" w:rsidRPr="00620047" w:rsidRDefault="00296032">
      <w:pPr>
        <w:pStyle w:val="art1enivo"/>
        <w:rPr>
          <w:rFonts w:cs="Arial"/>
        </w:rPr>
      </w:pPr>
      <w:r w:rsidRPr="00620047">
        <w:rPr>
          <w:rFonts w:cs="Arial"/>
        </w:rPr>
        <w:t>1.</w:t>
      </w:r>
      <w:r w:rsidRPr="00620047">
        <w:rPr>
          <w:rFonts w:cs="Arial"/>
        </w:rPr>
        <w:tab/>
        <w:t>Bij het lozen van drainwater wordt ten minste voldaan aan het tweede tot en met het tiende lid.</w:t>
      </w:r>
    </w:p>
    <w:p w:rsidR="00296032" w:rsidRPr="00620047" w:rsidRDefault="00296032">
      <w:pPr>
        <w:pStyle w:val="art1enivo"/>
        <w:rPr>
          <w:rFonts w:cs="Arial"/>
        </w:rPr>
      </w:pPr>
      <w:r w:rsidRPr="00620047">
        <w:rPr>
          <w:rFonts w:cs="Arial"/>
        </w:rPr>
        <w:t>2.</w:t>
      </w:r>
      <w:r w:rsidRPr="00620047">
        <w:rPr>
          <w:rFonts w:cs="Arial"/>
        </w:rPr>
        <w:tab/>
        <w:t>Voor de gietwatervoorziening:</w:t>
      </w:r>
    </w:p>
    <w:p w:rsidR="00296032" w:rsidRPr="00620047" w:rsidRDefault="00296032">
      <w:pPr>
        <w:pStyle w:val="art2enivo"/>
        <w:rPr>
          <w:rFonts w:cs="Arial"/>
        </w:rPr>
      </w:pPr>
      <w:r w:rsidRPr="00620047">
        <w:rPr>
          <w:rFonts w:cs="Arial"/>
        </w:rPr>
        <w:t>a.</w:t>
      </w:r>
      <w:r w:rsidRPr="00620047">
        <w:rPr>
          <w:rFonts w:cs="Arial"/>
        </w:rPr>
        <w:tab/>
        <w:t>is een hemelwateropvangvoorziening van ten minste 500 kubieke meter per hectare teeltoppervlak aanwezig en in gebruik, of</w:t>
      </w:r>
    </w:p>
    <w:p w:rsidR="00296032" w:rsidRPr="00620047" w:rsidRDefault="00296032">
      <w:pPr>
        <w:pStyle w:val="art2enivo"/>
        <w:rPr>
          <w:rFonts w:cs="Arial"/>
        </w:rPr>
      </w:pPr>
      <w:r w:rsidRPr="00620047">
        <w:rPr>
          <w:rFonts w:cs="Arial"/>
        </w:rPr>
        <w:t>b.</w:t>
      </w:r>
      <w:r w:rsidRPr="00620047">
        <w:rPr>
          <w:rFonts w:cs="Arial"/>
        </w:rPr>
        <w:tab/>
        <w:t>wordt water met een natriumgehalte gebruikt dat gelijkwaardig is aan dat van hemelwater.</w:t>
      </w:r>
    </w:p>
    <w:p w:rsidR="00296032" w:rsidRPr="00620047" w:rsidRDefault="00296032">
      <w:pPr>
        <w:pStyle w:val="art1enivo"/>
        <w:rPr>
          <w:rFonts w:cs="Arial"/>
        </w:rPr>
      </w:pPr>
      <w:r w:rsidRPr="00620047">
        <w:rPr>
          <w:rFonts w:cs="Arial"/>
        </w:rPr>
        <w:t>3.</w:t>
      </w:r>
      <w:r w:rsidRPr="00620047">
        <w:rPr>
          <w:rFonts w:cs="Arial"/>
        </w:rPr>
        <w:tab/>
        <w:t>Voor het recirculeren van drainwater is een recirculatiesysteem aanwezig en in gebruik.</w:t>
      </w:r>
    </w:p>
    <w:p w:rsidR="00296032" w:rsidRPr="00620047" w:rsidRDefault="00296032">
      <w:pPr>
        <w:pStyle w:val="art1enivo"/>
        <w:rPr>
          <w:rFonts w:cs="Arial"/>
        </w:rPr>
      </w:pPr>
      <w:r w:rsidRPr="00620047">
        <w:rPr>
          <w:rFonts w:cs="Arial"/>
        </w:rPr>
        <w:t>4.</w:t>
      </w:r>
      <w:r w:rsidRPr="00620047">
        <w:rPr>
          <w:rFonts w:cs="Arial"/>
        </w:rPr>
        <w:tab/>
        <w:t>De hoeveelheid totaal stikstof in het te lozen drainwater bedraagt in kilogram totaal stikstof per hectare teeltoppervlak per jaar niet meer dan de in tabel 3.66 per categorie van gewassen genoemde waarden:</w:t>
      </w:r>
    </w:p>
    <w:p w:rsidR="00296032" w:rsidRPr="00620047" w:rsidRDefault="00296032">
      <w:pPr>
        <w:pStyle w:val="tabelkop"/>
        <w:ind w:firstLine="426"/>
        <w:rPr>
          <w:rFonts w:cs="Arial"/>
        </w:rPr>
      </w:pPr>
      <w:r w:rsidRPr="00620047">
        <w:rPr>
          <w:rFonts w:cs="Arial"/>
        </w:rPr>
        <w:t>Tabel 3.66</w:t>
      </w:r>
    </w:p>
    <w:tbl>
      <w:tblPr>
        <w:tblW w:w="836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2268"/>
        <w:gridCol w:w="2268"/>
        <w:gridCol w:w="2268"/>
      </w:tblGrid>
      <w:tr w:rsidR="00296032" w:rsidRPr="00620047">
        <w:tc>
          <w:tcPr>
            <w:tcW w:w="8363" w:type="dxa"/>
            <w:gridSpan w:val="4"/>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b/>
              </w:rPr>
            </w:pPr>
            <w:r w:rsidRPr="00620047">
              <w:rPr>
                <w:rFonts w:cs="Arial"/>
                <w:b/>
              </w:rPr>
              <w:t>Maximale hoeveelheid totaal stikstof in het te lozen drainwater in kilogram per hectare teeltoppervlak, per categorie van gewassen, per jaar</w:t>
            </w:r>
          </w:p>
        </w:tc>
      </w:tr>
      <w:tr w:rsidR="00296032" w:rsidRPr="00620047">
        <w:tc>
          <w:tcPr>
            <w:tcW w:w="1559"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b/>
              </w:rPr>
            </w:pPr>
            <w:r w:rsidRPr="00620047">
              <w:rPr>
                <w:rFonts w:cs="Arial"/>
                <w:b/>
              </w:rPr>
              <w:t>Categorie van gewassen</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b/>
              </w:rPr>
            </w:pPr>
            <w:r w:rsidRPr="00620047">
              <w:rPr>
                <w:rFonts w:cs="Arial"/>
                <w:b/>
              </w:rPr>
              <w:t xml:space="preserve">2012, 2013 en 2014 </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b/>
              </w:rPr>
            </w:pPr>
            <w:r w:rsidRPr="00620047">
              <w:rPr>
                <w:rFonts w:cs="Arial"/>
                <w:b/>
              </w:rPr>
              <w:t>2015, 2016 en 2017</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b/>
              </w:rPr>
            </w:pPr>
            <w:r w:rsidRPr="00620047">
              <w:rPr>
                <w:rFonts w:cs="Arial"/>
                <w:b/>
              </w:rPr>
              <w:t>2018 en volgende jaren</w:t>
            </w:r>
          </w:p>
        </w:tc>
      </w:tr>
      <w:tr w:rsidR="00296032" w:rsidRPr="00620047">
        <w:tc>
          <w:tcPr>
            <w:tcW w:w="1559"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Categorie 1</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25</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25</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25</w:t>
            </w:r>
          </w:p>
        </w:tc>
      </w:tr>
      <w:tr w:rsidR="00296032" w:rsidRPr="00620047">
        <w:tc>
          <w:tcPr>
            <w:tcW w:w="1559"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Categorie 2</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50</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33</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25</w:t>
            </w:r>
          </w:p>
        </w:tc>
      </w:tr>
      <w:tr w:rsidR="00296032" w:rsidRPr="00620047">
        <w:tc>
          <w:tcPr>
            <w:tcW w:w="1559"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Categorie 3</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75</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50</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38</w:t>
            </w:r>
          </w:p>
        </w:tc>
      </w:tr>
      <w:tr w:rsidR="00296032" w:rsidRPr="00620047">
        <w:tc>
          <w:tcPr>
            <w:tcW w:w="1559"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Categorie 4</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100</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67</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50</w:t>
            </w:r>
          </w:p>
        </w:tc>
      </w:tr>
      <w:tr w:rsidR="00296032" w:rsidRPr="00620047">
        <w:tc>
          <w:tcPr>
            <w:tcW w:w="1559"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Categorie 5</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125</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83</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67</w:t>
            </w:r>
          </w:p>
        </w:tc>
      </w:tr>
      <w:tr w:rsidR="00296032" w:rsidRPr="00620047">
        <w:tc>
          <w:tcPr>
            <w:tcW w:w="1559"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Categorie 6</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150</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100</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75</w:t>
            </w:r>
          </w:p>
        </w:tc>
      </w:tr>
      <w:tr w:rsidR="00296032" w:rsidRPr="00620047">
        <w:tc>
          <w:tcPr>
            <w:tcW w:w="1559"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Categorie 7</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200</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133</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100</w:t>
            </w:r>
          </w:p>
        </w:tc>
      </w:tr>
      <w:tr w:rsidR="00296032" w:rsidRPr="00620047">
        <w:tc>
          <w:tcPr>
            <w:tcW w:w="1559"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Categorie 8</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250</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167</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125</w:t>
            </w:r>
          </w:p>
        </w:tc>
      </w:tr>
      <w:tr w:rsidR="00296032" w:rsidRPr="00620047">
        <w:tc>
          <w:tcPr>
            <w:tcW w:w="1559"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Categorie 9</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300</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200</w:t>
            </w:r>
          </w:p>
        </w:tc>
        <w:tc>
          <w:tcPr>
            <w:tcW w:w="2268" w:type="dxa"/>
            <w:tcBorders>
              <w:top w:val="single" w:sz="4" w:space="0" w:color="000000"/>
              <w:left w:val="single" w:sz="4" w:space="0" w:color="000000"/>
              <w:bottom w:val="single" w:sz="4" w:space="0" w:color="000000"/>
              <w:right w:val="single" w:sz="4" w:space="0" w:color="000000"/>
            </w:tcBorders>
            <w:hideMark/>
          </w:tcPr>
          <w:p w:rsidR="00296032" w:rsidRPr="00620047" w:rsidRDefault="00296032">
            <w:pPr>
              <w:pStyle w:val="Tabeltekst"/>
              <w:rPr>
                <w:rFonts w:cs="Arial"/>
              </w:rPr>
            </w:pPr>
            <w:r w:rsidRPr="00620047">
              <w:rPr>
                <w:rFonts w:cs="Arial"/>
              </w:rPr>
              <w:t>150</w:t>
            </w:r>
          </w:p>
        </w:tc>
      </w:tr>
    </w:tbl>
    <w:p w:rsidR="00296032" w:rsidRPr="00620047" w:rsidRDefault="00296032">
      <w:pPr>
        <w:pStyle w:val="art1enivo"/>
        <w:rPr>
          <w:rFonts w:cs="Arial"/>
        </w:rPr>
      </w:pPr>
      <w:r w:rsidRPr="00620047">
        <w:rPr>
          <w:rFonts w:cs="Arial"/>
        </w:rPr>
        <w:t>5.</w:t>
      </w:r>
      <w:r w:rsidRPr="00620047">
        <w:rPr>
          <w:rFonts w:cs="Arial"/>
        </w:rPr>
        <w:tab/>
        <w:t>Bij ministeriële regeling wordt de indeling van gewassen in de categorieën, bedoeld in tabel 3.66, vastgesteld.</w:t>
      </w:r>
    </w:p>
    <w:p w:rsidR="00296032" w:rsidRPr="00620047" w:rsidRDefault="00296032">
      <w:pPr>
        <w:pStyle w:val="art1enivo"/>
        <w:rPr>
          <w:rFonts w:cs="Arial"/>
        </w:rPr>
      </w:pPr>
      <w:r w:rsidRPr="00620047">
        <w:rPr>
          <w:rFonts w:cs="Arial"/>
        </w:rPr>
        <w:t>6.</w:t>
      </w:r>
      <w:r w:rsidRPr="00620047">
        <w:rPr>
          <w:rFonts w:cs="Arial"/>
        </w:rPr>
        <w:tab/>
        <w:t>De hoeveelheid totaal stikstof, bedoeld in het vierde lid, wordt berekend door de in een jaar geloosde hoeveelheid drainwater te vermenigvuldigen met het daarin aanwezige gehalte aan nitraatstikstof en ammoniumstikstof. Bij ministeriële regeling kunnen nadere regels worden gesteld over het berekenen van het gehalte aan totaal stikstof.</w:t>
      </w:r>
    </w:p>
    <w:p w:rsidR="00296032" w:rsidRPr="00620047" w:rsidRDefault="00296032">
      <w:pPr>
        <w:pStyle w:val="art1enivo"/>
        <w:rPr>
          <w:rFonts w:cs="Arial"/>
        </w:rPr>
      </w:pPr>
      <w:r w:rsidRPr="00620047">
        <w:rPr>
          <w:rFonts w:cs="Arial"/>
        </w:rPr>
        <w:t>7.</w:t>
      </w:r>
      <w:r w:rsidRPr="00620047">
        <w:rPr>
          <w:rFonts w:cs="Arial"/>
        </w:rPr>
        <w:tab/>
        <w:t>Het tweede en derde lid zijn niet van toepassing indien bij het lozen van drainwater de hoeveelheid totaal stikstof, bedoeld in het vierde lid, niet meer bedraagt dan 25 kilogram.</w:t>
      </w:r>
    </w:p>
    <w:p w:rsidR="00296032" w:rsidRPr="00620047" w:rsidRDefault="00296032">
      <w:pPr>
        <w:pStyle w:val="art1enivo"/>
        <w:rPr>
          <w:rFonts w:cs="Arial"/>
        </w:rPr>
      </w:pPr>
      <w:r w:rsidRPr="00620047">
        <w:rPr>
          <w:rFonts w:cs="Arial"/>
        </w:rPr>
        <w:t>8.</w:t>
      </w:r>
      <w:r w:rsidRPr="00620047">
        <w:rPr>
          <w:rFonts w:cs="Arial"/>
        </w:rPr>
        <w:tab/>
        <w:t>Het bevoegd gezag kan bij maatwerkvoorschrift het tweede en derde lid niet van toepassing verklaren, indien de maatregelen, bedoeld in die leden niet doelmatig zijn.</w:t>
      </w:r>
      <w:r w:rsidRPr="00620047">
        <w:rPr>
          <w:rFonts w:cs="Arial"/>
        </w:rPr>
        <w:br/>
        <w:t>Artikel 2.2, vierde lid, is van overeenkomstige toepassing.</w:t>
      </w:r>
    </w:p>
    <w:p w:rsidR="00296032" w:rsidRPr="00620047" w:rsidRDefault="00296032">
      <w:pPr>
        <w:pStyle w:val="art1enivo"/>
        <w:rPr>
          <w:rFonts w:cs="Arial"/>
        </w:rPr>
      </w:pPr>
      <w:r w:rsidRPr="00620047">
        <w:rPr>
          <w:rFonts w:cs="Arial"/>
        </w:rPr>
        <w:t>9.</w:t>
      </w:r>
      <w:r w:rsidRPr="00620047">
        <w:rPr>
          <w:rFonts w:cs="Arial"/>
        </w:rPr>
        <w:tab/>
        <w:t>Het tweede, derde en vierde lid, zijn niet van toepassing, indien het totale teeltoppervlak binnen de inrichting waarop telen of kweken van gewassen in een kas plaatsvindt, kleiner is dan 2.500 vierkante meter.</w:t>
      </w:r>
    </w:p>
    <w:p w:rsidR="00296032" w:rsidRPr="00620047" w:rsidRDefault="00296032">
      <w:pPr>
        <w:pStyle w:val="art1enivo"/>
        <w:rPr>
          <w:rFonts w:cs="Arial"/>
        </w:rPr>
      </w:pPr>
      <w:r w:rsidRPr="00620047">
        <w:rPr>
          <w:rFonts w:cs="Arial"/>
        </w:rPr>
        <w:t>10.</w:t>
      </w:r>
      <w:r w:rsidRPr="00620047">
        <w:rPr>
          <w:rFonts w:cs="Arial"/>
        </w:rPr>
        <w:tab/>
        <w:t>Het te lozen drainwater kan op een doelmatige wijze worden bemonsterd.</w:t>
      </w:r>
    </w:p>
    <w:p w:rsidR="00296032" w:rsidRPr="00296032" w:rsidRDefault="00296032">
      <w:pPr>
        <w:pStyle w:val="artikelkop"/>
        <w:rPr>
          <w:rFonts w:cs="Arial"/>
        </w:rPr>
      </w:pPr>
      <w:r w:rsidRPr="00296032">
        <w:rPr>
          <w:rFonts w:cs="Arial"/>
        </w:rPr>
        <w:t>Artikel 3.67</w:t>
      </w:r>
    </w:p>
    <w:p w:rsidR="00296032" w:rsidRPr="00620047" w:rsidRDefault="00296032">
      <w:pPr>
        <w:pStyle w:val="art1enivo"/>
        <w:rPr>
          <w:rFonts w:cs="Arial"/>
        </w:rPr>
      </w:pPr>
      <w:r w:rsidRPr="00620047">
        <w:rPr>
          <w:rFonts w:cs="Arial"/>
        </w:rPr>
        <w:t>1.</w:t>
      </w:r>
      <w:r w:rsidRPr="00620047">
        <w:rPr>
          <w:rFonts w:cs="Arial"/>
        </w:rPr>
        <w:tab/>
        <w:t>De volgende gegevens worden gemeten of berekend en geregistreerd:</w:t>
      </w:r>
    </w:p>
    <w:p w:rsidR="00296032" w:rsidRPr="00620047" w:rsidRDefault="00296032">
      <w:pPr>
        <w:pStyle w:val="art2enivo"/>
        <w:rPr>
          <w:rFonts w:cs="Arial"/>
        </w:rPr>
      </w:pPr>
      <w:r w:rsidRPr="00620047">
        <w:rPr>
          <w:rFonts w:cs="Arial"/>
        </w:rPr>
        <w:t>a.</w:t>
      </w:r>
      <w:r w:rsidRPr="00620047">
        <w:rPr>
          <w:rFonts w:cs="Arial"/>
        </w:rPr>
        <w:tab/>
        <w:t>de hoeveelheid drainwater in kubieke meter die wordt geloosd</w:t>
      </w:r>
      <w:r w:rsidR="00244F18">
        <w:rPr>
          <w:rFonts w:cs="Arial"/>
        </w:rPr>
        <w:t xml:space="preserve"> </w:t>
      </w:r>
      <w:r w:rsidRPr="00620047">
        <w:rPr>
          <w:rFonts w:cs="Arial"/>
        </w:rPr>
        <w:t>en de hoeveelheid voedingswater die wordt toegediend;</w:t>
      </w:r>
    </w:p>
    <w:p w:rsidR="00296032" w:rsidRPr="00620047" w:rsidRDefault="00296032">
      <w:pPr>
        <w:pStyle w:val="art2enivo"/>
        <w:rPr>
          <w:rFonts w:cs="Arial"/>
        </w:rPr>
      </w:pPr>
      <w:r w:rsidRPr="00620047">
        <w:rPr>
          <w:rFonts w:cs="Arial"/>
        </w:rPr>
        <w:t>b.</w:t>
      </w:r>
      <w:r w:rsidRPr="00620047">
        <w:rPr>
          <w:rFonts w:cs="Arial"/>
        </w:rPr>
        <w:tab/>
        <w:t>het gehalte aan nitraatstikstof en ammoniumstikstof en totaal fosfor, natrium en de geleidingswaarde in het drainwater, en</w:t>
      </w:r>
    </w:p>
    <w:p w:rsidR="00296032" w:rsidRPr="00620047" w:rsidRDefault="00296032">
      <w:pPr>
        <w:pStyle w:val="art2enivo"/>
        <w:rPr>
          <w:rFonts w:cs="Arial"/>
        </w:rPr>
      </w:pPr>
      <w:r w:rsidRPr="00620047">
        <w:rPr>
          <w:rFonts w:cs="Arial"/>
        </w:rPr>
        <w:t>c.</w:t>
      </w:r>
      <w:r w:rsidRPr="00620047">
        <w:rPr>
          <w:rFonts w:cs="Arial"/>
        </w:rPr>
        <w:tab/>
        <w:t>het gewas of de gewassen die worden geteeld, het teeltoppervlak en de teeltperiode per gewas.</w:t>
      </w:r>
    </w:p>
    <w:p w:rsidR="00296032" w:rsidRPr="00620047" w:rsidRDefault="00296032">
      <w:pPr>
        <w:pStyle w:val="art1enivo"/>
        <w:rPr>
          <w:rFonts w:cs="Arial"/>
        </w:rPr>
      </w:pPr>
      <w:r w:rsidRPr="00620047">
        <w:rPr>
          <w:rFonts w:cs="Arial"/>
        </w:rPr>
        <w:t>2.</w:t>
      </w:r>
      <w:r w:rsidRPr="00620047">
        <w:rPr>
          <w:rFonts w:cs="Arial"/>
        </w:rPr>
        <w:tab/>
        <w:t>Indien op grond van artikel 3.63, eerste lid, drainwater zowel in het vuilwaterriool als in een oppervlaktewaterlichaam wordt geloosd, kan het bevoegd gezag bij maatwerkvoorschrift bepalen dat beide hoeveelheden worden gemeten en geregistreerd overeenkomstig het eerste lid.</w:t>
      </w:r>
    </w:p>
    <w:p w:rsidR="00296032" w:rsidRPr="00620047" w:rsidRDefault="00296032">
      <w:pPr>
        <w:pStyle w:val="art1enivo"/>
        <w:rPr>
          <w:rFonts w:cs="Arial"/>
        </w:rPr>
      </w:pPr>
      <w:r w:rsidRPr="00620047">
        <w:rPr>
          <w:rFonts w:cs="Arial"/>
        </w:rPr>
        <w:t>3.</w:t>
      </w:r>
      <w:r w:rsidRPr="00620047">
        <w:rPr>
          <w:rFonts w:cs="Arial"/>
        </w:rPr>
        <w:tab/>
        <w:t>Bij ministeriële regeling kunnen nadere regels worden gesteld over het meten, berekenen en registreren, bedoeld in het eerste lid.</w:t>
      </w:r>
    </w:p>
    <w:p w:rsidR="00296032" w:rsidRPr="00620047" w:rsidRDefault="00296032">
      <w:pPr>
        <w:pStyle w:val="art1enivo"/>
        <w:rPr>
          <w:rFonts w:cs="Arial"/>
        </w:rPr>
      </w:pPr>
      <w:r w:rsidRPr="00620047">
        <w:rPr>
          <w:rFonts w:cs="Arial"/>
        </w:rPr>
        <w:t>4.</w:t>
      </w:r>
      <w:r w:rsidRPr="00620047">
        <w:rPr>
          <w:rFonts w:cs="Arial"/>
        </w:rPr>
        <w:tab/>
        <w:t>De resultaten van de metingen, berekeningen en registraties, bedoeld in het eerste lid, en van de metingen en registraties, bedoeld in het tweede lid, worden gedurende 5 jaren bewaard en op een daartoe strekkend verzoek aan het bevoegd gezag overgelegd.</w:t>
      </w:r>
    </w:p>
    <w:p w:rsidR="00296032" w:rsidRPr="00296032" w:rsidRDefault="00296032">
      <w:pPr>
        <w:pStyle w:val="artikelkop"/>
        <w:rPr>
          <w:rFonts w:cs="Arial"/>
        </w:rPr>
      </w:pPr>
      <w:r w:rsidRPr="00296032">
        <w:rPr>
          <w:rFonts w:cs="Arial"/>
        </w:rPr>
        <w:t>Artikel 3.68</w:t>
      </w:r>
    </w:p>
    <w:p w:rsidR="00296032" w:rsidRPr="00620047" w:rsidRDefault="00296032">
      <w:pPr>
        <w:pStyle w:val="art1enivo"/>
        <w:rPr>
          <w:rFonts w:cs="Arial"/>
        </w:rPr>
      </w:pPr>
      <w:r w:rsidRPr="00620047">
        <w:rPr>
          <w:rFonts w:cs="Arial"/>
        </w:rPr>
        <w:t>1.</w:t>
      </w:r>
      <w:r w:rsidRPr="00620047">
        <w:rPr>
          <w:rFonts w:cs="Arial"/>
        </w:rPr>
        <w:tab/>
        <w:t>Jaarlijks voor 1 mei wordt aan het bevoegd gezag een rapportage met de volgende gegevens overgelegd:</w:t>
      </w:r>
    </w:p>
    <w:p w:rsidR="00296032" w:rsidRPr="00620047" w:rsidRDefault="00296032">
      <w:pPr>
        <w:pStyle w:val="art2enivo"/>
        <w:rPr>
          <w:rFonts w:cs="Arial"/>
        </w:rPr>
      </w:pPr>
      <w:r w:rsidRPr="00620047">
        <w:rPr>
          <w:rFonts w:cs="Arial"/>
        </w:rPr>
        <w:t>a.</w:t>
      </w:r>
      <w:r w:rsidRPr="00620047">
        <w:rPr>
          <w:rFonts w:cs="Arial"/>
        </w:rPr>
        <w:tab/>
        <w:t>de gegevens, bedoeld in artikel 3.67, eerste en tweede lid, over het aan die datum voorafgaande kalenderjaar;</w:t>
      </w:r>
    </w:p>
    <w:p w:rsidR="00296032" w:rsidRPr="00620047" w:rsidRDefault="00296032">
      <w:pPr>
        <w:pStyle w:val="art2enivo"/>
        <w:rPr>
          <w:rFonts w:cs="Arial"/>
        </w:rPr>
      </w:pPr>
      <w:r w:rsidRPr="00620047">
        <w:rPr>
          <w:rFonts w:cs="Arial"/>
        </w:rPr>
        <w:t>b.</w:t>
      </w:r>
      <w:r w:rsidRPr="00620047">
        <w:rPr>
          <w:rFonts w:cs="Arial"/>
        </w:rPr>
        <w:tab/>
        <w:t>de maximaal toegestane hoeveelheid totaal stikstof, bedoeld in artikel 3.66, vierde lid, over het aan die datum voorafgaande kalenderjaar, berekend aan de hand van de gegevens, bedoeld in onderdeel a;</w:t>
      </w:r>
    </w:p>
    <w:p w:rsidR="00296032" w:rsidRPr="00620047" w:rsidRDefault="00296032">
      <w:pPr>
        <w:pStyle w:val="art2enivo"/>
        <w:rPr>
          <w:rFonts w:cs="Arial"/>
        </w:rPr>
      </w:pPr>
      <w:r w:rsidRPr="00620047">
        <w:rPr>
          <w:rFonts w:cs="Arial"/>
        </w:rPr>
        <w:t>c.</w:t>
      </w:r>
      <w:r w:rsidRPr="00620047">
        <w:rPr>
          <w:rFonts w:cs="Arial"/>
        </w:rPr>
        <w:tab/>
        <w:t>de hoeveelheid totaal stikstof, bedoeld in artikel 3.66, vierde lid, over het aan die datum voorafgaande kalenderjaar, berekend aan de hand van de gegevens, bedoeld in onderdeel a, en</w:t>
      </w:r>
    </w:p>
    <w:p w:rsidR="00296032" w:rsidRPr="00620047" w:rsidRDefault="00296032">
      <w:pPr>
        <w:pStyle w:val="art2enivo"/>
        <w:rPr>
          <w:rFonts w:cs="Arial"/>
        </w:rPr>
      </w:pPr>
      <w:r w:rsidRPr="00620047">
        <w:rPr>
          <w:rFonts w:cs="Arial"/>
        </w:rPr>
        <w:t>d.</w:t>
      </w:r>
      <w:r w:rsidRPr="00620047">
        <w:rPr>
          <w:rFonts w:cs="Arial"/>
        </w:rPr>
        <w:tab/>
        <w:t>de hoeveelheid totaal fosfor in het geloosde drainwater per hectare teeltoppervlak over het aan die datum voorafgaande kalenderjaar, berekend aan de hand van de gegevens, bedoeld in onderdeel a.</w:t>
      </w:r>
    </w:p>
    <w:p w:rsidR="00296032" w:rsidRPr="00620047" w:rsidRDefault="00296032">
      <w:pPr>
        <w:pStyle w:val="art1enivo"/>
        <w:rPr>
          <w:rFonts w:cs="Arial"/>
        </w:rPr>
      </w:pPr>
      <w:r w:rsidRPr="00620047">
        <w:rPr>
          <w:rFonts w:cs="Arial"/>
        </w:rPr>
        <w:t>2.</w:t>
      </w:r>
      <w:r w:rsidRPr="00620047">
        <w:rPr>
          <w:rFonts w:cs="Arial"/>
        </w:rPr>
        <w:tab/>
        <w:t>Bij ministeriële regeling worden nadere regels gesteld over de rapportage, bedoeld in het eerste lid.</w:t>
      </w:r>
    </w:p>
    <w:p w:rsidR="00296032" w:rsidRPr="00296032" w:rsidRDefault="00296032">
      <w:pPr>
        <w:pStyle w:val="artikelkop"/>
        <w:rPr>
          <w:rFonts w:cs="Arial"/>
        </w:rPr>
      </w:pPr>
      <w:r w:rsidRPr="00296032">
        <w:rPr>
          <w:rFonts w:cs="Arial"/>
        </w:rPr>
        <w:t>Artikel 3.69</w:t>
      </w:r>
    </w:p>
    <w:p w:rsidR="00296032" w:rsidRPr="00620047" w:rsidRDefault="00296032">
      <w:pPr>
        <w:pStyle w:val="artplat"/>
        <w:rPr>
          <w:rFonts w:cs="Arial"/>
        </w:rPr>
      </w:pPr>
      <w:r w:rsidRPr="00620047">
        <w:rPr>
          <w:rFonts w:cs="Arial"/>
        </w:rPr>
        <w:t>In afwijking van de artikelen 3.67 en 3.68 kan het bevoegd gezag, indien het meten, berekenen, registreren of rapporteren, bedoeld in die artikelen niet doelmatig zijn, bij maatwerkvoorschrift een andere wijze van meten, berekenen, registreren en rapporteren bepalen.</w:t>
      </w:r>
    </w:p>
    <w:p w:rsidR="00296032" w:rsidRPr="00296032" w:rsidRDefault="00296032">
      <w:pPr>
        <w:pStyle w:val="artikelkop"/>
        <w:rPr>
          <w:rFonts w:cs="Arial"/>
        </w:rPr>
      </w:pPr>
      <w:r w:rsidRPr="00296032">
        <w:rPr>
          <w:rFonts w:cs="Arial"/>
        </w:rPr>
        <w:t>Artikel 3.70</w:t>
      </w:r>
    </w:p>
    <w:p w:rsidR="00296032" w:rsidRPr="00620047" w:rsidRDefault="00296032">
      <w:pPr>
        <w:pStyle w:val="artplat"/>
        <w:rPr>
          <w:rFonts w:cs="Arial"/>
        </w:rPr>
      </w:pPr>
      <w:r w:rsidRPr="00620047">
        <w:rPr>
          <w:rFonts w:cs="Arial"/>
        </w:rPr>
        <w:t>Onverminderd de artikelen 3.56 tot en met 3.64 wordt bij het telen in een kas, waarbij gewassen op materiaal groeien dat in verbinding staat met de ondergrond, voldaan aan de artikelen 3.71 tot en met 3.74.</w:t>
      </w:r>
    </w:p>
    <w:p w:rsidR="00296032" w:rsidRPr="00296032" w:rsidRDefault="00296032">
      <w:pPr>
        <w:pStyle w:val="artikelkop"/>
        <w:rPr>
          <w:rFonts w:cs="Arial"/>
        </w:rPr>
      </w:pPr>
      <w:r w:rsidRPr="00296032">
        <w:rPr>
          <w:rFonts w:cs="Arial"/>
        </w:rPr>
        <w:t>Artikel 3.71</w:t>
      </w:r>
    </w:p>
    <w:p w:rsidR="00296032" w:rsidRPr="00620047" w:rsidRDefault="00296032">
      <w:pPr>
        <w:pStyle w:val="art1enivo"/>
        <w:rPr>
          <w:rFonts w:cs="Arial"/>
        </w:rPr>
      </w:pPr>
      <w:r w:rsidRPr="00620047">
        <w:rPr>
          <w:rFonts w:cs="Arial"/>
        </w:rPr>
        <w:t>1.</w:t>
      </w:r>
      <w:r w:rsidRPr="00620047">
        <w:rPr>
          <w:rFonts w:cs="Arial"/>
        </w:rPr>
        <w:tab/>
        <w:t>Voor de gietwatervoorziening:</w:t>
      </w:r>
    </w:p>
    <w:p w:rsidR="00296032" w:rsidRPr="00620047" w:rsidRDefault="00296032">
      <w:pPr>
        <w:pStyle w:val="art2enivo"/>
        <w:rPr>
          <w:rFonts w:cs="Arial"/>
        </w:rPr>
      </w:pPr>
      <w:r w:rsidRPr="00620047">
        <w:rPr>
          <w:rFonts w:cs="Arial"/>
        </w:rPr>
        <w:t>a.</w:t>
      </w:r>
      <w:r w:rsidRPr="00620047">
        <w:rPr>
          <w:rFonts w:cs="Arial"/>
        </w:rPr>
        <w:tab/>
        <w:t>is een hemelwateropvangvoorziening van ten minste 500 kubieke meter per hectare teeltoppervlak aanwezig en in gebruik, of</w:t>
      </w:r>
    </w:p>
    <w:p w:rsidR="00296032" w:rsidRPr="00620047" w:rsidRDefault="00296032">
      <w:pPr>
        <w:pStyle w:val="art2enivo"/>
        <w:rPr>
          <w:rFonts w:cs="Arial"/>
        </w:rPr>
      </w:pPr>
      <w:r w:rsidRPr="00620047">
        <w:rPr>
          <w:rFonts w:cs="Arial"/>
        </w:rPr>
        <w:t>b.</w:t>
      </w:r>
      <w:r w:rsidRPr="00620047">
        <w:rPr>
          <w:rFonts w:cs="Arial"/>
        </w:rPr>
        <w:tab/>
        <w:t>wordt water gebruikt met een natriumgehalte dat gelijkwaardig is aan dat van hemelwater.</w:t>
      </w:r>
    </w:p>
    <w:p w:rsidR="00296032" w:rsidRPr="00620047" w:rsidRDefault="00296032">
      <w:pPr>
        <w:pStyle w:val="art1enivo"/>
        <w:rPr>
          <w:rFonts w:cs="Arial"/>
        </w:rPr>
      </w:pPr>
      <w:r w:rsidRPr="00620047">
        <w:rPr>
          <w:rFonts w:cs="Arial"/>
        </w:rPr>
        <w:t>2.</w:t>
      </w:r>
      <w:r w:rsidRPr="00620047">
        <w:rPr>
          <w:rFonts w:cs="Arial"/>
        </w:rPr>
        <w:tab/>
        <w:t>Het bevoegd gezag kan bij maatwerkvoorschrift het eerste lid niet van toepassing verklaren, indien de maatregelen, bedoeld in dat lid, niet doelmatig zijn.</w:t>
      </w:r>
      <w:r w:rsidRPr="00620047">
        <w:rPr>
          <w:rFonts w:cs="Arial"/>
        </w:rPr>
        <w:br/>
        <w:t>Artikel 2.2, vierde lid, is van overeenkomstige toepassing.</w:t>
      </w:r>
    </w:p>
    <w:p w:rsidR="00296032" w:rsidRPr="00620047" w:rsidRDefault="00296032">
      <w:pPr>
        <w:pStyle w:val="art1enivo"/>
        <w:rPr>
          <w:rFonts w:cs="Arial"/>
        </w:rPr>
      </w:pPr>
      <w:r w:rsidRPr="00620047">
        <w:rPr>
          <w:rFonts w:cs="Arial"/>
        </w:rPr>
        <w:t>3.</w:t>
      </w:r>
      <w:r w:rsidRPr="00620047">
        <w:rPr>
          <w:rFonts w:cs="Arial"/>
        </w:rPr>
        <w:tab/>
        <w:t>Bij ministeriële regeling worden per gewas of gewasgroep de maximaal toegestane hoeveelheden aan totaal stikstof en totaal fosfor in kilogram per hectare per jaar vastgesteld.</w:t>
      </w:r>
    </w:p>
    <w:p w:rsidR="00296032" w:rsidRPr="00620047" w:rsidRDefault="00296032">
      <w:pPr>
        <w:pStyle w:val="art1enivo"/>
        <w:rPr>
          <w:rFonts w:cs="Arial"/>
        </w:rPr>
      </w:pPr>
      <w:r w:rsidRPr="00620047">
        <w:rPr>
          <w:rFonts w:cs="Arial"/>
        </w:rPr>
        <w:t>4.</w:t>
      </w:r>
      <w:r w:rsidRPr="00620047">
        <w:rPr>
          <w:rFonts w:cs="Arial"/>
        </w:rPr>
        <w:tab/>
        <w:t>De hoeveelheden toe te dienen water en meststoffen zijn afgestemd op de behoefte van het gewas, waarbij rekening is gehouden met de relevante specifieke teeltomstandigheden en waarbij de hoeveelheden, bedoeld in het derde lid, niet worden overschreden.</w:t>
      </w:r>
    </w:p>
    <w:p w:rsidR="00296032" w:rsidRPr="00620047" w:rsidRDefault="00296032">
      <w:pPr>
        <w:pStyle w:val="art1enivo"/>
        <w:rPr>
          <w:rFonts w:cs="Arial"/>
        </w:rPr>
      </w:pPr>
      <w:r w:rsidRPr="00620047">
        <w:rPr>
          <w:rFonts w:cs="Arial"/>
        </w:rPr>
        <w:t>5.</w:t>
      </w:r>
      <w:r w:rsidRPr="00620047">
        <w:rPr>
          <w:rFonts w:cs="Arial"/>
        </w:rPr>
        <w:tab/>
        <w:t>Voor het doorspoelen van de grond bij een volgteelt van bladgroentegewassen wordt ten hoogste 3000 kubieke meter water per hectare gestoomde grond gebruikt.</w:t>
      </w:r>
    </w:p>
    <w:p w:rsidR="00296032" w:rsidRPr="00620047" w:rsidRDefault="00296032">
      <w:pPr>
        <w:pStyle w:val="art1enivo"/>
        <w:rPr>
          <w:rFonts w:cs="Arial"/>
        </w:rPr>
      </w:pPr>
      <w:r w:rsidRPr="00620047">
        <w:rPr>
          <w:rFonts w:cs="Arial"/>
        </w:rPr>
        <w:t>6.</w:t>
      </w:r>
      <w:r w:rsidRPr="00620047">
        <w:rPr>
          <w:rFonts w:cs="Arial"/>
        </w:rPr>
        <w:tab/>
        <w:t>Bij het lozen van drainagewater geldt ten minste dat:</w:t>
      </w:r>
    </w:p>
    <w:p w:rsidR="00296032" w:rsidRPr="00620047" w:rsidRDefault="00296032">
      <w:pPr>
        <w:pStyle w:val="art2enivo"/>
        <w:rPr>
          <w:rFonts w:cs="Arial"/>
        </w:rPr>
      </w:pPr>
      <w:r w:rsidRPr="00620047">
        <w:rPr>
          <w:rFonts w:cs="Arial"/>
        </w:rPr>
        <w:t>a.</w:t>
      </w:r>
      <w:r w:rsidRPr="00620047">
        <w:rPr>
          <w:rFonts w:cs="Arial"/>
        </w:rPr>
        <w:tab/>
        <w:t>voor het recirculeren daarvan een recirculatiesysteem aanwezig en in gebruik</w:t>
      </w:r>
      <w:r w:rsidR="00DF43C4">
        <w:rPr>
          <w:rFonts w:cs="Arial"/>
        </w:rPr>
        <w:t xml:space="preserve"> is</w:t>
      </w:r>
      <w:r w:rsidRPr="00620047">
        <w:rPr>
          <w:rFonts w:cs="Arial"/>
        </w:rPr>
        <w:t>, en</w:t>
      </w:r>
    </w:p>
    <w:p w:rsidR="00296032" w:rsidRPr="00620047" w:rsidRDefault="00296032">
      <w:pPr>
        <w:pStyle w:val="art2enivo"/>
        <w:rPr>
          <w:rFonts w:cs="Arial"/>
        </w:rPr>
      </w:pPr>
      <w:r w:rsidRPr="00620047">
        <w:rPr>
          <w:rFonts w:cs="Arial"/>
        </w:rPr>
        <w:t>b.</w:t>
      </w:r>
      <w:r w:rsidRPr="00620047">
        <w:rPr>
          <w:rFonts w:cs="Arial"/>
        </w:rPr>
        <w:tab/>
        <w:t>het te lozen drainagewater op een doelmatige wijze kan worden bemonsterd.</w:t>
      </w:r>
    </w:p>
    <w:p w:rsidR="00296032" w:rsidRPr="00620047" w:rsidRDefault="00296032">
      <w:pPr>
        <w:pStyle w:val="art1enivo"/>
        <w:rPr>
          <w:rFonts w:cs="Arial"/>
        </w:rPr>
      </w:pPr>
      <w:r w:rsidRPr="00620047">
        <w:rPr>
          <w:rFonts w:cs="Arial"/>
        </w:rPr>
        <w:t>7.</w:t>
      </w:r>
      <w:r w:rsidRPr="00620047">
        <w:rPr>
          <w:rFonts w:cs="Arial"/>
        </w:rPr>
        <w:tab/>
        <w:t>In afwijking van het zesde lid, onderdeel a, behoeft geen recirculatiesysteem aanwezig te zijn, indien hergebruik van het drainagewater niet doelmatig is.</w:t>
      </w:r>
    </w:p>
    <w:p w:rsidR="00296032" w:rsidRPr="00620047" w:rsidRDefault="00296032">
      <w:pPr>
        <w:pStyle w:val="art1enivo"/>
        <w:rPr>
          <w:rFonts w:cs="Arial"/>
        </w:rPr>
      </w:pPr>
      <w:r w:rsidRPr="00620047">
        <w:rPr>
          <w:rFonts w:cs="Arial"/>
        </w:rPr>
        <w:t>8.</w:t>
      </w:r>
      <w:r w:rsidRPr="00620047">
        <w:rPr>
          <w:rFonts w:cs="Arial"/>
        </w:rPr>
        <w:tab/>
        <w:t>Het eerste lid en het zesde lid, onderdeel a, zijn niet van toepassing indien het totale teeltoppervlak binnen de inrichting waarop telen of kweken van gewassen in een kas plaatsvindt, kleiner is dan 2.500 vierkante meter.</w:t>
      </w:r>
    </w:p>
    <w:p w:rsidR="00296032" w:rsidRPr="00296032" w:rsidRDefault="00296032">
      <w:pPr>
        <w:pStyle w:val="artikelkop"/>
        <w:rPr>
          <w:rFonts w:cs="Arial"/>
        </w:rPr>
      </w:pPr>
      <w:r w:rsidRPr="00296032">
        <w:rPr>
          <w:rFonts w:cs="Arial"/>
        </w:rPr>
        <w:t>Artikel 3.72</w:t>
      </w:r>
    </w:p>
    <w:p w:rsidR="00296032" w:rsidRPr="00620047" w:rsidRDefault="00296032">
      <w:pPr>
        <w:pStyle w:val="art1enivo"/>
        <w:rPr>
          <w:rFonts w:cs="Arial"/>
        </w:rPr>
      </w:pPr>
      <w:r w:rsidRPr="00620047">
        <w:rPr>
          <w:rFonts w:cs="Arial"/>
        </w:rPr>
        <w:t>1.</w:t>
      </w:r>
      <w:r w:rsidRPr="00620047">
        <w:rPr>
          <w:rFonts w:cs="Arial"/>
        </w:rPr>
        <w:tab/>
        <w:t>De volgende gegevens ten aanzien van de teelt worden gemeten of berekend en geregistreerd:</w:t>
      </w:r>
    </w:p>
    <w:p w:rsidR="00296032" w:rsidRPr="00620047" w:rsidRDefault="00296032">
      <w:pPr>
        <w:pStyle w:val="art2enivo"/>
        <w:rPr>
          <w:rFonts w:cs="Arial"/>
        </w:rPr>
      </w:pPr>
      <w:r w:rsidRPr="00620047">
        <w:rPr>
          <w:rFonts w:cs="Arial"/>
        </w:rPr>
        <w:t>a.</w:t>
      </w:r>
      <w:r w:rsidRPr="00620047">
        <w:rPr>
          <w:rFonts w:cs="Arial"/>
        </w:rPr>
        <w:tab/>
        <w:t>de hoeveelheid voedingswater in kubieke meter die wordt toegediend;</w:t>
      </w:r>
    </w:p>
    <w:p w:rsidR="00296032" w:rsidRPr="00620047" w:rsidRDefault="00296032">
      <w:pPr>
        <w:pStyle w:val="art2enivo"/>
        <w:rPr>
          <w:rFonts w:cs="Arial"/>
        </w:rPr>
      </w:pPr>
      <w:r w:rsidRPr="00620047">
        <w:rPr>
          <w:rFonts w:cs="Arial"/>
        </w:rPr>
        <w:t>b.</w:t>
      </w:r>
      <w:r w:rsidRPr="00620047">
        <w:rPr>
          <w:rFonts w:cs="Arial"/>
        </w:rPr>
        <w:tab/>
        <w:t>de hoeveelheid drainagewater in kubieke meter die wordt hergebruikt;</w:t>
      </w:r>
    </w:p>
    <w:p w:rsidR="00296032" w:rsidRPr="00620047" w:rsidRDefault="00296032">
      <w:pPr>
        <w:pStyle w:val="art2enivo"/>
        <w:rPr>
          <w:rFonts w:cs="Arial"/>
        </w:rPr>
      </w:pPr>
      <w:r w:rsidRPr="00620047">
        <w:rPr>
          <w:rFonts w:cs="Arial"/>
        </w:rPr>
        <w:t>c.</w:t>
      </w:r>
      <w:r w:rsidRPr="00620047">
        <w:rPr>
          <w:rFonts w:cs="Arial"/>
        </w:rPr>
        <w:tab/>
        <w:t>de hoeveelheid drainagewater in kubieke meter die wordt geloosd;</w:t>
      </w:r>
    </w:p>
    <w:p w:rsidR="00296032" w:rsidRPr="00620047" w:rsidRDefault="00296032">
      <w:pPr>
        <w:pStyle w:val="art2enivo"/>
        <w:rPr>
          <w:rFonts w:cs="Arial"/>
        </w:rPr>
      </w:pPr>
      <w:r w:rsidRPr="00620047">
        <w:rPr>
          <w:rFonts w:cs="Arial"/>
        </w:rPr>
        <w:t>d.</w:t>
      </w:r>
      <w:r w:rsidRPr="00620047">
        <w:rPr>
          <w:rFonts w:cs="Arial"/>
        </w:rPr>
        <w:tab/>
        <w:t>het gehalte aan nitraatstikstof en ammoniumstikstof en totaal fosfor in het te lozen drainagewater;</w:t>
      </w:r>
    </w:p>
    <w:p w:rsidR="00296032" w:rsidRPr="00620047" w:rsidRDefault="00296032">
      <w:pPr>
        <w:pStyle w:val="art2enivo"/>
        <w:rPr>
          <w:rFonts w:cs="Arial"/>
        </w:rPr>
      </w:pPr>
      <w:r w:rsidRPr="00620047">
        <w:rPr>
          <w:rFonts w:cs="Arial"/>
        </w:rPr>
        <w:t>e.</w:t>
      </w:r>
      <w:r w:rsidRPr="00620047">
        <w:rPr>
          <w:rFonts w:cs="Arial"/>
        </w:rPr>
        <w:tab/>
        <w:t>per gewas of groep van gewassen met eenzelfde bemestingsniveau, het gehalte aan totaal stikstof en totaal fosfor in de bodem op basis van een representatief grondmonster;</w:t>
      </w:r>
    </w:p>
    <w:p w:rsidR="00296032" w:rsidRPr="00620047" w:rsidRDefault="00296032">
      <w:pPr>
        <w:pStyle w:val="art2enivo"/>
        <w:rPr>
          <w:rFonts w:cs="Arial"/>
        </w:rPr>
      </w:pPr>
      <w:r w:rsidRPr="00620047">
        <w:rPr>
          <w:rFonts w:cs="Arial"/>
        </w:rPr>
        <w:t>f.</w:t>
      </w:r>
      <w:r w:rsidRPr="00620047">
        <w:rPr>
          <w:rFonts w:cs="Arial"/>
        </w:rPr>
        <w:tab/>
        <w:t>na elk gebruik de hoeveelheid in kilogram per hectare toegediende meststoffen onder vermelding van de samenstelling van de meststof;</w:t>
      </w:r>
    </w:p>
    <w:p w:rsidR="00296032" w:rsidRPr="00620047" w:rsidRDefault="00296032">
      <w:pPr>
        <w:pStyle w:val="art2enivo"/>
        <w:rPr>
          <w:rFonts w:cs="Arial"/>
        </w:rPr>
      </w:pPr>
      <w:r w:rsidRPr="00620047">
        <w:rPr>
          <w:rFonts w:cs="Arial"/>
        </w:rPr>
        <w:t>g.</w:t>
      </w:r>
      <w:r w:rsidRPr="00620047">
        <w:rPr>
          <w:rFonts w:cs="Arial"/>
        </w:rPr>
        <w:tab/>
        <w:t>het gewas of de gewassen die worden geteeld en het teeltoppervlak per gewas en de teeltperiode, en</w:t>
      </w:r>
    </w:p>
    <w:p w:rsidR="00296032" w:rsidRPr="00620047" w:rsidRDefault="00296032">
      <w:pPr>
        <w:pStyle w:val="art2enivo"/>
        <w:rPr>
          <w:rFonts w:cs="Arial"/>
        </w:rPr>
      </w:pPr>
      <w:r w:rsidRPr="00620047">
        <w:rPr>
          <w:rFonts w:cs="Arial"/>
        </w:rPr>
        <w:t>h.</w:t>
      </w:r>
      <w:r w:rsidRPr="00620047">
        <w:rPr>
          <w:rFonts w:cs="Arial"/>
        </w:rPr>
        <w:tab/>
        <w:t>jaarlijks de op 1 januari aanwezige meststoffen onder vermelding van de merknaam zoals die op de verpakking is vermeld, de naam en het adres van de leveranciers en de hoeveelheid, uitgedrukt in kilogrammen of liters.</w:t>
      </w:r>
    </w:p>
    <w:p w:rsidR="00296032" w:rsidRPr="00620047" w:rsidRDefault="00296032">
      <w:pPr>
        <w:pStyle w:val="art1enivo"/>
        <w:rPr>
          <w:rFonts w:cs="Arial"/>
        </w:rPr>
      </w:pPr>
      <w:r w:rsidRPr="00620047">
        <w:rPr>
          <w:rFonts w:cs="Arial"/>
        </w:rPr>
        <w:t>2.</w:t>
      </w:r>
      <w:r w:rsidRPr="00620047">
        <w:rPr>
          <w:rFonts w:cs="Arial"/>
        </w:rPr>
        <w:tab/>
        <w:t>Indien op grond van artikel 3.63, eerste lid, drainagewater zowel in het vuilwaterriool als in een oppervlaktewaterlichaam wordt geloosd, kan het bevoegd gezag bij maatwerkvoorschrift bepalen dat beide hoeveelheden worden gemeten en geregistreerd overeenkomstig het eerste lid.</w:t>
      </w:r>
    </w:p>
    <w:p w:rsidR="00296032" w:rsidRPr="00620047" w:rsidRDefault="00296032">
      <w:pPr>
        <w:pStyle w:val="art1enivo"/>
        <w:rPr>
          <w:rFonts w:cs="Arial"/>
        </w:rPr>
      </w:pPr>
      <w:r w:rsidRPr="00620047">
        <w:rPr>
          <w:rFonts w:cs="Arial"/>
        </w:rPr>
        <w:t>3.</w:t>
      </w:r>
      <w:r w:rsidRPr="00620047">
        <w:rPr>
          <w:rFonts w:cs="Arial"/>
        </w:rPr>
        <w:tab/>
        <w:t>Bij ministeriële regeling worden nadere regels gesteld over het meten, berekenen en registreren.</w:t>
      </w:r>
    </w:p>
    <w:p w:rsidR="00296032" w:rsidRPr="00620047" w:rsidRDefault="00296032">
      <w:pPr>
        <w:pStyle w:val="art1enivo"/>
        <w:rPr>
          <w:rFonts w:cs="Arial"/>
        </w:rPr>
      </w:pPr>
      <w:r w:rsidRPr="00620047">
        <w:rPr>
          <w:rFonts w:cs="Arial"/>
        </w:rPr>
        <w:t>4.</w:t>
      </w:r>
      <w:r w:rsidRPr="00620047">
        <w:rPr>
          <w:rFonts w:cs="Arial"/>
        </w:rPr>
        <w:tab/>
        <w:t>De resultaten van de metingen, berekeningen, en registraties, bedoeld in het eerste lid en van de metingen en registraties, bedoeld in het tweede lid, worden gedurende 5 jaren bewaard en op een daartoe strekkend verzoek aan het bevoegd gezag overgelegd.</w:t>
      </w:r>
    </w:p>
    <w:p w:rsidR="00296032" w:rsidRPr="00296032" w:rsidRDefault="00296032">
      <w:pPr>
        <w:pStyle w:val="artikelkop"/>
        <w:rPr>
          <w:rFonts w:cs="Arial"/>
        </w:rPr>
      </w:pPr>
      <w:r w:rsidRPr="00296032">
        <w:rPr>
          <w:rFonts w:cs="Arial"/>
        </w:rPr>
        <w:t>Artikel 3.73</w:t>
      </w:r>
    </w:p>
    <w:p w:rsidR="00296032" w:rsidRPr="00620047" w:rsidRDefault="00296032">
      <w:pPr>
        <w:pStyle w:val="art1enivo"/>
        <w:rPr>
          <w:rFonts w:cs="Arial"/>
        </w:rPr>
      </w:pPr>
      <w:r w:rsidRPr="00620047">
        <w:rPr>
          <w:rFonts w:cs="Arial"/>
        </w:rPr>
        <w:t>1.</w:t>
      </w:r>
      <w:r w:rsidRPr="00620047">
        <w:rPr>
          <w:rFonts w:cs="Arial"/>
        </w:rPr>
        <w:tab/>
        <w:t>Jaarlijks voor 1 mei wordt aan het bevoegd gezag een rapportage met de volgende gegevens overgelegd:</w:t>
      </w:r>
    </w:p>
    <w:p w:rsidR="00296032" w:rsidRPr="00620047" w:rsidRDefault="00296032">
      <w:pPr>
        <w:pStyle w:val="art2enivo"/>
        <w:rPr>
          <w:rFonts w:cs="Arial"/>
        </w:rPr>
      </w:pPr>
      <w:r w:rsidRPr="00620047">
        <w:rPr>
          <w:rFonts w:cs="Arial"/>
        </w:rPr>
        <w:t>a.</w:t>
      </w:r>
      <w:r w:rsidRPr="00620047">
        <w:rPr>
          <w:rFonts w:cs="Arial"/>
        </w:rPr>
        <w:tab/>
        <w:t>de gegevens, bedoeld in artikel 3.72, eerste lid, onderdelen c, d en g, en tweede lid, over het aan die datum voorafgaande kalenderjaar;</w:t>
      </w:r>
    </w:p>
    <w:p w:rsidR="00296032" w:rsidRPr="00620047" w:rsidRDefault="00296032">
      <w:pPr>
        <w:pStyle w:val="art2enivo"/>
        <w:rPr>
          <w:rFonts w:cs="Arial"/>
        </w:rPr>
      </w:pPr>
      <w:r w:rsidRPr="00620047">
        <w:rPr>
          <w:rFonts w:cs="Arial"/>
        </w:rPr>
        <w:t>b.</w:t>
      </w:r>
      <w:r w:rsidRPr="00620047">
        <w:rPr>
          <w:rFonts w:cs="Arial"/>
        </w:rPr>
        <w:tab/>
        <w:t>de berekende hoeveelheid toegediende totaal stikstof en totaal fosfor per vierkante meter over het aan die datum voorafgaande kalenderjaar, uitgaande van de gegevens, geregistreerd op grond van artikel 3.72, eerste lid, onderdelen f en g.</w:t>
      </w:r>
    </w:p>
    <w:p w:rsidR="00296032" w:rsidRPr="00620047" w:rsidRDefault="00296032">
      <w:pPr>
        <w:pStyle w:val="art2enivo"/>
        <w:rPr>
          <w:rFonts w:cs="Arial"/>
        </w:rPr>
      </w:pPr>
      <w:r w:rsidRPr="00620047">
        <w:rPr>
          <w:rFonts w:cs="Arial"/>
        </w:rPr>
        <w:t>c.</w:t>
      </w:r>
      <w:r w:rsidRPr="00620047">
        <w:rPr>
          <w:rFonts w:cs="Arial"/>
        </w:rPr>
        <w:tab/>
        <w:t>de berekende hoeveelheid totaal stikstof en totaal fosfor in het drainagewater die over het aan die datum voorafgaande kalenderjaar is geloosd, uitgaande van de gegevens die zijn geregistreerd op grond van artikel 3.72, eerste lid, onderdelen c, d en g.</w:t>
      </w:r>
    </w:p>
    <w:p w:rsidR="00296032" w:rsidRPr="00620047" w:rsidRDefault="00296032">
      <w:pPr>
        <w:pStyle w:val="art1enivo"/>
        <w:rPr>
          <w:rFonts w:cs="Arial"/>
        </w:rPr>
      </w:pPr>
      <w:r w:rsidRPr="00620047">
        <w:rPr>
          <w:rFonts w:cs="Arial"/>
        </w:rPr>
        <w:t>2.</w:t>
      </w:r>
      <w:r w:rsidRPr="00620047">
        <w:rPr>
          <w:rFonts w:cs="Arial"/>
        </w:rPr>
        <w:tab/>
        <w:t>Bij ministeriële regeling worden nadere regels gesteld over de rapportage.</w:t>
      </w:r>
    </w:p>
    <w:p w:rsidR="00296032" w:rsidRPr="00620047" w:rsidRDefault="00296032">
      <w:pPr>
        <w:pStyle w:val="art1enivo"/>
        <w:rPr>
          <w:rFonts w:cs="Arial"/>
        </w:rPr>
      </w:pPr>
      <w:r w:rsidRPr="00620047">
        <w:rPr>
          <w:rFonts w:cs="Arial"/>
        </w:rPr>
        <w:t>3.</w:t>
      </w:r>
      <w:r w:rsidRPr="00620047">
        <w:rPr>
          <w:rFonts w:cs="Arial"/>
        </w:rPr>
        <w:tab/>
        <w:t>Op een daartoe strekkend verzoek van het bevoegd gezag wordt een verantwoording over de hoeveelheid toegediende meststoffen en water, bedoeld in artikel 3.71, vierde lid, overgelegd.</w:t>
      </w:r>
    </w:p>
    <w:p w:rsidR="00296032" w:rsidRPr="00620047" w:rsidRDefault="00296032">
      <w:pPr>
        <w:pStyle w:val="art1enivo"/>
        <w:rPr>
          <w:rFonts w:cs="Arial"/>
        </w:rPr>
      </w:pPr>
      <w:r w:rsidRPr="00620047">
        <w:rPr>
          <w:rFonts w:cs="Arial"/>
        </w:rPr>
        <w:t>4.</w:t>
      </w:r>
      <w:r w:rsidRPr="00620047">
        <w:rPr>
          <w:rFonts w:cs="Arial"/>
        </w:rPr>
        <w:tab/>
        <w:t>Het bevoegd gezag kan het met oog op de verantwoording, bedoeld in het derde lid, bij maatwerkvoorschrift aanvullende onderzoeksverplichtingen opleggen ter verantwoording van het meststoffen- en watergebruik.</w:t>
      </w:r>
    </w:p>
    <w:p w:rsidR="00296032" w:rsidRPr="00296032" w:rsidRDefault="00296032">
      <w:pPr>
        <w:pStyle w:val="artikelkop"/>
        <w:rPr>
          <w:rFonts w:cs="Arial"/>
        </w:rPr>
      </w:pPr>
      <w:r w:rsidRPr="00296032">
        <w:rPr>
          <w:rFonts w:cs="Arial"/>
        </w:rPr>
        <w:t>Artikel 3.74</w:t>
      </w:r>
    </w:p>
    <w:p w:rsidR="00296032" w:rsidRPr="00620047" w:rsidRDefault="00296032">
      <w:pPr>
        <w:pStyle w:val="artplat"/>
        <w:rPr>
          <w:rFonts w:cs="Arial"/>
        </w:rPr>
      </w:pPr>
      <w:r w:rsidRPr="00620047">
        <w:rPr>
          <w:rFonts w:cs="Arial"/>
        </w:rPr>
        <w:t>In afwijking van de artikelen 3.72 en 3.73 kan het bevoegd gezag, indien het meten, berekenen, registreren of rapporteren, bedoeld in die artikelen niet doelmatig is, bij maatwerkvoorschrift een andere wijze van meten, berekenen, registreren of rapporteren bepalen.</w:t>
      </w:r>
    </w:p>
    <w:p w:rsidR="00296032" w:rsidRPr="00296032" w:rsidRDefault="00296032">
      <w:pPr>
        <w:pStyle w:val="artikelkop"/>
      </w:pPr>
      <w:r w:rsidRPr="00296032">
        <w:t xml:space="preserve">Artikel 3.74a </w:t>
      </w:r>
    </w:p>
    <w:p w:rsidR="00296032" w:rsidRPr="00620047" w:rsidRDefault="00296032">
      <w:pPr>
        <w:pStyle w:val="artplat"/>
      </w:pPr>
      <w:r w:rsidRPr="00620047">
        <w:t>Indien op 1 april 2002 door middel van een systeem van onderbemaling werd gerecirculeerd, en:</w:t>
      </w:r>
    </w:p>
    <w:p w:rsidR="00296032" w:rsidRPr="00620047" w:rsidRDefault="00296032">
      <w:pPr>
        <w:pStyle w:val="artplatletter"/>
      </w:pPr>
      <w:r w:rsidRPr="00620047">
        <w:t>a.</w:t>
      </w:r>
      <w:r w:rsidRPr="00620047">
        <w:tab/>
        <w:t>recirculatie plaatsvindt door middel van een drainagestelsel met verzamelput en afvoer naar een centrale opvang waarin het drainwater wordt verwerkt;</w:t>
      </w:r>
    </w:p>
    <w:p w:rsidR="00296032" w:rsidRPr="00620047" w:rsidRDefault="00296032">
      <w:pPr>
        <w:pStyle w:val="artplatletter"/>
      </w:pPr>
      <w:r w:rsidRPr="00620047">
        <w:t>b.</w:t>
      </w:r>
      <w:r w:rsidRPr="00620047">
        <w:tab/>
        <w:t>een drainagekoker gelegen is op een diepte van ten hoogste 0,25 m boven de gemiddelde grondwaterstand en ten hoogste 1,25 m onder het maaiveld;</w:t>
      </w:r>
    </w:p>
    <w:p w:rsidR="00296032" w:rsidRPr="00620047" w:rsidRDefault="00296032">
      <w:pPr>
        <w:pStyle w:val="artplatletter"/>
      </w:pPr>
      <w:r w:rsidRPr="00620047">
        <w:t>c.</w:t>
      </w:r>
      <w:r w:rsidRPr="00620047">
        <w:tab/>
        <w:t>ten hoogste 10% van de totale hoeveelheid drainwater naar de bodem sijpelt;</w:t>
      </w:r>
    </w:p>
    <w:p w:rsidR="00296032" w:rsidRPr="00620047" w:rsidRDefault="00296032">
      <w:pPr>
        <w:pStyle w:val="artplatletter"/>
      </w:pPr>
      <w:r w:rsidRPr="00620047">
        <w:t>d.</w:t>
      </w:r>
      <w:r w:rsidRPr="00620047">
        <w:tab/>
        <w:t>door een door het bevoegd gezag geaccepteerde deskundige is beoordeeld of aan de in de onderdelen a tot en met c genoemde criteria wordt voldaan en een bewijs van de beoordeling, afgegeven door of namens degene die de beoordeling heeft uitgevoerd, binnen de inrichting wordt bewaard:</w:t>
      </w:r>
    </w:p>
    <w:p w:rsidR="00296032" w:rsidRDefault="00296032">
      <w:pPr>
        <w:pStyle w:val="artplat"/>
      </w:pPr>
      <w:r w:rsidRPr="00620047">
        <w:t>wordt het lozen van drainwater in de bodem aangemerkt als het lozen van drainwater waarvoor een maatwerkvoorschrift als bedoeld in artikel 2.2, derde lid, is vastgesteld.</w:t>
      </w:r>
    </w:p>
    <w:p w:rsidR="000466C0" w:rsidRDefault="000466C0">
      <w:pPr>
        <w:pStyle w:val="artplat"/>
      </w:pPr>
    </w:p>
    <w:p w:rsidR="000466C0" w:rsidRDefault="000466C0" w:rsidP="000466C0">
      <w:pPr>
        <w:pStyle w:val="paragraaf"/>
        <w:shd w:val="clear" w:color="auto" w:fill="D9D9D9" w:themeFill="background1" w:themeFillShade="D9"/>
      </w:pPr>
      <w:bookmarkStart w:id="130" w:name="_Toc431375622"/>
      <w:r>
        <w:t>§ 3.5.1.</w:t>
      </w:r>
      <w:r>
        <w:tab/>
        <w:t>Telen of kweken van gewassen in een kas</w:t>
      </w:r>
      <w:bookmarkEnd w:id="130"/>
    </w:p>
    <w:p w:rsidR="000466C0" w:rsidRDefault="000466C0" w:rsidP="000466C0">
      <w:pPr>
        <w:pStyle w:val="artikelkop"/>
        <w:shd w:val="clear" w:color="auto" w:fill="D9D9D9" w:themeFill="background1" w:themeFillShade="D9"/>
      </w:pPr>
      <w:r>
        <w:t xml:space="preserve">Artikel 3.72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Voor het meten van:</w:t>
      </w:r>
    </w:p>
    <w:p w:rsidR="000466C0" w:rsidRDefault="000466C0" w:rsidP="000466C0">
      <w:pPr>
        <w:pStyle w:val="art2enivo"/>
        <w:shd w:val="clear" w:color="auto" w:fill="D9D9D9" w:themeFill="background1" w:themeFillShade="D9"/>
        <w:suppressAutoHyphens/>
        <w:rPr>
          <w:rFonts w:cs="Arial"/>
        </w:rPr>
      </w:pPr>
      <w:r>
        <w:rPr>
          <w:rFonts w:cs="Arial"/>
        </w:rPr>
        <w:t>a.</w:t>
      </w:r>
      <w:r>
        <w:rPr>
          <w:rFonts w:cs="Arial"/>
        </w:rPr>
        <w:tab/>
        <w:t>de hoeveelheid drainwater, bedoeld in artikel 3.67, eerste lid, van het besluit;</w:t>
      </w:r>
    </w:p>
    <w:p w:rsidR="000466C0" w:rsidRDefault="000466C0" w:rsidP="000466C0">
      <w:pPr>
        <w:pStyle w:val="art2enivo"/>
        <w:shd w:val="clear" w:color="auto" w:fill="D9D9D9" w:themeFill="background1" w:themeFillShade="D9"/>
        <w:suppressAutoHyphens/>
        <w:rPr>
          <w:rFonts w:cs="Arial"/>
        </w:rPr>
      </w:pPr>
      <w:r>
        <w:rPr>
          <w:rFonts w:cs="Arial"/>
        </w:rPr>
        <w:t>b.</w:t>
      </w:r>
      <w:r>
        <w:rPr>
          <w:rFonts w:cs="Arial"/>
        </w:rPr>
        <w:tab/>
        <w:t>de hoeveelheid voedingswater, bedoeld in artikel 3.72, eerste lid, onderdeel a, van het besluit;</w:t>
      </w:r>
    </w:p>
    <w:p w:rsidR="000466C0" w:rsidRDefault="000466C0" w:rsidP="000466C0">
      <w:pPr>
        <w:pStyle w:val="art2enivo"/>
        <w:shd w:val="clear" w:color="auto" w:fill="D9D9D9" w:themeFill="background1" w:themeFillShade="D9"/>
        <w:suppressAutoHyphens/>
        <w:rPr>
          <w:rFonts w:cs="Arial"/>
        </w:rPr>
      </w:pPr>
      <w:r>
        <w:rPr>
          <w:rFonts w:cs="Arial"/>
        </w:rPr>
        <w:t>c.</w:t>
      </w:r>
      <w:r>
        <w:rPr>
          <w:rFonts w:cs="Arial"/>
        </w:rPr>
        <w:tab/>
        <w:t>de hoeveelheid drainagewater, bedoeld in artikel 3.72, eerste lid, onderdeel b, van het besluit, en</w:t>
      </w:r>
    </w:p>
    <w:p w:rsidR="000466C0" w:rsidRDefault="000466C0" w:rsidP="000466C0">
      <w:pPr>
        <w:pStyle w:val="art2enivo"/>
        <w:shd w:val="clear" w:color="auto" w:fill="D9D9D9" w:themeFill="background1" w:themeFillShade="D9"/>
        <w:suppressAutoHyphens/>
        <w:rPr>
          <w:rFonts w:cs="Arial"/>
        </w:rPr>
      </w:pPr>
      <w:r>
        <w:rPr>
          <w:rFonts w:cs="Arial"/>
        </w:rPr>
        <w:t>d.</w:t>
      </w:r>
      <w:r>
        <w:rPr>
          <w:rFonts w:cs="Arial"/>
        </w:rPr>
        <w:tab/>
        <w:t>de hoeveelheid drainagewater, bedoeld in artikel 3.72, eerste lid, onderdeel c, van het besluit,</w:t>
      </w:r>
    </w:p>
    <w:p w:rsidR="000466C0" w:rsidRDefault="000466C0" w:rsidP="000466C0">
      <w:pPr>
        <w:pStyle w:val="artplat"/>
        <w:shd w:val="clear" w:color="auto" w:fill="D9D9D9" w:themeFill="background1" w:themeFillShade="D9"/>
        <w:suppressAutoHyphens/>
        <w:rPr>
          <w:rFonts w:cs="Arial"/>
        </w:rPr>
      </w:pPr>
      <w:r>
        <w:rPr>
          <w:rFonts w:cs="Arial"/>
        </w:rPr>
        <w:tab/>
        <w:t>is een doelmatige volumemeter geïnstalleerd.</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Een volumemeter wordt ten minste eenmaal per drie jaar op de goede werking gecontroleerd en onderhouden door een deskundige op het gebied van volumemeters.</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Een bewijs van de controle en het onderhoud is binnen de inrichting aanwezig.</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Het bevoegd gezag kan, indien het belang van de bescherming van het milieu daartoe noodzaakt, bij maatwerkvoorschrift eisen stellen aan de verzegeling van de volumemeter.</w:t>
      </w:r>
    </w:p>
    <w:p w:rsidR="000466C0" w:rsidRDefault="000466C0" w:rsidP="000466C0">
      <w:pPr>
        <w:pStyle w:val="artikelkop"/>
        <w:shd w:val="clear" w:color="auto" w:fill="D9D9D9" w:themeFill="background1" w:themeFillShade="D9"/>
      </w:pPr>
      <w:r>
        <w:t xml:space="preserve">Artikel 3.73 </w:t>
      </w:r>
    </w:p>
    <w:p w:rsidR="000466C0" w:rsidRDefault="000466C0" w:rsidP="000466C0">
      <w:pPr>
        <w:pStyle w:val="artplat"/>
        <w:shd w:val="clear" w:color="auto" w:fill="D9D9D9" w:themeFill="background1" w:themeFillShade="D9"/>
        <w:suppressAutoHyphens/>
        <w:rPr>
          <w:rFonts w:cs="Arial"/>
        </w:rPr>
      </w:pPr>
      <w:r>
        <w:rPr>
          <w:rFonts w:cs="Arial"/>
        </w:rPr>
        <w:t>De rapportage, bedoeld in de artikelen 3.68, eerste lid, en 3.73, eerste lid, van het besluit vindt plaats met gebruikmaking van het model dat is opgenomen in bijlage 6.</w:t>
      </w:r>
    </w:p>
    <w:p w:rsidR="000466C0" w:rsidRDefault="000466C0" w:rsidP="000466C0">
      <w:pPr>
        <w:pStyle w:val="artikelkop"/>
        <w:shd w:val="clear" w:color="auto" w:fill="D9D9D9" w:themeFill="background1" w:themeFillShade="D9"/>
      </w:pPr>
      <w:r>
        <w:t xml:space="preserve">Artikel 3.74 </w:t>
      </w:r>
    </w:p>
    <w:p w:rsidR="000466C0" w:rsidRDefault="000466C0" w:rsidP="000466C0">
      <w:pPr>
        <w:pStyle w:val="art1enivo"/>
        <w:shd w:val="clear" w:color="auto" w:fill="D9D9D9" w:themeFill="background1" w:themeFillShade="D9"/>
        <w:suppressAutoHyphens/>
        <w:rPr>
          <w:rFonts w:cs="Arial"/>
        </w:rPr>
      </w:pPr>
      <w:r>
        <w:rPr>
          <w:rFonts w:cs="Arial"/>
        </w:rPr>
        <w:t>De volgorde van lozen, bedoeld in artikel 3.63, vierde lid, onderdeel b, van het besluit is:</w:t>
      </w:r>
    </w:p>
    <w:p w:rsidR="000466C0" w:rsidRDefault="000466C0" w:rsidP="000466C0">
      <w:pPr>
        <w:pStyle w:val="art1enivo"/>
        <w:shd w:val="clear" w:color="auto" w:fill="D9D9D9" w:themeFill="background1" w:themeFillShade="D9"/>
      </w:pPr>
      <w:r>
        <w:t>a.</w:t>
      </w:r>
      <w:r>
        <w:tab/>
        <w:t>huishoudelijk afvalwater;</w:t>
      </w:r>
    </w:p>
    <w:p w:rsidR="000466C0" w:rsidRDefault="000466C0" w:rsidP="000466C0">
      <w:pPr>
        <w:pStyle w:val="art1enivo"/>
        <w:shd w:val="clear" w:color="auto" w:fill="D9D9D9" w:themeFill="background1" w:themeFillShade="D9"/>
      </w:pPr>
      <w:r>
        <w:t>b.</w:t>
      </w:r>
      <w:r>
        <w:tab/>
        <w:t>afvalwater afkomstig van het spuiten of schrobben van vloeren, niet zijnde vloeren van ruimten waar gewasbeschermingsmiddelen of biociden worden aangemaakt;</w:t>
      </w:r>
    </w:p>
    <w:p w:rsidR="000466C0" w:rsidRDefault="000466C0" w:rsidP="000466C0">
      <w:pPr>
        <w:pStyle w:val="art1enivo"/>
        <w:shd w:val="clear" w:color="auto" w:fill="D9D9D9" w:themeFill="background1" w:themeFillShade="D9"/>
      </w:pPr>
      <w:r>
        <w:t>c.</w:t>
      </w:r>
      <w:r>
        <w:tab/>
        <w:t>spoelwater van filters van een waterdoseringsinstallatie;</w:t>
      </w:r>
    </w:p>
    <w:p w:rsidR="000466C0" w:rsidRDefault="000466C0" w:rsidP="000466C0">
      <w:pPr>
        <w:pStyle w:val="art1enivo"/>
        <w:shd w:val="clear" w:color="auto" w:fill="D9D9D9" w:themeFill="background1" w:themeFillShade="D9"/>
      </w:pPr>
      <w:r>
        <w:t>d.</w:t>
      </w:r>
      <w:r>
        <w:tab/>
        <w:t>terugspoelwater van een ontijzeringsinstallatie;</w:t>
      </w:r>
    </w:p>
    <w:p w:rsidR="000466C0" w:rsidRDefault="000466C0" w:rsidP="000466C0">
      <w:pPr>
        <w:pStyle w:val="art1enivo"/>
        <w:shd w:val="clear" w:color="auto" w:fill="D9D9D9" w:themeFill="background1" w:themeFillShade="D9"/>
      </w:pPr>
      <w:r>
        <w:t>e.</w:t>
      </w:r>
      <w:r>
        <w:tab/>
        <w:t>spoelwater van ionenwisselaars;</w:t>
      </w:r>
    </w:p>
    <w:p w:rsidR="000466C0" w:rsidRDefault="000466C0" w:rsidP="000466C0">
      <w:pPr>
        <w:pStyle w:val="art1enivo"/>
        <w:shd w:val="clear" w:color="auto" w:fill="D9D9D9" w:themeFill="background1" w:themeFillShade="D9"/>
      </w:pPr>
      <w:r>
        <w:t>f.</w:t>
      </w:r>
      <w:r>
        <w:tab/>
        <w:t>afvalwater dat bloemvoorbehandelingsmiddelen uitsluitend op basis van actief chloor bevat;</w:t>
      </w:r>
    </w:p>
    <w:p w:rsidR="000466C0" w:rsidRDefault="000466C0" w:rsidP="000466C0">
      <w:pPr>
        <w:pStyle w:val="art1enivo"/>
        <w:shd w:val="clear" w:color="auto" w:fill="D9D9D9" w:themeFill="background1" w:themeFillShade="D9"/>
      </w:pPr>
      <w:r>
        <w:t>g.</w:t>
      </w:r>
      <w:r>
        <w:tab/>
        <w:t>drainagewater afkomstig van een teelt waarbij gewassen op een bodem groeien die in verbinding staat met de ondergrond;</w:t>
      </w:r>
    </w:p>
    <w:p w:rsidR="000466C0" w:rsidRDefault="000466C0" w:rsidP="000466C0">
      <w:pPr>
        <w:pStyle w:val="art1enivo"/>
        <w:shd w:val="clear" w:color="auto" w:fill="D9D9D9" w:themeFill="background1" w:themeFillShade="D9"/>
      </w:pPr>
      <w:r>
        <w:t>h.</w:t>
      </w:r>
      <w:r>
        <w:tab/>
        <w:t>drainwater;</w:t>
      </w:r>
    </w:p>
    <w:p w:rsidR="000466C0" w:rsidRDefault="000466C0" w:rsidP="000466C0">
      <w:pPr>
        <w:pStyle w:val="art1enivo"/>
        <w:shd w:val="clear" w:color="auto" w:fill="D9D9D9" w:themeFill="background1" w:themeFillShade="D9"/>
      </w:pPr>
      <w:r>
        <w:t>i.</w:t>
      </w:r>
      <w:r>
        <w:tab/>
        <w:t>ketelspuiwater;</w:t>
      </w:r>
    </w:p>
    <w:p w:rsidR="000466C0" w:rsidRDefault="000466C0" w:rsidP="000466C0">
      <w:pPr>
        <w:pStyle w:val="art1enivo"/>
        <w:shd w:val="clear" w:color="auto" w:fill="D9D9D9" w:themeFill="background1" w:themeFillShade="D9"/>
      </w:pPr>
      <w:r>
        <w:t>j.</w:t>
      </w:r>
      <w:r>
        <w:tab/>
        <w:t>afvalwater afkomstig van het wassen van in de kas geteelde groenteproducten;</w:t>
      </w:r>
    </w:p>
    <w:p w:rsidR="000466C0" w:rsidRDefault="000466C0" w:rsidP="000466C0">
      <w:pPr>
        <w:pStyle w:val="art1enivo"/>
        <w:shd w:val="clear" w:color="auto" w:fill="D9D9D9" w:themeFill="background1" w:themeFillShade="D9"/>
      </w:pPr>
      <w:r>
        <w:t>k.</w:t>
      </w:r>
      <w:r>
        <w:tab/>
        <w:t>reinigingswater van leidingen, druppelaars en slangen die onderdeel uitmaken van het systeem waarmee voedingswater aan het gewas wordt toegediend;</w:t>
      </w:r>
    </w:p>
    <w:p w:rsidR="000466C0" w:rsidRDefault="000466C0" w:rsidP="000466C0">
      <w:pPr>
        <w:pStyle w:val="art1enivo"/>
        <w:shd w:val="clear" w:color="auto" w:fill="D9D9D9" w:themeFill="background1" w:themeFillShade="D9"/>
      </w:pPr>
      <w:r>
        <w:t>l.</w:t>
      </w:r>
      <w:r>
        <w:tab/>
        <w:t>spoelwater van fusten;</w:t>
      </w:r>
    </w:p>
    <w:p w:rsidR="000466C0" w:rsidRDefault="000466C0" w:rsidP="000466C0">
      <w:pPr>
        <w:pStyle w:val="art1enivo"/>
        <w:shd w:val="clear" w:color="auto" w:fill="D9D9D9" w:themeFill="background1" w:themeFillShade="D9"/>
      </w:pPr>
      <w:r>
        <w:t>m.</w:t>
      </w:r>
      <w:r>
        <w:tab/>
        <w:t>condenswater van warmtekrachtinstallaties;</w:t>
      </w:r>
    </w:p>
    <w:p w:rsidR="000466C0" w:rsidRDefault="000466C0" w:rsidP="000466C0">
      <w:pPr>
        <w:pStyle w:val="art1enivo"/>
        <w:shd w:val="clear" w:color="auto" w:fill="D9D9D9" w:themeFill="background1" w:themeFillShade="D9"/>
      </w:pPr>
      <w:r>
        <w:t>n.</w:t>
      </w:r>
      <w:r>
        <w:tab/>
        <w:t>afvalwater afkomstig van het bij opkweekbedrijven doorspoelen van substraatblokken die bestemd zijn voor de opkweek van uitgangsmateriaal;</w:t>
      </w:r>
    </w:p>
    <w:p w:rsidR="000466C0" w:rsidRDefault="000466C0" w:rsidP="000466C0">
      <w:pPr>
        <w:pStyle w:val="art1enivo"/>
        <w:shd w:val="clear" w:color="auto" w:fill="D9D9D9" w:themeFill="background1" w:themeFillShade="D9"/>
      </w:pPr>
      <w:r>
        <w:t>o.</w:t>
      </w:r>
      <w:r>
        <w:tab/>
        <w:t>condenswater van stoomleidingen en condensorwater van verwarmingsketels;</w:t>
      </w:r>
    </w:p>
    <w:p w:rsidR="000466C0" w:rsidRDefault="000466C0" w:rsidP="000466C0">
      <w:pPr>
        <w:pStyle w:val="art1enivo"/>
        <w:shd w:val="clear" w:color="auto" w:fill="D9D9D9" w:themeFill="background1" w:themeFillShade="D9"/>
      </w:pPr>
      <w:r>
        <w:t>p.</w:t>
      </w:r>
      <w:r>
        <w:tab/>
        <w:t>ander afvalwater dan bedoeld in de onderdelen a tot en met o.</w:t>
      </w:r>
    </w:p>
    <w:p w:rsidR="000466C0" w:rsidRDefault="000466C0" w:rsidP="000466C0">
      <w:pPr>
        <w:pStyle w:val="artikelkop"/>
        <w:shd w:val="clear" w:color="auto" w:fill="D9D9D9" w:themeFill="background1" w:themeFillShade="D9"/>
      </w:pPr>
      <w:r>
        <w:t>Artikel 3.75</w:t>
      </w:r>
    </w:p>
    <w:p w:rsidR="000466C0" w:rsidRDefault="000466C0" w:rsidP="000466C0">
      <w:pPr>
        <w:pStyle w:val="artplat"/>
        <w:shd w:val="clear" w:color="auto" w:fill="D9D9D9" w:themeFill="background1" w:themeFillShade="D9"/>
        <w:suppressAutoHyphens/>
        <w:rPr>
          <w:rFonts w:cs="Arial"/>
        </w:rPr>
      </w:pPr>
      <w:r>
        <w:rPr>
          <w:rFonts w:cs="Arial"/>
        </w:rPr>
        <w:t>De indeling van gewassen, bedoeld in artikel 3.66, vijfde lid, van het besluit is de indeling, zoals opgenomen in tabel 3.75.</w:t>
      </w:r>
    </w:p>
    <w:p w:rsidR="000466C0" w:rsidRDefault="000466C0" w:rsidP="000466C0">
      <w:pPr>
        <w:pStyle w:val="tabelkop"/>
        <w:shd w:val="clear" w:color="auto" w:fill="D9D9D9" w:themeFill="background1" w:themeFillShade="D9"/>
        <w:suppressAutoHyphens/>
        <w:ind w:hanging="426"/>
        <w:rPr>
          <w:rFonts w:cs="Arial"/>
        </w:rPr>
      </w:pPr>
      <w:r>
        <w:rPr>
          <w:rFonts w:cs="Arial"/>
        </w:rPr>
        <w:t>Tabel 3.75 Categorie-indeling van gewassen</w:t>
      </w:r>
    </w:p>
    <w:tbl>
      <w:tblPr>
        <w:tblStyle w:val="Tabelraster"/>
        <w:tblW w:w="4808" w:type="pct"/>
        <w:tblInd w:w="0" w:type="dxa"/>
        <w:tblLook w:val="04A0" w:firstRow="1" w:lastRow="0" w:firstColumn="1" w:lastColumn="0" w:noHBand="0" w:noVBand="1"/>
      </w:tblPr>
      <w:tblGrid>
        <w:gridCol w:w="2491"/>
        <w:gridCol w:w="6341"/>
      </w:tblGrid>
      <w:tr w:rsidR="000466C0" w:rsidTr="00F43C9B">
        <w:trPr>
          <w:cnfStyle w:val="100000000000" w:firstRow="1" w:lastRow="0" w:firstColumn="0" w:lastColumn="0" w:oddVBand="0" w:evenVBand="0" w:oddHBand="0" w:evenHBand="0" w:firstRowFirstColumn="0" w:firstRowLastColumn="0" w:lastRowFirstColumn="0" w:lastRowLastColumn="0"/>
        </w:trPr>
        <w:tc>
          <w:tcPr>
            <w:tcW w:w="141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b w:val="0"/>
              </w:rPr>
              <w:t>Categorie van gewassen</w:t>
            </w:r>
          </w:p>
        </w:tc>
        <w:tc>
          <w:tcPr>
            <w:tcW w:w="35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b w:val="0"/>
              </w:rPr>
              <w:t>Gewassen</w:t>
            </w:r>
          </w:p>
        </w:tc>
      </w:tr>
      <w:tr w:rsidR="000466C0" w:rsidTr="00F43C9B">
        <w:tc>
          <w:tcPr>
            <w:tcW w:w="141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Categorie 1</w:t>
            </w:r>
          </w:p>
        </w:tc>
        <w:tc>
          <w:tcPr>
            <w:tcW w:w="35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Overige groenten</w:t>
            </w:r>
          </w:p>
        </w:tc>
      </w:tr>
      <w:tr w:rsidR="000466C0" w:rsidTr="00F43C9B">
        <w:tc>
          <w:tcPr>
            <w:tcW w:w="141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Categorie 2</w:t>
            </w:r>
          </w:p>
        </w:tc>
        <w:tc>
          <w:tcPr>
            <w:tcW w:w="35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Anthurium, kuipplanten, perkplanten</w:t>
            </w:r>
          </w:p>
        </w:tc>
      </w:tr>
      <w:tr w:rsidR="000466C0" w:rsidTr="00F43C9B">
        <w:tc>
          <w:tcPr>
            <w:tcW w:w="141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Categorie 3</w:t>
            </w:r>
          </w:p>
        </w:tc>
        <w:tc>
          <w:tcPr>
            <w:tcW w:w="35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Orchidee (Cymbidium)</w:t>
            </w:r>
          </w:p>
        </w:tc>
      </w:tr>
      <w:tr w:rsidR="000466C0" w:rsidTr="00F43C9B">
        <w:tc>
          <w:tcPr>
            <w:tcW w:w="141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Categorie 4</w:t>
            </w:r>
          </w:p>
        </w:tc>
        <w:tc>
          <w:tcPr>
            <w:tcW w:w="35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Tulp, eenjarige zomerbloeiers</w:t>
            </w:r>
          </w:p>
        </w:tc>
      </w:tr>
      <w:tr w:rsidR="000466C0" w:rsidTr="00F43C9B">
        <w:tc>
          <w:tcPr>
            <w:tcW w:w="141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Categorie 5</w:t>
            </w:r>
          </w:p>
        </w:tc>
        <w:tc>
          <w:tcPr>
            <w:tcW w:w="35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Tomaat, kruiden</w:t>
            </w:r>
          </w:p>
        </w:tc>
      </w:tr>
      <w:tr w:rsidR="000466C0" w:rsidTr="00F43C9B">
        <w:tc>
          <w:tcPr>
            <w:tcW w:w="141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Categorie 6</w:t>
            </w:r>
          </w:p>
        </w:tc>
        <w:tc>
          <w:tcPr>
            <w:tcW w:w="35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komkommer</w:t>
            </w:r>
          </w:p>
          <w:p w:rsidR="000466C0" w:rsidRDefault="000466C0" w:rsidP="000466C0">
            <w:pPr>
              <w:shd w:val="clear" w:color="auto" w:fill="D9D9D9" w:themeFill="background1" w:themeFillShade="D9"/>
              <w:suppressAutoHyphens/>
              <w:rPr>
                <w:rFonts w:cs="Arial"/>
              </w:rPr>
            </w:pPr>
            <w:r>
              <w:rPr>
                <w:rFonts w:cs="Arial"/>
              </w:rPr>
              <w:t>potplant, uitgangsmateriaal sierteelt</w:t>
            </w:r>
          </w:p>
          <w:p w:rsidR="000466C0" w:rsidRDefault="000466C0" w:rsidP="000466C0">
            <w:pPr>
              <w:shd w:val="clear" w:color="auto" w:fill="D9D9D9" w:themeFill="background1" w:themeFillShade="D9"/>
              <w:suppressAutoHyphens/>
              <w:rPr>
                <w:rFonts w:cs="Arial"/>
              </w:rPr>
            </w:pPr>
            <w:r>
              <w:rPr>
                <w:rFonts w:cs="Arial"/>
              </w:rPr>
              <w:t>overig sierteelt</w:t>
            </w:r>
          </w:p>
        </w:tc>
      </w:tr>
      <w:tr w:rsidR="000466C0" w:rsidTr="00F43C9B">
        <w:tc>
          <w:tcPr>
            <w:tcW w:w="141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Categorie 7</w:t>
            </w:r>
          </w:p>
        </w:tc>
        <w:tc>
          <w:tcPr>
            <w:tcW w:w="35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aardbei, aubergine, paprika</w:t>
            </w:r>
          </w:p>
        </w:tc>
      </w:tr>
      <w:tr w:rsidR="000466C0" w:rsidTr="00F43C9B">
        <w:tc>
          <w:tcPr>
            <w:tcW w:w="141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Categorie 8</w:t>
            </w:r>
          </w:p>
        </w:tc>
        <w:tc>
          <w:tcPr>
            <w:tcW w:w="35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Gerbera</w:t>
            </w:r>
          </w:p>
          <w:p w:rsidR="000466C0" w:rsidRDefault="000466C0" w:rsidP="000466C0">
            <w:pPr>
              <w:shd w:val="clear" w:color="auto" w:fill="D9D9D9" w:themeFill="background1" w:themeFillShade="D9"/>
              <w:suppressAutoHyphens/>
              <w:rPr>
                <w:rFonts w:cs="Arial"/>
              </w:rPr>
            </w:pPr>
            <w:r>
              <w:rPr>
                <w:rFonts w:cs="Arial"/>
              </w:rPr>
              <w:t>Roos, uitgangsmateriaal groenten</w:t>
            </w:r>
          </w:p>
        </w:tc>
      </w:tr>
      <w:tr w:rsidR="000466C0" w:rsidTr="00F43C9B">
        <w:tc>
          <w:tcPr>
            <w:tcW w:w="141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Categorie 9</w:t>
            </w:r>
          </w:p>
        </w:tc>
        <w:tc>
          <w:tcPr>
            <w:tcW w:w="35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Phalaenopsis, overige potorchidee</w:t>
            </w:r>
          </w:p>
        </w:tc>
      </w:tr>
    </w:tbl>
    <w:p w:rsidR="000466C0" w:rsidRDefault="000466C0" w:rsidP="000466C0">
      <w:pPr>
        <w:pStyle w:val="artikelkop"/>
        <w:shd w:val="clear" w:color="auto" w:fill="D9D9D9" w:themeFill="background1" w:themeFillShade="D9"/>
      </w:pPr>
      <w:r>
        <w:t xml:space="preserve">Artikel 3.76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Het meten van de hoeveelheid drainwater die wordt geloosd en de hoeveelheid voedingswater die wordt toegediend, bedoeld in artikel 3.67, eerste lid, onderdeel a, van het besluit vindt plaats bij ieder lozingspunt.</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Het registreren van de hoeveelheid drainwater die wordt geloosd en de hoeveelheid voedingswater die is toegediend, bedoeld in artikel 3.67, eerste lid, onderdeel a, van het besluit vindt plaats per periode van vier weken, beginnend op dag 1 van week 1.</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Het meten en registreren van het gehalte aan totaal stikstof en totaal fosfor, natrium en de geleidingswaarde in het drainwater, bedoeld in artikel 3.67, eerste lid, onderdeel b, van het besluit vindt ten minste een keer per periode van acht weken plaats, beginnend op dag 1 van week 1 en ten minste een keer in de weken 49 tot 52.</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De afwijking van de nauwkeurigheid van de instrumenten die worden gebruikt voor het meten van de hoeveelheden, bedoeld in het eerste lid, bedraagt ten hoogste tien procent.</w:t>
      </w:r>
    </w:p>
    <w:p w:rsidR="000466C0" w:rsidRDefault="000466C0" w:rsidP="000466C0">
      <w:pPr>
        <w:pStyle w:val="art1enivo"/>
        <w:shd w:val="clear" w:color="auto" w:fill="D9D9D9" w:themeFill="background1" w:themeFillShade="D9"/>
        <w:suppressAutoHyphens/>
        <w:rPr>
          <w:rFonts w:cs="Arial"/>
        </w:rPr>
      </w:pPr>
      <w:r>
        <w:rPr>
          <w:rFonts w:cs="Arial"/>
        </w:rPr>
        <w:t>5.</w:t>
      </w:r>
      <w:r>
        <w:rPr>
          <w:rFonts w:cs="Arial"/>
        </w:rPr>
        <w:tab/>
        <w:t>Het bevoegd gezag kan bij maatwerkvoorschrift eisen stellen aan:</w:t>
      </w:r>
    </w:p>
    <w:p w:rsidR="000466C0" w:rsidRDefault="000466C0" w:rsidP="000466C0">
      <w:pPr>
        <w:pStyle w:val="art2enivo"/>
        <w:shd w:val="clear" w:color="auto" w:fill="D9D9D9" w:themeFill="background1" w:themeFillShade="D9"/>
      </w:pPr>
      <w:r>
        <w:t>a.</w:t>
      </w:r>
      <w:r>
        <w:tab/>
        <w:t>de uitvoering van het meten van de hoeveelheid drainwater die wordt geloosd en de hoeveelheid voedingswater die wordt toegediend, bedoeld in artikel 3.67, eerste lid, onderdeel a, van het besluit,</w:t>
      </w:r>
    </w:p>
    <w:p w:rsidR="000466C0" w:rsidRDefault="000466C0" w:rsidP="000466C0">
      <w:pPr>
        <w:pStyle w:val="art2enivo"/>
        <w:shd w:val="clear" w:color="auto" w:fill="D9D9D9" w:themeFill="background1" w:themeFillShade="D9"/>
      </w:pPr>
      <w:r>
        <w:t>b.</w:t>
      </w:r>
      <w:r>
        <w:tab/>
        <w:t>het registreren van de hoeveelheid drainwater die wordt geloosd en de hoeveelheid voedingswater die is toegediend, bedoeld in artikel 3.67, eerste lid, onderdeel a, van het besluit, en</w:t>
      </w:r>
    </w:p>
    <w:p w:rsidR="000466C0" w:rsidRDefault="000466C0" w:rsidP="000466C0">
      <w:pPr>
        <w:pStyle w:val="art2enivo"/>
        <w:shd w:val="clear" w:color="auto" w:fill="D9D9D9" w:themeFill="background1" w:themeFillShade="D9"/>
      </w:pPr>
      <w:r>
        <w:t>c.</w:t>
      </w:r>
      <w:r>
        <w:tab/>
        <w:t>het meten en registreren van het gehalte aan totaal stikstof en totaal fosfor, natrium en de geleidingswaarde in het drainwater, bedoeld in artikel 3.67, eerste lid, onderdeel b, van het besluit.</w:t>
      </w:r>
    </w:p>
    <w:p w:rsidR="000466C0" w:rsidRDefault="000466C0" w:rsidP="000466C0">
      <w:pPr>
        <w:pStyle w:val="artikelkop"/>
        <w:shd w:val="clear" w:color="auto" w:fill="D9D9D9" w:themeFill="background1" w:themeFillShade="D9"/>
      </w:pPr>
      <w:r>
        <w:t xml:space="preserve">Artikel 3.77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De maximaal toegestane hoeveelheden aan totaal stikstof, bedoeld in artikel 3.71, derde lid, van het besluit zijn de hoeveelheden genoemd in tabel 3.77a.</w:t>
      </w:r>
    </w:p>
    <w:p w:rsidR="000466C0" w:rsidRDefault="000466C0" w:rsidP="000466C0">
      <w:pPr>
        <w:pStyle w:val="art1enivo"/>
        <w:shd w:val="clear" w:color="auto" w:fill="D9D9D9" w:themeFill="background1" w:themeFillShade="D9"/>
        <w:suppressAutoHyphens/>
        <w:rPr>
          <w:rFonts w:cs="Arial"/>
          <w:b/>
        </w:rPr>
      </w:pPr>
      <w:r>
        <w:rPr>
          <w:rFonts w:cs="Arial"/>
          <w:b/>
        </w:rPr>
        <w:tab/>
        <w:t>Tabel 3.77a Ten hoogste toegestaan verbruik van stikstof</w:t>
      </w:r>
    </w:p>
    <w:p w:rsidR="000466C0" w:rsidRDefault="000466C0" w:rsidP="000466C0">
      <w:pPr>
        <w:shd w:val="clear" w:color="auto" w:fill="D9D9D9" w:themeFill="background1" w:themeFillShade="D9"/>
        <w:suppressAutoHyphens/>
        <w:rPr>
          <w:rFonts w:cs="Arial"/>
        </w:rPr>
      </w:pPr>
    </w:p>
    <w:tbl>
      <w:tblPr>
        <w:tblStyle w:val="Tabelraster"/>
        <w:tblW w:w="4553" w:type="pct"/>
        <w:tblInd w:w="483" w:type="dxa"/>
        <w:tblLook w:val="04A0" w:firstRow="1" w:lastRow="0" w:firstColumn="1" w:lastColumn="0" w:noHBand="0" w:noVBand="1"/>
      </w:tblPr>
      <w:tblGrid>
        <w:gridCol w:w="3439"/>
        <w:gridCol w:w="4925"/>
      </w:tblGrid>
      <w:tr w:rsidR="000466C0" w:rsidTr="00F43C9B">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b w:val="0"/>
              </w:rPr>
              <w:t>Gewas / gewasgroep</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b w:val="0"/>
              </w:rPr>
              <w:t>Ten hoogste toegestaan verbruik in kg N / ha / jr</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Sierteelt</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(Bloemisterij)</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Alstroemeria belicht</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2500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Alstroemeria onbelicht</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2000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Amaryllis</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1500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Anjer</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1500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Chrysant belicht en onbelicht</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2500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Freesia</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1500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Iris belicht en onbelicht</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1000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Lelie belicht en onbelicht</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1250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Lisianthus belicht en onbelicht</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2500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Snijgroen</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1000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Zomerbloemen jaarrondteelt</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2500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Zomerbloemen overig</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1000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Sierteelt overig</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1000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Fruit</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1000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Sla</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2000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Bladgewassen overig</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2000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Radijs</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1500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Vruchtgroenten</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2000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Groenten overig</w:t>
            </w:r>
          </w:p>
        </w:tc>
        <w:tc>
          <w:tcPr>
            <w:tcW w:w="29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1000</w:t>
            </w:r>
          </w:p>
        </w:tc>
      </w:tr>
    </w:tbl>
    <w:p w:rsidR="000466C0" w:rsidRDefault="000466C0" w:rsidP="000466C0">
      <w:pPr>
        <w:pStyle w:val="art2enivo"/>
        <w:shd w:val="clear" w:color="auto" w:fill="D9D9D9" w:themeFill="background1" w:themeFillShade="D9"/>
        <w:suppressAutoHyphens/>
        <w:rPr>
          <w:rFonts w:cs="Arial"/>
        </w:rPr>
      </w:pPr>
    </w:p>
    <w:p w:rsidR="000466C0" w:rsidRDefault="000466C0" w:rsidP="000466C0">
      <w:pPr>
        <w:pStyle w:val="art2enivo"/>
        <w:shd w:val="clear" w:color="auto" w:fill="D9D9D9" w:themeFill="background1" w:themeFillShade="D9"/>
        <w:suppressAutoHyphens/>
        <w:rPr>
          <w:rFonts w:cs="Arial"/>
        </w:rPr>
      </w:pPr>
      <w:r>
        <w:rPr>
          <w:rFonts w:cs="Arial"/>
        </w:rPr>
        <w:t>2.</w:t>
      </w:r>
      <w:r>
        <w:rPr>
          <w:rFonts w:cs="Arial"/>
        </w:rPr>
        <w:tab/>
        <w:t>De maximaal toegestane hoeveelheden aan totaal fosfor, bedoeld in artikel 3.71, derde lid, van het besluit zijn de hoeveelheden genoemd in tabel 3.77b.</w:t>
      </w:r>
    </w:p>
    <w:p w:rsidR="000466C0" w:rsidRDefault="000466C0" w:rsidP="000466C0">
      <w:pPr>
        <w:pStyle w:val="art2enivo"/>
        <w:shd w:val="clear" w:color="auto" w:fill="D9D9D9" w:themeFill="background1" w:themeFillShade="D9"/>
        <w:suppressAutoHyphens/>
        <w:rPr>
          <w:rFonts w:cs="Arial"/>
        </w:rPr>
      </w:pPr>
    </w:p>
    <w:p w:rsidR="000466C0" w:rsidRDefault="000466C0" w:rsidP="000466C0">
      <w:pPr>
        <w:pStyle w:val="art1enivo"/>
        <w:shd w:val="clear" w:color="auto" w:fill="D9D9D9" w:themeFill="background1" w:themeFillShade="D9"/>
        <w:suppressAutoHyphens/>
        <w:rPr>
          <w:rFonts w:cs="Arial"/>
          <w:b/>
        </w:rPr>
      </w:pPr>
      <w:r>
        <w:rPr>
          <w:rFonts w:cs="Arial"/>
          <w:b/>
        </w:rPr>
        <w:tab/>
        <w:t>Tabel 3.77b Ten hoogste toegestaan verbruik van fosfor</w:t>
      </w:r>
    </w:p>
    <w:p w:rsidR="000466C0" w:rsidRDefault="000466C0" w:rsidP="000466C0">
      <w:pPr>
        <w:shd w:val="clear" w:color="auto" w:fill="D9D9D9" w:themeFill="background1" w:themeFillShade="D9"/>
        <w:suppressAutoHyphens/>
        <w:rPr>
          <w:rFonts w:cs="Arial"/>
        </w:rPr>
      </w:pPr>
    </w:p>
    <w:tbl>
      <w:tblPr>
        <w:tblStyle w:val="Tabelraster"/>
        <w:tblW w:w="4579" w:type="pct"/>
        <w:tblInd w:w="483" w:type="dxa"/>
        <w:tblLook w:val="04A0" w:firstRow="1" w:lastRow="0" w:firstColumn="1" w:lastColumn="0" w:noHBand="0" w:noVBand="1"/>
      </w:tblPr>
      <w:tblGrid>
        <w:gridCol w:w="3602"/>
        <w:gridCol w:w="4810"/>
      </w:tblGrid>
      <w:tr w:rsidR="000466C0" w:rsidTr="00F43C9B">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b w:val="0"/>
              </w:rPr>
              <w:t>Gewas / gewasgroep</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b w:val="0"/>
              </w:rPr>
              <w:t>Ten hoogste toegestaan verbruik in kg P / ha / jr.</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Sierteelt</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(Bloemisterij)</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Alstroemeria belicht en onbelicht</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Amaryllis</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550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Anjer</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Chrysant belicht en onbelicht</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Freesia</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Iris belicht</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Iris onbelicht</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Lelie belicht</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Lelie onbelicht</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Lisianthus belicht en onbelicht</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Snijgroen</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750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Zomerbloemen jaarrondteelt</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550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Zomerbloemen overig</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Sierteelt overig</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Fruit</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0466C0" w:rsidRDefault="000466C0" w:rsidP="000466C0">
            <w:pPr>
              <w:shd w:val="clear" w:color="auto" w:fill="D9D9D9" w:themeFill="background1" w:themeFillShade="D9"/>
              <w:suppressAutoHyphens/>
              <w:rPr>
                <w:rFonts w:cs="Arial"/>
              </w:rPr>
            </w:pP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Sla</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Bladgewassen overig</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750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Radijs</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Vruchtgroenten</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550</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Groenten overig</w:t>
            </w:r>
          </w:p>
        </w:tc>
        <w:tc>
          <w:tcPr>
            <w:tcW w:w="285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150</w:t>
            </w:r>
          </w:p>
        </w:tc>
      </w:tr>
    </w:tbl>
    <w:p w:rsidR="000466C0" w:rsidRDefault="000466C0" w:rsidP="000466C0">
      <w:pPr>
        <w:pStyle w:val="artikelkop"/>
        <w:shd w:val="clear" w:color="auto" w:fill="D9D9D9" w:themeFill="background1" w:themeFillShade="D9"/>
      </w:pPr>
      <w:r>
        <w:t xml:space="preserve">Artikel 3.78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Het meten van de hoeveelheid drainagewater die wordt geloosd, bedoeld in artikel 3.72, eerste lid, onderdeel c, van het besluit vindt plaats bij een representatief lozingspunt.</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Het registreren van:</w:t>
      </w:r>
    </w:p>
    <w:p w:rsidR="000466C0" w:rsidRDefault="000466C0" w:rsidP="000466C0">
      <w:pPr>
        <w:pStyle w:val="art2enivo"/>
        <w:shd w:val="clear" w:color="auto" w:fill="D9D9D9" w:themeFill="background1" w:themeFillShade="D9"/>
        <w:suppressAutoHyphens/>
        <w:rPr>
          <w:rFonts w:cs="Arial"/>
        </w:rPr>
      </w:pPr>
      <w:r>
        <w:rPr>
          <w:rFonts w:cs="Arial"/>
        </w:rPr>
        <w:t>a.</w:t>
      </w:r>
      <w:r>
        <w:rPr>
          <w:rFonts w:cs="Arial"/>
        </w:rPr>
        <w:tab/>
        <w:t>de hoeveelheid voedingswater die wordt toegediend, bedoeld in artikel 3.72, eerste lid, onderdeel a, van het besluit;</w:t>
      </w:r>
    </w:p>
    <w:p w:rsidR="000466C0" w:rsidRDefault="000466C0" w:rsidP="000466C0">
      <w:pPr>
        <w:pStyle w:val="art2enivo"/>
        <w:shd w:val="clear" w:color="auto" w:fill="D9D9D9" w:themeFill="background1" w:themeFillShade="D9"/>
        <w:suppressAutoHyphens/>
        <w:rPr>
          <w:rFonts w:cs="Arial"/>
        </w:rPr>
      </w:pPr>
      <w:r>
        <w:rPr>
          <w:rFonts w:cs="Arial"/>
        </w:rPr>
        <w:t>b.</w:t>
      </w:r>
      <w:r>
        <w:rPr>
          <w:rFonts w:cs="Arial"/>
        </w:rPr>
        <w:tab/>
        <w:t>de hoeveelheid drainagewater die wordt hergebruikt, bedoeld in artikel 3.72, eerste lid, onderdeel b, van het besluit, en</w:t>
      </w:r>
    </w:p>
    <w:p w:rsidR="000466C0" w:rsidRDefault="000466C0" w:rsidP="000466C0">
      <w:pPr>
        <w:pStyle w:val="art2enivo"/>
        <w:shd w:val="clear" w:color="auto" w:fill="D9D9D9" w:themeFill="background1" w:themeFillShade="D9"/>
        <w:suppressAutoHyphens/>
        <w:rPr>
          <w:rFonts w:cs="Arial"/>
        </w:rPr>
      </w:pPr>
      <w:r>
        <w:rPr>
          <w:rFonts w:cs="Arial"/>
        </w:rPr>
        <w:t>c.</w:t>
      </w:r>
      <w:r>
        <w:rPr>
          <w:rFonts w:cs="Arial"/>
        </w:rPr>
        <w:tab/>
        <w:t>de hoeveelheid drainagewater die wordt geloosd, bedoeld in artikel 3.72, eerste lid, onderdeel c, van het besluit,</w:t>
      </w:r>
    </w:p>
    <w:p w:rsidR="000466C0" w:rsidRDefault="000466C0" w:rsidP="000466C0">
      <w:pPr>
        <w:pStyle w:val="artplat"/>
        <w:shd w:val="clear" w:color="auto" w:fill="D9D9D9" w:themeFill="background1" w:themeFillShade="D9"/>
        <w:suppressAutoHyphens/>
        <w:rPr>
          <w:rFonts w:cs="Arial"/>
        </w:rPr>
      </w:pPr>
      <w:r>
        <w:rPr>
          <w:rFonts w:cs="Arial"/>
        </w:rPr>
        <w:tab/>
        <w:t>vindt per periode van vier weken plaats, beginnend op dag 1 van week 1.</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Het meten en registreren van het gehalte aan totaal stikstof en totaal fosfor in het te lozen drainagewater, bedoeld in artikel 3.72, eerste lid, onderdeel d, van het besluit vindt bij een representatief lozingspunt ten minste een keer per periode van dertien weken plaats, beginnend op dag 1 van week 1.</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De afwijking van de nauwkeurigheid van de instrumenten die worden gebruikt voor het meten van de hoeveelheid, bedoeld in het eerste lid, bedraagt ten hoogste tien procent.</w:t>
      </w:r>
    </w:p>
    <w:p w:rsidR="000466C0" w:rsidRDefault="000466C0" w:rsidP="000466C0">
      <w:pPr>
        <w:pStyle w:val="art1enivo"/>
        <w:shd w:val="clear" w:color="auto" w:fill="D9D9D9" w:themeFill="background1" w:themeFillShade="D9"/>
        <w:suppressAutoHyphens/>
        <w:rPr>
          <w:rFonts w:cs="Arial"/>
        </w:rPr>
      </w:pPr>
      <w:r>
        <w:rPr>
          <w:rFonts w:cs="Arial"/>
        </w:rPr>
        <w:t>5.</w:t>
      </w:r>
      <w:r>
        <w:rPr>
          <w:rFonts w:cs="Arial"/>
        </w:rPr>
        <w:tab/>
        <w:t>Het bevoegd gezag kan bij maatwerkvoorschrift eisen stellen aan de uitvoering van het meten of berekenen en registreren van de hoeveelheid:</w:t>
      </w:r>
    </w:p>
    <w:p w:rsidR="000466C0" w:rsidRDefault="000466C0" w:rsidP="000466C0">
      <w:pPr>
        <w:pStyle w:val="art2enivo"/>
        <w:shd w:val="clear" w:color="auto" w:fill="D9D9D9" w:themeFill="background1" w:themeFillShade="D9"/>
        <w:suppressAutoHyphens/>
        <w:rPr>
          <w:rFonts w:cs="Arial"/>
        </w:rPr>
      </w:pPr>
      <w:r>
        <w:rPr>
          <w:rFonts w:cs="Arial"/>
        </w:rPr>
        <w:t>a.</w:t>
      </w:r>
      <w:r>
        <w:rPr>
          <w:rFonts w:cs="Arial"/>
        </w:rPr>
        <w:tab/>
        <w:t>voedingswater die wordt toegediend, bedoeld in artikel 3.72, eerste lid, onderdeel a, van het besluit;</w:t>
      </w:r>
    </w:p>
    <w:p w:rsidR="000466C0" w:rsidRDefault="000466C0" w:rsidP="000466C0">
      <w:pPr>
        <w:pStyle w:val="art2enivo"/>
        <w:shd w:val="clear" w:color="auto" w:fill="D9D9D9" w:themeFill="background1" w:themeFillShade="D9"/>
        <w:suppressAutoHyphens/>
        <w:rPr>
          <w:rFonts w:cs="Arial"/>
        </w:rPr>
      </w:pPr>
      <w:r>
        <w:rPr>
          <w:rFonts w:cs="Arial"/>
        </w:rPr>
        <w:t>b.</w:t>
      </w:r>
      <w:r>
        <w:rPr>
          <w:rFonts w:cs="Arial"/>
        </w:rPr>
        <w:tab/>
        <w:t>drainagewater die wordt hergebruikt, bedoeld in artikel 3.72, eerste lid, onderdeel b, van het besluit, en</w:t>
      </w:r>
    </w:p>
    <w:p w:rsidR="000466C0" w:rsidRDefault="000466C0" w:rsidP="000466C0">
      <w:pPr>
        <w:pStyle w:val="art2enivo"/>
        <w:shd w:val="clear" w:color="auto" w:fill="D9D9D9" w:themeFill="background1" w:themeFillShade="D9"/>
        <w:suppressAutoHyphens/>
        <w:rPr>
          <w:rFonts w:cs="Arial"/>
        </w:rPr>
      </w:pPr>
      <w:r>
        <w:rPr>
          <w:rFonts w:cs="Arial"/>
        </w:rPr>
        <w:t>c.</w:t>
      </w:r>
      <w:r>
        <w:rPr>
          <w:rFonts w:cs="Arial"/>
        </w:rPr>
        <w:tab/>
        <w:t>drainagewater die wordt geloosd, bedoeld in artikel 3.72, eerste lid, onderdeel c, van het besluit.</w:t>
      </w:r>
    </w:p>
    <w:p w:rsidR="000466C0" w:rsidRDefault="000466C0" w:rsidP="000466C0">
      <w:pPr>
        <w:pStyle w:val="art1enivo"/>
        <w:shd w:val="clear" w:color="auto" w:fill="D9D9D9" w:themeFill="background1" w:themeFillShade="D9"/>
        <w:suppressAutoHyphens/>
        <w:rPr>
          <w:rFonts w:cs="Arial"/>
        </w:rPr>
      </w:pPr>
      <w:r>
        <w:rPr>
          <w:rFonts w:cs="Arial"/>
        </w:rPr>
        <w:t>6.</w:t>
      </w:r>
      <w:r>
        <w:rPr>
          <w:rFonts w:cs="Arial"/>
        </w:rPr>
        <w:tab/>
        <w:t>Het bevoegd gezag kan bij maatwerkvoorschrift eisen stellen aan het meten en registreren, bedoeld in het derde lid.</w:t>
      </w:r>
    </w:p>
    <w:p w:rsidR="000466C0" w:rsidRDefault="000466C0" w:rsidP="000466C0">
      <w:pPr>
        <w:pStyle w:val="art1enivo"/>
        <w:shd w:val="clear" w:color="auto" w:fill="D9D9D9" w:themeFill="background1" w:themeFillShade="D9"/>
        <w:suppressAutoHyphens/>
        <w:rPr>
          <w:rFonts w:cs="Arial"/>
        </w:rPr>
      </w:pPr>
      <w:r>
        <w:rPr>
          <w:rFonts w:cs="Arial"/>
        </w:rPr>
        <w:t>7.</w:t>
      </w:r>
      <w:r>
        <w:rPr>
          <w:rFonts w:cs="Arial"/>
        </w:rPr>
        <w:tab/>
        <w:t>Om de behoefte van de gewassen, genoemd in artikel 3.77 te bepalen, wordt per gewas of groep van gewassen met hetzelfde bemestingsniveau:</w:t>
      </w:r>
    </w:p>
    <w:p w:rsidR="000466C0" w:rsidRDefault="000466C0" w:rsidP="000466C0">
      <w:pPr>
        <w:pStyle w:val="art2enivo"/>
        <w:shd w:val="clear" w:color="auto" w:fill="D9D9D9" w:themeFill="background1" w:themeFillShade="D9"/>
        <w:suppressAutoHyphens/>
        <w:rPr>
          <w:rFonts w:cs="Arial"/>
        </w:rPr>
      </w:pPr>
      <w:r>
        <w:rPr>
          <w:rFonts w:cs="Arial"/>
        </w:rPr>
        <w:t>a.</w:t>
      </w:r>
      <w:r>
        <w:rPr>
          <w:rFonts w:cs="Arial"/>
        </w:rPr>
        <w:tab/>
        <w:t>ten minste eenmaal per kwartaal een representatief grondmonster genomen en de hoeveelheid totaal stikstof en totaal fosfor bepaald;</w:t>
      </w:r>
    </w:p>
    <w:p w:rsidR="000466C0" w:rsidRDefault="000466C0" w:rsidP="000466C0">
      <w:pPr>
        <w:pStyle w:val="art2enivo"/>
        <w:shd w:val="clear" w:color="auto" w:fill="D9D9D9" w:themeFill="background1" w:themeFillShade="D9"/>
        <w:suppressAutoHyphens/>
        <w:rPr>
          <w:rFonts w:cs="Arial"/>
        </w:rPr>
      </w:pPr>
      <w:r>
        <w:rPr>
          <w:rFonts w:cs="Arial"/>
        </w:rPr>
        <w:t>b.</w:t>
      </w:r>
      <w:r>
        <w:rPr>
          <w:rFonts w:cs="Arial"/>
        </w:rPr>
        <w:tab/>
        <w:t>de hoeveelheid toegediende meststoffen geregistreerd onder vermelding van de samenstelling van de meststof en de oppervlakte die wordt bemest, en</w:t>
      </w:r>
    </w:p>
    <w:p w:rsidR="000466C0" w:rsidRDefault="000466C0" w:rsidP="000466C0">
      <w:pPr>
        <w:pStyle w:val="art2enivo"/>
        <w:shd w:val="clear" w:color="auto" w:fill="D9D9D9" w:themeFill="background1" w:themeFillShade="D9"/>
        <w:suppressAutoHyphens/>
        <w:rPr>
          <w:rFonts w:cs="Arial"/>
        </w:rPr>
      </w:pPr>
      <w:r>
        <w:rPr>
          <w:rFonts w:cs="Arial"/>
        </w:rPr>
        <w:t>c.</w:t>
      </w:r>
      <w:r>
        <w:rPr>
          <w:rFonts w:cs="Arial"/>
        </w:rPr>
        <w:tab/>
        <w:t>de hoeveelheid toegediende totaal stikstof en totaal fosfor per oppervlakte-eenheid per jaar geregistreerd.</w:t>
      </w:r>
    </w:p>
    <w:p w:rsidR="000466C0" w:rsidRDefault="000466C0" w:rsidP="000466C0">
      <w:pPr>
        <w:pStyle w:val="art1enivo"/>
        <w:shd w:val="clear" w:color="auto" w:fill="D9D9D9" w:themeFill="background1" w:themeFillShade="D9"/>
        <w:suppressAutoHyphens/>
        <w:rPr>
          <w:rFonts w:cs="Arial"/>
        </w:rPr>
      </w:pPr>
      <w:r>
        <w:rPr>
          <w:rFonts w:cs="Arial"/>
        </w:rPr>
        <w:t>8.</w:t>
      </w:r>
      <w:r>
        <w:rPr>
          <w:rFonts w:cs="Arial"/>
        </w:rPr>
        <w:tab/>
        <w:t>Het verbruik aan totaal stikstof en totaal fosfor wordt uitgedrukt in kilogrammen totaal stikstof en totaal fosfor en berekend door voor iedere te onderscheiden samenstelling van de meststoffen het verbruik van totaal stikstof en totaal fosfor te berekenen en vervolgens de som van de uitkomsten van die berekeningen te nemen.</w:t>
      </w:r>
    </w:p>
    <w:p w:rsidR="000466C0" w:rsidRPr="00620047" w:rsidRDefault="000466C0">
      <w:pPr>
        <w:pStyle w:val="artplat"/>
      </w:pPr>
    </w:p>
    <w:p w:rsidR="00296032" w:rsidRPr="00296032" w:rsidRDefault="00296032">
      <w:pPr>
        <w:pStyle w:val="paragraaf"/>
        <w:rPr>
          <w:rFonts w:cs="Arial"/>
        </w:rPr>
      </w:pPr>
      <w:bookmarkStart w:id="131" w:name="_Toc431375623"/>
      <w:r w:rsidRPr="00296032">
        <w:rPr>
          <w:rFonts w:cs="Arial"/>
        </w:rPr>
        <w:t>§ 3.5.2 Telen en kweken van gewassen in een gebouw, anders dan in een kas</w:t>
      </w:r>
      <w:bookmarkEnd w:id="131"/>
    </w:p>
    <w:p w:rsidR="00296032" w:rsidRPr="00296032" w:rsidRDefault="00296032">
      <w:pPr>
        <w:pStyle w:val="artikelkop"/>
        <w:rPr>
          <w:rFonts w:cs="Arial"/>
        </w:rPr>
      </w:pPr>
      <w:r w:rsidRPr="00296032">
        <w:rPr>
          <w:rFonts w:cs="Arial"/>
        </w:rPr>
        <w:t>Artikel 3.75</w:t>
      </w:r>
    </w:p>
    <w:p w:rsidR="00296032" w:rsidRPr="00620047" w:rsidRDefault="00296032">
      <w:pPr>
        <w:pStyle w:val="artplat"/>
        <w:rPr>
          <w:rFonts w:cs="Arial"/>
        </w:rPr>
      </w:pPr>
      <w:r w:rsidRPr="00620047">
        <w:rPr>
          <w:rFonts w:cs="Arial"/>
        </w:rPr>
        <w:t>Deze paragraaf is van toepassing op het telen of kweken van gewassen in een gebouw, anders dan in een kas.</w:t>
      </w:r>
    </w:p>
    <w:p w:rsidR="00296032" w:rsidRPr="00296032" w:rsidRDefault="00296032">
      <w:pPr>
        <w:pStyle w:val="artikelkop"/>
        <w:rPr>
          <w:rFonts w:cs="Arial"/>
        </w:rPr>
      </w:pPr>
      <w:r w:rsidRPr="00296032">
        <w:rPr>
          <w:rFonts w:cs="Arial"/>
        </w:rPr>
        <w:t>Artikel 3.76</w:t>
      </w:r>
    </w:p>
    <w:p w:rsidR="00296032" w:rsidRPr="00620047" w:rsidRDefault="00296032">
      <w:pPr>
        <w:pStyle w:val="art1enivo"/>
        <w:rPr>
          <w:rFonts w:cs="Arial"/>
        </w:rPr>
      </w:pPr>
      <w:r w:rsidRPr="00620047">
        <w:rPr>
          <w:rFonts w:cs="Arial"/>
        </w:rPr>
        <w:t>1.</w:t>
      </w:r>
      <w:r w:rsidRPr="00620047">
        <w:rPr>
          <w:rFonts w:cs="Arial"/>
        </w:rPr>
        <w:tab/>
        <w:t>Bij het lozen van afvalwater als gevolg van het telen of kweken van gewassen in een gebouw, anders dan in een kas, wordt ten minste voldaan aan het tweede tot en met vijfde lid.</w:t>
      </w:r>
    </w:p>
    <w:p w:rsidR="00296032" w:rsidRPr="00620047" w:rsidRDefault="00296032">
      <w:pPr>
        <w:pStyle w:val="art1enivo"/>
        <w:rPr>
          <w:rFonts w:cs="Arial"/>
        </w:rPr>
      </w:pPr>
      <w:r w:rsidRPr="00620047">
        <w:rPr>
          <w:rFonts w:cs="Arial"/>
        </w:rPr>
        <w:t>2.</w:t>
      </w:r>
      <w:r w:rsidRPr="00620047">
        <w:rPr>
          <w:rFonts w:cs="Arial"/>
        </w:rPr>
        <w:tab/>
        <w:t>Lozen in een oppervlaktewaterlichaam is toegestaan, indien:</w:t>
      </w:r>
    </w:p>
    <w:p w:rsidR="00296032" w:rsidRPr="00620047" w:rsidRDefault="00296032">
      <w:pPr>
        <w:pStyle w:val="art2enivo"/>
      </w:pPr>
      <w:r w:rsidRPr="00620047">
        <w:t>a.</w:t>
      </w:r>
      <w:r w:rsidRPr="00620047">
        <w:tab/>
        <w:t>het perceel waar het afvalwater vrijkomt niet is aangesloten op een vuilwaterriool, waarop geloosd kan worden en de afstand tot het dichtstbijzijnde vuilwaterriool of zuiveringtechnisch werk waarop kan worden aangesloten en geloosd meer dan 40 meter bedraagt, of</w:t>
      </w:r>
    </w:p>
    <w:p w:rsidR="00296032" w:rsidRPr="00620047" w:rsidRDefault="00296032">
      <w:pPr>
        <w:pStyle w:val="art2enivo"/>
      </w:pPr>
      <w:r w:rsidRPr="00620047">
        <w:t>b.</w:t>
      </w:r>
      <w:r w:rsidRPr="00620047">
        <w:tab/>
        <w:t>het afvalwater afkomstig is van een teelt waarbij geen gewasbeschermingsmiddelen of biociden worden gebruikt, van een ruimte waarin geen gewasbeschermingsmiddelen of biociden worden toegepast of van een ruimte waarin uitsluitend sprake is van biologische productiemethoden, en</w:t>
      </w:r>
    </w:p>
    <w:p w:rsidR="00296032" w:rsidRPr="00620047" w:rsidRDefault="00296032">
      <w:pPr>
        <w:pStyle w:val="art2enivo"/>
      </w:pPr>
      <w:r w:rsidRPr="00620047">
        <w:t>c.</w:t>
      </w:r>
      <w:r w:rsidRPr="00620047">
        <w:tab/>
        <w:t>in het te lozen afvalwater, bedoeld in de onderdelen a en b:</w:t>
      </w:r>
    </w:p>
    <w:p w:rsidR="00296032" w:rsidRPr="00620047" w:rsidRDefault="00296032">
      <w:pPr>
        <w:pStyle w:val="art3enivo"/>
      </w:pPr>
      <w:r w:rsidRPr="00620047">
        <w:t>1°.</w:t>
      </w:r>
      <w:r w:rsidRPr="00620047">
        <w:tab/>
        <w:t>het gehalte aan onopgeloste stoffen ten hoogste 100 milligram per liter bedraagt,</w:t>
      </w:r>
    </w:p>
    <w:p w:rsidR="00296032" w:rsidRPr="00620047" w:rsidRDefault="00296032">
      <w:pPr>
        <w:pStyle w:val="art3enivo"/>
      </w:pPr>
      <w:r w:rsidRPr="00620047">
        <w:t>2°.</w:t>
      </w:r>
      <w:r w:rsidRPr="00620047">
        <w:tab/>
        <w:t>het gehalte aan chemisch zuurstof verbruik ten hoogste 300 milligram per liter bedraagt, en</w:t>
      </w:r>
    </w:p>
    <w:p w:rsidR="00296032" w:rsidRPr="00620047" w:rsidRDefault="00296032">
      <w:pPr>
        <w:pStyle w:val="art3enivo"/>
      </w:pPr>
      <w:r w:rsidRPr="00620047">
        <w:t>3°.</w:t>
      </w:r>
      <w:r w:rsidRPr="00620047">
        <w:tab/>
        <w:t>het gehalte aan biochemisch zuurstof verbruik ten hoogste 60 milligram per liter bedraagt.</w:t>
      </w:r>
    </w:p>
    <w:p w:rsidR="00296032" w:rsidRPr="00620047" w:rsidRDefault="00296032">
      <w:pPr>
        <w:pStyle w:val="art1enivo"/>
        <w:rPr>
          <w:rFonts w:cs="Arial"/>
        </w:rPr>
      </w:pPr>
      <w:r w:rsidRPr="00620047">
        <w:rPr>
          <w:rFonts w:cs="Arial"/>
        </w:rPr>
        <w:t>3.</w:t>
      </w:r>
      <w:r w:rsidRPr="00620047">
        <w:rPr>
          <w:rFonts w:cs="Arial"/>
        </w:rPr>
        <w:tab/>
        <w:t>De afstand, genoemd in het tweede lid, onderdeel a, wordt berekend:</w:t>
      </w:r>
    </w:p>
    <w:p w:rsidR="00296032" w:rsidRPr="00620047" w:rsidRDefault="00296032">
      <w:pPr>
        <w:pStyle w:val="art2enivo"/>
        <w:rPr>
          <w:rFonts w:cs="Arial"/>
        </w:rPr>
      </w:pPr>
      <w:r w:rsidRPr="00620047">
        <w:rPr>
          <w:rFonts w:cs="Arial"/>
        </w:rPr>
        <w:t>a.</w:t>
      </w:r>
      <w:r w:rsidRPr="00620047">
        <w:rPr>
          <w:rFonts w:cs="Arial"/>
        </w:rPr>
        <w:tab/>
        <w:t>vanaf de kadastrale grens van het perceel waar het afvalwater vrijkomt, en</w:t>
      </w:r>
    </w:p>
    <w:p w:rsidR="00296032" w:rsidRPr="00620047" w:rsidRDefault="00296032">
      <w:pPr>
        <w:pStyle w:val="art2enivo"/>
        <w:rPr>
          <w:rFonts w:cs="Arial"/>
        </w:rPr>
      </w:pPr>
      <w:r w:rsidRPr="00620047">
        <w:rPr>
          <w:rFonts w:cs="Arial"/>
        </w:rPr>
        <w:t>b.</w:t>
      </w:r>
      <w:r w:rsidRPr="00620047">
        <w:rPr>
          <w:rFonts w:cs="Arial"/>
        </w:rPr>
        <w:tab/>
        <w:t>langs de kortste lijn waarlangs de afvoerleidingen zonder overwegende bezwaren kunnen worden aangelegd.</w:t>
      </w:r>
    </w:p>
    <w:p w:rsidR="00296032" w:rsidRPr="00620047" w:rsidRDefault="00296032">
      <w:pPr>
        <w:pStyle w:val="art1enivo"/>
        <w:rPr>
          <w:rFonts w:cs="Arial"/>
        </w:rPr>
      </w:pPr>
      <w:r w:rsidRPr="00620047">
        <w:rPr>
          <w:rFonts w:cs="Arial"/>
        </w:rPr>
        <w:t>4.</w:t>
      </w:r>
      <w:r w:rsidRPr="00620047">
        <w:rPr>
          <w:rFonts w:cs="Arial"/>
        </w:rPr>
        <w:tab/>
        <w:t>Bij het lozen van afvalwater in een vuilwaterriool, bedraagt het gehalte aan onopgeloste stoffen ten hoogste 300 milligram per liter.</w:t>
      </w:r>
    </w:p>
    <w:p w:rsidR="00296032" w:rsidRPr="00620047" w:rsidRDefault="00296032">
      <w:pPr>
        <w:pStyle w:val="art1enivo"/>
        <w:rPr>
          <w:rFonts w:cs="Arial"/>
        </w:rPr>
      </w:pPr>
      <w:r w:rsidRPr="00620047">
        <w:rPr>
          <w:rFonts w:cs="Arial"/>
        </w:rPr>
        <w:t>5.</w:t>
      </w:r>
      <w:r w:rsidRPr="00620047">
        <w:rPr>
          <w:rFonts w:cs="Arial"/>
        </w:rPr>
        <w:tab/>
        <w:t>Het te lozen afvalwater kan op een doelmatige wijze worden bemonsterd.</w:t>
      </w:r>
    </w:p>
    <w:p w:rsidR="00296032" w:rsidRPr="00620047" w:rsidRDefault="00296032">
      <w:pPr>
        <w:pStyle w:val="art1enivo"/>
      </w:pPr>
      <w:r w:rsidRPr="00620047">
        <w:t>6.</w:t>
      </w:r>
      <w:r w:rsidRPr="00620047">
        <w:tab/>
        <w:t>In afwijking van het derde lid, onderdeel a, wordt de afstand tot het dichtstbijzijnde vuilwaterriool of zuiveringstechnisch werk bij voortzetting van het lozen van afvalwater in het oppervlaktewaterlichaam dat voor 1 januari 2013 al plaatsvond, berekend vanaf de plaats waar het afvalwater vrijkomt.</w:t>
      </w:r>
    </w:p>
    <w:p w:rsidR="00296032" w:rsidRPr="00296032" w:rsidRDefault="00296032">
      <w:pPr>
        <w:pStyle w:val="artikelkop"/>
        <w:rPr>
          <w:rFonts w:cs="Arial"/>
        </w:rPr>
      </w:pPr>
      <w:r w:rsidRPr="00296032">
        <w:rPr>
          <w:rFonts w:cs="Arial"/>
        </w:rPr>
        <w:t>Artikel 3.77</w:t>
      </w:r>
    </w:p>
    <w:p w:rsidR="00296032" w:rsidRPr="00620047" w:rsidRDefault="00296032">
      <w:pPr>
        <w:pStyle w:val="art1enivo"/>
        <w:rPr>
          <w:rFonts w:cs="Arial"/>
        </w:rPr>
      </w:pPr>
      <w:r w:rsidRPr="00620047">
        <w:rPr>
          <w:rFonts w:cs="Arial"/>
        </w:rPr>
        <w:t>1.</w:t>
      </w:r>
      <w:r w:rsidRPr="00620047">
        <w:rPr>
          <w:rFonts w:cs="Arial"/>
        </w:rPr>
        <w:tab/>
        <w:t>In afwijking van artikel 3.76 wordt bij het lozen van afvalwater als gevolg van het circuleren van water door trekbakken waarin witlofpennen staan voor de groei van witlofstronken of als gevolg van het broeien van bolgewassen, ten minste voldaan aan het tweede tot en met het zesde lid.</w:t>
      </w:r>
    </w:p>
    <w:p w:rsidR="00296032" w:rsidRPr="00620047" w:rsidRDefault="00296032">
      <w:pPr>
        <w:pStyle w:val="art1enivo"/>
        <w:rPr>
          <w:rFonts w:cs="Arial"/>
        </w:rPr>
      </w:pPr>
      <w:r w:rsidRPr="00620047">
        <w:rPr>
          <w:rFonts w:cs="Arial"/>
        </w:rPr>
        <w:t>2.</w:t>
      </w:r>
      <w:r w:rsidRPr="00620047">
        <w:rPr>
          <w:rFonts w:cs="Arial"/>
        </w:rPr>
        <w:tab/>
        <w:t>Het afvalwater wordt hergebruikt totdat het water niet langer geschikt is om als proceswater te worden gebruikt.</w:t>
      </w:r>
    </w:p>
    <w:p w:rsidR="00296032" w:rsidRPr="00620047" w:rsidRDefault="00296032">
      <w:pPr>
        <w:pStyle w:val="art1enivo"/>
        <w:rPr>
          <w:rFonts w:cs="Arial"/>
        </w:rPr>
      </w:pPr>
      <w:r w:rsidRPr="00620047">
        <w:rPr>
          <w:rFonts w:cs="Arial"/>
        </w:rPr>
        <w:t>3.</w:t>
      </w:r>
      <w:r w:rsidRPr="00620047">
        <w:rPr>
          <w:rFonts w:cs="Arial"/>
        </w:rPr>
        <w:tab/>
        <w:t>Het lozen van afvalwater in een oppervlaktewaterlichaam is toegestaan, indien:</w:t>
      </w:r>
    </w:p>
    <w:p w:rsidR="00296032" w:rsidRPr="00620047" w:rsidRDefault="00296032">
      <w:pPr>
        <w:pStyle w:val="art2enivo"/>
        <w:rPr>
          <w:rFonts w:cs="Arial"/>
        </w:rPr>
      </w:pPr>
      <w:r w:rsidRPr="00620047">
        <w:rPr>
          <w:rFonts w:cs="Arial"/>
        </w:rPr>
        <w:t>a.</w:t>
      </w:r>
      <w:r w:rsidRPr="00620047">
        <w:rPr>
          <w:rFonts w:cs="Arial"/>
        </w:rPr>
        <w:tab/>
        <w:t>het afvalwater afkomstig is van een teelt waarbij geen gewasbeschermingsmiddelen of biociden worden gebruikt of het proceswater afkomstig is van uitsluitend biologische productiemethoden, en</w:t>
      </w:r>
    </w:p>
    <w:p w:rsidR="00296032" w:rsidRPr="00620047" w:rsidRDefault="00296032">
      <w:pPr>
        <w:pStyle w:val="art2enivo"/>
        <w:rPr>
          <w:rFonts w:cs="Arial"/>
        </w:rPr>
      </w:pPr>
      <w:r w:rsidRPr="00620047">
        <w:rPr>
          <w:rFonts w:cs="Arial"/>
        </w:rPr>
        <w:t>b.</w:t>
      </w:r>
      <w:r w:rsidRPr="00620047">
        <w:rPr>
          <w:rFonts w:cs="Arial"/>
        </w:rPr>
        <w:tab/>
        <w:t>het gehalte aan onopgeloste stoffen ten hoogste 100 milligram per liter bedraagt.</w:t>
      </w:r>
    </w:p>
    <w:p w:rsidR="00296032" w:rsidRPr="00620047" w:rsidRDefault="00296032">
      <w:pPr>
        <w:pStyle w:val="art1enivo"/>
        <w:rPr>
          <w:rFonts w:cs="Arial"/>
        </w:rPr>
      </w:pPr>
      <w:r w:rsidRPr="00620047">
        <w:rPr>
          <w:rFonts w:cs="Arial"/>
        </w:rPr>
        <w:t>4.</w:t>
      </w:r>
      <w:r w:rsidRPr="00620047">
        <w:rPr>
          <w:rFonts w:cs="Arial"/>
        </w:rPr>
        <w:tab/>
        <w:t>Bij het lozen van afvalwater in een vuilwaterriool bedraagt het gehalte aan onopgeloste stoffen ten hoogste 300 milligram per liter.</w:t>
      </w:r>
    </w:p>
    <w:p w:rsidR="00296032" w:rsidRPr="00620047" w:rsidRDefault="00296032">
      <w:pPr>
        <w:pStyle w:val="art1enivo"/>
        <w:rPr>
          <w:rFonts w:cs="Arial"/>
        </w:rPr>
      </w:pPr>
      <w:r w:rsidRPr="00620047">
        <w:rPr>
          <w:rFonts w:cs="Arial"/>
        </w:rPr>
        <w:t>5.</w:t>
      </w:r>
      <w:r w:rsidRPr="00620047">
        <w:rPr>
          <w:rFonts w:cs="Arial"/>
        </w:rPr>
        <w:tab/>
        <w:t>Het lozen van afvalwater op of in de bodem is toegestaan, indien het afvalwater gelijkmatig wordt verspreid over de onverharde bodem.</w:t>
      </w:r>
    </w:p>
    <w:p w:rsidR="00296032" w:rsidRPr="00620047" w:rsidRDefault="00296032">
      <w:pPr>
        <w:pStyle w:val="art1enivo"/>
        <w:rPr>
          <w:rFonts w:cs="Arial"/>
        </w:rPr>
      </w:pPr>
      <w:r w:rsidRPr="00620047">
        <w:rPr>
          <w:rFonts w:cs="Arial"/>
        </w:rPr>
        <w:t>6.</w:t>
      </w:r>
      <w:r w:rsidRPr="00620047">
        <w:rPr>
          <w:rFonts w:cs="Arial"/>
        </w:rPr>
        <w:tab/>
        <w:t>Het in een oppervlaktewaterlichaam of een vuilwaterriool te lozen afvalwater kan op een doelmatige wijze worden bemonsterd.</w:t>
      </w:r>
    </w:p>
    <w:p w:rsidR="00296032" w:rsidRPr="00296032" w:rsidRDefault="00296032">
      <w:pPr>
        <w:pStyle w:val="paragraaf"/>
        <w:rPr>
          <w:rFonts w:cs="Arial"/>
        </w:rPr>
      </w:pPr>
      <w:bookmarkStart w:id="132" w:name="_Toc431375624"/>
      <w:r w:rsidRPr="00296032">
        <w:rPr>
          <w:rFonts w:cs="Arial"/>
        </w:rPr>
        <w:t>§ 3.5.3 Telen van gewassen in de open lucht</w:t>
      </w:r>
      <w:bookmarkEnd w:id="132"/>
    </w:p>
    <w:p w:rsidR="00296032" w:rsidRPr="00296032" w:rsidRDefault="00296032">
      <w:pPr>
        <w:pStyle w:val="artikelkop"/>
        <w:rPr>
          <w:rFonts w:cs="Arial"/>
        </w:rPr>
      </w:pPr>
      <w:r w:rsidRPr="00296032">
        <w:rPr>
          <w:rFonts w:cs="Arial"/>
        </w:rPr>
        <w:t>Artikel 3.78</w:t>
      </w:r>
    </w:p>
    <w:p w:rsidR="00296032" w:rsidRPr="00620047" w:rsidRDefault="00296032">
      <w:pPr>
        <w:pStyle w:val="art1enivo"/>
        <w:rPr>
          <w:rFonts w:cs="Arial"/>
        </w:rPr>
      </w:pPr>
      <w:r w:rsidRPr="00620047">
        <w:rPr>
          <w:rFonts w:cs="Arial"/>
        </w:rPr>
        <w:t>1.</w:t>
      </w:r>
      <w:r w:rsidRPr="00620047">
        <w:rPr>
          <w:rFonts w:cs="Arial"/>
        </w:rPr>
        <w:tab/>
        <w:t>De artikelen 3.79 tot en met 3.83 zijn van toepassing op het gebruik van gewasbeschermingsmiddelen bij de teelt van gewassen in de open lucht binnen een afstand van 14 meter vanaf de insteek van een oppervlaktewaterlichaam.</w:t>
      </w:r>
    </w:p>
    <w:p w:rsidR="00296032" w:rsidRPr="00620047" w:rsidRDefault="00296032">
      <w:pPr>
        <w:pStyle w:val="art1enivo"/>
        <w:rPr>
          <w:rFonts w:cs="Arial"/>
        </w:rPr>
      </w:pPr>
      <w:r w:rsidRPr="00620047">
        <w:rPr>
          <w:rFonts w:cs="Arial"/>
        </w:rPr>
        <w:t>2.</w:t>
      </w:r>
      <w:r w:rsidRPr="00620047">
        <w:rPr>
          <w:rFonts w:cs="Arial"/>
        </w:rPr>
        <w:tab/>
        <w:t>De artikelen 3.84, 3.85 en 3.87 zijn van toepassing op het gebruik van meststoffen bij de teelt van gewassen in de open lucht.</w:t>
      </w:r>
    </w:p>
    <w:p w:rsidR="00296032" w:rsidRPr="00620047" w:rsidRDefault="00296032">
      <w:pPr>
        <w:pStyle w:val="art1enivo"/>
        <w:rPr>
          <w:rFonts w:cs="Arial"/>
        </w:rPr>
      </w:pPr>
      <w:r w:rsidRPr="00620047">
        <w:rPr>
          <w:rFonts w:cs="Arial"/>
        </w:rPr>
        <w:t>3.</w:t>
      </w:r>
      <w:r w:rsidRPr="00620047">
        <w:rPr>
          <w:rFonts w:cs="Arial"/>
        </w:rPr>
        <w:tab/>
        <w:t>Artikel 3.88 is van toepassing op het telen van gewassen in de open lucht.</w:t>
      </w:r>
    </w:p>
    <w:p w:rsidR="00296032" w:rsidRPr="00620047" w:rsidRDefault="00296032">
      <w:pPr>
        <w:pStyle w:val="art1enivo"/>
        <w:rPr>
          <w:rFonts w:cs="Arial"/>
        </w:rPr>
      </w:pPr>
      <w:r w:rsidRPr="00620047">
        <w:rPr>
          <w:rFonts w:cs="Arial"/>
        </w:rPr>
        <w:t>4.</w:t>
      </w:r>
      <w:r w:rsidRPr="00620047">
        <w:rPr>
          <w:rFonts w:cs="Arial"/>
        </w:rPr>
        <w:tab/>
        <w:t>Voor de toepassing van deze paragraaf wordt in uiterwaarden en buitendijkse gebieden onder 'oppervlaktewaterlichaam' verstaan: beddingen waarin ten tijde van het lozen een aan het aardoppervlak en de openlucht grenzende watermassa voorkomt.</w:t>
      </w:r>
    </w:p>
    <w:p w:rsidR="00296032" w:rsidRPr="00296032" w:rsidRDefault="00296032">
      <w:pPr>
        <w:pStyle w:val="artikelkop"/>
        <w:rPr>
          <w:rFonts w:cs="Arial"/>
        </w:rPr>
      </w:pPr>
      <w:r w:rsidRPr="00296032">
        <w:rPr>
          <w:rFonts w:cs="Arial"/>
        </w:rPr>
        <w:t>Artikel 3.79</w:t>
      </w:r>
    </w:p>
    <w:p w:rsidR="00296032" w:rsidRPr="00620047" w:rsidRDefault="00296032">
      <w:pPr>
        <w:pStyle w:val="art1enivo"/>
        <w:rPr>
          <w:rFonts w:cs="Arial"/>
        </w:rPr>
      </w:pPr>
      <w:r w:rsidRPr="00620047">
        <w:rPr>
          <w:rFonts w:cs="Arial"/>
        </w:rPr>
        <w:t>1.</w:t>
      </w:r>
      <w:r w:rsidRPr="00620047">
        <w:rPr>
          <w:rFonts w:cs="Arial"/>
        </w:rPr>
        <w:tab/>
        <w:t>Bij het op een andere wijze dan met behulp van een werk lozen van gewasbeschermingsmiddelen in een oppervlaktewaterlichaam wordt ten minste voldaan aan het tweede tot en met achtste lid.</w:t>
      </w:r>
    </w:p>
    <w:p w:rsidR="00296032" w:rsidRPr="00620047" w:rsidRDefault="00296032">
      <w:pPr>
        <w:pStyle w:val="art1enivo"/>
        <w:rPr>
          <w:rFonts w:cs="Arial"/>
        </w:rPr>
      </w:pPr>
      <w:r w:rsidRPr="00620047">
        <w:rPr>
          <w:rFonts w:cs="Arial"/>
        </w:rPr>
        <w:t>2.</w:t>
      </w:r>
      <w:r w:rsidRPr="00620047">
        <w:rPr>
          <w:rFonts w:cs="Arial"/>
        </w:rPr>
        <w:tab/>
        <w:t>Langs een oppervlaktewaterlichaam wordt een teeltvrije zone aangehouden.</w:t>
      </w:r>
    </w:p>
    <w:p w:rsidR="00296032" w:rsidRPr="00620047" w:rsidRDefault="00296032">
      <w:pPr>
        <w:pStyle w:val="art1enivo"/>
        <w:rPr>
          <w:rFonts w:cs="Arial"/>
        </w:rPr>
      </w:pPr>
      <w:r w:rsidRPr="00620047">
        <w:rPr>
          <w:rFonts w:cs="Arial"/>
        </w:rPr>
        <w:t>3.</w:t>
      </w:r>
      <w:r w:rsidRPr="00620047">
        <w:rPr>
          <w:rFonts w:cs="Arial"/>
        </w:rPr>
        <w:tab/>
        <w:t>De teeltvrije zone wordt gemeten vanaf de insteek van een oppervlaktewaterlichaam en strekt zich, met uitzondering van de teelt van grasland, uit tot het hart van de buitenste planten van de te telen gewassen.</w:t>
      </w:r>
    </w:p>
    <w:p w:rsidR="00296032" w:rsidRPr="00620047" w:rsidRDefault="00296032">
      <w:pPr>
        <w:pStyle w:val="art1enivo"/>
        <w:rPr>
          <w:rFonts w:cs="Arial"/>
        </w:rPr>
      </w:pPr>
      <w:r w:rsidRPr="00620047">
        <w:rPr>
          <w:rFonts w:cs="Arial"/>
        </w:rPr>
        <w:t>4.</w:t>
      </w:r>
      <w:r w:rsidRPr="00620047">
        <w:rPr>
          <w:rFonts w:cs="Arial"/>
        </w:rPr>
        <w:tab/>
        <w:t>In afwijking van het tweede lid hoeft geen teeltvrije zone te worden aangehouden grenzend aan gegraven waterlopen die:</w:t>
      </w:r>
    </w:p>
    <w:p w:rsidR="00296032" w:rsidRPr="00620047" w:rsidRDefault="00296032">
      <w:pPr>
        <w:pStyle w:val="art2enivo"/>
        <w:rPr>
          <w:rFonts w:cs="Arial"/>
        </w:rPr>
      </w:pPr>
      <w:r w:rsidRPr="00620047">
        <w:rPr>
          <w:rFonts w:cs="Arial"/>
        </w:rPr>
        <w:t>a.</w:t>
      </w:r>
      <w:r w:rsidRPr="00620047">
        <w:rPr>
          <w:rFonts w:cs="Arial"/>
        </w:rPr>
        <w:tab/>
        <w:t>van 1 april tot 1 oktober onder normale omstandigheden geen water bevatten, of</w:t>
      </w:r>
    </w:p>
    <w:p w:rsidR="00296032" w:rsidRPr="00620047" w:rsidRDefault="00296032">
      <w:pPr>
        <w:pStyle w:val="art2enivo"/>
        <w:rPr>
          <w:rFonts w:cs="Arial"/>
        </w:rPr>
      </w:pPr>
      <w:r w:rsidRPr="00620047">
        <w:rPr>
          <w:rFonts w:cs="Arial"/>
        </w:rPr>
        <w:t>b.</w:t>
      </w:r>
      <w:r w:rsidRPr="00620047">
        <w:rPr>
          <w:rFonts w:cs="Arial"/>
        </w:rPr>
        <w:tab/>
        <w:t>geen water afvoeren ten gevolge van door of namens de beheerder geplaatste stuwen die de waterstand reguleren, voor zover die waterlopen zonder deze stuwen, waterlopen als bedoeld in de aanhef en onderdeel a, zouden zijn.</w:t>
      </w:r>
    </w:p>
    <w:p w:rsidR="00296032" w:rsidRPr="00620047" w:rsidRDefault="00296032">
      <w:pPr>
        <w:pStyle w:val="art1enivo"/>
        <w:rPr>
          <w:rFonts w:cs="Arial"/>
        </w:rPr>
      </w:pPr>
      <w:r w:rsidRPr="00620047">
        <w:rPr>
          <w:rFonts w:cs="Arial"/>
        </w:rPr>
        <w:t>5.</w:t>
      </w:r>
      <w:r w:rsidRPr="00620047">
        <w:rPr>
          <w:rFonts w:cs="Arial"/>
        </w:rPr>
        <w:tab/>
        <w:t>Binnen een teeltvrije zone worden geen gewasbeschermingsmiddelen gebruikt met apparatuur voor het druppelsgewijs gebruiken van gewasbeschermingsmiddelen, met uitzondering van pleksgewijze onkruidbestrijding met een afgeschermde spuitdop.</w:t>
      </w:r>
    </w:p>
    <w:p w:rsidR="00296032" w:rsidRPr="00620047" w:rsidRDefault="00296032">
      <w:pPr>
        <w:pStyle w:val="art1enivo"/>
        <w:rPr>
          <w:rFonts w:cs="Arial"/>
        </w:rPr>
      </w:pPr>
      <w:r w:rsidRPr="00620047">
        <w:rPr>
          <w:rFonts w:cs="Arial"/>
        </w:rPr>
        <w:t>6.</w:t>
      </w:r>
      <w:r w:rsidRPr="00620047">
        <w:rPr>
          <w:rFonts w:cs="Arial"/>
        </w:rPr>
        <w:tab/>
        <w:t>In afwijking van het vijfde lid is het gebruik van gewasbeschermingsmiddelen op overhangend loof met een maximale omvang van een halve gewasrij toegestaan, indien geen gebruik wordt gemaakt van naar een oppervlaktewaterlichaam gerichte apparatuur.</w:t>
      </w:r>
    </w:p>
    <w:p w:rsidR="00296032" w:rsidRPr="00620047" w:rsidRDefault="00296032">
      <w:pPr>
        <w:pStyle w:val="art1enivo"/>
        <w:rPr>
          <w:rFonts w:cs="Arial"/>
        </w:rPr>
      </w:pPr>
      <w:r w:rsidRPr="00620047">
        <w:rPr>
          <w:rFonts w:cs="Arial"/>
        </w:rPr>
        <w:t>7.</w:t>
      </w:r>
      <w:r w:rsidRPr="00620047">
        <w:rPr>
          <w:rFonts w:cs="Arial"/>
        </w:rPr>
        <w:tab/>
        <w:t>In afwijking van het tweede lid hoeft geen teeltvrije zone te worden aangehouden, aangrenzend aan oppervlaktewaterlichamen, anders dan de oppervlaktewaterlichamen, bedoeld in artikel 3.81, eerste lid:</w:t>
      </w:r>
    </w:p>
    <w:p w:rsidR="00296032" w:rsidRPr="00620047" w:rsidRDefault="00296032">
      <w:pPr>
        <w:pStyle w:val="art2enivo"/>
        <w:rPr>
          <w:rFonts w:cs="Arial"/>
        </w:rPr>
      </w:pPr>
      <w:r w:rsidRPr="00620047">
        <w:rPr>
          <w:rFonts w:cs="Arial"/>
        </w:rPr>
        <w:t>a.</w:t>
      </w:r>
      <w:r w:rsidRPr="00620047">
        <w:rPr>
          <w:rFonts w:cs="Arial"/>
        </w:rPr>
        <w:tab/>
        <w:t>bij de teelt van appelen, peren en overige pit- en steenvruchten van bomen, waarvan de laagste gesteltak op 175 centimeter of hoger uit de stam ontspringt, indien binnen een afstand van ten minste 900 centimeter vanaf de insteek van een oppervlaktewaterlichaam geen gewasbeschermingsmiddelen worden toegepast, of</w:t>
      </w:r>
    </w:p>
    <w:p w:rsidR="00296032" w:rsidRPr="00620047" w:rsidRDefault="00296032">
      <w:pPr>
        <w:pStyle w:val="art2enivo"/>
        <w:rPr>
          <w:rFonts w:cs="Arial"/>
        </w:rPr>
      </w:pPr>
      <w:r w:rsidRPr="00620047">
        <w:rPr>
          <w:rFonts w:cs="Arial"/>
        </w:rPr>
        <w:t>b.</w:t>
      </w:r>
      <w:r w:rsidRPr="00620047">
        <w:rPr>
          <w:rFonts w:cs="Arial"/>
        </w:rPr>
        <w:tab/>
        <w:t>bij teelt anders dan de teelt van appelen, peren en overige pit- en steenvruchten, indien:</w:t>
      </w:r>
    </w:p>
    <w:p w:rsidR="00296032" w:rsidRPr="00620047" w:rsidRDefault="00296032">
      <w:pPr>
        <w:pStyle w:val="art3enivo"/>
      </w:pPr>
      <w:r w:rsidRPr="00620047">
        <w:t>1°.</w:t>
      </w:r>
      <w:r w:rsidRPr="00620047">
        <w:tab/>
        <w:t>sprake is van een biologische productiemethode, of</w:t>
      </w:r>
    </w:p>
    <w:p w:rsidR="00296032" w:rsidRPr="00620047" w:rsidRDefault="00296032">
      <w:pPr>
        <w:pStyle w:val="art3enivo"/>
      </w:pPr>
      <w:r w:rsidRPr="00620047">
        <w:t>2°.</w:t>
      </w:r>
      <w:r w:rsidRPr="00620047">
        <w:tab/>
        <w:t>gebruik wordt gemaakt van een emissiescherm dat voldoet aan de bij ministeriële regeling gestelde eisen.</w:t>
      </w:r>
    </w:p>
    <w:p w:rsidR="00296032" w:rsidRPr="00620047" w:rsidRDefault="00296032">
      <w:pPr>
        <w:pStyle w:val="art1enivo"/>
        <w:rPr>
          <w:rFonts w:cs="Arial"/>
        </w:rPr>
      </w:pPr>
      <w:r w:rsidRPr="00620047">
        <w:rPr>
          <w:rFonts w:eastAsia="Calibri"/>
        </w:rPr>
        <w:t>8.</w:t>
      </w:r>
      <w:r w:rsidRPr="00620047">
        <w:rPr>
          <w:rFonts w:eastAsia="Calibri"/>
        </w:rPr>
        <w:tab/>
      </w:r>
      <w:r w:rsidRPr="00620047">
        <w:t>De toepassing van gewasbeschermingsmiddelen op het talud vindt p</w:t>
      </w:r>
      <w:r w:rsidRPr="00620047">
        <w:rPr>
          <w:rFonts w:eastAsia="Calibri"/>
        </w:rPr>
        <w:t xml:space="preserve">leksgewijs en </w:t>
      </w:r>
      <w:r w:rsidRPr="00620047">
        <w:t>driftvrij plaats.</w:t>
      </w:r>
    </w:p>
    <w:p w:rsidR="00296032" w:rsidRPr="00296032" w:rsidRDefault="00296032">
      <w:pPr>
        <w:pStyle w:val="artikelkop"/>
        <w:rPr>
          <w:rFonts w:cs="Arial"/>
        </w:rPr>
      </w:pPr>
      <w:r w:rsidRPr="00296032">
        <w:rPr>
          <w:rFonts w:cs="Arial"/>
        </w:rPr>
        <w:t>Artikel 3.80</w:t>
      </w:r>
    </w:p>
    <w:p w:rsidR="00296032" w:rsidRPr="00620047" w:rsidRDefault="00296032">
      <w:pPr>
        <w:pStyle w:val="art1enivo"/>
        <w:rPr>
          <w:rFonts w:cs="Arial"/>
        </w:rPr>
      </w:pPr>
      <w:r w:rsidRPr="00620047">
        <w:rPr>
          <w:rFonts w:cs="Arial"/>
        </w:rPr>
        <w:t>1.</w:t>
      </w:r>
      <w:r w:rsidRPr="00620047">
        <w:rPr>
          <w:rFonts w:cs="Arial"/>
        </w:rPr>
        <w:tab/>
        <w:t>De teeltvrije zone, bedoeld in artikel 3.79, tweede lid, bedraagt bij de teelt van aardappelen, uien, bloembollen en bloemknollen in andere gebieden dan de gebieden, genoemd in bijlage 1, aardbeien, asperges, prei, schorseneren, sla, wortelen, vaste planten, en in neerwaartse richting te bespuiten boomkwekerijgewassen:</w:t>
      </w:r>
    </w:p>
    <w:p w:rsidR="00296032" w:rsidRPr="00620047" w:rsidRDefault="00296032">
      <w:pPr>
        <w:pStyle w:val="art2enivo"/>
        <w:rPr>
          <w:rFonts w:cs="Arial"/>
        </w:rPr>
      </w:pPr>
      <w:r w:rsidRPr="00620047">
        <w:rPr>
          <w:rFonts w:cs="Arial"/>
        </w:rPr>
        <w:t>a.</w:t>
      </w:r>
      <w:r w:rsidRPr="00620047">
        <w:rPr>
          <w:rFonts w:cs="Arial"/>
        </w:rPr>
        <w:tab/>
        <w:t>ten minste 150 centimeter;</w:t>
      </w:r>
    </w:p>
    <w:p w:rsidR="00296032" w:rsidRPr="00620047" w:rsidRDefault="00296032">
      <w:pPr>
        <w:pStyle w:val="art2enivo"/>
        <w:rPr>
          <w:rFonts w:cs="Arial"/>
        </w:rPr>
      </w:pPr>
      <w:r w:rsidRPr="00620047">
        <w:rPr>
          <w:rFonts w:cs="Arial"/>
        </w:rPr>
        <w:t>b.</w:t>
      </w:r>
      <w:r w:rsidRPr="00620047">
        <w:rPr>
          <w:rFonts w:cs="Arial"/>
        </w:rPr>
        <w:tab/>
        <w:t>ten minste 100 centimeter, indien gebruik gemaakt wordt van:</w:t>
      </w:r>
    </w:p>
    <w:p w:rsidR="00296032" w:rsidRPr="00620047" w:rsidRDefault="00296032">
      <w:pPr>
        <w:pStyle w:val="art3enivo"/>
      </w:pPr>
      <w:r w:rsidRPr="00620047">
        <w:t>1°.</w:t>
      </w:r>
      <w:r w:rsidRPr="00620047">
        <w:tab/>
        <w:t>veldspuitapparatuur met luchtondersteuning;</w:t>
      </w:r>
    </w:p>
    <w:p w:rsidR="00296032" w:rsidRPr="00620047" w:rsidRDefault="00296032">
      <w:pPr>
        <w:pStyle w:val="art3enivo"/>
      </w:pPr>
      <w:r w:rsidRPr="00620047">
        <w:t>2°.</w:t>
      </w:r>
      <w:r w:rsidRPr="00620047">
        <w:tab/>
        <w:t>een overkapte beddenspuit;</w:t>
      </w:r>
    </w:p>
    <w:p w:rsidR="00296032" w:rsidRPr="00620047" w:rsidRDefault="00296032">
      <w:pPr>
        <w:pStyle w:val="art3enivo"/>
      </w:pPr>
      <w:r w:rsidRPr="00620047">
        <w:t>3°.</w:t>
      </w:r>
      <w:r w:rsidRPr="00620047">
        <w:tab/>
        <w:t>een motorisch aangedreven handgedragen spuit, of</w:t>
      </w:r>
    </w:p>
    <w:p w:rsidR="00296032" w:rsidRPr="00620047" w:rsidRDefault="00296032">
      <w:pPr>
        <w:pStyle w:val="art3enivo"/>
      </w:pPr>
      <w:r w:rsidRPr="00620047">
        <w:t>4°.</w:t>
      </w:r>
      <w:r w:rsidRPr="00620047">
        <w:tab/>
        <w:t>vanggewas, dat voldoet aan de bij ministeriële regeling gestelde eisen, of</w:t>
      </w:r>
    </w:p>
    <w:p w:rsidR="00296032" w:rsidRPr="00620047" w:rsidRDefault="00296032">
      <w:pPr>
        <w:pStyle w:val="art2enivo"/>
        <w:rPr>
          <w:rFonts w:cs="Arial"/>
        </w:rPr>
      </w:pPr>
      <w:r w:rsidRPr="00620047">
        <w:rPr>
          <w:rFonts w:cs="Arial"/>
        </w:rPr>
        <w:t>c.</w:t>
      </w:r>
      <w:r w:rsidRPr="00620047">
        <w:rPr>
          <w:rFonts w:cs="Arial"/>
        </w:rPr>
        <w:tab/>
        <w:t>ten minste 50 centimeter, indien gebruik gemaakt wordt van een handmatig aangedreven handgedragen spuit.</w:t>
      </w:r>
    </w:p>
    <w:p w:rsidR="00296032" w:rsidRPr="00620047" w:rsidRDefault="00296032">
      <w:pPr>
        <w:pStyle w:val="art1enivo"/>
        <w:rPr>
          <w:rFonts w:cs="Arial"/>
        </w:rPr>
      </w:pPr>
      <w:r w:rsidRPr="00620047">
        <w:rPr>
          <w:rFonts w:cs="Arial"/>
        </w:rPr>
        <w:t>2.</w:t>
      </w:r>
      <w:r w:rsidRPr="00620047">
        <w:rPr>
          <w:rFonts w:cs="Arial"/>
        </w:rPr>
        <w:tab/>
        <w:t>De teeltvrije zone bedraagt bij de teelt van bloembollen en bloemknollen in de gebieden, genoemd in bijlage 1:</w:t>
      </w:r>
    </w:p>
    <w:p w:rsidR="00296032" w:rsidRPr="00620047" w:rsidRDefault="00296032">
      <w:pPr>
        <w:pStyle w:val="art2enivo"/>
        <w:rPr>
          <w:rFonts w:cs="Arial"/>
        </w:rPr>
      </w:pPr>
      <w:r w:rsidRPr="00620047">
        <w:rPr>
          <w:rFonts w:cs="Arial"/>
        </w:rPr>
        <w:t>a.</w:t>
      </w:r>
      <w:r w:rsidRPr="00620047">
        <w:rPr>
          <w:rFonts w:cs="Arial"/>
        </w:rPr>
        <w:tab/>
        <w:t>ten minste 150 centimeter, indien gebruik gemaakt wordt van:</w:t>
      </w:r>
    </w:p>
    <w:p w:rsidR="00296032" w:rsidRPr="00620047" w:rsidRDefault="00296032">
      <w:pPr>
        <w:pStyle w:val="art3enivo"/>
      </w:pPr>
      <w:r w:rsidRPr="00620047">
        <w:t>1°.</w:t>
      </w:r>
      <w:r w:rsidRPr="00620047">
        <w:tab/>
        <w:t>veldspuitapparatuur die is voorzien van driftarme doppen, aangewezen bij ministeriële regeling, of</w:t>
      </w:r>
    </w:p>
    <w:p w:rsidR="00296032" w:rsidRPr="00620047" w:rsidRDefault="00296032">
      <w:pPr>
        <w:pStyle w:val="art3enivo"/>
      </w:pPr>
      <w:r w:rsidRPr="00620047">
        <w:t>2°.</w:t>
      </w:r>
      <w:r w:rsidRPr="00620047">
        <w:tab/>
        <w:t>veldspuitapparatuur die is voorzien van spuitdoppen, aangewezen bij ministeriële regeling, waarvan de onderlinge afstand niet groter is dan 25 centimeter en de apparatuur zodanig is ingesteld dat de spuitdoppen zich niet hoger dan 30 cm boven het gewas bevinden, of</w:t>
      </w:r>
    </w:p>
    <w:p w:rsidR="00296032" w:rsidRPr="00620047" w:rsidRDefault="00296032">
      <w:pPr>
        <w:pStyle w:val="art2enivo"/>
        <w:rPr>
          <w:rFonts w:cs="Arial"/>
        </w:rPr>
      </w:pPr>
      <w:r w:rsidRPr="00620047">
        <w:rPr>
          <w:rFonts w:cs="Arial"/>
        </w:rPr>
        <w:t>b.</w:t>
      </w:r>
      <w:r w:rsidRPr="00620047">
        <w:rPr>
          <w:rFonts w:cs="Arial"/>
        </w:rPr>
        <w:tab/>
        <w:t>ten minste 100 centimeter, indien gebruikt wordt gemaakt van:</w:t>
      </w:r>
    </w:p>
    <w:p w:rsidR="00296032" w:rsidRPr="00620047" w:rsidRDefault="00296032">
      <w:pPr>
        <w:pStyle w:val="art3enivo"/>
      </w:pPr>
      <w:r w:rsidRPr="00620047">
        <w:t>1°.</w:t>
      </w:r>
      <w:r w:rsidRPr="00620047">
        <w:tab/>
        <w:t>veldspuitapparatuur die is voorzien van driftarme doppen, aangewezen bij ministeriële regeling en de bestrijding van Botrytis plaatsvindt op basis van een waarschuwingssysteem van een onafhankelijk deskundige dat voldoet aan de bij ministeriële regeling gestelde eisen;</w:t>
      </w:r>
    </w:p>
    <w:p w:rsidR="00296032" w:rsidRPr="00620047" w:rsidRDefault="00296032">
      <w:pPr>
        <w:pStyle w:val="art3enivo"/>
      </w:pPr>
      <w:r w:rsidRPr="00620047">
        <w:t>2°.</w:t>
      </w:r>
      <w:r w:rsidRPr="00620047">
        <w:tab/>
        <w:t>veldspuitapparatuur met luchtondersteuning;</w:t>
      </w:r>
    </w:p>
    <w:p w:rsidR="00296032" w:rsidRPr="00620047" w:rsidRDefault="00296032">
      <w:pPr>
        <w:pStyle w:val="art3enivo"/>
      </w:pPr>
      <w:r w:rsidRPr="00620047">
        <w:t>3°.</w:t>
      </w:r>
      <w:r w:rsidRPr="00620047">
        <w:tab/>
        <w:t>veldspuitapparatuur die is voorzien van spuitdoppen, aangewezen bij ministeriële regeling, waarvan de onderlinge afstand niet groter is dan 25 centimeter, waarbij gebruik wordt gemaakt van luchtondersteuning en de apparatuur zodanig is ingesteld dat de spuitdoppen zich niet hoger dan 30 cm boven het gewas bevinden;</w:t>
      </w:r>
    </w:p>
    <w:p w:rsidR="00296032" w:rsidRPr="00620047" w:rsidRDefault="00296032">
      <w:pPr>
        <w:pStyle w:val="art3enivo"/>
      </w:pPr>
      <w:r w:rsidRPr="00620047">
        <w:t>4°.</w:t>
      </w:r>
      <w:r w:rsidRPr="00620047">
        <w:tab/>
        <w:t>een overkapte beddenspuit, of</w:t>
      </w:r>
    </w:p>
    <w:p w:rsidR="00296032" w:rsidRPr="00620047" w:rsidRDefault="00296032">
      <w:pPr>
        <w:pStyle w:val="art3enivo"/>
      </w:pPr>
      <w:r w:rsidRPr="00620047">
        <w:t>5°.</w:t>
      </w:r>
      <w:r w:rsidRPr="00620047">
        <w:tab/>
        <w:t>een handgedragen spuit.</w:t>
      </w:r>
    </w:p>
    <w:p w:rsidR="00296032" w:rsidRPr="00620047" w:rsidRDefault="00296032">
      <w:pPr>
        <w:pStyle w:val="art1enivo"/>
        <w:rPr>
          <w:rFonts w:cs="Arial"/>
        </w:rPr>
      </w:pPr>
      <w:r w:rsidRPr="00620047">
        <w:rPr>
          <w:rFonts w:cs="Arial"/>
        </w:rPr>
        <w:t>3.</w:t>
      </w:r>
      <w:r w:rsidRPr="00620047">
        <w:rPr>
          <w:rFonts w:cs="Arial"/>
        </w:rPr>
        <w:tab/>
        <w:t>De teeltvrije zone bedraagt bij de teelt van in opwaartse of zijwaartse richting te bespuiten boomkwekerijgewassen ten minste 500 centimeter.</w:t>
      </w:r>
    </w:p>
    <w:p w:rsidR="00296032" w:rsidRPr="00620047" w:rsidRDefault="00296032">
      <w:pPr>
        <w:pStyle w:val="art1enivo"/>
        <w:rPr>
          <w:rFonts w:cs="Arial"/>
        </w:rPr>
      </w:pPr>
      <w:r w:rsidRPr="00620047">
        <w:rPr>
          <w:rFonts w:cs="Arial"/>
        </w:rPr>
        <w:t>4.</w:t>
      </w:r>
      <w:r w:rsidRPr="00620047">
        <w:rPr>
          <w:rFonts w:cs="Arial"/>
        </w:rPr>
        <w:tab/>
        <w:t>De teeltvrije zone bedraagt bij de teelt van appelen, peren en overige pit- en steenvruchten:</w:t>
      </w:r>
    </w:p>
    <w:p w:rsidR="00296032" w:rsidRPr="00620047" w:rsidRDefault="00296032">
      <w:pPr>
        <w:pStyle w:val="art2enivo"/>
        <w:rPr>
          <w:rFonts w:cs="Arial"/>
        </w:rPr>
      </w:pPr>
      <w:r w:rsidRPr="00620047">
        <w:rPr>
          <w:rFonts w:cs="Arial"/>
        </w:rPr>
        <w:t>a.</w:t>
      </w:r>
      <w:r w:rsidRPr="00620047">
        <w:rPr>
          <w:rFonts w:cs="Arial"/>
        </w:rPr>
        <w:tab/>
        <w:t>ten minste 900 centimeter;</w:t>
      </w:r>
    </w:p>
    <w:p w:rsidR="00296032" w:rsidRPr="00620047" w:rsidRDefault="00296032">
      <w:pPr>
        <w:pStyle w:val="art2enivo"/>
        <w:rPr>
          <w:rFonts w:cs="Arial"/>
        </w:rPr>
      </w:pPr>
      <w:r w:rsidRPr="00620047">
        <w:rPr>
          <w:rFonts w:cs="Arial"/>
        </w:rPr>
        <w:t>b.</w:t>
      </w:r>
      <w:r w:rsidRPr="00620047">
        <w:rPr>
          <w:rFonts w:cs="Arial"/>
        </w:rPr>
        <w:tab/>
        <w:t>ten minste 450 centimeter, indien gebruik wordt gemaakt van een reflectiescherm, of</w:t>
      </w:r>
    </w:p>
    <w:p w:rsidR="00296032" w:rsidRPr="00620047" w:rsidRDefault="00296032">
      <w:pPr>
        <w:pStyle w:val="art2enivo"/>
        <w:rPr>
          <w:rFonts w:cs="Arial"/>
        </w:rPr>
      </w:pPr>
      <w:r w:rsidRPr="00620047">
        <w:rPr>
          <w:rFonts w:cs="Arial"/>
        </w:rPr>
        <w:t>c.</w:t>
      </w:r>
      <w:r w:rsidRPr="00620047">
        <w:rPr>
          <w:rFonts w:cs="Arial"/>
        </w:rPr>
        <w:tab/>
        <w:t>ten minste 300 centimeter, indien:</w:t>
      </w:r>
    </w:p>
    <w:p w:rsidR="00296032" w:rsidRPr="00620047" w:rsidRDefault="00296032">
      <w:pPr>
        <w:pStyle w:val="art3enivo"/>
      </w:pPr>
      <w:r w:rsidRPr="00620047">
        <w:t>1°.</w:t>
      </w:r>
      <w:r w:rsidRPr="00620047">
        <w:tab/>
        <w:t>gebruik wordt gemaakt van een tunnelspuit;</w:t>
      </w:r>
    </w:p>
    <w:p w:rsidR="00296032" w:rsidRPr="00620047" w:rsidRDefault="00296032">
      <w:pPr>
        <w:pStyle w:val="art3enivo"/>
      </w:pPr>
      <w:r w:rsidRPr="00620047">
        <w:t>2°.</w:t>
      </w:r>
      <w:r w:rsidRPr="00620047">
        <w:tab/>
        <w:t>gebruik wordt gemaakt van een vanggewas, dat voldoet aan de bij ministeriële regeling gestelde eisen;</w:t>
      </w:r>
    </w:p>
    <w:p w:rsidR="00296032" w:rsidRPr="00620047" w:rsidRDefault="00296032">
      <w:pPr>
        <w:pStyle w:val="art3enivo"/>
      </w:pPr>
      <w:r w:rsidRPr="00620047">
        <w:t>3°.</w:t>
      </w:r>
      <w:r w:rsidRPr="00620047">
        <w:tab/>
        <w:t>sprake is van biologische productiemethode;</w:t>
      </w:r>
    </w:p>
    <w:p w:rsidR="00296032" w:rsidRPr="00620047" w:rsidRDefault="00296032">
      <w:pPr>
        <w:pStyle w:val="art3enivo"/>
      </w:pPr>
      <w:r w:rsidRPr="00620047">
        <w:t>4°.</w:t>
      </w:r>
      <w:r w:rsidRPr="00620047">
        <w:tab/>
        <w:t>gebruik wordt gemaakt van een dwarsstroomspuit met reflectiescherm en van een emissiescherm, die voldoen aan de bij ministeriële regeling gestelde eisen, of</w:t>
      </w:r>
    </w:p>
    <w:p w:rsidR="00296032" w:rsidRPr="00620047" w:rsidRDefault="00296032">
      <w:pPr>
        <w:pStyle w:val="art3enivo"/>
      </w:pPr>
      <w:r w:rsidRPr="00620047">
        <w:t>5°.</w:t>
      </w:r>
      <w:r w:rsidRPr="00620047">
        <w:tab/>
        <w:t>gebruik wordt gemaakt van een dwarsstroomspuit of axiaalspuit en bij de bespuiting van de buitenste gewasrij geen gebruik wordt gemaakt van naar een oppervlaktewaterlichaam gerichte apparatuur en slechts gebruik wordt gemaakt van spuitdoppen waarvan door een deskundig, onafhankelijk instituut is vastgesteld dat het gebruik van die spuitdoppen bij die wijze van bespuiten resulteert in een driftdepositie in een oppervlaktewaterlichaam in de volbladsituatie van ten hoogste 1,5%.</w:t>
      </w:r>
    </w:p>
    <w:p w:rsidR="00296032" w:rsidRPr="00620047" w:rsidRDefault="00296032">
      <w:pPr>
        <w:pStyle w:val="art1enivo"/>
        <w:rPr>
          <w:rFonts w:cs="Arial"/>
        </w:rPr>
      </w:pPr>
      <w:r w:rsidRPr="00620047">
        <w:rPr>
          <w:rFonts w:cs="Arial"/>
        </w:rPr>
        <w:t>5.</w:t>
      </w:r>
      <w:r w:rsidRPr="00620047">
        <w:rPr>
          <w:rFonts w:cs="Arial"/>
        </w:rPr>
        <w:tab/>
        <w:t>In afwijking van het vierde lid, onderdeel a, bedraagt de teeltvrije zone, aangrenzend aan de kopakker ten minste 600 centimeter, indien bij de bespuiting van de buitenste gewasrij geen gebruik wordt gemaakt van naar een oppervlaktewaterlichaam gerichte apparatuur.</w:t>
      </w:r>
    </w:p>
    <w:p w:rsidR="00296032" w:rsidRPr="00620047" w:rsidRDefault="00296032">
      <w:pPr>
        <w:pStyle w:val="art1enivo"/>
        <w:rPr>
          <w:rFonts w:cs="Arial"/>
        </w:rPr>
      </w:pPr>
      <w:r w:rsidRPr="00620047">
        <w:rPr>
          <w:rFonts w:cs="Arial"/>
        </w:rPr>
        <w:t>6.</w:t>
      </w:r>
      <w:r w:rsidRPr="00620047">
        <w:rPr>
          <w:rFonts w:cs="Arial"/>
        </w:rPr>
        <w:tab/>
        <w:t>De teeltvrije zone bedraagt bij de teelt van grasland, graszaad, haver, rogge, spelt, teff, triticale, vlas, zomertarwe, wintertarwe, zomergerst en wintergerst ten minste 25 centimeter.</w:t>
      </w:r>
    </w:p>
    <w:p w:rsidR="00296032" w:rsidRPr="00620047" w:rsidRDefault="00296032">
      <w:pPr>
        <w:pStyle w:val="art1enivo"/>
        <w:rPr>
          <w:rFonts w:cs="Arial"/>
        </w:rPr>
      </w:pPr>
      <w:r w:rsidRPr="00620047">
        <w:rPr>
          <w:rFonts w:cs="Arial"/>
        </w:rPr>
        <w:t>7.</w:t>
      </w:r>
      <w:r w:rsidRPr="00620047">
        <w:rPr>
          <w:rFonts w:cs="Arial"/>
        </w:rPr>
        <w:tab/>
        <w:t>De teeltvrije zone bedraagt bij de teelt van andere gewassen dan de gewassen, genoemd in het eerste tot en met zesde lid, ten minste 50 centimeter.</w:t>
      </w:r>
    </w:p>
    <w:p w:rsidR="00296032" w:rsidRPr="00296032" w:rsidRDefault="00296032">
      <w:pPr>
        <w:pStyle w:val="artikelkop"/>
        <w:rPr>
          <w:rFonts w:cs="Arial"/>
        </w:rPr>
      </w:pPr>
      <w:r w:rsidRPr="00296032">
        <w:rPr>
          <w:rFonts w:cs="Arial"/>
        </w:rPr>
        <w:t>Artikel 3.81</w:t>
      </w:r>
    </w:p>
    <w:p w:rsidR="00296032" w:rsidRPr="00620047" w:rsidRDefault="00296032">
      <w:pPr>
        <w:pStyle w:val="art1enivo"/>
        <w:rPr>
          <w:rFonts w:cs="Arial"/>
        </w:rPr>
      </w:pPr>
      <w:r w:rsidRPr="00620047">
        <w:rPr>
          <w:rFonts w:cs="Arial"/>
        </w:rPr>
        <w:t>1.</w:t>
      </w:r>
      <w:r w:rsidRPr="00620047">
        <w:rPr>
          <w:rFonts w:cs="Arial"/>
        </w:rPr>
        <w:tab/>
        <w:t>In afwijking van artikel 3.80, eerste, tweede, vierde lid, onderdelen b en c, zesde en zevende lid, bedraagt de teeltvrije zone langs de oppervlaktewaterlichamen, aangewezen in de bijlage bij artikel 3 van het Uitvoeringsbesluit Meststoffenwet ten minste 500 centimeter.</w:t>
      </w:r>
    </w:p>
    <w:p w:rsidR="00296032" w:rsidRPr="00620047" w:rsidRDefault="00296032">
      <w:pPr>
        <w:pStyle w:val="art1enivo"/>
        <w:rPr>
          <w:rFonts w:cs="Arial"/>
        </w:rPr>
      </w:pPr>
      <w:r w:rsidRPr="00620047">
        <w:rPr>
          <w:rFonts w:cs="Arial"/>
        </w:rPr>
        <w:t>2.</w:t>
      </w:r>
      <w:r w:rsidRPr="00620047">
        <w:rPr>
          <w:rFonts w:cs="Arial"/>
        </w:rPr>
        <w:tab/>
        <w:t>In afwijking van artikel 3.80, eerste lid, kan het bevoegd gezag bij maatwerkvoorschrift bepalen dat het tweede lid van dat artikel van toepassing is, indien sprake is van teelt van bloembollen en bloemknollen gedurende een periode van twee of meer opeenvolgende seizoenen op een perceel.</w:t>
      </w:r>
    </w:p>
    <w:p w:rsidR="00296032" w:rsidRPr="00620047" w:rsidRDefault="00296032">
      <w:pPr>
        <w:pStyle w:val="art1enivo"/>
        <w:rPr>
          <w:rFonts w:cs="Arial"/>
        </w:rPr>
      </w:pPr>
      <w:r w:rsidRPr="00620047">
        <w:rPr>
          <w:rFonts w:cs="Arial"/>
        </w:rPr>
        <w:t>3.</w:t>
      </w:r>
      <w:r w:rsidRPr="00620047">
        <w:rPr>
          <w:rFonts w:cs="Arial"/>
        </w:rPr>
        <w:tab/>
        <w:t>In afwijking van artikel 3.80 kan het bevoegd gezag, indien sprake is van een talud dat breder is dan 200 centimeter, bij maatwerkvoorschrift een smallere teeltvrije zone vaststellen.</w:t>
      </w:r>
    </w:p>
    <w:p w:rsidR="00296032" w:rsidRPr="00620047" w:rsidRDefault="00296032">
      <w:pPr>
        <w:pStyle w:val="art1enivo"/>
        <w:rPr>
          <w:rFonts w:cs="Arial"/>
        </w:rPr>
      </w:pPr>
      <w:r w:rsidRPr="00620047">
        <w:rPr>
          <w:rFonts w:cs="Arial"/>
        </w:rPr>
        <w:t>4.</w:t>
      </w:r>
      <w:r w:rsidRPr="00620047">
        <w:rPr>
          <w:rFonts w:cs="Arial"/>
        </w:rPr>
        <w:tab/>
        <w:t>In afwijking van artikel 3.80 kan het bevoegd gezag bij het lozen in een niet aangewezen oppervlaktewaterlichaam, indien het belang van de bescherming van het milieu daartoe noodzaakt, bij maatwerkvoorschrift een bredere teeltvrije zone vaststellen.</w:t>
      </w:r>
    </w:p>
    <w:p w:rsidR="00296032" w:rsidRPr="00296032" w:rsidRDefault="00296032">
      <w:pPr>
        <w:pStyle w:val="artikelkop"/>
        <w:rPr>
          <w:rFonts w:cs="Arial"/>
        </w:rPr>
      </w:pPr>
      <w:r w:rsidRPr="00296032">
        <w:rPr>
          <w:rFonts w:cs="Arial"/>
        </w:rPr>
        <w:t>Artikel 3.82</w:t>
      </w:r>
    </w:p>
    <w:p w:rsidR="00296032" w:rsidRPr="00620047" w:rsidRDefault="00296032">
      <w:pPr>
        <w:pStyle w:val="artplat"/>
        <w:rPr>
          <w:rFonts w:cs="Arial"/>
        </w:rPr>
      </w:pPr>
      <w:r w:rsidRPr="00620047">
        <w:rPr>
          <w:rFonts w:cs="Arial"/>
        </w:rPr>
        <w:t>Op braakliggend land worden binnen een afstand van 50 centimeter vanaf de insteek van een oppervlaktewaterlichaam geen gewasbeschermingsmiddelen gebruikt.</w:t>
      </w:r>
    </w:p>
    <w:p w:rsidR="00296032" w:rsidRPr="00296032" w:rsidRDefault="00296032">
      <w:pPr>
        <w:pStyle w:val="artikelkop"/>
        <w:rPr>
          <w:rFonts w:cs="Arial"/>
        </w:rPr>
      </w:pPr>
      <w:r w:rsidRPr="00296032">
        <w:rPr>
          <w:rFonts w:cs="Arial"/>
        </w:rPr>
        <w:t>Artikel 3.83</w:t>
      </w:r>
    </w:p>
    <w:p w:rsidR="00296032" w:rsidRPr="00620047" w:rsidRDefault="00296032">
      <w:pPr>
        <w:pStyle w:val="art1enivo"/>
        <w:rPr>
          <w:rFonts w:cs="Arial"/>
        </w:rPr>
      </w:pPr>
      <w:r w:rsidRPr="00620047">
        <w:rPr>
          <w:rFonts w:cs="Arial"/>
        </w:rPr>
        <w:t>1.</w:t>
      </w:r>
      <w:r w:rsidRPr="00620047">
        <w:rPr>
          <w:rFonts w:cs="Arial"/>
        </w:rPr>
        <w:tab/>
        <w:t>Het gebruik van veldspuitapparatuur is verboden, tenzij:</w:t>
      </w:r>
    </w:p>
    <w:p w:rsidR="00296032" w:rsidRPr="00620047" w:rsidRDefault="00296032">
      <w:pPr>
        <w:pStyle w:val="art2enivo"/>
        <w:rPr>
          <w:rFonts w:cs="Arial"/>
        </w:rPr>
      </w:pPr>
      <w:r w:rsidRPr="00620047">
        <w:rPr>
          <w:rFonts w:cs="Arial"/>
        </w:rPr>
        <w:t>a.</w:t>
      </w:r>
      <w:r w:rsidRPr="00620047">
        <w:rPr>
          <w:rFonts w:cs="Arial"/>
        </w:rPr>
        <w:tab/>
        <w:t>deze uitsluitend is voorzien van spuitdoppen die in het toe te passen drukbereik, vergeleken met de grensdop van de klasse fijn en midden volgens de classificatie van de British Crop Protection Council (931-030-F110 bij 3 bar), een ten minste 50% kleiner volumepercentage druppels met een diameter kleiner dan 100 µm produceren;</w:t>
      </w:r>
    </w:p>
    <w:p w:rsidR="00296032" w:rsidRPr="00620047" w:rsidRDefault="00296032">
      <w:pPr>
        <w:pStyle w:val="art2enivo"/>
        <w:rPr>
          <w:rFonts w:cs="Arial"/>
        </w:rPr>
      </w:pPr>
      <w:r w:rsidRPr="00620047">
        <w:rPr>
          <w:rFonts w:cs="Arial"/>
        </w:rPr>
        <w:t>b.</w:t>
      </w:r>
      <w:r w:rsidRPr="00620047">
        <w:rPr>
          <w:rFonts w:cs="Arial"/>
        </w:rPr>
        <w:tab/>
        <w:t>de buitenste in gebruik zijnde spuitdop aan de zijde van het oppervlaktewaterlichaam een kantdop is die aan de zijde van het oppervlaktewaterlichaam een verticale of nagenoeg verticale neerwaartse richting van de spuitvloeistof bewerkstelligt, en</w:t>
      </w:r>
    </w:p>
    <w:p w:rsidR="00296032" w:rsidRPr="00620047" w:rsidRDefault="00296032">
      <w:pPr>
        <w:pStyle w:val="art2enivo"/>
        <w:rPr>
          <w:rFonts w:cs="Arial"/>
        </w:rPr>
      </w:pPr>
      <w:r w:rsidRPr="00620047">
        <w:rPr>
          <w:rFonts w:cs="Arial"/>
        </w:rPr>
        <w:t>c.</w:t>
      </w:r>
      <w:r w:rsidRPr="00620047">
        <w:rPr>
          <w:rFonts w:cs="Arial"/>
        </w:rPr>
        <w:tab/>
        <w:t>de apparatuur zodanig is ingesteld dat de spuitdoppen zich niet hoger dan 50 cm boven het gewas bevinden.</w:t>
      </w:r>
    </w:p>
    <w:p w:rsidR="00296032" w:rsidRPr="00620047" w:rsidRDefault="00296032">
      <w:pPr>
        <w:pStyle w:val="art1enivo"/>
        <w:rPr>
          <w:rFonts w:cs="Arial"/>
        </w:rPr>
      </w:pPr>
      <w:r w:rsidRPr="00620047">
        <w:rPr>
          <w:rFonts w:cs="Arial"/>
        </w:rPr>
        <w:t>2.</w:t>
      </w:r>
      <w:r w:rsidRPr="00620047">
        <w:rPr>
          <w:rFonts w:cs="Arial"/>
        </w:rPr>
        <w:tab/>
        <w:t>Het driftarme karakter van spuitdoppen als bedoeld in het eerste lid:</w:t>
      </w:r>
    </w:p>
    <w:p w:rsidR="00296032" w:rsidRPr="00620047" w:rsidRDefault="00296032">
      <w:pPr>
        <w:pStyle w:val="art2enivo"/>
        <w:rPr>
          <w:rFonts w:cs="Arial"/>
        </w:rPr>
      </w:pPr>
      <w:r w:rsidRPr="00620047">
        <w:rPr>
          <w:rFonts w:cs="Arial"/>
        </w:rPr>
        <w:t>a.</w:t>
      </w:r>
      <w:r w:rsidRPr="00620047">
        <w:rPr>
          <w:rFonts w:cs="Arial"/>
        </w:rPr>
        <w:tab/>
        <w:t>is vastgelegd in een keuringsverklaring, afgegeven door een deskundig, onafhankelijk instituut, waaruit blijkt dat een driftarme dop, die bij het gebruik van gewasbeschermingsmiddelen wordt toegepast, voldoet aan de bij of krachtens dit besluit gestelde eisen ten aanzien van driftarme doppen, en</w:t>
      </w:r>
    </w:p>
    <w:p w:rsidR="00296032" w:rsidRPr="00620047" w:rsidRDefault="00296032">
      <w:pPr>
        <w:pStyle w:val="art2enivo"/>
        <w:rPr>
          <w:rFonts w:cs="Arial"/>
        </w:rPr>
      </w:pPr>
      <w:r w:rsidRPr="00620047">
        <w:rPr>
          <w:rFonts w:cs="Arial"/>
        </w:rPr>
        <w:t>b.</w:t>
      </w:r>
      <w:r w:rsidRPr="00620047">
        <w:rPr>
          <w:rFonts w:cs="Arial"/>
        </w:rPr>
        <w:tab/>
        <w:t>wordt volgens een bij ministeriële regeling te bepalen testmethode vastgesteld.</w:t>
      </w:r>
    </w:p>
    <w:p w:rsidR="00296032" w:rsidRPr="00620047" w:rsidRDefault="00296032">
      <w:pPr>
        <w:pStyle w:val="art1enivo"/>
        <w:rPr>
          <w:rFonts w:cs="Arial"/>
        </w:rPr>
      </w:pPr>
      <w:r w:rsidRPr="00620047">
        <w:rPr>
          <w:rFonts w:cs="Arial"/>
        </w:rPr>
        <w:t>3.</w:t>
      </w:r>
      <w:r w:rsidRPr="00620047">
        <w:rPr>
          <w:rFonts w:cs="Arial"/>
        </w:rPr>
        <w:tab/>
        <w:t>Bij het gebruik van veldspuitapparatuur wordt:</w:t>
      </w:r>
    </w:p>
    <w:p w:rsidR="00296032" w:rsidRPr="00620047" w:rsidRDefault="00296032">
      <w:pPr>
        <w:pStyle w:val="art2enivo"/>
        <w:rPr>
          <w:rFonts w:cs="Arial"/>
        </w:rPr>
      </w:pPr>
      <w:r w:rsidRPr="00620047">
        <w:rPr>
          <w:rFonts w:cs="Arial"/>
        </w:rPr>
        <w:t>a.</w:t>
      </w:r>
      <w:r w:rsidRPr="00620047">
        <w:rPr>
          <w:rFonts w:cs="Arial"/>
        </w:rPr>
        <w:tab/>
        <w:t>de spuitdruk geregistreerd door een drukregistratievoorziening, of</w:t>
      </w:r>
    </w:p>
    <w:p w:rsidR="00296032" w:rsidRPr="00620047" w:rsidRDefault="00296032">
      <w:pPr>
        <w:pStyle w:val="art2enivo"/>
        <w:rPr>
          <w:rFonts w:cs="Arial"/>
        </w:rPr>
      </w:pPr>
      <w:r w:rsidRPr="00620047">
        <w:rPr>
          <w:rFonts w:cs="Arial"/>
        </w:rPr>
        <w:t>b.</w:t>
      </w:r>
      <w:r w:rsidRPr="00620047">
        <w:rPr>
          <w:rFonts w:cs="Arial"/>
        </w:rPr>
        <w:tab/>
        <w:t>uitsluitend gebruik gemaakt van venturidoppen uit de 50% driftreductieklasse.</w:t>
      </w:r>
    </w:p>
    <w:p w:rsidR="00296032" w:rsidRPr="00620047" w:rsidRDefault="00296032">
      <w:pPr>
        <w:pStyle w:val="art1enivo"/>
        <w:rPr>
          <w:rFonts w:cs="Arial"/>
        </w:rPr>
      </w:pPr>
      <w:r w:rsidRPr="00620047">
        <w:rPr>
          <w:rFonts w:cs="Arial"/>
        </w:rPr>
        <w:t>4.</w:t>
      </w:r>
      <w:r w:rsidRPr="00620047">
        <w:rPr>
          <w:rFonts w:cs="Arial"/>
        </w:rPr>
        <w:tab/>
        <w:t>Bij het op- en zijwaarts spuiten van appelen, peren en overige pit- en steenvruchten op de wijze, bedoeld in artikel 3.80, vierde lid, onderdeel c, onder 5°, waarbij spuitdoppen worden gebruikt die uitsluitend zijn aangewezen voor het gebruik bij een spuitdruk lager dan 5 bar, wordt de spuitdruk geregistreerd door een drukregistratievoorziening.</w:t>
      </w:r>
    </w:p>
    <w:p w:rsidR="00296032" w:rsidRPr="00620047" w:rsidRDefault="00296032">
      <w:pPr>
        <w:pStyle w:val="art1enivo"/>
        <w:rPr>
          <w:rFonts w:cs="Arial"/>
        </w:rPr>
      </w:pPr>
      <w:r w:rsidRPr="00620047">
        <w:rPr>
          <w:rFonts w:cs="Arial"/>
        </w:rPr>
        <w:t>5.</w:t>
      </w:r>
      <w:r w:rsidRPr="00620047">
        <w:rPr>
          <w:rFonts w:cs="Arial"/>
        </w:rPr>
        <w:tab/>
        <w:t>Een drukregistratievoorziening als bedoeld in het derde lid, onderdeel a, en het vierde lid, voldoet aan de bij ministeriële regeling gestelde eisen.</w:t>
      </w:r>
    </w:p>
    <w:p w:rsidR="00296032" w:rsidRPr="00620047" w:rsidRDefault="00296032">
      <w:pPr>
        <w:pStyle w:val="art1enivo"/>
        <w:rPr>
          <w:rFonts w:cs="Arial"/>
        </w:rPr>
      </w:pPr>
      <w:r w:rsidRPr="00620047">
        <w:rPr>
          <w:rFonts w:cs="Arial"/>
        </w:rPr>
        <w:t>6.</w:t>
      </w:r>
      <w:r w:rsidRPr="00620047">
        <w:rPr>
          <w:rFonts w:cs="Arial"/>
        </w:rPr>
        <w:tab/>
        <w:t>Het gebruik van gewasbeschermingsmiddelen is verboden bij een windsnelheid groter dan 5 meter per seconde, gemeten op spuitdophoogte, tenzij degene die de gewasbeschermingsmiddelen gebruikt, kan aantonen dat redelijkerwijs niet anders dan door het gebruik van die middelen bij een windsnelheid groter dan 5 meter per seconde een teeltbedreigende situatie kan worden afgewend.</w:t>
      </w:r>
    </w:p>
    <w:p w:rsidR="00296032" w:rsidRPr="00620047" w:rsidRDefault="00296032">
      <w:pPr>
        <w:pStyle w:val="art1enivo"/>
        <w:rPr>
          <w:rFonts w:cs="Arial"/>
        </w:rPr>
      </w:pPr>
      <w:r w:rsidRPr="00620047">
        <w:rPr>
          <w:rFonts w:cs="Arial"/>
        </w:rPr>
        <w:t>7.</w:t>
      </w:r>
      <w:r w:rsidRPr="00620047">
        <w:rPr>
          <w:rFonts w:cs="Arial"/>
        </w:rPr>
        <w:tab/>
        <w:t>Het gebruik van een spuitgeweer dat is voorzien van een werveldop of dat gebruik maakt van een werkdruk van 5 bar of meer is verboden.</w:t>
      </w:r>
    </w:p>
    <w:p w:rsidR="00296032" w:rsidRPr="00620047" w:rsidRDefault="00296032">
      <w:pPr>
        <w:pStyle w:val="art1enivo"/>
        <w:rPr>
          <w:rFonts w:cs="Arial"/>
        </w:rPr>
      </w:pPr>
      <w:r w:rsidRPr="00620047">
        <w:rPr>
          <w:rFonts w:cs="Arial"/>
        </w:rPr>
        <w:t>8.</w:t>
      </w:r>
      <w:r w:rsidRPr="00620047">
        <w:rPr>
          <w:rFonts w:cs="Arial"/>
        </w:rPr>
        <w:tab/>
        <w:t>Het eerste tot en met zesde lid is niet van toepassing op het gebruik van gewasbeschermingsmiddelen met een overkapte beddenspuit.</w:t>
      </w:r>
    </w:p>
    <w:p w:rsidR="00296032" w:rsidRPr="00620047" w:rsidRDefault="00296032">
      <w:pPr>
        <w:pStyle w:val="art1enivo"/>
        <w:rPr>
          <w:rFonts w:cs="Arial"/>
        </w:rPr>
      </w:pPr>
      <w:r w:rsidRPr="00620047">
        <w:rPr>
          <w:rFonts w:cs="Arial"/>
        </w:rPr>
        <w:t>9.</w:t>
      </w:r>
      <w:r w:rsidRPr="00620047">
        <w:rPr>
          <w:rFonts w:cs="Arial"/>
        </w:rPr>
        <w:tab/>
        <w:t>Het eerste lid, onderdelen a en c, en tweede lid, zijn niet van toepassing op een veldspuit als bedoeld in artikel 3.80, tweede lid, onderdeel a, onder 2°, of onderdeel b, onder 3°.</w:t>
      </w:r>
    </w:p>
    <w:p w:rsidR="00296032" w:rsidRPr="00620047" w:rsidRDefault="00296032">
      <w:pPr>
        <w:pStyle w:val="art1enivo"/>
        <w:rPr>
          <w:rFonts w:cs="Arial"/>
        </w:rPr>
      </w:pPr>
      <w:r w:rsidRPr="00620047">
        <w:rPr>
          <w:rFonts w:cs="Arial"/>
        </w:rPr>
        <w:t>10.</w:t>
      </w:r>
      <w:r w:rsidRPr="00620047">
        <w:rPr>
          <w:rFonts w:cs="Arial"/>
        </w:rPr>
        <w:tab/>
        <w:t>In afwijking van het eerste lid, onderdeel c, kan bij ministeriële regeling ten aanzien van de daarbij aangewezen driftarme doppen een lagere hoogte worden vastgesteld waarop de spuitdoppen zich ten hoogste boven het gewas mogen bevinden.</w:t>
      </w:r>
    </w:p>
    <w:p w:rsidR="00296032" w:rsidRPr="00620047" w:rsidRDefault="00296032">
      <w:pPr>
        <w:pStyle w:val="art1enivo"/>
      </w:pPr>
      <w:r w:rsidRPr="00620047">
        <w:t>11.</w:t>
      </w:r>
      <w:r w:rsidRPr="00620047">
        <w:tab/>
      </w:r>
      <w:r w:rsidRPr="00620047">
        <w:rPr>
          <w:b/>
        </w:rPr>
        <w:t>[Dit artikellid vervalt met ingang van 1 januari 2017]</w:t>
      </w:r>
      <w:r w:rsidRPr="00620047">
        <w:rPr>
          <w:b/>
        </w:rPr>
        <w:br/>
      </w:r>
      <w:r w:rsidRPr="00620047">
        <w:t>Het derde tot en met vijfde lid zijn tot 1 januari 2017 niet van toepassing op veldspuitapparatuur die niet is voorzien van een drukregistratievoorziening als bedoeld in die leden.</w:t>
      </w:r>
    </w:p>
    <w:p w:rsidR="00296032" w:rsidRPr="00296032" w:rsidRDefault="00296032">
      <w:pPr>
        <w:pStyle w:val="artikelkop"/>
        <w:rPr>
          <w:rFonts w:cs="Arial"/>
        </w:rPr>
      </w:pPr>
      <w:r w:rsidRPr="00296032">
        <w:rPr>
          <w:rFonts w:cs="Arial"/>
        </w:rPr>
        <w:t>Artikel 3.84</w:t>
      </w:r>
    </w:p>
    <w:p w:rsidR="00296032" w:rsidRPr="00620047" w:rsidRDefault="00296032">
      <w:pPr>
        <w:pStyle w:val="artplat"/>
        <w:rPr>
          <w:rFonts w:cs="Arial"/>
        </w:rPr>
      </w:pPr>
      <w:r w:rsidRPr="00620047">
        <w:rPr>
          <w:rFonts w:cs="Arial"/>
        </w:rPr>
        <w:t>Bij het op andere wijze dan door middel van een werk lozen van meststoffen in een oppervlaktewaterlichaam als gevolg van het gebruik van meststoffen bij het telen van gewassen in de open lucht, wordt ten minste voldaan aan artikel 3.85.</w:t>
      </w:r>
    </w:p>
    <w:p w:rsidR="00296032" w:rsidRPr="00296032" w:rsidRDefault="00296032">
      <w:pPr>
        <w:pStyle w:val="artikelkop"/>
        <w:rPr>
          <w:rFonts w:cs="Arial"/>
        </w:rPr>
      </w:pPr>
      <w:r w:rsidRPr="00296032">
        <w:rPr>
          <w:rFonts w:cs="Arial"/>
        </w:rPr>
        <w:t>Artikel 3.85</w:t>
      </w:r>
    </w:p>
    <w:p w:rsidR="00296032" w:rsidRPr="00620047" w:rsidRDefault="00296032">
      <w:pPr>
        <w:pStyle w:val="art1enivo"/>
        <w:rPr>
          <w:rFonts w:cs="Arial"/>
        </w:rPr>
      </w:pPr>
      <w:r w:rsidRPr="00620047">
        <w:rPr>
          <w:rFonts w:cs="Arial"/>
        </w:rPr>
        <w:t>1.</w:t>
      </w:r>
      <w:r w:rsidRPr="00620047">
        <w:rPr>
          <w:rFonts w:cs="Arial"/>
        </w:rPr>
        <w:tab/>
        <w:t>Binnen een teeltvrije zone als bedoeld in artikel 3.79, tweede lid, worden geen meststoffen gebruikt.</w:t>
      </w:r>
    </w:p>
    <w:p w:rsidR="00296032" w:rsidRPr="00620047" w:rsidRDefault="00296032">
      <w:pPr>
        <w:pStyle w:val="art1enivo"/>
        <w:rPr>
          <w:rFonts w:cs="Arial"/>
        </w:rPr>
      </w:pPr>
      <w:r w:rsidRPr="00620047">
        <w:rPr>
          <w:rFonts w:cs="Arial"/>
        </w:rPr>
        <w:t>2.</w:t>
      </w:r>
      <w:r w:rsidRPr="00620047">
        <w:rPr>
          <w:rFonts w:cs="Arial"/>
        </w:rPr>
        <w:tab/>
        <w:t>In afwijking van het eerste lid is het bij de teelt van opwaarts en zijwaarts te bespuiten boomkwekerijgewassen of van appelen, peren en overige pitvruchten en steenvruchten, toegestaan binnen een teeltvrije zone meststoffen te gebruiken op een afstand van ten minste 25 centimeter vanaf de insteek van een oppervlaktewaterlichaam, indien binnen die zone geen ander gewas dan gras wordt geteeld.</w:t>
      </w:r>
    </w:p>
    <w:p w:rsidR="00296032" w:rsidRPr="00620047" w:rsidRDefault="00296032">
      <w:pPr>
        <w:pStyle w:val="art1enivo"/>
        <w:rPr>
          <w:rFonts w:cs="Arial"/>
        </w:rPr>
      </w:pPr>
      <w:r w:rsidRPr="00620047">
        <w:rPr>
          <w:rFonts w:cs="Arial"/>
        </w:rPr>
        <w:t>3.</w:t>
      </w:r>
      <w:r w:rsidRPr="00620047">
        <w:rPr>
          <w:rFonts w:cs="Arial"/>
        </w:rPr>
        <w:tab/>
        <w:t>In afwijking van het eerste lid en onverminderd het zesde lid is het pleksgewijs bemesten van een vanggewas op de teeltvrije zone op een afstand van ten minste 50 centimeter vanaf de insteek van een oppervlaktewaterlichaam toegestaan, indien het vanggewas voldoet aan de bij ministeriële regeling gestelde eisen.</w:t>
      </w:r>
    </w:p>
    <w:p w:rsidR="00296032" w:rsidRPr="00620047" w:rsidRDefault="00296032">
      <w:pPr>
        <w:pStyle w:val="art1enivo"/>
        <w:rPr>
          <w:rFonts w:cs="Arial"/>
        </w:rPr>
      </w:pPr>
      <w:r w:rsidRPr="00620047">
        <w:rPr>
          <w:rFonts w:cs="Arial"/>
        </w:rPr>
        <w:t>4.</w:t>
      </w:r>
      <w:r w:rsidRPr="00620047">
        <w:rPr>
          <w:rFonts w:cs="Arial"/>
        </w:rPr>
        <w:tab/>
        <w:t>Bij het gebruik van korrelvormige of poedervormige meststoffen op de strook gelegen naast de teeltvrije zone wordt direct langs de zone gebruik gemaakt van een voorziening die de verspreiding van die meststoffen richting het oppervlaktewaterlichaam verhindert.</w:t>
      </w:r>
    </w:p>
    <w:p w:rsidR="00296032" w:rsidRPr="00620047" w:rsidRDefault="00296032">
      <w:pPr>
        <w:pStyle w:val="art1enivo"/>
        <w:rPr>
          <w:rFonts w:cs="Arial"/>
        </w:rPr>
      </w:pPr>
      <w:r w:rsidRPr="00620047">
        <w:rPr>
          <w:rFonts w:cs="Arial"/>
        </w:rPr>
        <w:t>5.</w:t>
      </w:r>
      <w:r w:rsidRPr="00620047">
        <w:rPr>
          <w:rFonts w:cs="Arial"/>
        </w:rPr>
        <w:tab/>
        <w:t>Bij het gebruik van bladmeststoffen op een strook gelegen naast de teeltvrije zone wordt direct langs de zone:</w:t>
      </w:r>
    </w:p>
    <w:p w:rsidR="00296032" w:rsidRPr="00620047" w:rsidRDefault="00296032">
      <w:pPr>
        <w:pStyle w:val="art2enivo"/>
        <w:rPr>
          <w:rFonts w:cs="Arial"/>
        </w:rPr>
      </w:pPr>
      <w:r w:rsidRPr="00620047">
        <w:rPr>
          <w:rFonts w:cs="Arial"/>
        </w:rPr>
        <w:t>a.</w:t>
      </w:r>
      <w:r w:rsidRPr="00620047">
        <w:rPr>
          <w:rFonts w:cs="Arial"/>
        </w:rPr>
        <w:tab/>
        <w:t>bij het bemesten van gewassen als bedoeld in artikel 3.80, eerste, tweede, zesde en zevende lid, gebruik gemaakt van kantdoppen die aan de zijde van het oppervlaktewaterlichaam een verticale of nagenoeg verticale neerwaartse richting van de spuitvloeistof bewerkstelligen en andere driftarme doppen die zich niet hoger dan 50 centimeter boven het gewas of de kale bodem bevinden, of</w:t>
      </w:r>
    </w:p>
    <w:p w:rsidR="00296032" w:rsidRPr="00620047" w:rsidRDefault="00296032">
      <w:pPr>
        <w:pStyle w:val="art2enivo"/>
        <w:rPr>
          <w:rFonts w:cs="Arial"/>
        </w:rPr>
      </w:pPr>
      <w:r w:rsidRPr="00620047">
        <w:rPr>
          <w:rFonts w:cs="Arial"/>
        </w:rPr>
        <w:t>b.</w:t>
      </w:r>
      <w:r w:rsidRPr="00620047">
        <w:rPr>
          <w:rFonts w:cs="Arial"/>
        </w:rPr>
        <w:tab/>
        <w:t>bij het bemesten van gewassen als bedoeld in artikel 3.80, derde en vierde lid, geen gebruik gemaakt van naar een oppervlaktewaterlichaam gerichte apparatuur.</w:t>
      </w:r>
    </w:p>
    <w:p w:rsidR="00296032" w:rsidRPr="00620047" w:rsidRDefault="00296032">
      <w:pPr>
        <w:pStyle w:val="art1enivo"/>
        <w:rPr>
          <w:rFonts w:cs="Arial"/>
        </w:rPr>
      </w:pPr>
      <w:r w:rsidRPr="00620047">
        <w:rPr>
          <w:rFonts w:cs="Arial"/>
        </w:rPr>
        <w:t>6.</w:t>
      </w:r>
      <w:r w:rsidRPr="00620047">
        <w:rPr>
          <w:rFonts w:cs="Arial"/>
        </w:rPr>
        <w:tab/>
        <w:t>Bij het gebruik van bladmeststoffen bij de teelt van een gewas waarbij ingevolge artikel 3.79, zevende lid, aanhef en onderdeel b, onder 2°, geen teeltvrije zone wordt aangehouden, wordt gebruik gemaakt van een emissiescherm, dat voldoet aan de bij ministeriële regeling gestelde eisen.</w:t>
      </w:r>
    </w:p>
    <w:p w:rsidR="00296032" w:rsidRPr="00620047" w:rsidRDefault="00296032">
      <w:pPr>
        <w:pStyle w:val="art1enivo"/>
        <w:rPr>
          <w:rFonts w:cs="Arial"/>
        </w:rPr>
      </w:pPr>
      <w:r w:rsidRPr="00620047">
        <w:rPr>
          <w:rFonts w:cs="Arial"/>
        </w:rPr>
        <w:t>7.</w:t>
      </w:r>
      <w:r w:rsidRPr="00620047">
        <w:rPr>
          <w:rFonts w:cs="Arial"/>
        </w:rPr>
        <w:tab/>
        <w:t>Het tweede en derde lid zijn niet van toepassing op het gebruik van meststoffen langs de oppervlaktewaterlichamen, aangewezen in de bijlage bij artikel 3 van het Uitvoeringsbesluit Meststoffenwet.</w:t>
      </w:r>
    </w:p>
    <w:p w:rsidR="00296032" w:rsidRPr="00620047" w:rsidRDefault="00296032">
      <w:pPr>
        <w:pStyle w:val="art1enivo"/>
        <w:rPr>
          <w:rFonts w:cs="Arial"/>
        </w:rPr>
      </w:pPr>
      <w:r w:rsidRPr="00620047">
        <w:rPr>
          <w:rFonts w:cs="Arial"/>
        </w:rPr>
        <w:t>8.</w:t>
      </w:r>
      <w:r w:rsidRPr="00620047">
        <w:rPr>
          <w:rFonts w:cs="Arial"/>
        </w:rPr>
        <w:tab/>
        <w:t xml:space="preserve"> Op braakliggend land worden binnen een afstand van 50 centimeter vanaf de insteek van een oppervlaktewaterlichaam geen meststoffen gebruikt.</w:t>
      </w:r>
    </w:p>
    <w:p w:rsidR="00296032" w:rsidRPr="00296032" w:rsidRDefault="00296032">
      <w:pPr>
        <w:pStyle w:val="artikelkop"/>
        <w:rPr>
          <w:rFonts w:cs="Arial"/>
        </w:rPr>
      </w:pPr>
      <w:r w:rsidRPr="00296032">
        <w:rPr>
          <w:rFonts w:cs="Arial"/>
        </w:rPr>
        <w:t>Artikel 3.86</w:t>
      </w:r>
    </w:p>
    <w:p w:rsidR="00296032" w:rsidRPr="00620047" w:rsidRDefault="00296032">
      <w:pPr>
        <w:pStyle w:val="artplat"/>
        <w:rPr>
          <w:rFonts w:cs="Arial"/>
        </w:rPr>
      </w:pPr>
      <w:r w:rsidRPr="00620047">
        <w:rPr>
          <w:rFonts w:cs="Arial"/>
        </w:rPr>
        <w:t>De artikelen 3.87 en 3.88 zijn van toepassing op substraatteelt van gewassen anders dan in een kas of een gebouw.</w:t>
      </w:r>
    </w:p>
    <w:p w:rsidR="00296032" w:rsidRPr="00296032" w:rsidRDefault="00296032">
      <w:pPr>
        <w:pStyle w:val="artikelkop"/>
        <w:rPr>
          <w:rFonts w:cs="Arial"/>
        </w:rPr>
      </w:pPr>
      <w:r w:rsidRPr="00296032">
        <w:rPr>
          <w:rFonts w:cs="Arial"/>
        </w:rPr>
        <w:t>Artikel 3.87</w:t>
      </w:r>
    </w:p>
    <w:p w:rsidR="00296032" w:rsidRPr="00620047" w:rsidRDefault="00296032">
      <w:pPr>
        <w:pStyle w:val="art1enivo"/>
        <w:rPr>
          <w:rFonts w:cs="Arial"/>
        </w:rPr>
      </w:pPr>
      <w:r w:rsidRPr="00620047">
        <w:rPr>
          <w:rFonts w:cs="Arial"/>
        </w:rPr>
        <w:t>1.</w:t>
      </w:r>
      <w:r w:rsidRPr="00620047">
        <w:rPr>
          <w:rFonts w:cs="Arial"/>
        </w:rPr>
        <w:tab/>
        <w:t>Bij het lozen van afvalwater in een oppervlaktewaterlichaam, op of in de bodem of in een vuilwaterriool als gevolg van de teelt van gewassen in substraat wordt voldaan aan het tweede tot en met negende lid.</w:t>
      </w:r>
    </w:p>
    <w:p w:rsidR="00296032" w:rsidRPr="00620047" w:rsidRDefault="00296032">
      <w:pPr>
        <w:pStyle w:val="art1enivo"/>
        <w:rPr>
          <w:rFonts w:cs="Arial"/>
        </w:rPr>
      </w:pPr>
      <w:r w:rsidRPr="00620047">
        <w:rPr>
          <w:rFonts w:cs="Arial"/>
        </w:rPr>
        <w:t>2.</w:t>
      </w:r>
      <w:r w:rsidRPr="00620047">
        <w:rPr>
          <w:rFonts w:cs="Arial"/>
        </w:rPr>
        <w:tab/>
        <w:t>Het lozen van afvalwater afkomstig van de teelt van gewassen op een niet-doorlatende ondergrond is toegestaan, indien:</w:t>
      </w:r>
    </w:p>
    <w:p w:rsidR="00296032" w:rsidRPr="00620047" w:rsidRDefault="00296032">
      <w:pPr>
        <w:pStyle w:val="art2enivo"/>
        <w:rPr>
          <w:rFonts w:cs="Arial"/>
        </w:rPr>
      </w:pPr>
      <w:r w:rsidRPr="00620047">
        <w:rPr>
          <w:rFonts w:cs="Arial"/>
        </w:rPr>
        <w:t>a.</w:t>
      </w:r>
      <w:r w:rsidRPr="00620047">
        <w:rPr>
          <w:rFonts w:cs="Arial"/>
        </w:rPr>
        <w:tab/>
        <w:t>bij een teeltoppervlak van ten hoogste 500 vierkante meter bij bemesting uitsluitend gebruik wordt gemaakt van meststoffen die over langere periode de werkzame bestanddelen afgeven.</w:t>
      </w:r>
    </w:p>
    <w:p w:rsidR="00296032" w:rsidRPr="00620047" w:rsidRDefault="00296032">
      <w:pPr>
        <w:pStyle w:val="art2enivo"/>
        <w:rPr>
          <w:rFonts w:cs="Arial"/>
        </w:rPr>
      </w:pPr>
      <w:r w:rsidRPr="00620047">
        <w:rPr>
          <w:rFonts w:cs="Arial"/>
        </w:rPr>
        <w:t>b.</w:t>
      </w:r>
      <w:r w:rsidRPr="00620047">
        <w:rPr>
          <w:rFonts w:cs="Arial"/>
        </w:rPr>
        <w:tab/>
        <w:t>bij een teeltoppervlak van meer dan 500 vierkante meter:</w:t>
      </w:r>
    </w:p>
    <w:p w:rsidR="00296032" w:rsidRPr="00620047" w:rsidRDefault="00296032">
      <w:pPr>
        <w:pStyle w:val="art3enivo"/>
      </w:pPr>
      <w:r w:rsidRPr="00620047">
        <w:t>1°.</w:t>
      </w:r>
      <w:r w:rsidRPr="00620047">
        <w:tab/>
        <w:t>hemelwater en drainwater worden opgevangen in een opvangvoorziening van ten minste 1.200 kubieke meter per hectare teeltoppervlak;</w:t>
      </w:r>
    </w:p>
    <w:p w:rsidR="00296032" w:rsidRPr="00620047" w:rsidRDefault="00296032">
      <w:pPr>
        <w:pStyle w:val="art3enivo"/>
      </w:pPr>
      <w:r w:rsidRPr="00620047">
        <w:t>2°.</w:t>
      </w:r>
      <w:r w:rsidRPr="00620047">
        <w:tab/>
        <w:t>het water uit de opvangvoorziening wordt gebruikt als eerste gietwaterbron, en</w:t>
      </w:r>
    </w:p>
    <w:p w:rsidR="00296032" w:rsidRPr="00620047" w:rsidRDefault="00296032">
      <w:pPr>
        <w:pStyle w:val="art3enivo"/>
      </w:pPr>
      <w:r w:rsidRPr="00620047">
        <w:t>3°.</w:t>
      </w:r>
      <w:r w:rsidRPr="00620047">
        <w:tab/>
        <w:t>de bedrijfsvoering erop is gericht om na bemesting of bespuiting de eerste 50 kubieke meter hemelwater per hectare teeltoppervlak te allen tijde op te kunnen vangen in de opvangvoorziening.</w:t>
      </w:r>
    </w:p>
    <w:p w:rsidR="00296032" w:rsidRPr="00620047" w:rsidRDefault="00296032">
      <w:pPr>
        <w:pStyle w:val="art1enivo"/>
        <w:rPr>
          <w:rFonts w:cs="Arial"/>
        </w:rPr>
      </w:pPr>
      <w:r w:rsidRPr="00620047">
        <w:rPr>
          <w:rFonts w:cs="Arial"/>
        </w:rPr>
        <w:t>3.</w:t>
      </w:r>
      <w:r w:rsidRPr="00620047">
        <w:rPr>
          <w:rFonts w:cs="Arial"/>
        </w:rPr>
        <w:tab/>
        <w:t>In afwijking van het tweede lid, onderdeel b, onder 1°, kan worden volstaan met een opvangvoorziening met een capaciteit van ten minste 500 kubieke meter per hectare teeltoppervlak, indien aanvullend gietwater wordt gebruikt met een natriumgehalte dat gelijkwaardig is aan dat van hemelwater.</w:t>
      </w:r>
    </w:p>
    <w:p w:rsidR="00296032" w:rsidRPr="00620047" w:rsidRDefault="00296032">
      <w:pPr>
        <w:pStyle w:val="art1enivo"/>
        <w:rPr>
          <w:rFonts w:cs="Arial"/>
        </w:rPr>
      </w:pPr>
      <w:r w:rsidRPr="00620047">
        <w:rPr>
          <w:rFonts w:cs="Arial"/>
        </w:rPr>
        <w:t>4.</w:t>
      </w:r>
      <w:r w:rsidRPr="00620047">
        <w:rPr>
          <w:rFonts w:cs="Arial"/>
        </w:rPr>
        <w:tab/>
        <w:t>Indien de capaciteit van de opvangvoorziening, bedoeld in het tweede en derde lid, volledig is benut wordt het hemelwater geloosd via een overstortvoorziening, die is aangebracht voorafgaand aan de opvangvoorziening.</w:t>
      </w:r>
    </w:p>
    <w:p w:rsidR="00296032" w:rsidRPr="00620047" w:rsidRDefault="00296032">
      <w:pPr>
        <w:pStyle w:val="art1enivo"/>
        <w:rPr>
          <w:rFonts w:cs="Arial"/>
        </w:rPr>
      </w:pPr>
      <w:r w:rsidRPr="00620047">
        <w:rPr>
          <w:rFonts w:cs="Arial"/>
        </w:rPr>
        <w:t>5.</w:t>
      </w:r>
      <w:r w:rsidRPr="00620047">
        <w:rPr>
          <w:rFonts w:cs="Arial"/>
        </w:rPr>
        <w:tab/>
        <w:t>In afwijking van het tweede en derde lid wordt bij de buitenteelt van aardbeienplanten op trayvelden drainwater opgevangen en hergebruikt en is de bedrijfsvoering erop gericht dat na bemesting of bespuiting de eerste 30 kubieke meter hemelwater per hectare teeltoppervlak wordt opgevangen en hergebruikt.</w:t>
      </w:r>
    </w:p>
    <w:p w:rsidR="00296032" w:rsidRPr="00620047" w:rsidRDefault="00296032">
      <w:pPr>
        <w:pStyle w:val="art1enivo"/>
        <w:rPr>
          <w:rFonts w:cs="Arial"/>
        </w:rPr>
      </w:pPr>
      <w:r w:rsidRPr="00620047">
        <w:rPr>
          <w:rFonts w:cs="Arial"/>
        </w:rPr>
        <w:t>6.</w:t>
      </w:r>
      <w:r w:rsidRPr="00620047">
        <w:rPr>
          <w:rFonts w:cs="Arial"/>
        </w:rPr>
        <w:tab/>
        <w:t>Bij het lozen van afvalwater als gevolg van de teelt op een doorlatende ondergrond, wordt bij bemesting uitsluitend gebruik gemaakt van meststoffen die over langere periode de werkzame bestanddelen afgeven.</w:t>
      </w:r>
    </w:p>
    <w:p w:rsidR="00296032" w:rsidRPr="00620047" w:rsidRDefault="00296032">
      <w:pPr>
        <w:pStyle w:val="art1enivo"/>
        <w:rPr>
          <w:rFonts w:cs="Arial"/>
        </w:rPr>
      </w:pPr>
      <w:r w:rsidRPr="00620047">
        <w:rPr>
          <w:rFonts w:cs="Arial"/>
        </w:rPr>
        <w:t>7.</w:t>
      </w:r>
      <w:r w:rsidRPr="00620047">
        <w:rPr>
          <w:rFonts w:cs="Arial"/>
        </w:rPr>
        <w:tab/>
        <w:t>In afwijking van het zesde lid kan het bevoegd gezag gedurende de perioden dat het gebruik van de in dat lid bedoelde meststoffen redelijkerwijs niet mogelijk is bij de teelt van aardbeienplanten op trayvelden, bij maatwerkvoorschrift het gebruik van andere meststoffen toestaan, indien het aanbrengen van een niet-doorlatende ondergrond redelijkerwijs niet mogelijk is en het belang van de bescherming van het milieu zich daartegen niet verzet.</w:t>
      </w:r>
    </w:p>
    <w:p w:rsidR="00296032" w:rsidRPr="00620047" w:rsidRDefault="00296032">
      <w:pPr>
        <w:pStyle w:val="art1enivo"/>
        <w:rPr>
          <w:rFonts w:cs="Arial"/>
        </w:rPr>
      </w:pPr>
      <w:r w:rsidRPr="00620047">
        <w:rPr>
          <w:rFonts w:cs="Arial"/>
        </w:rPr>
        <w:t>8.</w:t>
      </w:r>
      <w:r w:rsidRPr="00620047">
        <w:rPr>
          <w:rFonts w:cs="Arial"/>
        </w:rPr>
        <w:tab/>
        <w:t>In afwijking van het zesde lid is bij de teelt waarbij bemesting plaatsvindt via een druppelsysteem, het gebruik van meststoffen als bedoeld in dat lid, niet verplicht, indien de watergift en de meststoffengift zijn afgestemd op de behoefte van het gewas, waarbij rekening is gehouden met de relevante specifieke teeltomstandigheden.</w:t>
      </w:r>
    </w:p>
    <w:p w:rsidR="00296032" w:rsidRPr="00620047" w:rsidRDefault="00296032">
      <w:pPr>
        <w:pStyle w:val="art1enivo"/>
        <w:rPr>
          <w:rFonts w:cs="Arial"/>
        </w:rPr>
      </w:pPr>
      <w:r w:rsidRPr="00620047">
        <w:rPr>
          <w:rFonts w:cs="Arial"/>
        </w:rPr>
        <w:t>9.</w:t>
      </w:r>
      <w:r w:rsidRPr="00620047">
        <w:rPr>
          <w:rFonts w:cs="Arial"/>
        </w:rPr>
        <w:tab/>
        <w:t>Het bevoegd gezag kan bij de teelt op een doorlatende ondergrond, waarbij door middel van een drainagesysteem op een oppervlaktewaterlichaam wordt geloosd, indien de bescherming van het milieu daartoe noodzaakt, bij maatwerkvoorschrift bepalen dat het drainagewater wordt opgevangen en hergebruikt.</w:t>
      </w:r>
    </w:p>
    <w:p w:rsidR="00296032" w:rsidRPr="00296032" w:rsidRDefault="00296032">
      <w:pPr>
        <w:pStyle w:val="artikelkop"/>
        <w:rPr>
          <w:rFonts w:cs="Arial"/>
        </w:rPr>
      </w:pPr>
      <w:r w:rsidRPr="00296032">
        <w:rPr>
          <w:rFonts w:cs="Arial"/>
        </w:rPr>
        <w:t>Artikel 3.88</w:t>
      </w:r>
    </w:p>
    <w:p w:rsidR="00296032" w:rsidRPr="00620047" w:rsidRDefault="00296032">
      <w:pPr>
        <w:pStyle w:val="art1enivo"/>
        <w:rPr>
          <w:rFonts w:cs="Arial"/>
        </w:rPr>
      </w:pPr>
      <w:r w:rsidRPr="00620047">
        <w:rPr>
          <w:rFonts w:cs="Arial"/>
        </w:rPr>
        <w:t>1.</w:t>
      </w:r>
      <w:r w:rsidRPr="00620047">
        <w:rPr>
          <w:rFonts w:cs="Arial"/>
        </w:rPr>
        <w:tab/>
        <w:t>Bij de teelt van gewassen op stellingen of in een gotensysteem wordt drainwater opgevangen en hergebruikt.</w:t>
      </w:r>
    </w:p>
    <w:p w:rsidR="00296032" w:rsidRDefault="00296032">
      <w:pPr>
        <w:pStyle w:val="art1enivo"/>
        <w:rPr>
          <w:rFonts w:cs="Arial"/>
        </w:rPr>
      </w:pPr>
      <w:r w:rsidRPr="00620047">
        <w:rPr>
          <w:rFonts w:cs="Arial"/>
        </w:rPr>
        <w:t>2.</w:t>
      </w:r>
      <w:r w:rsidRPr="00620047">
        <w:rPr>
          <w:rFonts w:cs="Arial"/>
        </w:rPr>
        <w:tab/>
        <w:t>In afwijking van het eerste lid kan het bevoegd gezag bij maatwerkvoorschrift bepalen dat hergebruik van drainwater niet noodzakelijk is.</w:t>
      </w:r>
    </w:p>
    <w:p w:rsidR="000466C0" w:rsidRDefault="000466C0" w:rsidP="000466C0"/>
    <w:p w:rsidR="000466C0" w:rsidRDefault="000466C0" w:rsidP="000466C0">
      <w:pPr>
        <w:pStyle w:val="paragraaf"/>
        <w:shd w:val="clear" w:color="auto" w:fill="D9D9D9" w:themeFill="background1" w:themeFillShade="D9"/>
      </w:pPr>
      <w:bookmarkStart w:id="133" w:name="_Toc431375625"/>
      <w:r>
        <w:t>§ 3.5.2.</w:t>
      </w:r>
      <w:r>
        <w:tab/>
        <w:t>Telen van gewassen in de open lucht</w:t>
      </w:r>
      <w:bookmarkEnd w:id="133"/>
    </w:p>
    <w:p w:rsidR="000466C0" w:rsidRDefault="000466C0" w:rsidP="000466C0">
      <w:pPr>
        <w:pStyle w:val="artikelkop"/>
        <w:shd w:val="clear" w:color="auto" w:fill="D9D9D9" w:themeFill="background1" w:themeFillShade="D9"/>
      </w:pPr>
      <w:r>
        <w:t xml:space="preserve">Artikel 3.79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Een emissiescherm als bedoeld in de artikelen 3.79, zevende lid, onderdeel b, onder 2°, 3.80, vierde lid, onderdeel c, onder 4°, en 3.85, zesde lid, van het besluit voldoet aan het tweede tot en met zesde lid.</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Het emissiescherm is aan de grond verankerd.</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Van het emissiescherm kunnen geen afdruipende spuitvloeistoffen in een oppervlaktewaterlichaam geraken.</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Het emissiescherm is vervaardigd van niet-doorlaatbaar materiaal of van gaas met een windreductie van ten minste 50%.</w:t>
      </w:r>
    </w:p>
    <w:p w:rsidR="000466C0" w:rsidRDefault="000466C0" w:rsidP="000466C0">
      <w:pPr>
        <w:pStyle w:val="art1enivo"/>
        <w:shd w:val="clear" w:color="auto" w:fill="D9D9D9" w:themeFill="background1" w:themeFillShade="D9"/>
        <w:suppressAutoHyphens/>
        <w:rPr>
          <w:rFonts w:cs="Arial"/>
        </w:rPr>
      </w:pPr>
      <w:r>
        <w:rPr>
          <w:rFonts w:cs="Arial"/>
        </w:rPr>
        <w:t>5.</w:t>
      </w:r>
      <w:r>
        <w:rPr>
          <w:rFonts w:cs="Arial"/>
        </w:rPr>
        <w:tab/>
        <w:t>Het emissiescherm is ten minste van gelijke hoogte als die van het te bespuiten gewas op het perceel en als die van de hoogste in gebruik zijnde spuitdop.</w:t>
      </w:r>
    </w:p>
    <w:p w:rsidR="000466C0" w:rsidRDefault="000466C0" w:rsidP="000466C0">
      <w:pPr>
        <w:pStyle w:val="art1enivo"/>
        <w:shd w:val="clear" w:color="auto" w:fill="D9D9D9" w:themeFill="background1" w:themeFillShade="D9"/>
        <w:suppressAutoHyphens/>
        <w:rPr>
          <w:rFonts w:cs="Arial"/>
        </w:rPr>
      </w:pPr>
      <w:r>
        <w:rPr>
          <w:rFonts w:cs="Arial"/>
        </w:rPr>
        <w:t>6.</w:t>
      </w:r>
      <w:r>
        <w:rPr>
          <w:rFonts w:cs="Arial"/>
        </w:rPr>
        <w:tab/>
        <w:t>Het emissiescherm is met uitzondering van een doorrijscherm op de kopakker aaneengesloten.</w:t>
      </w:r>
    </w:p>
    <w:p w:rsidR="000466C0" w:rsidRDefault="000466C0" w:rsidP="000466C0">
      <w:pPr>
        <w:pStyle w:val="artikelkop"/>
        <w:shd w:val="clear" w:color="auto" w:fill="D9D9D9" w:themeFill="background1" w:themeFillShade="D9"/>
      </w:pPr>
      <w:r>
        <w:t xml:space="preserve">Artikel 3.80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Een vanggewas als bedoeld in de artikelen 3.80, eerste lid, onderdeel b, onder 4°, vierde lid, onderdeel c, onder 2°, en 3.85, derde lid, van het besluit voldoet aan het tweede en derde lid.</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Het vanggewas is ten minste van gelijke hoogte als die van het te bespuiten gewas op het perceel en als die van de hoogste in gebruik zijnde spuitdop.</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Het vanggewas is met uitzondering van een doorrijscherm op de kopakker aaneengesloten.</w:t>
      </w:r>
    </w:p>
    <w:p w:rsidR="000466C0" w:rsidRDefault="000466C0" w:rsidP="000466C0">
      <w:pPr>
        <w:pStyle w:val="artikelkop"/>
        <w:shd w:val="clear" w:color="auto" w:fill="D9D9D9" w:themeFill="background1" w:themeFillShade="D9"/>
      </w:pPr>
      <w:r>
        <w:t xml:space="preserve">Artikel 3.81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Als driftarme doppen als bedoeld in artikel 3.80, tweede lid, onderdeel a, onder 1°, en onderdeel b, onder 1°, van het besluit worden aangewezen:</w:t>
      </w:r>
    </w:p>
    <w:p w:rsidR="000466C0" w:rsidRDefault="000466C0" w:rsidP="000466C0">
      <w:pPr>
        <w:pStyle w:val="art2enivo"/>
        <w:shd w:val="clear" w:color="auto" w:fill="D9D9D9" w:themeFill="background1" w:themeFillShade="D9"/>
        <w:suppressAutoHyphens/>
        <w:rPr>
          <w:rFonts w:cs="Arial"/>
        </w:rPr>
      </w:pPr>
      <w:r>
        <w:rPr>
          <w:rFonts w:cs="Arial"/>
        </w:rPr>
        <w:t>a.</w:t>
      </w:r>
      <w:r>
        <w:rPr>
          <w:rFonts w:cs="Arial"/>
        </w:rPr>
        <w:tab/>
        <w:t>de in tabel 3.81a genoemde typen spuitdoppen, voor zover deze worden gebruikt met een voor dat type spuitdop voorgeschreven minimale dopmaat en een spuitdruk die gelijk is aan of lager is dan de voor dat type spuitdop voorgeschreven maximale spuitdruk;</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3732"/>
        <w:gridCol w:w="2799"/>
        <w:gridCol w:w="2799"/>
      </w:tblGrid>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Driftarme spuitdop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type spuitdop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Minimale dopmaat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Maximale spuitdruk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Agrotop AirMix AM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03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Agrotop AirMix AM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04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Agrotop AirMix AM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2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Agrotop TD HiSpeed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04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2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Agrotop TD HiSpeed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025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2.5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Agrotop TurboDrop TDXL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04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3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Agrotop TurboDrop TDXL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3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Agrotop TurboDrop TDXL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06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3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Hardi Injet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04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3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Hardi Injet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2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Hardi Injet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06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2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Hardi Minidrift DUO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03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Hardi Minidrift DUO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04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Lechler ID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04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3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Lechler ID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2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Lechler ID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06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2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Lechler IDN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025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2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Lechler IDN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03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2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Lechler IDKN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04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Lechler IDKT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03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Lechler IDKT 120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04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Lechler IDK 120 POM</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06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Lechler IDKN 120</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03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Lechler IDKT 120</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02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1,5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Lechler IDKT 120</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025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1,5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Lechler IDKT 120 POM</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06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Teejet AIXR110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025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Teejet AIXR110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03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Teejet AIXR110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04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1.5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Teejet AIXR110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1.5 bar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TeeJet TTI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025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2 bar V en 1 bar A</w:t>
            </w:r>
            <w:r>
              <w:rPr>
                <w:rFonts w:cs="Arial"/>
                <w:sz w:val="16"/>
                <w:szCs w:val="16"/>
                <w:vertAlign w:val="superscript"/>
              </w:rPr>
              <w:t>1</w:t>
            </w:r>
            <w:r>
              <w:rPr>
                <w:rFonts w:cs="Arial"/>
                <w:sz w:val="16"/>
                <w:szCs w:val="16"/>
              </w:rPr>
              <w:t xml:space="preserve">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TeeJet TTI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03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2 bar V en 1 bar A</w:t>
            </w:r>
            <w:r>
              <w:rPr>
                <w:rFonts w:cs="Arial"/>
                <w:sz w:val="16"/>
                <w:szCs w:val="16"/>
                <w:vertAlign w:val="superscript"/>
              </w:rPr>
              <w:t>1</w:t>
            </w:r>
            <w:r>
              <w:rPr>
                <w:rFonts w:cs="Arial"/>
                <w:sz w:val="16"/>
                <w:szCs w:val="16"/>
              </w:rPr>
              <w:t xml:space="preserve">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TeeJet TTI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04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2 bar V en 1 bar A</w:t>
            </w:r>
            <w:r>
              <w:rPr>
                <w:rFonts w:cs="Arial"/>
                <w:sz w:val="16"/>
                <w:szCs w:val="16"/>
                <w:vertAlign w:val="superscript"/>
              </w:rPr>
              <w:t>1</w:t>
            </w:r>
            <w:r>
              <w:rPr>
                <w:rFonts w:cs="Arial"/>
                <w:sz w:val="16"/>
                <w:szCs w:val="16"/>
              </w:rPr>
              <w:t xml:space="preserve">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TeeJet TTI 110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 xml:space="preserve">05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cs="Arial"/>
                <w:sz w:val="16"/>
                <w:szCs w:val="16"/>
              </w:rPr>
              <w:t>2 bar V en 1 bar A</w:t>
            </w:r>
            <w:r>
              <w:rPr>
                <w:rFonts w:cs="Arial"/>
                <w:sz w:val="16"/>
                <w:szCs w:val="16"/>
                <w:vertAlign w:val="superscript"/>
              </w:rPr>
              <w:t>1</w:t>
            </w:r>
            <w:r>
              <w:rPr>
                <w:rFonts w:cs="Arial"/>
                <w:sz w:val="16"/>
                <w:szCs w:val="16"/>
              </w:rPr>
              <w:t xml:space="preserve"> </w:t>
            </w:r>
          </w:p>
        </w:tc>
      </w:tr>
      <w:tr w:rsidR="00F745E7" w:rsidTr="005D7626">
        <w:tc>
          <w:tcPr>
            <w:tcW w:w="3732"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p>
        </w:tc>
        <w:tc>
          <w:tcPr>
            <w:tcW w:w="2799" w:type="dxa"/>
            <w:tcBorders>
              <w:top w:val="single" w:sz="4" w:space="0" w:color="auto"/>
              <w:left w:val="single" w:sz="4" w:space="0" w:color="auto"/>
              <w:bottom w:val="single" w:sz="4" w:space="0" w:color="auto"/>
              <w:right w:val="single" w:sz="4" w:space="0" w:color="auto"/>
            </w:tcBorders>
          </w:tcPr>
          <w:p w:rsidR="00F745E7" w:rsidRDefault="00F745E7" w:rsidP="005D7626">
            <w:pPr>
              <w:widowControl w:val="0"/>
              <w:autoSpaceDE w:val="0"/>
              <w:autoSpaceDN w:val="0"/>
              <w:adjustRightInd w:val="0"/>
              <w:spacing w:line="240" w:lineRule="auto"/>
              <w:rPr>
                <w:rFonts w:cs="Arial"/>
                <w:sz w:val="16"/>
                <w:szCs w:val="16"/>
              </w:rPr>
            </w:pPr>
          </w:p>
        </w:tc>
      </w:tr>
    </w:tbl>
    <w:p w:rsidR="00F745E7" w:rsidRDefault="00F745E7" w:rsidP="000466C0">
      <w:pPr>
        <w:pStyle w:val="art2enivo"/>
        <w:shd w:val="clear" w:color="auto" w:fill="D9D9D9" w:themeFill="background1" w:themeFillShade="D9"/>
        <w:suppressAutoHyphens/>
        <w:rPr>
          <w:rFonts w:cs="Arial"/>
        </w:rPr>
      </w:pPr>
    </w:p>
    <w:p w:rsidR="000466C0" w:rsidRDefault="000466C0" w:rsidP="000466C0">
      <w:pPr>
        <w:pStyle w:val="art1enivo"/>
        <w:shd w:val="clear" w:color="auto" w:fill="D9D9D9" w:themeFill="background1" w:themeFillShade="D9"/>
        <w:suppressAutoHyphens/>
        <w:rPr>
          <w:rFonts w:cs="Arial"/>
          <w:b/>
        </w:rPr>
      </w:pPr>
      <w:r>
        <w:rPr>
          <w:rFonts w:cs="Arial"/>
        </w:rPr>
        <w:tab/>
      </w:r>
      <w:r>
        <w:rPr>
          <w:rFonts w:cs="Arial"/>
          <w:b/>
        </w:rPr>
        <w:t>Tabel 3.81a</w:t>
      </w:r>
    </w:p>
    <w:p w:rsidR="000466C0" w:rsidRDefault="000466C0" w:rsidP="000466C0">
      <w:pPr>
        <w:pStyle w:val="art2enivo"/>
        <w:shd w:val="clear" w:color="auto" w:fill="D9D9D9" w:themeFill="background1" w:themeFillShade="D9"/>
        <w:suppressAutoHyphens/>
        <w:rPr>
          <w:rFonts w:cs="Arial"/>
        </w:rPr>
      </w:pPr>
      <w:r>
        <w:rPr>
          <w:rFonts w:cs="Arial"/>
        </w:rPr>
        <w:t>b.</w:t>
      </w:r>
      <w:r>
        <w:rPr>
          <w:rFonts w:cs="Arial"/>
        </w:rPr>
        <w:tab/>
        <w:t>de in tabel 3.81b genoemde driftarme doppen, voor zover deze worden gebruikt bij een spuitdruk die gelijk is aan de daarbij genoemde combinatie van vloeistofdruk en luchtdruk.</w:t>
      </w:r>
    </w:p>
    <w:p w:rsidR="000466C0" w:rsidRDefault="000466C0" w:rsidP="000466C0">
      <w:pPr>
        <w:pStyle w:val="tabelkop"/>
        <w:shd w:val="clear" w:color="auto" w:fill="D9D9D9" w:themeFill="background1" w:themeFillShade="D9"/>
        <w:suppressAutoHyphens/>
        <w:rPr>
          <w:rFonts w:cs="Arial"/>
        </w:rPr>
      </w:pPr>
      <w:r>
        <w:rPr>
          <w:rFonts w:cs="Arial"/>
        </w:rPr>
        <w:t>Tabel 3.81b</w:t>
      </w:r>
    </w:p>
    <w:tbl>
      <w:tblPr>
        <w:tblStyle w:val="Tabelraster"/>
        <w:tblW w:w="4579" w:type="pct"/>
        <w:tblInd w:w="483" w:type="dxa"/>
        <w:tblLook w:val="04A0" w:firstRow="1" w:lastRow="0" w:firstColumn="1" w:lastColumn="0" w:noHBand="0" w:noVBand="1"/>
      </w:tblPr>
      <w:tblGrid>
        <w:gridCol w:w="3365"/>
        <w:gridCol w:w="5047"/>
      </w:tblGrid>
      <w:tr w:rsidR="000466C0" w:rsidTr="00F43C9B">
        <w:trPr>
          <w:cnfStyle w:val="100000000000" w:firstRow="1" w:lastRow="0" w:firstColumn="0" w:lastColumn="0" w:oddVBand="0" w:evenVBand="0" w:oddHBand="0" w:evenHBand="0" w:firstRowFirstColumn="0" w:firstRowLastColumn="0" w:lastRowFirstColumn="0" w:lastRowLastColumn="0"/>
          <w:tblHeader/>
        </w:trPr>
        <w:tc>
          <w:tcPr>
            <w:tcW w:w="2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Pr="002A3400" w:rsidRDefault="000466C0" w:rsidP="000466C0">
            <w:pPr>
              <w:shd w:val="clear" w:color="auto" w:fill="D9D9D9" w:themeFill="background1" w:themeFillShade="D9"/>
              <w:suppressAutoHyphens/>
              <w:rPr>
                <w:rFonts w:cs="Arial"/>
              </w:rPr>
            </w:pPr>
            <w:r w:rsidRPr="002A3400">
              <w:rPr>
                <w:rFonts w:cs="Arial"/>
              </w:rPr>
              <w:t>Driftarme spuitdop</w:t>
            </w:r>
          </w:p>
        </w:tc>
        <w:tc>
          <w:tcPr>
            <w:tcW w:w="3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Pr="002A3400" w:rsidRDefault="000466C0" w:rsidP="000466C0">
            <w:pPr>
              <w:shd w:val="clear" w:color="auto" w:fill="D9D9D9" w:themeFill="background1" w:themeFillShade="D9"/>
              <w:suppressAutoHyphens/>
              <w:rPr>
                <w:rFonts w:cs="Arial"/>
              </w:rPr>
            </w:pPr>
            <w:r w:rsidRPr="002A3400">
              <w:rPr>
                <w:rFonts w:cs="Arial"/>
              </w:rPr>
              <w:t>Spuitdruk</w:t>
            </w:r>
          </w:p>
          <w:p w:rsidR="000466C0" w:rsidRPr="002A3400" w:rsidRDefault="000466C0" w:rsidP="000466C0">
            <w:pPr>
              <w:shd w:val="clear" w:color="auto" w:fill="D9D9D9" w:themeFill="background1" w:themeFillShade="D9"/>
              <w:suppressAutoHyphens/>
              <w:rPr>
                <w:rFonts w:cs="Arial"/>
              </w:rPr>
            </w:pPr>
            <w:r w:rsidRPr="002A3400">
              <w:rPr>
                <w:rFonts w:cs="Arial"/>
              </w:rPr>
              <w:t>Vloeistofdruk/luchtdruk (bar)</w:t>
            </w:r>
          </w:p>
        </w:tc>
      </w:tr>
      <w:tr w:rsidR="000466C0" w:rsidTr="00F43C9B">
        <w:tc>
          <w:tcPr>
            <w:tcW w:w="2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Cleanacres Airtec 35</w:t>
            </w:r>
          </w:p>
        </w:tc>
        <w:tc>
          <w:tcPr>
            <w:tcW w:w="3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4,0/0,30 of 5,0/0,30</w:t>
            </w:r>
          </w:p>
        </w:tc>
      </w:tr>
      <w:tr w:rsidR="000466C0" w:rsidTr="00F43C9B">
        <w:tc>
          <w:tcPr>
            <w:tcW w:w="2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Cleanacres Airtec 40</w:t>
            </w:r>
          </w:p>
        </w:tc>
        <w:tc>
          <w:tcPr>
            <w:tcW w:w="3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4,0/0,30 of 5,0/0,30</w:t>
            </w:r>
          </w:p>
        </w:tc>
      </w:tr>
      <w:tr w:rsidR="000466C0" w:rsidTr="00F43C9B">
        <w:tc>
          <w:tcPr>
            <w:tcW w:w="2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John Deere Twin Fluïd TKSS 10/035</w:t>
            </w:r>
          </w:p>
        </w:tc>
        <w:tc>
          <w:tcPr>
            <w:tcW w:w="3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6,0/0,35</w:t>
            </w:r>
          </w:p>
        </w:tc>
      </w:tr>
      <w:tr w:rsidR="000466C0" w:rsidTr="00F43C9B">
        <w:tc>
          <w:tcPr>
            <w:tcW w:w="2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John Deere Twin Fluïd TKSS 10/042</w:t>
            </w:r>
          </w:p>
        </w:tc>
        <w:tc>
          <w:tcPr>
            <w:tcW w:w="3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3,0/0,35 -4,0/0,35 of 5,0/0,35</w:t>
            </w:r>
          </w:p>
        </w:tc>
      </w:tr>
      <w:tr w:rsidR="000466C0" w:rsidTr="00F43C9B">
        <w:tc>
          <w:tcPr>
            <w:tcW w:w="2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Teejet Airjet TK-SS 10 / 35</w:t>
            </w:r>
          </w:p>
        </w:tc>
        <w:tc>
          <w:tcPr>
            <w:tcW w:w="3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5,0/0,34 of 6,0/0,34</w:t>
            </w:r>
          </w:p>
        </w:tc>
      </w:tr>
      <w:tr w:rsidR="000466C0" w:rsidTr="00F43C9B">
        <w:tc>
          <w:tcPr>
            <w:tcW w:w="2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Teejet Airjet TK-SS 10 / 42</w:t>
            </w:r>
          </w:p>
        </w:tc>
        <w:tc>
          <w:tcPr>
            <w:tcW w:w="3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3,0/0,34 of 4,0/0,34 of 5,0/0,37</w:t>
            </w:r>
          </w:p>
        </w:tc>
      </w:tr>
      <w:tr w:rsidR="000466C0" w:rsidTr="00F43C9B">
        <w:tc>
          <w:tcPr>
            <w:tcW w:w="2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HTA D3-21 TK-SS -5</w:t>
            </w:r>
          </w:p>
        </w:tc>
        <w:tc>
          <w:tcPr>
            <w:tcW w:w="3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2,5/0,35 - 3,0/0,35 - 4,0/0,40 - 5,0/0,50 of 6,0/0,65</w:t>
            </w:r>
          </w:p>
        </w:tc>
      </w:tr>
      <w:tr w:rsidR="000466C0" w:rsidTr="00F43C9B">
        <w:tc>
          <w:tcPr>
            <w:tcW w:w="2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HTA D3-21 TK-SS -7,5</w:t>
            </w:r>
          </w:p>
        </w:tc>
        <w:tc>
          <w:tcPr>
            <w:tcW w:w="30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t>4,0/0,30 - 5,0/0,30 of 6,0/0,35</w:t>
            </w:r>
          </w:p>
        </w:tc>
      </w:tr>
    </w:tbl>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Ten aanzien van de in tabel 3.81a opgenomen typen spuitdoppen Lechler IDKT 120 en Hardi Minidrift DUO 120 met dopmaat 03 en Lechler IDKT 120 en Hardi Minidrift DUO 120 met dopmaat 04 dient de apparatuur zodanig te zijn ingesteld dat deze spuitdoppen zich niet hoger dan 40 centimeter boven het gewas bevinden.</w:t>
      </w:r>
    </w:p>
    <w:p w:rsidR="000466C0" w:rsidRDefault="000466C0" w:rsidP="000466C0">
      <w:pPr>
        <w:pStyle w:val="artikelkop"/>
        <w:shd w:val="clear" w:color="auto" w:fill="D9D9D9" w:themeFill="background1" w:themeFillShade="D9"/>
      </w:pPr>
      <w:r>
        <w:t xml:space="preserve">Artikel 3.82 </w:t>
      </w:r>
    </w:p>
    <w:p w:rsidR="000466C0" w:rsidRDefault="000466C0" w:rsidP="000466C0">
      <w:pPr>
        <w:pStyle w:val="artplat"/>
        <w:shd w:val="clear" w:color="auto" w:fill="D9D9D9" w:themeFill="background1" w:themeFillShade="D9"/>
        <w:suppressAutoHyphens/>
        <w:rPr>
          <w:rFonts w:cs="Arial"/>
        </w:rPr>
      </w:pPr>
      <w:r>
        <w:rPr>
          <w:rFonts w:cs="Arial"/>
        </w:rPr>
        <w:t>Als spuitdoppen als bedoeld in artikel 3.80, tweede lid, onderdeel a, onder 2°, en onderdeel b, onder 3°, van het besluit worden aangewezen de in tabel 3.82 genoemde spuitdoppen voor zover deze worden gebruikt bij een spuitdruk die gelijk is aan of lager is dan de daarbij vermelde spuitdruk.</w:t>
      </w:r>
    </w:p>
    <w:p w:rsidR="000466C0" w:rsidRDefault="000466C0" w:rsidP="000466C0">
      <w:pPr>
        <w:pStyle w:val="tabelkop"/>
        <w:shd w:val="clear" w:color="auto" w:fill="D9D9D9" w:themeFill="background1" w:themeFillShade="D9"/>
        <w:suppressAutoHyphens/>
        <w:ind w:hanging="426"/>
        <w:rPr>
          <w:rFonts w:cs="Arial"/>
        </w:rPr>
      </w:pPr>
      <w:r>
        <w:rPr>
          <w:rFonts w:cs="Arial"/>
        </w:rPr>
        <w:t>Tabel 3.82</w:t>
      </w:r>
    </w:p>
    <w:tbl>
      <w:tblPr>
        <w:tblStyle w:val="Tabelraster"/>
        <w:tblW w:w="4553" w:type="pct"/>
        <w:tblInd w:w="57" w:type="dxa"/>
        <w:tblLook w:val="04A0" w:firstRow="1" w:lastRow="0" w:firstColumn="1" w:lastColumn="0" w:noHBand="0" w:noVBand="1"/>
      </w:tblPr>
      <w:tblGrid>
        <w:gridCol w:w="4068"/>
        <w:gridCol w:w="4296"/>
      </w:tblGrid>
      <w:tr w:rsidR="000466C0" w:rsidRPr="002A3400" w:rsidTr="00F43C9B">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Pr="002A3400" w:rsidRDefault="000466C0" w:rsidP="000466C0">
            <w:pPr>
              <w:shd w:val="clear" w:color="auto" w:fill="D9D9D9" w:themeFill="background1" w:themeFillShade="D9"/>
              <w:suppressAutoHyphens/>
              <w:rPr>
                <w:rFonts w:cs="Arial"/>
              </w:rPr>
            </w:pPr>
            <w:r w:rsidRPr="002A3400">
              <w:rPr>
                <w:rFonts w:cs="Arial"/>
              </w:rPr>
              <w:t>Spuitdop</w:t>
            </w:r>
          </w:p>
        </w:tc>
        <w:tc>
          <w:tcPr>
            <w:tcW w:w="256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Pr="002A3400" w:rsidRDefault="000466C0" w:rsidP="000466C0">
            <w:pPr>
              <w:shd w:val="clear" w:color="auto" w:fill="D9D9D9" w:themeFill="background1" w:themeFillShade="D9"/>
              <w:suppressAutoHyphens/>
              <w:rPr>
                <w:rFonts w:cs="Arial"/>
              </w:rPr>
            </w:pPr>
            <w:r w:rsidRPr="002A3400">
              <w:rPr>
                <w:rFonts w:cs="Arial"/>
              </w:rPr>
              <w:t>Maximale spuitdruk (bar)</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Tee Jet DG 80-015</w:t>
            </w:r>
          </w:p>
        </w:tc>
        <w:tc>
          <w:tcPr>
            <w:tcW w:w="256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Tee Jet DG 80-03</w:t>
            </w:r>
          </w:p>
        </w:tc>
        <w:tc>
          <w:tcPr>
            <w:tcW w:w="256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Tee Jet DG 80-04</w:t>
            </w:r>
          </w:p>
        </w:tc>
        <w:tc>
          <w:tcPr>
            <w:tcW w:w="256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Tee Jet XR 80-06</w:t>
            </w:r>
          </w:p>
        </w:tc>
        <w:tc>
          <w:tcPr>
            <w:tcW w:w="256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w:t>
            </w:r>
          </w:p>
        </w:tc>
      </w:tr>
      <w:tr w:rsidR="000466C0"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Lechler ID 90-015</w:t>
            </w:r>
          </w:p>
        </w:tc>
        <w:tc>
          <w:tcPr>
            <w:tcW w:w="256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0466C0" w:rsidRDefault="000466C0" w:rsidP="000466C0">
            <w:pPr>
              <w:shd w:val="clear" w:color="auto" w:fill="D9D9D9" w:themeFill="background1" w:themeFillShade="D9"/>
              <w:suppressAutoHyphens/>
              <w:rPr>
                <w:rFonts w:cs="Arial"/>
              </w:rPr>
            </w:pPr>
            <w:r>
              <w:rPr>
                <w:rFonts w:cs="Arial"/>
              </w:rPr>
              <w:t>3</w:t>
            </w:r>
          </w:p>
        </w:tc>
      </w:tr>
    </w:tbl>
    <w:p w:rsidR="000466C0" w:rsidRDefault="000466C0" w:rsidP="000466C0">
      <w:pPr>
        <w:pStyle w:val="artikelkop"/>
        <w:shd w:val="clear" w:color="auto" w:fill="D9D9D9" w:themeFill="background1" w:themeFillShade="D9"/>
      </w:pPr>
      <w:r>
        <w:t xml:space="preserve">Artikel 3.83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Een waarschuwingssysteem als bedoeld in artikel 3.80, tweede lid, onderdeel b, onder 1°, van het besluit voldoet aan het tweede tot en met vierde lid.</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Het waarschuwingssysteem voorziet ten minste eenmaal per dag gedurende zes dagen per week in een advies over het bespuiten van het gewas.</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Het advies is gebaseerd op:</w:t>
      </w:r>
    </w:p>
    <w:p w:rsidR="000466C0" w:rsidRDefault="000466C0" w:rsidP="000466C0">
      <w:pPr>
        <w:pStyle w:val="art2enivo"/>
        <w:shd w:val="clear" w:color="auto" w:fill="D9D9D9" w:themeFill="background1" w:themeFillShade="D9"/>
        <w:suppressAutoHyphens/>
        <w:rPr>
          <w:rFonts w:cs="Arial"/>
        </w:rPr>
      </w:pPr>
      <w:r>
        <w:rPr>
          <w:rFonts w:cs="Arial"/>
        </w:rPr>
        <w:t>a.</w:t>
      </w:r>
      <w:r>
        <w:rPr>
          <w:rFonts w:cs="Arial"/>
        </w:rPr>
        <w:tab/>
        <w:t>een berekening van de kans op infectie door botrytis op grond van de verwachte temperatuur;</w:t>
      </w:r>
    </w:p>
    <w:p w:rsidR="000466C0" w:rsidRDefault="000466C0" w:rsidP="000466C0">
      <w:pPr>
        <w:pStyle w:val="art2enivo"/>
        <w:shd w:val="clear" w:color="auto" w:fill="D9D9D9" w:themeFill="background1" w:themeFillShade="D9"/>
        <w:suppressAutoHyphens/>
        <w:rPr>
          <w:rFonts w:cs="Arial"/>
        </w:rPr>
      </w:pPr>
      <w:r>
        <w:rPr>
          <w:rFonts w:cs="Arial"/>
        </w:rPr>
        <w:t>b.</w:t>
      </w:r>
      <w:r>
        <w:rPr>
          <w:rFonts w:cs="Arial"/>
        </w:rPr>
        <w:tab/>
        <w:t>de verwachte bladnatperiode, en</w:t>
      </w:r>
    </w:p>
    <w:p w:rsidR="000466C0" w:rsidRDefault="000466C0" w:rsidP="000466C0">
      <w:pPr>
        <w:pStyle w:val="art2enivo"/>
        <w:shd w:val="clear" w:color="auto" w:fill="D9D9D9" w:themeFill="background1" w:themeFillShade="D9"/>
        <w:suppressAutoHyphens/>
        <w:rPr>
          <w:rFonts w:cs="Arial"/>
        </w:rPr>
      </w:pPr>
      <w:r>
        <w:rPr>
          <w:rFonts w:cs="Arial"/>
        </w:rPr>
        <w:t>c.</w:t>
      </w:r>
      <w:r>
        <w:rPr>
          <w:rFonts w:cs="Arial"/>
        </w:rPr>
        <w:tab/>
        <w:t>de gevoeligheid van het gewas voor botrytis.</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Het advies is tevens gebaseerd op een weersvoorspelling voor de regio waar de teelt plaatsvindt.</w:t>
      </w:r>
    </w:p>
    <w:p w:rsidR="000466C0" w:rsidRDefault="000466C0" w:rsidP="000466C0">
      <w:pPr>
        <w:pStyle w:val="artikelkop"/>
        <w:shd w:val="clear" w:color="auto" w:fill="D9D9D9" w:themeFill="background1" w:themeFillShade="D9"/>
      </w:pPr>
      <w:r>
        <w:t xml:space="preserve">Artikel 3.84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De testmethode, bedoeld in artikel 3.83, tweede lid, onder b, van het besluit waarmee het driftarme karakter van spuitdoppen wordt vastgesteld, voldoet aan de artikelen 3.85 tot en met 3.89.</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Aan de testmethode, bedoeld in het eerste lid, zijn in ieder geval gelijkwaardig:</w:t>
      </w:r>
    </w:p>
    <w:p w:rsidR="000466C0" w:rsidRDefault="000466C0" w:rsidP="000466C0">
      <w:pPr>
        <w:pStyle w:val="art2enivo"/>
        <w:shd w:val="clear" w:color="auto" w:fill="D9D9D9" w:themeFill="background1" w:themeFillShade="D9"/>
        <w:suppressAutoHyphens/>
        <w:rPr>
          <w:rFonts w:cs="Arial"/>
        </w:rPr>
      </w:pPr>
      <w:r>
        <w:rPr>
          <w:rFonts w:cs="Arial"/>
        </w:rPr>
        <w:t>a.</w:t>
      </w:r>
      <w:r>
        <w:rPr>
          <w:rFonts w:cs="Arial"/>
        </w:rPr>
        <w:tab/>
        <w:t>testmethoden op grond van het Local Environmental Risk Assesment for Pesticides Scheme gericht op de classificatie van driftreducerende technieken met twee of meer sterren door middel van LERAP-low drift star rating, uitgevoerd door het Silsoe Reseach Institute te Bedford en het Central of Science Laboratory te York, Verenigd Koninkrijk;</w:t>
      </w:r>
    </w:p>
    <w:p w:rsidR="000466C0" w:rsidRPr="009846F6" w:rsidRDefault="000466C0" w:rsidP="000466C0">
      <w:pPr>
        <w:pStyle w:val="art2enivo"/>
        <w:shd w:val="clear" w:color="auto" w:fill="D9D9D9" w:themeFill="background1" w:themeFillShade="D9"/>
        <w:suppressAutoHyphens/>
        <w:rPr>
          <w:rFonts w:cs="Arial"/>
          <w:lang w:val="de-DE"/>
        </w:rPr>
      </w:pPr>
      <w:r w:rsidRPr="009846F6">
        <w:rPr>
          <w:rFonts w:cs="Arial"/>
          <w:lang w:val="de-DE"/>
        </w:rPr>
        <w:t>b.</w:t>
      </w:r>
      <w:r w:rsidRPr="009846F6">
        <w:rPr>
          <w:rFonts w:cs="Arial"/>
          <w:lang w:val="de-DE"/>
        </w:rPr>
        <w:tab/>
        <w:t>testmethoden op grond van de Richtlinien für die Prüfung von Planzenschutzmitteln und Planzenschutzgeräten Teil VII 1-2.3.3 Verfahren zur Eintragung von Planzenschutzgeräten in den Abschnitt Abtrift des Verzeichnisses Verlustmindernde Geräte' gericht op het onderscheiden van driftreducerende technieken in de driftreductieklasse van 50% of meer, uitgevoerd door het Julius Kühn-Institut, Duitsland.</w:t>
      </w:r>
    </w:p>
    <w:p w:rsidR="000466C0" w:rsidRDefault="000466C0" w:rsidP="000466C0">
      <w:pPr>
        <w:pStyle w:val="artikelkop"/>
        <w:shd w:val="clear" w:color="auto" w:fill="D9D9D9" w:themeFill="background1" w:themeFillShade="D9"/>
      </w:pPr>
      <w:r>
        <w:t xml:space="preserve">Artikel 3.85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De testmethode, bedoeld in artikel 3.84 bestaat uit een test waarbij per spuitdop van een bepaald type en een bepaalde grootte gebruik wordt gemaakt van:</w:t>
      </w:r>
    </w:p>
    <w:p w:rsidR="000466C0" w:rsidRDefault="000466C0" w:rsidP="000466C0">
      <w:pPr>
        <w:pStyle w:val="art2enivo"/>
        <w:shd w:val="clear" w:color="auto" w:fill="D9D9D9" w:themeFill="background1" w:themeFillShade="D9"/>
        <w:suppressAutoHyphens/>
        <w:rPr>
          <w:rFonts w:cs="Arial"/>
        </w:rPr>
      </w:pPr>
      <w:r>
        <w:rPr>
          <w:rFonts w:cs="Arial"/>
        </w:rPr>
        <w:t>a.</w:t>
      </w:r>
      <w:r>
        <w:rPr>
          <w:rFonts w:cs="Arial"/>
        </w:rPr>
        <w:tab/>
        <w:t>drie testdoppen die zijn geselecteerd overeenkomstig de in artikel 3.86 beschreven procedure;</w:t>
      </w:r>
    </w:p>
    <w:p w:rsidR="000466C0" w:rsidRDefault="000466C0" w:rsidP="000466C0">
      <w:pPr>
        <w:pStyle w:val="art2enivo"/>
        <w:shd w:val="clear" w:color="auto" w:fill="D9D9D9" w:themeFill="background1" w:themeFillShade="D9"/>
        <w:suppressAutoHyphens/>
        <w:rPr>
          <w:rFonts w:cs="Arial"/>
        </w:rPr>
      </w:pPr>
      <w:r>
        <w:rPr>
          <w:rFonts w:cs="Arial"/>
        </w:rPr>
        <w:t>b.</w:t>
      </w:r>
      <w:r>
        <w:rPr>
          <w:rFonts w:cs="Arial"/>
        </w:rPr>
        <w:tab/>
        <w:t>een referentiedop zijnde de grensdop van de klasse fijn en midden volgens de British Crop Protection Council (BCPC)-klassificatie (31-030-F110 bij 3 bar) zoals deze is vastgesteld op 7 en 8 april 1997.</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Bij de test wordt leidingwater als spuitvloeistof gebruikt.</w:t>
      </w:r>
    </w:p>
    <w:p w:rsidR="000466C0" w:rsidRDefault="000466C0" w:rsidP="000466C0">
      <w:pPr>
        <w:pStyle w:val="artikelkop"/>
        <w:shd w:val="clear" w:color="auto" w:fill="D9D9D9" w:themeFill="background1" w:themeFillShade="D9"/>
      </w:pPr>
      <w:r>
        <w:t xml:space="preserve">Artikel 3.86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Per spuitdop van een bepaald type en een bepaalde grootte als bedoeld in artikel 3.85, eerste lid, worden uit een willekeurige partij ongebruikte en onbeschadigde spuitdoppen tien doppen genomen.</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De vloeistofafgifte in liters per minuut van de doppen wordt gemeten.</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De mediaan van de vloeistofafgiftes wordt bepaald.</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De drie doppen waarvan de vloeistofafgifte het dichtst bij de mediaan ligt, gelden als de testdoppen, bedoeld in artikel 3.85, eerste lid, onderdeel a.</w:t>
      </w:r>
    </w:p>
    <w:p w:rsidR="000466C0" w:rsidRDefault="000466C0" w:rsidP="000466C0">
      <w:pPr>
        <w:pStyle w:val="artikelkop"/>
        <w:shd w:val="clear" w:color="auto" w:fill="D9D9D9" w:themeFill="background1" w:themeFillShade="D9"/>
      </w:pPr>
      <w:r>
        <w:t xml:space="preserve">Artikel 3.87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De druppelgroottekarakteristieken DV10, DV50(VMD), DV90 en het volumepercentage V100 van de testdoppen en de referentiedop, bedoeld in artikel 3.85, worden gemeten volgens de methode die is beschreven in artikel 3.88.</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Bij het meten wordt het door de producent aangegeven drukbereik van de doppen aangehouden. Binnen het drukbereik wordt in stappen van 0,5 bar gemeten.</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Bij het meten van de druppelgroottekarakteristieken van niet-standaard hydraulische spuitdoppen worden tevens de door de producent aangegeven driftarme instellingen van de dop aangehouden.</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Bij het meten van de druppelgroottekarakteristieken van de referentiedop wordt een werkdruk van drie bar aangehouden.</w:t>
      </w:r>
    </w:p>
    <w:p w:rsidR="000466C0" w:rsidRDefault="000466C0" w:rsidP="000466C0">
      <w:pPr>
        <w:pStyle w:val="art1enivo"/>
        <w:shd w:val="clear" w:color="auto" w:fill="D9D9D9" w:themeFill="background1" w:themeFillShade="D9"/>
        <w:suppressAutoHyphens/>
        <w:rPr>
          <w:rFonts w:cs="Arial"/>
        </w:rPr>
      </w:pPr>
      <w:r>
        <w:rPr>
          <w:rFonts w:cs="Arial"/>
        </w:rPr>
        <w:t>5.</w:t>
      </w:r>
      <w:r>
        <w:rPr>
          <w:rFonts w:cs="Arial"/>
        </w:rPr>
        <w:tab/>
        <w:t>Het meten van de druppelgroottekarakteristieken van de referentiedop vindt direct aansluitend op het meten van de druppelgroottekarakteristieken van de testdoppen plaats.</w:t>
      </w:r>
    </w:p>
    <w:p w:rsidR="000466C0" w:rsidRDefault="000466C0" w:rsidP="000466C0">
      <w:pPr>
        <w:pStyle w:val="art1enivo"/>
        <w:shd w:val="clear" w:color="auto" w:fill="D9D9D9" w:themeFill="background1" w:themeFillShade="D9"/>
        <w:suppressAutoHyphens/>
        <w:rPr>
          <w:rFonts w:cs="Arial"/>
        </w:rPr>
      </w:pPr>
      <w:r>
        <w:rPr>
          <w:rFonts w:cs="Arial"/>
        </w:rPr>
        <w:t>6.</w:t>
      </w:r>
      <w:r>
        <w:rPr>
          <w:rFonts w:cs="Arial"/>
        </w:rPr>
        <w:tab/>
        <w:t>Het meten van de druppelgroottekarakteristieken van de testdoppen en de referentiedop vindt plaats met dezelfde meetinstrumenten en meetinstellingen en onder dezelfde meetomstandigheden.</w:t>
      </w:r>
    </w:p>
    <w:p w:rsidR="000466C0" w:rsidRDefault="000466C0" w:rsidP="000466C0">
      <w:pPr>
        <w:pStyle w:val="artikelkop"/>
        <w:shd w:val="clear" w:color="auto" w:fill="D9D9D9" w:themeFill="background1" w:themeFillShade="D9"/>
      </w:pPr>
      <w:r>
        <w:t xml:space="preserve">Artikel 3.88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De druppelgroottekarakteristieken, bedoeld in artikel 3.87, worden op een afstand van 0,35 meter of 0,50 meter onder de uitstroomopening van de dop gemeten.</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Tijdens het meten wordt een minimale meethoogte van 0,50 meter boven het grondoppervlak aangehouden.</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De doppen spuiten verticaal naar beneden.</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De spuitkegel wordt in ten minste vijf banen gescand.</w:t>
      </w:r>
    </w:p>
    <w:p w:rsidR="000466C0" w:rsidRDefault="000466C0" w:rsidP="000466C0">
      <w:pPr>
        <w:pStyle w:val="art1enivo"/>
        <w:shd w:val="clear" w:color="auto" w:fill="D9D9D9" w:themeFill="background1" w:themeFillShade="D9"/>
        <w:suppressAutoHyphens/>
        <w:rPr>
          <w:rFonts w:cs="Arial"/>
        </w:rPr>
      </w:pPr>
      <w:r>
        <w:rPr>
          <w:rFonts w:cs="Arial"/>
        </w:rPr>
        <w:t>5.</w:t>
      </w:r>
      <w:r>
        <w:rPr>
          <w:rFonts w:cs="Arial"/>
        </w:rPr>
        <w:tab/>
        <w:t>Het meetpatroon is zodanig ingericht dat de banen gelijkmatig zijn verdeeld over de breedte van de kegel en evenwijdig lopen aan de hoofdas van de elliptische doorsnede van de spuitkegel.</w:t>
      </w:r>
    </w:p>
    <w:p w:rsidR="000466C0" w:rsidRDefault="000466C0" w:rsidP="000466C0">
      <w:pPr>
        <w:pStyle w:val="art1enivo"/>
        <w:shd w:val="clear" w:color="auto" w:fill="D9D9D9" w:themeFill="background1" w:themeFillShade="D9"/>
        <w:suppressAutoHyphens/>
        <w:rPr>
          <w:rFonts w:cs="Arial"/>
        </w:rPr>
      </w:pPr>
      <w:r>
        <w:rPr>
          <w:rFonts w:cs="Arial"/>
        </w:rPr>
        <w:t>6.</w:t>
      </w:r>
      <w:r>
        <w:rPr>
          <w:rFonts w:cs="Arial"/>
        </w:rPr>
        <w:tab/>
        <w:t>De middelste baan loopt door het centrum van de spuitkegel.</w:t>
      </w:r>
    </w:p>
    <w:p w:rsidR="000466C0" w:rsidRDefault="000466C0" w:rsidP="000466C0">
      <w:pPr>
        <w:pStyle w:val="art1enivo"/>
        <w:shd w:val="clear" w:color="auto" w:fill="D9D9D9" w:themeFill="background1" w:themeFillShade="D9"/>
        <w:suppressAutoHyphens/>
        <w:rPr>
          <w:rFonts w:cs="Arial"/>
        </w:rPr>
      </w:pPr>
      <w:r>
        <w:rPr>
          <w:rFonts w:cs="Arial"/>
        </w:rPr>
        <w:t>7.</w:t>
      </w:r>
      <w:r>
        <w:rPr>
          <w:rFonts w:cs="Arial"/>
        </w:rPr>
        <w:tab/>
        <w:t>De banen bestrijken de hele horizontale kegeldoorsnede.</w:t>
      </w:r>
    </w:p>
    <w:p w:rsidR="000466C0" w:rsidRDefault="000466C0" w:rsidP="000466C0">
      <w:pPr>
        <w:pStyle w:val="art1enivo"/>
        <w:shd w:val="clear" w:color="auto" w:fill="D9D9D9" w:themeFill="background1" w:themeFillShade="D9"/>
        <w:suppressAutoHyphens/>
        <w:rPr>
          <w:rFonts w:cs="Arial"/>
        </w:rPr>
      </w:pPr>
      <w:r>
        <w:rPr>
          <w:rFonts w:cs="Arial"/>
        </w:rPr>
        <w:t>8.</w:t>
      </w:r>
      <w:r>
        <w:rPr>
          <w:rFonts w:cs="Arial"/>
        </w:rPr>
        <w:tab/>
        <w:t>Indien het scannen baan voor baan wordt uitgevoerd, vinden baanwisselingen buiten de spuitkegel plaats.</w:t>
      </w:r>
    </w:p>
    <w:p w:rsidR="000466C0" w:rsidRDefault="000466C0" w:rsidP="000466C0">
      <w:pPr>
        <w:pStyle w:val="art1enivo"/>
        <w:shd w:val="clear" w:color="auto" w:fill="D9D9D9" w:themeFill="background1" w:themeFillShade="D9"/>
        <w:suppressAutoHyphens/>
        <w:rPr>
          <w:rFonts w:cs="Arial"/>
        </w:rPr>
      </w:pPr>
      <w:r>
        <w:rPr>
          <w:rFonts w:cs="Arial"/>
        </w:rPr>
        <w:t>9.</w:t>
      </w:r>
      <w:r>
        <w:rPr>
          <w:rFonts w:cs="Arial"/>
        </w:rPr>
        <w:tab/>
        <w:t>De horizontale scansnelheid is niet hoger dan 5% van de gemiddelde verticale druppelsnelheid op meethoogte.</w:t>
      </w:r>
    </w:p>
    <w:p w:rsidR="000466C0" w:rsidRDefault="000466C0" w:rsidP="000466C0">
      <w:pPr>
        <w:pStyle w:val="art1enivo"/>
        <w:shd w:val="clear" w:color="auto" w:fill="D9D9D9" w:themeFill="background1" w:themeFillShade="D9"/>
        <w:suppressAutoHyphens/>
        <w:rPr>
          <w:rFonts w:cs="Arial"/>
        </w:rPr>
      </w:pPr>
      <w:r>
        <w:rPr>
          <w:rFonts w:cs="Arial"/>
        </w:rPr>
        <w:t>10.</w:t>
      </w:r>
      <w:r>
        <w:rPr>
          <w:rFonts w:cs="Arial"/>
        </w:rPr>
        <w:tab/>
        <w:t>Het meten wordt zodanig uitgevoerd dat een representatief deel van de spuitkegel wordt bemonsterd.</w:t>
      </w:r>
    </w:p>
    <w:p w:rsidR="000466C0" w:rsidRDefault="000466C0" w:rsidP="000466C0">
      <w:pPr>
        <w:pStyle w:val="art1enivo"/>
        <w:shd w:val="clear" w:color="auto" w:fill="D9D9D9" w:themeFill="background1" w:themeFillShade="D9"/>
        <w:suppressAutoHyphens/>
        <w:rPr>
          <w:rFonts w:cs="Arial"/>
        </w:rPr>
      </w:pPr>
      <w:r>
        <w:rPr>
          <w:rFonts w:cs="Arial"/>
        </w:rPr>
        <w:t>11.</w:t>
      </w:r>
      <w:r>
        <w:rPr>
          <w:rFonts w:cs="Arial"/>
        </w:rPr>
        <w:tab/>
        <w:t>Aan het tiende lid wordt in elk geval voldaan, indien per dop 10.000 druppels zijn gemeten.</w:t>
      </w:r>
    </w:p>
    <w:p w:rsidR="000466C0" w:rsidRDefault="000466C0" w:rsidP="000466C0">
      <w:pPr>
        <w:pStyle w:val="art1enivo"/>
        <w:shd w:val="clear" w:color="auto" w:fill="D9D9D9" w:themeFill="background1" w:themeFillShade="D9"/>
        <w:suppressAutoHyphens/>
        <w:rPr>
          <w:rFonts w:cs="Arial"/>
        </w:rPr>
      </w:pPr>
      <w:r>
        <w:rPr>
          <w:rFonts w:cs="Arial"/>
        </w:rPr>
        <w:t>12.</w:t>
      </w:r>
      <w:r>
        <w:rPr>
          <w:rFonts w:cs="Arial"/>
        </w:rPr>
        <w:tab/>
        <w:t>Per dop wordt driemaal gemeten.</w:t>
      </w:r>
    </w:p>
    <w:p w:rsidR="000466C0" w:rsidRDefault="000466C0" w:rsidP="000466C0">
      <w:pPr>
        <w:pStyle w:val="art1enivo"/>
        <w:shd w:val="clear" w:color="auto" w:fill="D9D9D9" w:themeFill="background1" w:themeFillShade="D9"/>
        <w:suppressAutoHyphens/>
        <w:rPr>
          <w:rFonts w:cs="Arial"/>
        </w:rPr>
      </w:pPr>
      <w:r>
        <w:rPr>
          <w:rFonts w:cs="Arial"/>
        </w:rPr>
        <w:t>13.</w:t>
      </w:r>
      <w:r>
        <w:rPr>
          <w:rFonts w:cs="Arial"/>
        </w:rPr>
        <w:tab/>
        <w:t>Het gemiddelde van de resultaten van de drie metingen wordt per druppelgroottekarakteristiek berekend en geldt als de waarde van de respectievelijke druppelgroottekarakteristieken.</w:t>
      </w:r>
    </w:p>
    <w:p w:rsidR="000466C0" w:rsidRDefault="000466C0" w:rsidP="000466C0">
      <w:pPr>
        <w:pStyle w:val="art1enivo"/>
        <w:shd w:val="clear" w:color="auto" w:fill="D9D9D9" w:themeFill="background1" w:themeFillShade="D9"/>
        <w:suppressAutoHyphens/>
        <w:rPr>
          <w:rFonts w:cs="Arial"/>
        </w:rPr>
      </w:pPr>
      <w:r>
        <w:rPr>
          <w:rFonts w:cs="Arial"/>
        </w:rPr>
        <w:t>14.</w:t>
      </w:r>
      <w:r>
        <w:rPr>
          <w:rFonts w:cs="Arial"/>
        </w:rPr>
        <w:tab/>
        <w:t>Wanneer de meting van de druppelgroottekarakteristieken niet door een deskundig en onafhankelijk instituut als bedoeld in artikel 3.83, tweede lid, onderdeel a, van het besluit is uitgevoerd, beoordeelt dat instituut de juistheid van de meting aan de hand van de waarde, berekend overeenkomstig het dertiende lid.</w:t>
      </w:r>
    </w:p>
    <w:p w:rsidR="000466C0" w:rsidRDefault="000466C0" w:rsidP="000466C0">
      <w:pPr>
        <w:pStyle w:val="artikelkop"/>
        <w:shd w:val="clear" w:color="auto" w:fill="D9D9D9" w:themeFill="background1" w:themeFillShade="D9"/>
      </w:pPr>
      <w:r>
        <w:t xml:space="preserve">Artikel 3.89 </w:t>
      </w:r>
    </w:p>
    <w:p w:rsidR="000466C0" w:rsidRDefault="000466C0" w:rsidP="000466C0">
      <w:pPr>
        <w:pStyle w:val="artplat"/>
        <w:shd w:val="clear" w:color="auto" w:fill="D9D9D9" w:themeFill="background1" w:themeFillShade="D9"/>
        <w:suppressAutoHyphens/>
        <w:rPr>
          <w:rFonts w:cs="Arial"/>
        </w:rPr>
      </w:pPr>
      <w:r>
        <w:rPr>
          <w:rFonts w:cs="Arial"/>
        </w:rPr>
        <w:t>Een spuitdop van een bepaald type en een bepaalde grootte als bedoeld in artikel 3.85, eerste lid, waarvan het volumepercentage V100 bij een bepaalde spuitdruk lager is dan 50% van het volumepercentage V 100 van de met die dop geteste referentiedop, wordt voor die spuitdruk aangemerkt als driftarme dop.</w:t>
      </w:r>
    </w:p>
    <w:p w:rsidR="000466C0" w:rsidRDefault="000466C0" w:rsidP="000466C0">
      <w:pPr>
        <w:pStyle w:val="artikelkop"/>
        <w:shd w:val="clear" w:color="auto" w:fill="D9D9D9" w:themeFill="background1" w:themeFillShade="D9"/>
      </w:pPr>
      <w:r>
        <w:t xml:space="preserve">Artikel 3.90 </w:t>
      </w:r>
    </w:p>
    <w:p w:rsidR="000466C0" w:rsidRDefault="000466C0" w:rsidP="000466C0">
      <w:pPr>
        <w:pStyle w:val="artplat"/>
        <w:shd w:val="clear" w:color="auto" w:fill="D9D9D9" w:themeFill="background1" w:themeFillShade="D9"/>
        <w:suppressAutoHyphens/>
        <w:rPr>
          <w:rFonts w:cs="Arial"/>
        </w:rPr>
      </w:pPr>
      <w:r>
        <w:rPr>
          <w:rFonts w:cs="Arial"/>
        </w:rPr>
        <w:t>Een keuringsverklaring als bedoeld in artikel 3.83, tweede lid, onderdeel a, van het besluit bevat in ieder geval:</w:t>
      </w:r>
    </w:p>
    <w:p w:rsidR="000466C0" w:rsidRDefault="000466C0" w:rsidP="000466C0">
      <w:pPr>
        <w:pStyle w:val="artplatletter"/>
        <w:shd w:val="clear" w:color="auto" w:fill="D9D9D9" w:themeFill="background1" w:themeFillShade="D9"/>
        <w:suppressAutoHyphens/>
        <w:rPr>
          <w:rFonts w:cs="Arial"/>
        </w:rPr>
      </w:pPr>
      <w:r>
        <w:rPr>
          <w:rFonts w:cs="Arial"/>
        </w:rPr>
        <w:t>a.</w:t>
      </w:r>
      <w:r>
        <w:rPr>
          <w:rFonts w:cs="Arial"/>
        </w:rPr>
        <w:tab/>
        <w:t>een aanduiding van de merknaam, het type en de grootte van de testdoppen;</w:t>
      </w:r>
    </w:p>
    <w:p w:rsidR="000466C0" w:rsidRDefault="000466C0" w:rsidP="000466C0">
      <w:pPr>
        <w:pStyle w:val="artplatletter"/>
        <w:shd w:val="clear" w:color="auto" w:fill="D9D9D9" w:themeFill="background1" w:themeFillShade="D9"/>
        <w:suppressAutoHyphens/>
        <w:rPr>
          <w:rFonts w:cs="Arial"/>
        </w:rPr>
      </w:pPr>
      <w:r>
        <w:rPr>
          <w:rFonts w:cs="Arial"/>
        </w:rPr>
        <w:t>b.</w:t>
      </w:r>
      <w:r>
        <w:rPr>
          <w:rFonts w:cs="Arial"/>
        </w:rPr>
        <w:tab/>
        <w:t>een overzicht van de druppelgroottekarakteristieken van de testdoppen, gemeten overeenkomstig de artikelen 3.87 en 3.88 en de daarbij gemeten referentiedop;</w:t>
      </w:r>
    </w:p>
    <w:p w:rsidR="000466C0" w:rsidRDefault="000466C0" w:rsidP="000466C0">
      <w:pPr>
        <w:pStyle w:val="artplatletter"/>
        <w:shd w:val="clear" w:color="auto" w:fill="D9D9D9" w:themeFill="background1" w:themeFillShade="D9"/>
        <w:suppressAutoHyphens/>
        <w:rPr>
          <w:rFonts w:cs="Arial"/>
        </w:rPr>
      </w:pPr>
      <w:r>
        <w:rPr>
          <w:rFonts w:cs="Arial"/>
        </w:rPr>
        <w:t>c.</w:t>
      </w:r>
      <w:r>
        <w:rPr>
          <w:rFonts w:cs="Arial"/>
        </w:rPr>
        <w:tab/>
        <w:t>een aanduiding van:</w:t>
      </w:r>
    </w:p>
    <w:p w:rsidR="000466C0" w:rsidRDefault="000466C0" w:rsidP="000466C0">
      <w:pPr>
        <w:pStyle w:val="art2enivo"/>
        <w:shd w:val="clear" w:color="auto" w:fill="D9D9D9" w:themeFill="background1" w:themeFillShade="D9"/>
        <w:suppressAutoHyphens/>
        <w:rPr>
          <w:rFonts w:cs="Arial"/>
        </w:rPr>
      </w:pPr>
      <w:r>
        <w:rPr>
          <w:rFonts w:cs="Arial"/>
        </w:rPr>
        <w:t>1°.</w:t>
      </w:r>
      <w:r>
        <w:rPr>
          <w:rFonts w:cs="Arial"/>
        </w:rPr>
        <w:tab/>
        <w:t>de meetinstrumenten;</w:t>
      </w:r>
    </w:p>
    <w:p w:rsidR="000466C0" w:rsidRDefault="000466C0" w:rsidP="000466C0">
      <w:pPr>
        <w:pStyle w:val="art2enivo"/>
        <w:shd w:val="clear" w:color="auto" w:fill="D9D9D9" w:themeFill="background1" w:themeFillShade="D9"/>
        <w:suppressAutoHyphens/>
        <w:rPr>
          <w:rFonts w:cs="Arial"/>
        </w:rPr>
      </w:pPr>
      <w:r>
        <w:rPr>
          <w:rFonts w:cs="Arial"/>
        </w:rPr>
        <w:t>2°.</w:t>
      </w:r>
      <w:r>
        <w:rPr>
          <w:rFonts w:cs="Arial"/>
        </w:rPr>
        <w:tab/>
        <w:t>de meetinstellingen en meetomstandigheden;</w:t>
      </w:r>
    </w:p>
    <w:p w:rsidR="000466C0" w:rsidRDefault="000466C0" w:rsidP="000466C0">
      <w:pPr>
        <w:pStyle w:val="art2enivo"/>
        <w:shd w:val="clear" w:color="auto" w:fill="D9D9D9" w:themeFill="background1" w:themeFillShade="D9"/>
        <w:suppressAutoHyphens/>
        <w:rPr>
          <w:rFonts w:cs="Arial"/>
        </w:rPr>
      </w:pPr>
      <w:r>
        <w:rPr>
          <w:rFonts w:cs="Arial"/>
        </w:rPr>
        <w:t>3°.</w:t>
      </w:r>
      <w:r>
        <w:rPr>
          <w:rFonts w:cs="Arial"/>
        </w:rPr>
        <w:tab/>
        <w:t>het spuitdrukbereik in stappen van 0,5 bar, en</w:t>
      </w:r>
    </w:p>
    <w:p w:rsidR="000466C0" w:rsidRDefault="000466C0" w:rsidP="000466C0">
      <w:pPr>
        <w:pStyle w:val="art2enivo"/>
        <w:shd w:val="clear" w:color="auto" w:fill="D9D9D9" w:themeFill="background1" w:themeFillShade="D9"/>
        <w:suppressAutoHyphens/>
        <w:rPr>
          <w:rFonts w:cs="Arial"/>
        </w:rPr>
      </w:pPr>
      <w:r>
        <w:rPr>
          <w:rFonts w:cs="Arial"/>
        </w:rPr>
        <w:t>4°.</w:t>
      </w:r>
      <w:r>
        <w:rPr>
          <w:rFonts w:cs="Arial"/>
        </w:rPr>
        <w:tab/>
        <w:t>de driftarme instellingen;</w:t>
      </w:r>
    </w:p>
    <w:p w:rsidR="000466C0" w:rsidRDefault="000466C0" w:rsidP="000466C0">
      <w:pPr>
        <w:pStyle w:val="artplatletter"/>
        <w:shd w:val="clear" w:color="auto" w:fill="D9D9D9" w:themeFill="background1" w:themeFillShade="D9"/>
        <w:suppressAutoHyphens/>
        <w:rPr>
          <w:rFonts w:cs="Arial"/>
        </w:rPr>
      </w:pPr>
      <w:r>
        <w:rPr>
          <w:rFonts w:cs="Arial"/>
        </w:rPr>
        <w:t>d.</w:t>
      </w:r>
      <w:r>
        <w:rPr>
          <w:rFonts w:cs="Arial"/>
        </w:rPr>
        <w:tab/>
        <w:t>gegevens waaruit blijkt dat bij het meten van de testdoppen en de referentiedop de horizontale scansnelheid niet hoger is dan 5% van de gemiddelde verticale druppelsnelheid op meethoogte;</w:t>
      </w:r>
    </w:p>
    <w:p w:rsidR="000466C0" w:rsidRDefault="000466C0" w:rsidP="000466C0">
      <w:pPr>
        <w:pStyle w:val="artplatletter"/>
        <w:shd w:val="clear" w:color="auto" w:fill="D9D9D9" w:themeFill="background1" w:themeFillShade="D9"/>
        <w:suppressAutoHyphens/>
        <w:rPr>
          <w:rFonts w:cs="Arial"/>
        </w:rPr>
      </w:pPr>
      <w:r>
        <w:rPr>
          <w:rFonts w:cs="Arial"/>
        </w:rPr>
        <w:t>e.</w:t>
      </w:r>
      <w:r>
        <w:rPr>
          <w:rFonts w:cs="Arial"/>
        </w:rPr>
        <w:tab/>
        <w:t>de locatie en de datum waarop het meten van de testdoppen en de referentiedop heeft plaatsgevonden;</w:t>
      </w:r>
    </w:p>
    <w:p w:rsidR="000466C0" w:rsidRDefault="000466C0" w:rsidP="000466C0">
      <w:pPr>
        <w:pStyle w:val="artplatletter"/>
        <w:shd w:val="clear" w:color="auto" w:fill="D9D9D9" w:themeFill="background1" w:themeFillShade="D9"/>
        <w:suppressAutoHyphens/>
        <w:rPr>
          <w:rFonts w:cs="Arial"/>
        </w:rPr>
      </w:pPr>
      <w:r>
        <w:rPr>
          <w:rFonts w:cs="Arial"/>
        </w:rPr>
        <w:t>f.</w:t>
      </w:r>
      <w:r>
        <w:rPr>
          <w:rFonts w:cs="Arial"/>
        </w:rPr>
        <w:tab/>
        <w:t>gegevens over de vloeistofafgifte van de doppen, gemeten overeenkomstig artikel 3.86, en</w:t>
      </w:r>
    </w:p>
    <w:p w:rsidR="000466C0" w:rsidRDefault="000466C0" w:rsidP="000466C0">
      <w:pPr>
        <w:pStyle w:val="artplatletter"/>
        <w:shd w:val="clear" w:color="auto" w:fill="D9D9D9" w:themeFill="background1" w:themeFillShade="D9"/>
        <w:suppressAutoHyphens/>
        <w:rPr>
          <w:rFonts w:cs="Arial"/>
        </w:rPr>
      </w:pPr>
      <w:r>
        <w:rPr>
          <w:rFonts w:cs="Arial"/>
        </w:rPr>
        <w:t>g.</w:t>
      </w:r>
      <w:r>
        <w:rPr>
          <w:rFonts w:cs="Arial"/>
        </w:rPr>
        <w:tab/>
        <w:t>de naam van het deskundige, onafhankelijke instituut dat verantwoordelijk is voor de afgifte van de keuringsverklaring.</w:t>
      </w:r>
    </w:p>
    <w:p w:rsidR="000466C0" w:rsidRDefault="000466C0" w:rsidP="000466C0">
      <w:pPr>
        <w:pStyle w:val="artikelkop"/>
        <w:shd w:val="clear" w:color="auto" w:fill="D9D9D9" w:themeFill="background1" w:themeFillShade="D9"/>
      </w:pPr>
      <w:r>
        <w:t xml:space="preserve">Artikel 3.91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Een drukregistratievoorziening als bedoeld in artikel 3.83, derde lid, onderdeel a, en vierde lid, van het besluit voldoet aan het tweede tot en met zesde lid.</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Een drukregistratievoorziening bevat een druksensor waarvan de afwijking van de nauwkeurigheid, bij een werkdruk van ten hoogste 8 bar, ten hoogste 0,2 bar bedraagt.</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Een actuele drukregistratie vindt in de tijd plaats met ten minste een waarneming per tien seconden.</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De geregistreerde gegevens worden ten minste gedurende een uur bewaard.</w:t>
      </w:r>
    </w:p>
    <w:p w:rsidR="000466C0" w:rsidRDefault="000466C0" w:rsidP="000466C0">
      <w:pPr>
        <w:pStyle w:val="art1enivo"/>
        <w:shd w:val="clear" w:color="auto" w:fill="D9D9D9" w:themeFill="background1" w:themeFillShade="D9"/>
        <w:suppressAutoHyphens/>
        <w:rPr>
          <w:rFonts w:cs="Arial"/>
        </w:rPr>
      </w:pPr>
      <w:r>
        <w:rPr>
          <w:rFonts w:cs="Arial"/>
        </w:rPr>
        <w:t>5.</w:t>
      </w:r>
      <w:r>
        <w:rPr>
          <w:rFonts w:cs="Arial"/>
        </w:rPr>
        <w:tab/>
        <w:t>De drukregistratievoorziening geeft aan of de voorziening in werking is.</w:t>
      </w:r>
    </w:p>
    <w:p w:rsidR="000466C0" w:rsidRDefault="000466C0" w:rsidP="000466C0">
      <w:pPr>
        <w:pStyle w:val="art1enivo"/>
        <w:shd w:val="clear" w:color="auto" w:fill="D9D9D9" w:themeFill="background1" w:themeFillShade="D9"/>
        <w:suppressAutoHyphens/>
        <w:rPr>
          <w:rFonts w:cs="Arial"/>
        </w:rPr>
      </w:pPr>
      <w:r>
        <w:rPr>
          <w:rFonts w:cs="Arial"/>
        </w:rPr>
        <w:t>6.</w:t>
      </w:r>
      <w:r>
        <w:rPr>
          <w:rFonts w:cs="Arial"/>
        </w:rPr>
        <w:tab/>
        <w:t>Voor het aflezen van de gegevens, bedoeld in het vierde lid, is de drukregistratievoorziening voorzien van:</w:t>
      </w:r>
    </w:p>
    <w:p w:rsidR="000466C0" w:rsidRDefault="000466C0" w:rsidP="000466C0">
      <w:pPr>
        <w:pStyle w:val="art2enivo"/>
        <w:shd w:val="clear" w:color="auto" w:fill="D9D9D9" w:themeFill="background1" w:themeFillShade="D9"/>
        <w:suppressAutoHyphens/>
        <w:rPr>
          <w:rFonts w:cs="Arial"/>
        </w:rPr>
      </w:pPr>
      <w:r>
        <w:rPr>
          <w:rFonts w:cs="Arial"/>
        </w:rPr>
        <w:t>a.</w:t>
      </w:r>
      <w:r>
        <w:rPr>
          <w:rFonts w:cs="Arial"/>
        </w:rPr>
        <w:tab/>
        <w:t>een scherm, of</w:t>
      </w:r>
    </w:p>
    <w:p w:rsidR="000466C0" w:rsidRDefault="000466C0" w:rsidP="000466C0">
      <w:pPr>
        <w:shd w:val="clear" w:color="auto" w:fill="D9D9D9" w:themeFill="background1" w:themeFillShade="D9"/>
      </w:pPr>
      <w:r>
        <w:rPr>
          <w:rFonts w:cs="Arial"/>
        </w:rPr>
        <w:t>b.</w:t>
      </w:r>
      <w:r>
        <w:rPr>
          <w:rFonts w:cs="Arial"/>
        </w:rPr>
        <w:tab/>
        <w:t>een USB-aansluiting.</w:t>
      </w:r>
    </w:p>
    <w:p w:rsidR="000466C0" w:rsidRPr="000466C0" w:rsidRDefault="000466C0" w:rsidP="000466C0"/>
    <w:p w:rsidR="00296032" w:rsidRPr="00296032" w:rsidRDefault="00296032">
      <w:pPr>
        <w:pStyle w:val="paragraaf"/>
        <w:rPr>
          <w:rFonts w:cs="Arial"/>
        </w:rPr>
      </w:pPr>
      <w:bookmarkStart w:id="134" w:name="_Toc431375626"/>
      <w:r w:rsidRPr="00296032">
        <w:rPr>
          <w:rFonts w:cs="Arial"/>
        </w:rPr>
        <w:t>§ 3.5.4 Waterbehandeling voor agrarische activiteiten</w:t>
      </w:r>
      <w:bookmarkEnd w:id="134"/>
    </w:p>
    <w:p w:rsidR="00296032" w:rsidRPr="00296032" w:rsidRDefault="00296032">
      <w:pPr>
        <w:pStyle w:val="artikelkop"/>
        <w:rPr>
          <w:rFonts w:cs="Arial"/>
        </w:rPr>
      </w:pPr>
      <w:r w:rsidRPr="00296032">
        <w:rPr>
          <w:rFonts w:cs="Arial"/>
        </w:rPr>
        <w:t>Artikel 3.89</w:t>
      </w:r>
    </w:p>
    <w:p w:rsidR="00296032" w:rsidRPr="00620047" w:rsidRDefault="00296032">
      <w:pPr>
        <w:pStyle w:val="artplat"/>
        <w:rPr>
          <w:rFonts w:cs="Arial"/>
        </w:rPr>
      </w:pPr>
      <w:r w:rsidRPr="00620047">
        <w:rPr>
          <w:rFonts w:cs="Arial"/>
        </w:rPr>
        <w:t>Deze paragraaf is van toepassing op de waterbehandeling voor agrarische activiteiten.</w:t>
      </w:r>
    </w:p>
    <w:p w:rsidR="00296032" w:rsidRPr="00296032" w:rsidRDefault="00296032">
      <w:pPr>
        <w:pStyle w:val="artikelkop"/>
        <w:rPr>
          <w:rFonts w:cs="Arial"/>
        </w:rPr>
      </w:pPr>
      <w:r w:rsidRPr="00296032">
        <w:rPr>
          <w:rFonts w:cs="Arial"/>
        </w:rPr>
        <w:t>Artikel 3.90</w:t>
      </w:r>
    </w:p>
    <w:p w:rsidR="00296032" w:rsidRPr="00620047" w:rsidRDefault="00296032">
      <w:pPr>
        <w:pStyle w:val="art1enivo"/>
        <w:rPr>
          <w:rFonts w:cs="Arial"/>
        </w:rPr>
      </w:pPr>
      <w:r w:rsidRPr="00620047">
        <w:rPr>
          <w:rFonts w:cs="Arial"/>
        </w:rPr>
        <w:t>1.</w:t>
      </w:r>
      <w:r w:rsidRPr="00620047">
        <w:rPr>
          <w:rFonts w:cs="Arial"/>
        </w:rPr>
        <w:tab/>
        <w:t>Bij het lozen van het afvalwater afkomstig van het voor de waterbehandeling voor agrarische activiteiten zuiveren van water door omgekeerde osmose of ionenwisselaars, wordt ten minste voldaan aan het tweede tot en met zesde lid.</w:t>
      </w:r>
    </w:p>
    <w:p w:rsidR="00296032" w:rsidRPr="00620047" w:rsidRDefault="00296032">
      <w:pPr>
        <w:pStyle w:val="art1enivo"/>
        <w:rPr>
          <w:rFonts w:cs="Arial"/>
        </w:rPr>
      </w:pPr>
      <w:r w:rsidRPr="00620047">
        <w:rPr>
          <w:rFonts w:cs="Arial"/>
        </w:rPr>
        <w:t>2.</w:t>
      </w:r>
      <w:r w:rsidRPr="00620047">
        <w:rPr>
          <w:rFonts w:cs="Arial"/>
        </w:rPr>
        <w:tab/>
        <w:t>Het lozen in een vuilwaterriool is verboden.</w:t>
      </w:r>
    </w:p>
    <w:p w:rsidR="00296032" w:rsidRPr="00620047" w:rsidRDefault="00296032">
      <w:pPr>
        <w:pStyle w:val="art1enivo"/>
        <w:rPr>
          <w:rFonts w:cs="Arial"/>
        </w:rPr>
      </w:pPr>
      <w:r w:rsidRPr="00620047">
        <w:rPr>
          <w:rFonts w:cs="Arial"/>
        </w:rPr>
        <w:t>3.</w:t>
      </w:r>
      <w:r w:rsidRPr="00620047">
        <w:rPr>
          <w:rFonts w:cs="Arial"/>
        </w:rPr>
        <w:tab/>
        <w:t>Het bevoegd gezag kan bij maatwerkvoorschrift of bij verordening bepalen dat het tweede lid niet van toepassing is en het lozen in het vuilwaterriool toestaan, indien het belang van de bescherming van het milieu zich niet tegen het lozen in een vuilwaterriool verzet.</w:t>
      </w:r>
      <w:r w:rsidRPr="00620047">
        <w:rPr>
          <w:rFonts w:cs="Arial"/>
        </w:rPr>
        <w:tab/>
      </w:r>
      <w:r w:rsidRPr="00620047">
        <w:rPr>
          <w:rFonts w:cs="Arial"/>
        </w:rPr>
        <w:br/>
        <w:t>Artikel 2.2, vierde lid, is van overeenkomstige toepassing.</w:t>
      </w:r>
    </w:p>
    <w:p w:rsidR="00296032" w:rsidRPr="00620047" w:rsidRDefault="00296032">
      <w:pPr>
        <w:pStyle w:val="art1enivo"/>
        <w:rPr>
          <w:rFonts w:cs="Arial"/>
        </w:rPr>
      </w:pPr>
      <w:r w:rsidRPr="00620047">
        <w:rPr>
          <w:rFonts w:cs="Arial"/>
        </w:rPr>
        <w:t>4.</w:t>
      </w:r>
      <w:r w:rsidRPr="00620047">
        <w:rPr>
          <w:rFonts w:cs="Arial"/>
        </w:rPr>
        <w:tab/>
        <w:t>Het lozen in een oppervlaktewaterlichaam is toegestaan, indien het gehalte aan:</w:t>
      </w:r>
    </w:p>
    <w:p w:rsidR="00296032" w:rsidRPr="00620047" w:rsidRDefault="00296032">
      <w:pPr>
        <w:pStyle w:val="art2enivo"/>
        <w:rPr>
          <w:rFonts w:cs="Arial"/>
        </w:rPr>
      </w:pPr>
      <w:r w:rsidRPr="00620047">
        <w:rPr>
          <w:rFonts w:cs="Arial"/>
        </w:rPr>
        <w:t>a.</w:t>
      </w:r>
      <w:r w:rsidRPr="00620047">
        <w:rPr>
          <w:rFonts w:cs="Arial"/>
        </w:rPr>
        <w:tab/>
        <w:t>chloride ten hoogste 200 milligram per liter bedraagt;</w:t>
      </w:r>
    </w:p>
    <w:p w:rsidR="00296032" w:rsidRPr="00620047" w:rsidRDefault="00296032">
      <w:pPr>
        <w:pStyle w:val="art2enivo"/>
        <w:rPr>
          <w:rFonts w:cs="Arial"/>
        </w:rPr>
      </w:pPr>
      <w:r w:rsidRPr="00620047">
        <w:rPr>
          <w:rFonts w:cs="Arial"/>
        </w:rPr>
        <w:t>b.</w:t>
      </w:r>
      <w:r w:rsidRPr="00620047">
        <w:rPr>
          <w:rFonts w:cs="Arial"/>
        </w:rPr>
        <w:tab/>
        <w:t>ijzer ten hoogste 2 milligram per liter bedraagt.</w:t>
      </w:r>
    </w:p>
    <w:p w:rsidR="00296032" w:rsidRPr="00620047" w:rsidRDefault="00296032">
      <w:pPr>
        <w:pStyle w:val="art1enivo"/>
        <w:rPr>
          <w:rFonts w:cs="Arial"/>
        </w:rPr>
      </w:pPr>
      <w:r w:rsidRPr="00620047">
        <w:rPr>
          <w:rFonts w:cs="Arial"/>
        </w:rPr>
        <w:t>5.</w:t>
      </w:r>
      <w:r w:rsidRPr="00620047">
        <w:rPr>
          <w:rFonts w:cs="Arial"/>
        </w:rPr>
        <w:tab/>
        <w:t>Indien het belang van de bescherming van het milieu zich daartegen niet verzet, kan het bevoegd gezag bij maatwerkvoorschrift of bij verordening bepalen dat de gehalten bedoeld in het vierde lid niet van toepassing zijn en kunnen hogere gehalten worden vastgesteld.</w:t>
      </w:r>
    </w:p>
    <w:p w:rsidR="00296032" w:rsidRPr="00620047" w:rsidRDefault="00296032">
      <w:pPr>
        <w:pStyle w:val="art1enivo"/>
        <w:rPr>
          <w:rFonts w:cs="Arial"/>
        </w:rPr>
      </w:pPr>
      <w:r w:rsidRPr="00620047">
        <w:rPr>
          <w:rFonts w:cs="Arial"/>
        </w:rPr>
        <w:t>6.</w:t>
      </w:r>
      <w:r w:rsidRPr="00620047">
        <w:rPr>
          <w:rFonts w:cs="Arial"/>
        </w:rPr>
        <w:tab/>
        <w:t>Het te lozen afvalwater kan op een doelmatige wijze worden bemonsterd.</w:t>
      </w:r>
    </w:p>
    <w:p w:rsidR="00296032" w:rsidRPr="00620047" w:rsidRDefault="00296032">
      <w:pPr>
        <w:pStyle w:val="art1enivo"/>
      </w:pPr>
      <w:r w:rsidRPr="00620047">
        <w:t>7.</w:t>
      </w:r>
      <w:r w:rsidRPr="00620047">
        <w:tab/>
        <w:t>In afwijking van artikel 6.3, eerste lid, wordt bij een inrichting die per hectare waarop het telen of kweken van gewassen in een kas plaatsvindt beschikt over een hemelwateropvangvoorziening van ten minste 500 kubieke meter, een ontheffing die is verleend voor het in de bodem lozen van afvalwater als gevolg van het voor de waterbehandeling bij de teelt van gewassen zuiveren van water door omgekeerde osmose en die in werking en onherroepelijk was tot 1 januari 2013, tot 1 juli 2022</w:t>
      </w:r>
      <w:r w:rsidR="00244F18">
        <w:t xml:space="preserve"> </w:t>
      </w:r>
      <w:r w:rsidRPr="00620047">
        <w:t>aangemerkt als maatwerkvoorschrift als bedoeld in artikel 2.2, derde lid.</w:t>
      </w:r>
    </w:p>
    <w:p w:rsidR="00296032" w:rsidRPr="00296032" w:rsidRDefault="00296032">
      <w:pPr>
        <w:pStyle w:val="artikelkop"/>
        <w:rPr>
          <w:rFonts w:cs="Arial"/>
        </w:rPr>
      </w:pPr>
      <w:r w:rsidRPr="00296032">
        <w:rPr>
          <w:rFonts w:cs="Arial"/>
        </w:rPr>
        <w:t>Artikel 3.91</w:t>
      </w:r>
    </w:p>
    <w:p w:rsidR="00296032" w:rsidRPr="00620047" w:rsidRDefault="00296032">
      <w:pPr>
        <w:pStyle w:val="art1enivo"/>
        <w:rPr>
          <w:rFonts w:cs="Arial"/>
        </w:rPr>
      </w:pPr>
      <w:r w:rsidRPr="00620047">
        <w:rPr>
          <w:rFonts w:cs="Arial"/>
        </w:rPr>
        <w:t>1.</w:t>
      </w:r>
      <w:r w:rsidRPr="00620047">
        <w:rPr>
          <w:rFonts w:cs="Arial"/>
        </w:rPr>
        <w:tab/>
        <w:t>Het lozen van afvalwater als gevolg van het voor agrarische activiteiten zuiveren van water door het ontijzeren van grondwater in een oppervlaktewaterlichaam is toegestaan, indien ten minste:</w:t>
      </w:r>
    </w:p>
    <w:p w:rsidR="00296032" w:rsidRPr="00620047" w:rsidRDefault="00296032">
      <w:pPr>
        <w:pStyle w:val="art2enivo"/>
        <w:rPr>
          <w:rFonts w:cs="Arial"/>
        </w:rPr>
      </w:pPr>
      <w:r w:rsidRPr="00620047">
        <w:rPr>
          <w:rFonts w:cs="Arial"/>
        </w:rPr>
        <w:t>a.</w:t>
      </w:r>
      <w:r w:rsidRPr="00620047">
        <w:rPr>
          <w:rFonts w:cs="Arial"/>
        </w:rPr>
        <w:tab/>
        <w:t>het perceel waar het afvalwater vrijkomt niet is aangesloten op een vuilwaterriool waarop geloosd kan worden en de afstand tot het dichtstbijzijnde vuilwaterriool of zuiveringtechnisch werk waarop kan worden aangesloten en geloosd, meer dan 40 meter bedraagt, en</w:t>
      </w:r>
    </w:p>
    <w:p w:rsidR="00296032" w:rsidRPr="00620047" w:rsidRDefault="00296032">
      <w:pPr>
        <w:pStyle w:val="art2enivo"/>
        <w:rPr>
          <w:rFonts w:cs="Arial"/>
        </w:rPr>
      </w:pPr>
      <w:r w:rsidRPr="00620047">
        <w:rPr>
          <w:rFonts w:cs="Arial"/>
        </w:rPr>
        <w:t>b.</w:t>
      </w:r>
      <w:r w:rsidRPr="00620047">
        <w:rPr>
          <w:rFonts w:cs="Arial"/>
        </w:rPr>
        <w:tab/>
        <w:t>bij het lozen het gehalte aan ijzer in het afvalwater ten hoogste 5 milligram per liter bedraagt.</w:t>
      </w:r>
    </w:p>
    <w:p w:rsidR="00296032" w:rsidRPr="00620047" w:rsidRDefault="00296032">
      <w:pPr>
        <w:pStyle w:val="art1enivo"/>
        <w:rPr>
          <w:rFonts w:cs="Arial"/>
        </w:rPr>
      </w:pPr>
      <w:r w:rsidRPr="00620047">
        <w:rPr>
          <w:rFonts w:cs="Arial"/>
        </w:rPr>
        <w:t>2.</w:t>
      </w:r>
      <w:r w:rsidRPr="00620047">
        <w:rPr>
          <w:rFonts w:cs="Arial"/>
        </w:rPr>
        <w:tab/>
        <w:t>De afstand, genoemd in het eerste lid, onderdeel a, wordt berekend:</w:t>
      </w:r>
    </w:p>
    <w:p w:rsidR="00296032" w:rsidRPr="00620047" w:rsidRDefault="00296032">
      <w:pPr>
        <w:pStyle w:val="art2enivo"/>
        <w:rPr>
          <w:rFonts w:cs="Arial"/>
        </w:rPr>
      </w:pPr>
      <w:r w:rsidRPr="00620047">
        <w:rPr>
          <w:rFonts w:cs="Arial"/>
        </w:rPr>
        <w:t>a.</w:t>
      </w:r>
      <w:r w:rsidRPr="00620047">
        <w:rPr>
          <w:rFonts w:cs="Arial"/>
        </w:rPr>
        <w:tab/>
        <w:t>vanaf de kadastrale grens van het perceel waar het afvalwater vrijkomt, en</w:t>
      </w:r>
    </w:p>
    <w:p w:rsidR="00296032" w:rsidRPr="00620047" w:rsidRDefault="00296032">
      <w:pPr>
        <w:pStyle w:val="art2enivo"/>
        <w:rPr>
          <w:rFonts w:cs="Arial"/>
        </w:rPr>
      </w:pPr>
      <w:r w:rsidRPr="00620047">
        <w:rPr>
          <w:rFonts w:cs="Arial"/>
        </w:rPr>
        <w:t>b.</w:t>
      </w:r>
      <w:r w:rsidRPr="00620047">
        <w:rPr>
          <w:rFonts w:cs="Arial"/>
        </w:rPr>
        <w:tab/>
        <w:t>langs de kortste lijn waarlangs de afvoerleidingen zonder overwegende bezwaren kunnen worden aangelegd.</w:t>
      </w:r>
    </w:p>
    <w:p w:rsidR="00296032" w:rsidRPr="00620047" w:rsidRDefault="00296032">
      <w:pPr>
        <w:pStyle w:val="art1enivo"/>
        <w:rPr>
          <w:rFonts w:cs="Arial"/>
        </w:rPr>
      </w:pPr>
      <w:r w:rsidRPr="00620047">
        <w:rPr>
          <w:rFonts w:cs="Arial"/>
        </w:rPr>
        <w:t>3.</w:t>
      </w:r>
      <w:r w:rsidRPr="00620047">
        <w:rPr>
          <w:rFonts w:cs="Arial"/>
        </w:rPr>
        <w:tab/>
        <w:t>Het te lozen afvalwater kan op een doelmatige wijze worden bemonsterd.</w:t>
      </w:r>
    </w:p>
    <w:p w:rsidR="00296032" w:rsidRPr="00620047" w:rsidRDefault="00296032">
      <w:pPr>
        <w:pStyle w:val="art1enivo"/>
      </w:pPr>
      <w:r w:rsidRPr="00620047">
        <w:t>4.</w:t>
      </w:r>
      <w:r w:rsidRPr="00620047">
        <w:tab/>
        <w:t>In afwijking van het tweede lid, onderdeel a, wordt de afstand tot het dichtstbijzijnde vuilwaterriool of zuiveringstechnisch werk bij voortzetting van het lozen van afvalwater in het oppervlaktewaterlichaam dat voor 1 januari 2013 al plaatsvond, berekend vanaf de plaats waar het afvalwater vrijkomt.</w:t>
      </w:r>
    </w:p>
    <w:p w:rsidR="00296032" w:rsidRPr="00296032" w:rsidRDefault="00296032">
      <w:pPr>
        <w:pStyle w:val="paragraaf"/>
        <w:rPr>
          <w:rFonts w:cs="Arial"/>
        </w:rPr>
      </w:pPr>
      <w:bookmarkStart w:id="135" w:name="_Toc431375627"/>
      <w:r w:rsidRPr="00296032">
        <w:rPr>
          <w:rFonts w:cs="Arial"/>
        </w:rPr>
        <w:t>§ 3.5.5</w:t>
      </w:r>
      <w:r w:rsidRPr="00296032">
        <w:rPr>
          <w:rFonts w:cs="Arial"/>
        </w:rPr>
        <w:tab/>
        <w:t>Aanmaken of transporteren via vaste leidingen of apparatuur van gewasbeschermingsmiddelen, biociden of bladmeststoffen</w:t>
      </w:r>
      <w:bookmarkEnd w:id="135"/>
    </w:p>
    <w:p w:rsidR="00296032" w:rsidRPr="00296032" w:rsidRDefault="00296032">
      <w:pPr>
        <w:pStyle w:val="artikelkop"/>
        <w:rPr>
          <w:rFonts w:cs="Arial"/>
        </w:rPr>
      </w:pPr>
      <w:r w:rsidRPr="00296032">
        <w:rPr>
          <w:rFonts w:cs="Arial"/>
        </w:rPr>
        <w:t>Artikel 3.92</w:t>
      </w:r>
    </w:p>
    <w:p w:rsidR="00296032" w:rsidRPr="00620047" w:rsidRDefault="00296032">
      <w:pPr>
        <w:pStyle w:val="artplat"/>
        <w:rPr>
          <w:rFonts w:cs="Arial"/>
        </w:rPr>
      </w:pPr>
      <w:r w:rsidRPr="00620047">
        <w:rPr>
          <w:rFonts w:cs="Arial"/>
        </w:rPr>
        <w:t>Deze paragraaf is van toepassing op het voor agrarische activiteiten aanmaken van gewasbeschermingsmiddelen, biociden of bladmeststoffen of het transporteren daarvan via vaste leidingen.</w:t>
      </w:r>
    </w:p>
    <w:p w:rsidR="00296032" w:rsidRPr="00296032" w:rsidRDefault="00296032">
      <w:pPr>
        <w:pStyle w:val="artikelkop"/>
        <w:rPr>
          <w:rFonts w:cs="Arial"/>
        </w:rPr>
      </w:pPr>
      <w:r w:rsidRPr="00296032">
        <w:rPr>
          <w:rFonts w:cs="Arial"/>
        </w:rPr>
        <w:t>Artikel 3.93</w:t>
      </w:r>
    </w:p>
    <w:p w:rsidR="00296032" w:rsidRPr="00620047" w:rsidRDefault="00296032">
      <w:pPr>
        <w:pStyle w:val="art1enivo"/>
        <w:rPr>
          <w:rFonts w:cs="Arial"/>
        </w:rPr>
      </w:pPr>
      <w:r w:rsidRPr="00620047">
        <w:rPr>
          <w:rFonts w:cs="Arial"/>
        </w:rPr>
        <w:t>1.</w:t>
      </w:r>
      <w:r w:rsidRPr="00620047">
        <w:rPr>
          <w:rFonts w:cs="Arial"/>
        </w:rPr>
        <w:tab/>
        <w:t>Bij het uit een oppervlaktewaterlichaam vullen van apparatuur waarin gewasbeschermingsmiddelen, biociden of bladmeststoffen worden aangemaakt, wordt een voorziening getroffen die terugstroming van het mengsel van gewasbeschermingsmiddelen, biociden of bladmeststoffen en water voorkomt.</w:t>
      </w:r>
    </w:p>
    <w:p w:rsidR="00296032" w:rsidRPr="00620047" w:rsidRDefault="00296032">
      <w:pPr>
        <w:pStyle w:val="art1enivo"/>
        <w:rPr>
          <w:rFonts w:cs="Arial"/>
        </w:rPr>
      </w:pPr>
      <w:r w:rsidRPr="00620047">
        <w:rPr>
          <w:rFonts w:cs="Arial"/>
        </w:rPr>
        <w:t>2.</w:t>
      </w:r>
      <w:r w:rsidRPr="00620047">
        <w:rPr>
          <w:rFonts w:cs="Arial"/>
        </w:rPr>
        <w:tab/>
        <w:t>Bij het vullen van apparatuur waarin gewasbeschermingsmiddelen, biociden of bladmeststoffen worden aangemaakt, die niet is opgesteld boven een bodembeschermende voorziening, bevindt de apparatuur zich op een afstand van ten minste twee meter van de insteek van een oppervlaktewaterlichaam.</w:t>
      </w:r>
    </w:p>
    <w:p w:rsidR="00296032" w:rsidRPr="00296032" w:rsidRDefault="00296032">
      <w:pPr>
        <w:pStyle w:val="artikelkop"/>
        <w:rPr>
          <w:rFonts w:cs="Arial"/>
        </w:rPr>
      </w:pPr>
      <w:r w:rsidRPr="00296032">
        <w:rPr>
          <w:rFonts w:cs="Arial"/>
        </w:rPr>
        <w:t>Artikel 3.94</w:t>
      </w:r>
    </w:p>
    <w:p w:rsidR="00296032" w:rsidRPr="00620047" w:rsidRDefault="00296032">
      <w:pPr>
        <w:pStyle w:val="artplat"/>
        <w:rPr>
          <w:rFonts w:cs="Arial"/>
        </w:rPr>
      </w:pPr>
      <w:r w:rsidRPr="00620047">
        <w:rPr>
          <w:rFonts w:cs="Arial"/>
        </w:rPr>
        <w:t>Bij het in een inrichting aanmaken van gewasbeschermingsmiddelen, biociden of bladmeststoffen of het transporteren via vaste leidingen wordt ten behoeve van:</w:t>
      </w:r>
    </w:p>
    <w:p w:rsidR="00296032" w:rsidRPr="00620047" w:rsidRDefault="00296032">
      <w:pPr>
        <w:pStyle w:val="artplatletter"/>
        <w:rPr>
          <w:rFonts w:cs="Arial"/>
        </w:rPr>
      </w:pPr>
      <w:r w:rsidRPr="00620047">
        <w:rPr>
          <w:rFonts w:cs="Arial"/>
        </w:rPr>
        <w:t>a.</w:t>
      </w:r>
      <w:r w:rsidRPr="00620047">
        <w:rPr>
          <w:rFonts w:cs="Arial"/>
        </w:rPr>
        <w:tab/>
        <w:t>het realiseren van een verwaarloosbaar bodemrisico;</w:t>
      </w:r>
    </w:p>
    <w:p w:rsidR="00296032" w:rsidRPr="00620047" w:rsidRDefault="00296032">
      <w:pPr>
        <w:pStyle w:val="artplatletter"/>
        <w:rPr>
          <w:rFonts w:cs="Arial"/>
        </w:rPr>
      </w:pPr>
      <w:r w:rsidRPr="00620047">
        <w:rPr>
          <w:rFonts w:cs="Arial"/>
        </w:rPr>
        <w:t>b.</w:t>
      </w:r>
      <w:r w:rsidRPr="00620047">
        <w:rPr>
          <w:rFonts w:cs="Arial"/>
        </w:rPr>
        <w:tab/>
        <w:t>het voorkomen dan wel voor zover dat niet mogelijk is het zoveel mogelijk beperken van verontreiniging van het grondwater, of</w:t>
      </w:r>
    </w:p>
    <w:p w:rsidR="00296032" w:rsidRPr="00620047" w:rsidRDefault="00296032">
      <w:pPr>
        <w:pStyle w:val="artplatletter"/>
        <w:rPr>
          <w:rFonts w:cs="Arial"/>
        </w:rPr>
      </w:pPr>
      <w:r w:rsidRPr="00620047">
        <w:rPr>
          <w:rFonts w:cs="Arial"/>
        </w:rPr>
        <w:t>c.</w:t>
      </w:r>
      <w:r w:rsidRPr="00620047">
        <w:rPr>
          <w:rFonts w:cs="Arial"/>
        </w:rPr>
        <w:tab/>
        <w:t>het voorkomen van risico's voor de omgeving en ongewone voorvallen, dan wel voor zover dat niet mogelijk is het zoveel mogelijk beperken van de risico's voor de omgeving en de kans dat ongewone voorvallen zich voordoen en de gevolgen hiervan;</w:t>
      </w:r>
    </w:p>
    <w:p w:rsidR="00296032" w:rsidRPr="00620047" w:rsidRDefault="00296032">
      <w:pPr>
        <w:pStyle w:val="artplat"/>
        <w:rPr>
          <w:rFonts w:cs="Arial"/>
        </w:rPr>
      </w:pPr>
      <w:r w:rsidRPr="00620047">
        <w:rPr>
          <w:rFonts w:cs="Arial"/>
        </w:rPr>
        <w:t>ten minste voldaan aan de bij ministeriële regeling gestelde eisen.</w:t>
      </w:r>
    </w:p>
    <w:p w:rsidR="00296032" w:rsidRPr="00296032" w:rsidRDefault="00296032">
      <w:pPr>
        <w:pStyle w:val="artikelkop"/>
        <w:rPr>
          <w:rFonts w:cs="Arial"/>
        </w:rPr>
      </w:pPr>
      <w:r w:rsidRPr="00296032">
        <w:rPr>
          <w:rFonts w:cs="Arial"/>
        </w:rPr>
        <w:t>Artikel 3.95</w:t>
      </w:r>
    </w:p>
    <w:p w:rsidR="00296032" w:rsidRDefault="00296032">
      <w:pPr>
        <w:pStyle w:val="artplat"/>
        <w:rPr>
          <w:rFonts w:cs="Arial"/>
        </w:rPr>
      </w:pPr>
      <w:r w:rsidRPr="00620047">
        <w:rPr>
          <w:rFonts w:cs="Arial"/>
        </w:rPr>
        <w:t>Het lozen van afvalwater als gevolg van het inwendig reinigen van apparatuur voor het aanmaken van gewasbeschermingsmiddelen of als gevolg van het inwendig reinigen van vaste transportleidingen voor het transport van gewasbeschermingsmiddelen in een vuilwaterriool is verboden.</w:t>
      </w:r>
    </w:p>
    <w:p w:rsidR="000466C0" w:rsidRDefault="000466C0">
      <w:pPr>
        <w:pStyle w:val="artplat"/>
        <w:rPr>
          <w:rFonts w:cs="Arial"/>
        </w:rPr>
      </w:pPr>
    </w:p>
    <w:p w:rsidR="000466C0" w:rsidRDefault="000466C0" w:rsidP="000466C0">
      <w:pPr>
        <w:pStyle w:val="paragraaf"/>
        <w:shd w:val="clear" w:color="auto" w:fill="D9D9D9" w:themeFill="background1" w:themeFillShade="D9"/>
      </w:pPr>
      <w:bookmarkStart w:id="136" w:name="_Toc431375628"/>
      <w:r>
        <w:t>§ 3.5.3.</w:t>
      </w:r>
      <w:r>
        <w:tab/>
        <w:t>Aanmaken of transporteren via vaste leidingen of apparatuur van gewasbeschermingsmiddelen, biociden of bladmeststoffen</w:t>
      </w:r>
      <w:bookmarkEnd w:id="136"/>
    </w:p>
    <w:p w:rsidR="000466C0" w:rsidRDefault="000466C0" w:rsidP="000466C0">
      <w:pPr>
        <w:pStyle w:val="artikelkop"/>
        <w:shd w:val="clear" w:color="auto" w:fill="D9D9D9" w:themeFill="background1" w:themeFillShade="D9"/>
      </w:pPr>
      <w:r>
        <w:t xml:space="preserve">Artikel 3.92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en het voorkomen dan wel voor zover dat niet mogelijk is het zoveel mogelijk beperken van de verontreiniging van het grondwater als bedoeld in artikel 3.94, onder a en b, van het besluit wordt bij het aanmaken of het transporteren via vaste leidingen van gewasbeschermingsmiddelen, biociden of bladmeststoffen ten minste voldaan aan het tweede tot en met vijfde lid.</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Vaste leidingen voor het transport van gewasbeschermingsmiddelen, biociden of bladmeststoffen of een oplossing daarvan, worden bovengronds gelegd.</w:t>
      </w:r>
    </w:p>
    <w:p w:rsidR="000466C0" w:rsidRDefault="000466C0" w:rsidP="000466C0">
      <w:pPr>
        <w:pStyle w:val="art1enivo"/>
        <w:shd w:val="clear" w:color="auto" w:fill="D9D9D9" w:themeFill="background1" w:themeFillShade="D9"/>
        <w:suppressAutoHyphens/>
        <w:rPr>
          <w:rFonts w:cs="Arial"/>
        </w:rPr>
      </w:pPr>
      <w:r>
        <w:rPr>
          <w:rFonts w:cs="Arial"/>
        </w:rPr>
        <w:t>3.</w:t>
      </w:r>
      <w:r>
        <w:rPr>
          <w:rFonts w:cs="Arial"/>
        </w:rPr>
        <w:tab/>
        <w:t>Mengsels of oplossingen van gewasbeschermingsmiddelen, biociden of bladmeststoffen worden aangemaakt in en vanuit speciaal daartoe bestemd vaatwerk.</w:t>
      </w:r>
    </w:p>
    <w:p w:rsidR="000466C0" w:rsidRDefault="000466C0" w:rsidP="000466C0">
      <w:pPr>
        <w:pStyle w:val="art1enivo"/>
        <w:shd w:val="clear" w:color="auto" w:fill="D9D9D9" w:themeFill="background1" w:themeFillShade="D9"/>
        <w:suppressAutoHyphens/>
        <w:rPr>
          <w:rFonts w:cs="Arial"/>
        </w:rPr>
      </w:pPr>
      <w:r>
        <w:rPr>
          <w:rFonts w:cs="Arial"/>
        </w:rPr>
        <w:t>4.</w:t>
      </w:r>
      <w:r>
        <w:rPr>
          <w:rFonts w:cs="Arial"/>
        </w:rPr>
        <w:tab/>
        <w:t>Het binnen een inrichting aanmaken van mengsels en oplossingen als bedoeld in het derde lid vindt plaats boven een bodembeschermende voorziening.</w:t>
      </w:r>
    </w:p>
    <w:p w:rsidR="000466C0" w:rsidRDefault="000466C0" w:rsidP="000466C0">
      <w:pPr>
        <w:pStyle w:val="art1enivo"/>
        <w:shd w:val="clear" w:color="auto" w:fill="D9D9D9" w:themeFill="background1" w:themeFillShade="D9"/>
        <w:suppressAutoHyphens/>
        <w:rPr>
          <w:rFonts w:cs="Arial"/>
        </w:rPr>
      </w:pPr>
      <w:r>
        <w:rPr>
          <w:rFonts w:cs="Arial"/>
        </w:rPr>
        <w:t>5.</w:t>
      </w:r>
      <w:r>
        <w:rPr>
          <w:rFonts w:cs="Arial"/>
        </w:rPr>
        <w:tab/>
        <w:t>Gemorste droge gewasbeschermingsmiddelen, biociden of bladmeststoffen worden terstond droog opgenomen en gemorste vloeibare gewasbeschermingsmiddelen, biociden of bladmeststoffen worden terstond geïmmobiliseerd en in een speciaal daartoe bestemd vat gebracht. Daartoe zijn voldoende materialen en absorberende middelen voor onmiddellijk gebruik aanwezig.</w:t>
      </w:r>
    </w:p>
    <w:p w:rsidR="000466C0" w:rsidRDefault="000466C0" w:rsidP="000466C0">
      <w:pPr>
        <w:pStyle w:val="artikelkop"/>
        <w:shd w:val="clear" w:color="auto" w:fill="D9D9D9" w:themeFill="background1" w:themeFillShade="D9"/>
      </w:pPr>
      <w:r>
        <w:t xml:space="preserve">Artikel 3.93 </w:t>
      </w:r>
    </w:p>
    <w:p w:rsidR="000466C0" w:rsidRDefault="000466C0" w:rsidP="000466C0">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3.94, onder c, van het besluit wordt bij de aanmaak en het gebruik van gewasbeschermingsmiddelen, biociden of bladmeststoffen ten minste voldaan aan het tweede en derde lid.</w:t>
      </w:r>
    </w:p>
    <w:p w:rsidR="000466C0" w:rsidRDefault="000466C0" w:rsidP="000466C0">
      <w:pPr>
        <w:pStyle w:val="art1enivo"/>
        <w:shd w:val="clear" w:color="auto" w:fill="D9D9D9" w:themeFill="background1" w:themeFillShade="D9"/>
        <w:suppressAutoHyphens/>
        <w:rPr>
          <w:rFonts w:cs="Arial"/>
        </w:rPr>
      </w:pPr>
      <w:r>
        <w:rPr>
          <w:rFonts w:cs="Arial"/>
        </w:rPr>
        <w:t>2.</w:t>
      </w:r>
      <w:r>
        <w:rPr>
          <w:rFonts w:cs="Arial"/>
        </w:rPr>
        <w:tab/>
        <w:t>Pompen, vaatwerk en leidingen voor het aanmaken en doseren van gewasbeschermingsmiddelen, biociden of bladmeststoffen staan niet in rechtstreekse vaste verbinding met een drinkwaterleiding.</w:t>
      </w:r>
    </w:p>
    <w:p w:rsidR="000466C0" w:rsidRPr="00620047" w:rsidRDefault="000466C0" w:rsidP="000466C0">
      <w:pPr>
        <w:pStyle w:val="art1enivo"/>
        <w:shd w:val="clear" w:color="auto" w:fill="D9D9D9" w:themeFill="background1" w:themeFillShade="D9"/>
        <w:suppressAutoHyphens/>
        <w:rPr>
          <w:rFonts w:cs="Arial"/>
        </w:rPr>
      </w:pPr>
      <w:r>
        <w:rPr>
          <w:rFonts w:cs="Arial"/>
        </w:rPr>
        <w:t>3.</w:t>
      </w:r>
      <w:r>
        <w:rPr>
          <w:rFonts w:cs="Arial"/>
        </w:rPr>
        <w:tab/>
        <w:t>Drinkwater dat wordt gebruikt voor het aanmaken van gewasbeschermingsmiddelen, biociden of bladmeststoffen wordt uitsluitend door middel van een onderbreektank aan de waterleiding onttrokken.</w:t>
      </w:r>
    </w:p>
    <w:p w:rsidR="00296032" w:rsidRPr="00296032" w:rsidRDefault="00296032">
      <w:pPr>
        <w:pStyle w:val="paragraaf"/>
        <w:rPr>
          <w:rFonts w:cs="Arial"/>
        </w:rPr>
      </w:pPr>
      <w:bookmarkStart w:id="137" w:name="_Toc431375629"/>
      <w:r w:rsidRPr="00296032">
        <w:rPr>
          <w:rFonts w:cs="Arial"/>
        </w:rPr>
        <w:t>§ 3.5.6</w:t>
      </w:r>
      <w:r w:rsidRPr="00296032">
        <w:rPr>
          <w:rFonts w:cs="Arial"/>
        </w:rPr>
        <w:tab/>
        <w:t>Het behandelen van gewassen</w:t>
      </w:r>
      <w:bookmarkEnd w:id="137"/>
    </w:p>
    <w:p w:rsidR="00296032" w:rsidRPr="00296032" w:rsidRDefault="00296032">
      <w:pPr>
        <w:pStyle w:val="artikelkop"/>
        <w:rPr>
          <w:rFonts w:cs="Arial"/>
        </w:rPr>
      </w:pPr>
      <w:r w:rsidRPr="00296032">
        <w:rPr>
          <w:rFonts w:cs="Arial"/>
        </w:rPr>
        <w:t>Artikel 3.96</w:t>
      </w:r>
    </w:p>
    <w:p w:rsidR="00296032" w:rsidRPr="00620047" w:rsidRDefault="00296032">
      <w:pPr>
        <w:pStyle w:val="artplat"/>
        <w:rPr>
          <w:rFonts w:cs="Arial"/>
        </w:rPr>
      </w:pPr>
      <w:r w:rsidRPr="00620047">
        <w:rPr>
          <w:rFonts w:cs="Arial"/>
        </w:rPr>
        <w:t>De artikelen 3.97 en 3.98 zijn van toepassing op het voor agrarische activiteiten toepassen van gewasbeschermingsmiddelen of biociden in dompelbaden en douche-installaties.</w:t>
      </w:r>
    </w:p>
    <w:p w:rsidR="00296032" w:rsidRPr="00296032" w:rsidRDefault="00296032">
      <w:pPr>
        <w:pStyle w:val="artikelkop"/>
        <w:rPr>
          <w:rFonts w:cs="Arial"/>
        </w:rPr>
      </w:pPr>
      <w:r w:rsidRPr="00296032">
        <w:rPr>
          <w:rFonts w:cs="Arial"/>
        </w:rPr>
        <w:t>Artikel 3.97</w:t>
      </w:r>
    </w:p>
    <w:p w:rsidR="00296032" w:rsidRPr="00620047" w:rsidRDefault="00296032">
      <w:pPr>
        <w:pStyle w:val="artplat"/>
        <w:rPr>
          <w:rFonts w:cs="Arial"/>
        </w:rPr>
      </w:pPr>
      <w:r w:rsidRPr="00620047">
        <w:rPr>
          <w:rFonts w:cs="Arial"/>
        </w:rPr>
        <w:t>Het lozen van afvalwater uit dompelbaden en douche-installaties waarin gewasbeschermingsmiddelen of biociden zijn toegepast in een vuilwaterriool is verboden.</w:t>
      </w:r>
    </w:p>
    <w:p w:rsidR="00296032" w:rsidRPr="00296032" w:rsidRDefault="00296032">
      <w:pPr>
        <w:pStyle w:val="artikelkop"/>
        <w:rPr>
          <w:rFonts w:cs="Arial"/>
        </w:rPr>
      </w:pPr>
      <w:r w:rsidRPr="00296032">
        <w:rPr>
          <w:rFonts w:cs="Arial"/>
        </w:rPr>
        <w:t>Artikel 3.98</w:t>
      </w:r>
    </w:p>
    <w:p w:rsidR="00296032" w:rsidRPr="00620047" w:rsidRDefault="00296032">
      <w:pPr>
        <w:pStyle w:val="artplat"/>
        <w:rPr>
          <w:rFonts w:cs="Arial"/>
        </w:rPr>
      </w:pPr>
      <w:r w:rsidRPr="00620047">
        <w:rPr>
          <w:rFonts w:cs="Arial"/>
        </w:rPr>
        <w:t>Bij het toepassen van gewasbeschermingsmiddelen of biociden in dompelbaden en douche-installaties wordt, ten behoeve van het realiseren van een verwaarloosbaar bodemrisico, ten minste voldaan aan de bij ministeriële regeling gestelde eisen.</w:t>
      </w:r>
    </w:p>
    <w:p w:rsidR="00296032" w:rsidRPr="00296032" w:rsidRDefault="00296032">
      <w:pPr>
        <w:pStyle w:val="artikelkop"/>
        <w:rPr>
          <w:rFonts w:cs="Arial"/>
        </w:rPr>
      </w:pPr>
      <w:r w:rsidRPr="00296032">
        <w:rPr>
          <w:rFonts w:cs="Arial"/>
        </w:rPr>
        <w:t>Artikel 3.99</w:t>
      </w:r>
    </w:p>
    <w:p w:rsidR="00296032" w:rsidRPr="00620047" w:rsidRDefault="00296032">
      <w:pPr>
        <w:pStyle w:val="artplat"/>
        <w:rPr>
          <w:rFonts w:cs="Arial"/>
        </w:rPr>
      </w:pPr>
      <w:r w:rsidRPr="00620047">
        <w:rPr>
          <w:rFonts w:cs="Arial"/>
        </w:rPr>
        <w:t>Artikel 3.100 is van toepassing op het spoelen van fusten en verpakkingsmateriaal waarin gewassen zijn opgeslagen voor agrarische activiteiten.</w:t>
      </w:r>
    </w:p>
    <w:p w:rsidR="00296032" w:rsidRPr="00296032" w:rsidRDefault="00296032">
      <w:pPr>
        <w:pStyle w:val="artikelkop"/>
        <w:rPr>
          <w:rFonts w:cs="Arial"/>
        </w:rPr>
      </w:pPr>
      <w:r w:rsidRPr="00296032">
        <w:rPr>
          <w:rFonts w:cs="Arial"/>
        </w:rPr>
        <w:t>Artikel 3.100</w:t>
      </w:r>
    </w:p>
    <w:p w:rsidR="00296032" w:rsidRPr="00620047" w:rsidRDefault="00296032">
      <w:pPr>
        <w:pStyle w:val="art1enivo"/>
        <w:rPr>
          <w:rFonts w:cs="Arial"/>
        </w:rPr>
      </w:pPr>
      <w:r w:rsidRPr="00620047">
        <w:rPr>
          <w:rFonts w:cs="Arial"/>
        </w:rPr>
        <w:t>1.</w:t>
      </w:r>
      <w:r w:rsidRPr="00620047">
        <w:rPr>
          <w:rFonts w:cs="Arial"/>
        </w:rPr>
        <w:tab/>
        <w:t>Bij het lozen van afvalwater als gevolg van het spoelen van fusten en verpakkingsmateriaal waarin gewassen zijn opgeslagen voor agrarische activiteiten, wordt ten minste voldaan aan het tweede tot en met vijfde lid.</w:t>
      </w:r>
    </w:p>
    <w:p w:rsidR="00296032" w:rsidRPr="00620047" w:rsidRDefault="00296032">
      <w:pPr>
        <w:pStyle w:val="art1enivo"/>
        <w:rPr>
          <w:rFonts w:cs="Arial"/>
        </w:rPr>
      </w:pPr>
      <w:r w:rsidRPr="00620047">
        <w:rPr>
          <w:rFonts w:cs="Arial"/>
        </w:rPr>
        <w:t>2.</w:t>
      </w:r>
      <w:r w:rsidRPr="00620047">
        <w:rPr>
          <w:rFonts w:cs="Arial"/>
        </w:rPr>
        <w:tab/>
        <w:t>Bij het lozen van afvalwater in een vuilwaterriool is het gehalte aan onopgeloste stoffen ten hoogste 300 milligram per liter.</w:t>
      </w:r>
    </w:p>
    <w:p w:rsidR="00296032" w:rsidRPr="00620047" w:rsidRDefault="00296032">
      <w:pPr>
        <w:pStyle w:val="art1enivo"/>
        <w:rPr>
          <w:rFonts w:cs="Arial"/>
        </w:rPr>
      </w:pPr>
      <w:r w:rsidRPr="00620047">
        <w:rPr>
          <w:rFonts w:cs="Arial"/>
        </w:rPr>
        <w:t>3.</w:t>
      </w:r>
      <w:r w:rsidRPr="00620047">
        <w:rPr>
          <w:rFonts w:cs="Arial"/>
        </w:rPr>
        <w:tab/>
        <w:t>Het lozen van afvalwater op onverharde bodem is toegestaan, indien het perceel waar het afvalwater vrijkomt niet is aangesloten op een vuilwaterriool waarop geloosd kan worden en de afstand tot het dichtstbijzijnde vuilwaterriool of zuiveringtechnisch werk waarop kan worden aangesloten en geloosd meer dan 40 meter bedraagt.</w:t>
      </w:r>
    </w:p>
    <w:p w:rsidR="00296032" w:rsidRPr="00620047" w:rsidRDefault="00296032">
      <w:pPr>
        <w:pStyle w:val="art1enivo"/>
        <w:rPr>
          <w:rFonts w:cs="Arial"/>
        </w:rPr>
      </w:pPr>
      <w:r w:rsidRPr="00620047">
        <w:rPr>
          <w:rFonts w:cs="Arial"/>
        </w:rPr>
        <w:t>4.</w:t>
      </w:r>
      <w:r w:rsidRPr="00620047">
        <w:rPr>
          <w:rFonts w:cs="Arial"/>
        </w:rPr>
        <w:tab/>
        <w:t>De afstand, genoemd in het derde lid, wordt berekend:</w:t>
      </w:r>
    </w:p>
    <w:p w:rsidR="00296032" w:rsidRPr="00620047" w:rsidRDefault="00296032">
      <w:pPr>
        <w:pStyle w:val="art2enivo"/>
        <w:rPr>
          <w:rFonts w:cs="Arial"/>
        </w:rPr>
      </w:pPr>
      <w:r w:rsidRPr="00620047">
        <w:rPr>
          <w:rFonts w:cs="Arial"/>
        </w:rPr>
        <w:t>a.</w:t>
      </w:r>
      <w:r w:rsidRPr="00620047">
        <w:rPr>
          <w:rFonts w:cs="Arial"/>
        </w:rPr>
        <w:tab/>
        <w:t>vanaf de kadastrale grens van het perceel waar het afvalwater vrijkomt, en</w:t>
      </w:r>
    </w:p>
    <w:p w:rsidR="00296032" w:rsidRPr="00620047" w:rsidRDefault="00296032">
      <w:pPr>
        <w:pStyle w:val="art2enivo"/>
        <w:rPr>
          <w:rFonts w:cs="Arial"/>
        </w:rPr>
      </w:pPr>
      <w:r w:rsidRPr="00620047">
        <w:rPr>
          <w:rFonts w:cs="Arial"/>
        </w:rPr>
        <w:t>b.</w:t>
      </w:r>
      <w:r w:rsidRPr="00620047">
        <w:rPr>
          <w:rFonts w:cs="Arial"/>
        </w:rPr>
        <w:tab/>
        <w:t>langs de kortste lijn waarlangs de afvoerleidingen zonder overwegende bezwaren kunnen worden aangelegd.</w:t>
      </w:r>
    </w:p>
    <w:p w:rsidR="00296032" w:rsidRPr="00620047" w:rsidRDefault="00296032">
      <w:pPr>
        <w:pStyle w:val="art1enivo"/>
        <w:rPr>
          <w:rFonts w:cs="Arial"/>
        </w:rPr>
      </w:pPr>
      <w:r w:rsidRPr="00620047">
        <w:rPr>
          <w:rFonts w:cs="Arial"/>
        </w:rPr>
        <w:t>5.</w:t>
      </w:r>
      <w:r w:rsidRPr="00620047">
        <w:rPr>
          <w:rFonts w:cs="Arial"/>
        </w:rPr>
        <w:tab/>
        <w:t>Het te lozen afvalwater kan op een doelmatige wijze worden bemonsterd.</w:t>
      </w:r>
    </w:p>
    <w:p w:rsidR="00296032" w:rsidRPr="00296032" w:rsidRDefault="00296032">
      <w:pPr>
        <w:pStyle w:val="artikelkop"/>
        <w:rPr>
          <w:rFonts w:cs="Arial"/>
        </w:rPr>
      </w:pPr>
      <w:r w:rsidRPr="00296032">
        <w:rPr>
          <w:rFonts w:cs="Arial"/>
        </w:rPr>
        <w:t>Artikel 3.101</w:t>
      </w:r>
    </w:p>
    <w:p w:rsidR="00296032" w:rsidRPr="00620047" w:rsidRDefault="00296032">
      <w:pPr>
        <w:pStyle w:val="artplat"/>
        <w:rPr>
          <w:rFonts w:cs="Arial"/>
        </w:rPr>
      </w:pPr>
      <w:r w:rsidRPr="00620047">
        <w:rPr>
          <w:rFonts w:cs="Arial"/>
        </w:rPr>
        <w:t>De artikelen 3.102 en 3.103 zijn van toepassing op het spoelen van gewassen bij agrarische activiteiten.</w:t>
      </w:r>
    </w:p>
    <w:p w:rsidR="00296032" w:rsidRPr="00296032" w:rsidRDefault="00296032">
      <w:pPr>
        <w:pStyle w:val="artikelkop"/>
        <w:rPr>
          <w:rFonts w:cs="Arial"/>
        </w:rPr>
      </w:pPr>
      <w:r w:rsidRPr="00296032">
        <w:rPr>
          <w:rFonts w:cs="Arial"/>
        </w:rPr>
        <w:t>Artikel 3.102</w:t>
      </w:r>
    </w:p>
    <w:p w:rsidR="00296032" w:rsidRPr="00620047" w:rsidRDefault="00296032">
      <w:pPr>
        <w:pStyle w:val="art1enivo"/>
        <w:rPr>
          <w:rFonts w:cs="Arial"/>
        </w:rPr>
      </w:pPr>
      <w:r w:rsidRPr="00620047">
        <w:rPr>
          <w:rFonts w:cs="Arial"/>
        </w:rPr>
        <w:t>1.</w:t>
      </w:r>
      <w:r w:rsidRPr="00620047">
        <w:rPr>
          <w:rFonts w:cs="Arial"/>
        </w:rPr>
        <w:tab/>
        <w:t>Bij het lozen van afvalwater afkomstig van het spoelen van gewassen wordt ten minste voldaan aan het tweede tot en met het elfde lid.</w:t>
      </w:r>
    </w:p>
    <w:p w:rsidR="00296032" w:rsidRPr="00620047" w:rsidRDefault="00296032">
      <w:pPr>
        <w:pStyle w:val="art1enivo"/>
        <w:rPr>
          <w:rFonts w:cs="Arial"/>
        </w:rPr>
      </w:pPr>
      <w:r w:rsidRPr="00620047">
        <w:rPr>
          <w:rFonts w:cs="Arial"/>
        </w:rPr>
        <w:t>2.</w:t>
      </w:r>
      <w:r w:rsidRPr="00620047">
        <w:rPr>
          <w:rFonts w:cs="Arial"/>
        </w:rPr>
        <w:tab/>
        <w:t>Het spoelproces is onderverdeeld in voorspoelen en naspoelen, waarbij de uitsleep van water uit het voorspoelen zo veel mogelijk wordt voorkomen en de hoeveelheid naspoelwater wordt geminimaliseerd.</w:t>
      </w:r>
    </w:p>
    <w:p w:rsidR="00296032" w:rsidRPr="00620047" w:rsidRDefault="00296032">
      <w:pPr>
        <w:pStyle w:val="art1enivo"/>
        <w:rPr>
          <w:rFonts w:cs="Arial"/>
        </w:rPr>
      </w:pPr>
      <w:r w:rsidRPr="00620047">
        <w:rPr>
          <w:rFonts w:cs="Arial"/>
        </w:rPr>
        <w:t>3.</w:t>
      </w:r>
      <w:r w:rsidRPr="00620047">
        <w:rPr>
          <w:rFonts w:cs="Arial"/>
        </w:rPr>
        <w:tab/>
        <w:t>Binnen het spoelproces vindt hergebruik van spoelwater plaats.</w:t>
      </w:r>
    </w:p>
    <w:p w:rsidR="00296032" w:rsidRPr="00620047" w:rsidRDefault="00296032">
      <w:pPr>
        <w:pStyle w:val="art1enivo"/>
        <w:rPr>
          <w:rFonts w:cs="Arial"/>
        </w:rPr>
      </w:pPr>
      <w:r w:rsidRPr="00620047">
        <w:rPr>
          <w:rFonts w:cs="Arial"/>
        </w:rPr>
        <w:t>4.</w:t>
      </w:r>
      <w:r w:rsidRPr="00620047">
        <w:rPr>
          <w:rFonts w:cs="Arial"/>
        </w:rPr>
        <w:tab/>
        <w:t>Er wordt uitsluitend naspoelwater geloosd dat niet kan worden benut voor hergebruik.</w:t>
      </w:r>
    </w:p>
    <w:p w:rsidR="00296032" w:rsidRPr="00620047" w:rsidRDefault="00296032">
      <w:pPr>
        <w:pStyle w:val="art1enivo"/>
        <w:rPr>
          <w:rFonts w:cs="Arial"/>
        </w:rPr>
      </w:pPr>
      <w:r w:rsidRPr="00620047">
        <w:rPr>
          <w:rFonts w:cs="Arial"/>
        </w:rPr>
        <w:t>5.</w:t>
      </w:r>
      <w:r w:rsidRPr="00620047">
        <w:rPr>
          <w:rFonts w:cs="Arial"/>
        </w:rPr>
        <w:tab/>
        <w:t>Bij het lozen in het vuilwaterriool bedraagt het gehalte aan onopgeloste stoffen in enig steekmonster ten hoogste 300 milligram per liter.</w:t>
      </w:r>
    </w:p>
    <w:p w:rsidR="00296032" w:rsidRPr="00620047" w:rsidRDefault="00296032">
      <w:pPr>
        <w:pStyle w:val="art1enivo"/>
        <w:rPr>
          <w:rFonts w:cs="Arial"/>
        </w:rPr>
      </w:pPr>
      <w:r w:rsidRPr="00620047">
        <w:rPr>
          <w:rFonts w:cs="Arial"/>
        </w:rPr>
        <w:t>6.</w:t>
      </w:r>
      <w:r w:rsidRPr="00620047">
        <w:rPr>
          <w:rFonts w:cs="Arial"/>
        </w:rPr>
        <w:tab/>
        <w:t>Het lozen van afvalwater in een oppervlaktewaterlichaam is toegestaan, indien:</w:t>
      </w:r>
    </w:p>
    <w:p w:rsidR="00296032" w:rsidRPr="00620047" w:rsidRDefault="00296032">
      <w:pPr>
        <w:pStyle w:val="art2enivo"/>
        <w:rPr>
          <w:rFonts w:cs="Arial"/>
        </w:rPr>
      </w:pPr>
      <w:r w:rsidRPr="00620047">
        <w:rPr>
          <w:rFonts w:cs="Arial"/>
        </w:rPr>
        <w:t>a.</w:t>
      </w:r>
      <w:r w:rsidRPr="00620047">
        <w:rPr>
          <w:rFonts w:cs="Arial"/>
        </w:rPr>
        <w:tab/>
        <w:t>het perceel waar het afvalwater vrijkomt niet is aangesloten op een vuilwaterriool waarop geloosd kan worden;</w:t>
      </w:r>
    </w:p>
    <w:p w:rsidR="00296032" w:rsidRPr="00620047" w:rsidRDefault="00296032">
      <w:pPr>
        <w:pStyle w:val="art2enivo"/>
        <w:rPr>
          <w:rFonts w:cs="Arial"/>
        </w:rPr>
      </w:pPr>
      <w:r w:rsidRPr="00620047">
        <w:rPr>
          <w:rFonts w:cs="Arial"/>
        </w:rPr>
        <w:t>b.</w:t>
      </w:r>
      <w:r w:rsidRPr="00620047">
        <w:rPr>
          <w:rFonts w:cs="Arial"/>
        </w:rPr>
        <w:tab/>
        <w:t>de afstand tot het dichtstbijzijnde vuilwaterriool of zuiveringtechnisch werk waarop kan worden aangesloten en geloosd meer dan 40 meter bedraagt, en</w:t>
      </w:r>
    </w:p>
    <w:p w:rsidR="00296032" w:rsidRPr="00620047" w:rsidRDefault="00296032">
      <w:pPr>
        <w:pStyle w:val="art2enivo"/>
        <w:rPr>
          <w:rFonts w:cs="Arial"/>
        </w:rPr>
      </w:pPr>
      <w:r w:rsidRPr="00620047">
        <w:rPr>
          <w:rFonts w:cs="Arial"/>
        </w:rPr>
        <w:t>c.</w:t>
      </w:r>
      <w:r w:rsidRPr="00620047">
        <w:rPr>
          <w:rFonts w:cs="Arial"/>
        </w:rPr>
        <w:tab/>
        <w:t>het gehalte aan onopgeloste stoffen in enig steekmonster ten hoogste 100 milligram per liter bedraagt.</w:t>
      </w:r>
    </w:p>
    <w:p w:rsidR="00296032" w:rsidRPr="00620047" w:rsidRDefault="00296032">
      <w:pPr>
        <w:pStyle w:val="art1enivo"/>
        <w:rPr>
          <w:rFonts w:cs="Arial"/>
        </w:rPr>
      </w:pPr>
      <w:r w:rsidRPr="00620047">
        <w:rPr>
          <w:rFonts w:cs="Arial"/>
        </w:rPr>
        <w:t>7.</w:t>
      </w:r>
      <w:r w:rsidRPr="00620047">
        <w:rPr>
          <w:rFonts w:cs="Arial"/>
        </w:rPr>
        <w:tab/>
        <w:t>De afstand, genoemd in het zesde lid, wordt berekend:</w:t>
      </w:r>
    </w:p>
    <w:p w:rsidR="00296032" w:rsidRPr="00620047" w:rsidRDefault="00296032">
      <w:pPr>
        <w:pStyle w:val="art2enivo"/>
        <w:rPr>
          <w:rFonts w:cs="Arial"/>
        </w:rPr>
      </w:pPr>
      <w:r w:rsidRPr="00620047">
        <w:rPr>
          <w:rFonts w:cs="Arial"/>
        </w:rPr>
        <w:t>a.</w:t>
      </w:r>
      <w:r w:rsidRPr="00620047">
        <w:rPr>
          <w:rFonts w:cs="Arial"/>
        </w:rPr>
        <w:tab/>
        <w:t>vanaf de kadastrale grens van het perceel waar het afvalwater vrijkomt, en</w:t>
      </w:r>
    </w:p>
    <w:p w:rsidR="00296032" w:rsidRPr="00620047" w:rsidRDefault="00296032">
      <w:pPr>
        <w:pStyle w:val="art2enivo"/>
        <w:rPr>
          <w:rFonts w:cs="Arial"/>
        </w:rPr>
      </w:pPr>
      <w:r w:rsidRPr="00620047">
        <w:rPr>
          <w:rFonts w:cs="Arial"/>
        </w:rPr>
        <w:t>b.</w:t>
      </w:r>
      <w:r w:rsidRPr="00620047">
        <w:rPr>
          <w:rFonts w:cs="Arial"/>
        </w:rPr>
        <w:tab/>
        <w:t>langs de kortste lijn waarlangs de afvoerleidingen zonder overwegende bezwaren kunnen worden aangelegd.</w:t>
      </w:r>
    </w:p>
    <w:p w:rsidR="00296032" w:rsidRPr="00620047" w:rsidRDefault="00296032">
      <w:pPr>
        <w:pStyle w:val="art1enivo"/>
        <w:rPr>
          <w:rFonts w:cs="Arial"/>
        </w:rPr>
      </w:pPr>
      <w:r w:rsidRPr="00620047">
        <w:rPr>
          <w:rFonts w:cs="Arial"/>
        </w:rPr>
        <w:t>8.</w:t>
      </w:r>
      <w:r w:rsidRPr="00620047">
        <w:rPr>
          <w:rFonts w:cs="Arial"/>
        </w:rPr>
        <w:tab/>
        <w:t>Bij het lozen van afvalwater op of in de bodem wordt het naspoelwater gelijkmatig verspreid over de onverharde bodem, waarop de gewassen, bedoeld in het eerste lid, zijn geteeld.</w:t>
      </w:r>
    </w:p>
    <w:p w:rsidR="00296032" w:rsidRPr="00620047" w:rsidRDefault="00296032">
      <w:pPr>
        <w:pStyle w:val="art1enivo"/>
        <w:rPr>
          <w:rFonts w:cs="Arial"/>
        </w:rPr>
      </w:pPr>
      <w:r w:rsidRPr="00620047">
        <w:rPr>
          <w:rFonts w:cs="Arial"/>
        </w:rPr>
        <w:t>9.</w:t>
      </w:r>
      <w:r w:rsidRPr="00620047">
        <w:rPr>
          <w:rFonts w:cs="Arial"/>
        </w:rPr>
        <w:tab/>
        <w:t>Het tweede, derde en vierde lid, zijn niet van toepassing op het spoelen van:</w:t>
      </w:r>
    </w:p>
    <w:p w:rsidR="00296032" w:rsidRPr="00620047" w:rsidRDefault="00296032">
      <w:pPr>
        <w:pStyle w:val="art2enivo"/>
        <w:rPr>
          <w:rFonts w:cs="Arial"/>
        </w:rPr>
      </w:pPr>
      <w:r w:rsidRPr="00620047">
        <w:rPr>
          <w:rFonts w:cs="Arial"/>
        </w:rPr>
        <w:t>a.</w:t>
      </w:r>
      <w:r w:rsidRPr="00620047">
        <w:rPr>
          <w:rFonts w:cs="Arial"/>
        </w:rPr>
        <w:tab/>
        <w:t>prei, indien voorafgaand aan het spoelen de vervuiling met de buitenste bladeren van het gewas is verwijderd, of</w:t>
      </w:r>
    </w:p>
    <w:p w:rsidR="00296032" w:rsidRPr="00620047" w:rsidRDefault="00296032">
      <w:pPr>
        <w:pStyle w:val="art2enivo"/>
        <w:rPr>
          <w:rFonts w:cs="Arial"/>
        </w:rPr>
      </w:pPr>
      <w:r w:rsidRPr="00620047">
        <w:rPr>
          <w:rFonts w:cs="Arial"/>
        </w:rPr>
        <w:t>b.</w:t>
      </w:r>
      <w:r w:rsidRPr="00620047">
        <w:rPr>
          <w:rFonts w:cs="Arial"/>
        </w:rPr>
        <w:tab/>
        <w:t>asperges.</w:t>
      </w:r>
    </w:p>
    <w:p w:rsidR="00296032" w:rsidRPr="00620047" w:rsidRDefault="00296032">
      <w:pPr>
        <w:pStyle w:val="art1enivo"/>
        <w:rPr>
          <w:rFonts w:cs="Arial"/>
        </w:rPr>
      </w:pPr>
      <w:r w:rsidRPr="00620047">
        <w:rPr>
          <w:rFonts w:cs="Arial"/>
        </w:rPr>
        <w:t>10.</w:t>
      </w:r>
      <w:r w:rsidRPr="00620047">
        <w:rPr>
          <w:rFonts w:cs="Arial"/>
        </w:rPr>
        <w:tab/>
        <w:t>Indien het lozen van afvalwater plaatsvindt in een niet aangewezen oppervlaktewaterlichaam kan het bevoegd gezag aan het spoelproces bij maatwerkvoorschrift aanvullende eisen stellen, indien de bescherming van het milieu daartoe noodzaakt.</w:t>
      </w:r>
    </w:p>
    <w:p w:rsidR="00296032" w:rsidRPr="00620047" w:rsidRDefault="00296032">
      <w:pPr>
        <w:pStyle w:val="art1enivo"/>
        <w:rPr>
          <w:rFonts w:cs="Arial"/>
        </w:rPr>
      </w:pPr>
      <w:r w:rsidRPr="00620047">
        <w:rPr>
          <w:rFonts w:cs="Arial"/>
        </w:rPr>
        <w:t>11.</w:t>
      </w:r>
      <w:r w:rsidRPr="00620047">
        <w:rPr>
          <w:rFonts w:cs="Arial"/>
        </w:rPr>
        <w:tab/>
        <w:t>Het te lozen afvalwater kan op een doelmatige wijze worden bemonsterd.</w:t>
      </w:r>
    </w:p>
    <w:p w:rsidR="00296032" w:rsidRPr="00620047" w:rsidRDefault="00296032">
      <w:pPr>
        <w:pStyle w:val="art1enivo"/>
      </w:pPr>
      <w:r w:rsidRPr="00620047">
        <w:t>12.</w:t>
      </w:r>
      <w:r w:rsidRPr="00620047">
        <w:tab/>
        <w:t>In afwijking van het zevende lid, onderdeel a, wordt de afstand tot het dichtstbijzijnde vuilwaterriool of zuiveringstechnisch werk bij voortzetting van het lozen van afvalwater in het oppervlaktewaterlichaam dat voor 1 januari 2013 al plaatsvond, berekend vanaf de plaats waar het afvalwater vrijkomt.</w:t>
      </w:r>
    </w:p>
    <w:p w:rsidR="00296032" w:rsidRPr="00296032" w:rsidRDefault="00296032">
      <w:pPr>
        <w:pStyle w:val="artikelkop"/>
        <w:rPr>
          <w:rFonts w:cs="Arial"/>
        </w:rPr>
      </w:pPr>
      <w:r w:rsidRPr="00296032">
        <w:rPr>
          <w:rFonts w:cs="Arial"/>
        </w:rPr>
        <w:t>Artikel 3.103</w:t>
      </w:r>
    </w:p>
    <w:p w:rsidR="00296032" w:rsidRPr="00620047" w:rsidRDefault="00296032">
      <w:pPr>
        <w:pStyle w:val="artplat"/>
      </w:pPr>
      <w:r w:rsidRPr="00620047">
        <w:t>Bij het spoelen van bloembollen met een spoelmachine wordt, ten behoeve van het realiseren van een verwaarloosbaar bodemrisico, ten minste voldaan aan de bij ministeriële regeling gestelde eisen.</w:t>
      </w:r>
    </w:p>
    <w:p w:rsidR="00296032" w:rsidRPr="00296032" w:rsidRDefault="00296032">
      <w:pPr>
        <w:pStyle w:val="artikelkop"/>
        <w:rPr>
          <w:rFonts w:cs="Arial"/>
        </w:rPr>
      </w:pPr>
      <w:r w:rsidRPr="00296032">
        <w:rPr>
          <w:rFonts w:cs="Arial"/>
        </w:rPr>
        <w:t>Artikel 3.104</w:t>
      </w:r>
    </w:p>
    <w:p w:rsidR="00296032" w:rsidRPr="00620047" w:rsidRDefault="00296032">
      <w:pPr>
        <w:pStyle w:val="artplat"/>
      </w:pPr>
      <w:r w:rsidRPr="00620047">
        <w:t>Artikel 3.105 is van toepassing op het sorteren van gewassen.</w:t>
      </w:r>
    </w:p>
    <w:p w:rsidR="00296032" w:rsidRPr="00296032" w:rsidRDefault="00296032">
      <w:pPr>
        <w:pStyle w:val="artikelkop"/>
        <w:rPr>
          <w:rFonts w:cs="Arial"/>
        </w:rPr>
      </w:pPr>
      <w:r w:rsidRPr="00296032">
        <w:rPr>
          <w:rFonts w:cs="Arial"/>
        </w:rPr>
        <w:t>Artikel 3.105</w:t>
      </w:r>
    </w:p>
    <w:p w:rsidR="00296032" w:rsidRPr="00620047" w:rsidRDefault="00296032">
      <w:pPr>
        <w:pStyle w:val="art1enivo"/>
        <w:rPr>
          <w:rFonts w:cs="Arial"/>
        </w:rPr>
      </w:pPr>
      <w:r w:rsidRPr="00620047">
        <w:rPr>
          <w:rFonts w:cs="Arial"/>
        </w:rPr>
        <w:t>1.</w:t>
      </w:r>
      <w:r w:rsidRPr="00620047">
        <w:rPr>
          <w:rFonts w:cs="Arial"/>
        </w:rPr>
        <w:tab/>
        <w:t>Bij het lozen van afvalwater afkomstig van het sorteren van gewassen, wordt ten minste voldaan aan het tweede tot en met vijfde lid.</w:t>
      </w:r>
    </w:p>
    <w:p w:rsidR="00296032" w:rsidRPr="00620047" w:rsidRDefault="00296032">
      <w:pPr>
        <w:pStyle w:val="art1enivo"/>
        <w:rPr>
          <w:rFonts w:cs="Arial"/>
        </w:rPr>
      </w:pPr>
      <w:r w:rsidRPr="00620047">
        <w:rPr>
          <w:rFonts w:cs="Arial"/>
        </w:rPr>
        <w:t>2.</w:t>
      </w:r>
      <w:r w:rsidRPr="00620047">
        <w:rPr>
          <w:rFonts w:cs="Arial"/>
        </w:rPr>
        <w:tab/>
        <w:t>Het lozen van afvalwater in een oppervlaktewaterlichaam is toegestaan, indien:</w:t>
      </w:r>
    </w:p>
    <w:p w:rsidR="00296032" w:rsidRPr="00620047" w:rsidRDefault="00296032">
      <w:pPr>
        <w:pStyle w:val="art2enivo"/>
        <w:rPr>
          <w:rFonts w:cs="Arial"/>
        </w:rPr>
      </w:pPr>
      <w:r w:rsidRPr="00620047">
        <w:rPr>
          <w:rFonts w:cs="Arial"/>
        </w:rPr>
        <w:t>a.</w:t>
      </w:r>
      <w:r w:rsidRPr="00620047">
        <w:rPr>
          <w:rFonts w:cs="Arial"/>
        </w:rPr>
        <w:tab/>
        <w:t>het afvalwater afkomstig is van het sorteren van uitsluitend biologisch geteelde gewassen;</w:t>
      </w:r>
    </w:p>
    <w:p w:rsidR="00296032" w:rsidRPr="00620047" w:rsidRDefault="00296032">
      <w:pPr>
        <w:pStyle w:val="art2enivo"/>
        <w:rPr>
          <w:rFonts w:cs="Arial"/>
        </w:rPr>
      </w:pPr>
      <w:r w:rsidRPr="00620047">
        <w:rPr>
          <w:rFonts w:cs="Arial"/>
        </w:rPr>
        <w:t>b.</w:t>
      </w:r>
      <w:r w:rsidRPr="00620047">
        <w:rPr>
          <w:rFonts w:cs="Arial"/>
        </w:rPr>
        <w:tab/>
        <w:t>het gehalte aan onopgeloste stoffen in het te lozen afvalwater ten hoogste 100 milligram per liter bedraagt, en</w:t>
      </w:r>
    </w:p>
    <w:p w:rsidR="00296032" w:rsidRPr="00620047" w:rsidRDefault="00296032">
      <w:pPr>
        <w:pStyle w:val="art2enivo"/>
        <w:rPr>
          <w:rFonts w:cs="Arial"/>
        </w:rPr>
      </w:pPr>
      <w:r w:rsidRPr="00620047">
        <w:rPr>
          <w:rFonts w:cs="Arial"/>
        </w:rPr>
        <w:t>c.</w:t>
      </w:r>
      <w:r w:rsidRPr="00620047">
        <w:rPr>
          <w:rFonts w:cs="Arial"/>
        </w:rPr>
        <w:tab/>
        <w:t>in het te lozen afvalwater het chemisch zuurstofverbruik ten hoogste 300 milligram per liter en het biologisch zuurstofverbruik ten hoogste 60 milligram per liter bedraagt.</w:t>
      </w:r>
    </w:p>
    <w:p w:rsidR="00296032" w:rsidRPr="00620047" w:rsidRDefault="00296032">
      <w:pPr>
        <w:pStyle w:val="art1enivo"/>
        <w:rPr>
          <w:rFonts w:cs="Arial"/>
        </w:rPr>
      </w:pPr>
      <w:r w:rsidRPr="00620047">
        <w:rPr>
          <w:rFonts w:cs="Arial"/>
        </w:rPr>
        <w:t>3.</w:t>
      </w:r>
      <w:r w:rsidRPr="00620047">
        <w:rPr>
          <w:rFonts w:cs="Arial"/>
        </w:rPr>
        <w:tab/>
        <w:t>Het lozen van afvalwater op of in de bodem is toegestaan, indien het water gelijkmatig wordt verspreid over het land waarop een gewas wordt geteeld dat gelijk of soortgelijk is aan het gewas waarvan het afvalwater afkomstig is.</w:t>
      </w:r>
    </w:p>
    <w:p w:rsidR="00296032" w:rsidRPr="00620047" w:rsidRDefault="00296032">
      <w:pPr>
        <w:pStyle w:val="art1enivo"/>
        <w:rPr>
          <w:rFonts w:cs="Arial"/>
        </w:rPr>
      </w:pPr>
      <w:r w:rsidRPr="00620047">
        <w:rPr>
          <w:rFonts w:cs="Arial"/>
        </w:rPr>
        <w:t>4.</w:t>
      </w:r>
      <w:r w:rsidRPr="00620047">
        <w:rPr>
          <w:rFonts w:cs="Arial"/>
        </w:rPr>
        <w:tab/>
        <w:t>Het lozen van afvalwater in een vuilwaterriool is verboden, tenzij het gehalte aan onopgeloste stoffen in het te lozen afvalwater ten hoogste 300 milligram per liter bedraagt, en:</w:t>
      </w:r>
    </w:p>
    <w:p w:rsidR="00296032" w:rsidRPr="00620047" w:rsidRDefault="00296032">
      <w:pPr>
        <w:pStyle w:val="art2enivo"/>
      </w:pPr>
      <w:r w:rsidRPr="00620047">
        <w:t>a.</w:t>
      </w:r>
      <w:r w:rsidRPr="00620047">
        <w:tab/>
        <w:t>het afvalwater afkomstig is van het sorteren van uitsluitend biologisch geteelde gewassen, of</w:t>
      </w:r>
    </w:p>
    <w:p w:rsidR="00296032" w:rsidRPr="00620047" w:rsidRDefault="00296032">
      <w:pPr>
        <w:pStyle w:val="art2enivo"/>
      </w:pPr>
      <w:r w:rsidRPr="00620047">
        <w:t>b.</w:t>
      </w:r>
      <w:r w:rsidRPr="00620047">
        <w:tab/>
        <w:t>het is geleid door een zuiveringsvoorziening waarmee ten minste 95% van de gewasbeschermingsmiddelen wordt verwijderd..</w:t>
      </w:r>
    </w:p>
    <w:p w:rsidR="00296032" w:rsidRPr="00620047" w:rsidRDefault="00296032">
      <w:pPr>
        <w:pStyle w:val="art1enivo"/>
        <w:rPr>
          <w:rFonts w:cs="Arial"/>
        </w:rPr>
      </w:pPr>
      <w:r w:rsidRPr="00620047">
        <w:rPr>
          <w:rFonts w:cs="Arial"/>
        </w:rPr>
        <w:t>5.</w:t>
      </w:r>
      <w:r w:rsidRPr="00620047">
        <w:rPr>
          <w:rFonts w:cs="Arial"/>
        </w:rPr>
        <w:tab/>
        <w:t>Het te lozen afvalwater kan op een doelmatige wijze worden bemonsterd.</w:t>
      </w:r>
    </w:p>
    <w:p w:rsidR="00296032" w:rsidRDefault="00296032">
      <w:pPr>
        <w:pStyle w:val="art1enivo"/>
      </w:pPr>
      <w:r w:rsidRPr="00620047">
        <w:t>6.</w:t>
      </w:r>
      <w:r w:rsidRPr="00620047">
        <w:tab/>
      </w:r>
      <w:r w:rsidRPr="00620047">
        <w:rPr>
          <w:b/>
        </w:rPr>
        <w:t>[Dit artikellid vervalt met ingang van 1 januari 2017]</w:t>
      </w:r>
      <w:r w:rsidR="00244F18">
        <w:rPr>
          <w:b/>
        </w:rPr>
        <w:t xml:space="preserve"> </w:t>
      </w:r>
      <w:r w:rsidRPr="00620047">
        <w:rPr>
          <w:b/>
        </w:rPr>
        <w:br/>
      </w:r>
      <w:r w:rsidRPr="00620047">
        <w:t>Het vierde lid, onderdeel b, is tot 1 januari 2017 niet van toepassing op het sorteren van gewassen die uitsluitend of in hoofdzaak afkomstig zijn van derden.</w:t>
      </w:r>
    </w:p>
    <w:p w:rsidR="007A01F9" w:rsidRDefault="007A01F9" w:rsidP="007A01F9"/>
    <w:p w:rsidR="007A01F9" w:rsidRDefault="007A01F9" w:rsidP="007A01F9">
      <w:pPr>
        <w:pStyle w:val="paragraaf"/>
        <w:shd w:val="clear" w:color="auto" w:fill="D9D9D9" w:themeFill="background1" w:themeFillShade="D9"/>
      </w:pPr>
      <w:bookmarkStart w:id="138" w:name="_Toc431375630"/>
      <w:r>
        <w:t>§ 3.5.4.</w:t>
      </w:r>
      <w:r>
        <w:tab/>
        <w:t>Het behandelen van gewassen</w:t>
      </w:r>
      <w:bookmarkEnd w:id="138"/>
    </w:p>
    <w:p w:rsidR="007A01F9" w:rsidRDefault="007A01F9" w:rsidP="007A01F9">
      <w:pPr>
        <w:pStyle w:val="artikelkop"/>
        <w:shd w:val="clear" w:color="auto" w:fill="D9D9D9" w:themeFill="background1" w:themeFillShade="D9"/>
      </w:pPr>
      <w:r>
        <w:t xml:space="preserve">Artikel 3.94 </w:t>
      </w:r>
    </w:p>
    <w:p w:rsidR="007A01F9" w:rsidRDefault="007A01F9" w:rsidP="007A01F9">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als bedoeld in artikel 3.98 van het besluit wordt bij het toepassen van gewasbeschermingsmiddelen of biociden in dompelbaden en douche-installaties ten minste voldaan aan het tweede tot en met zesde lid.</w:t>
      </w:r>
    </w:p>
    <w:p w:rsidR="007A01F9" w:rsidRDefault="007A01F9" w:rsidP="007A01F9">
      <w:pPr>
        <w:pStyle w:val="art1enivo"/>
        <w:shd w:val="clear" w:color="auto" w:fill="D9D9D9" w:themeFill="background1" w:themeFillShade="D9"/>
        <w:suppressAutoHyphens/>
        <w:rPr>
          <w:rFonts w:cs="Arial"/>
        </w:rPr>
      </w:pPr>
      <w:r>
        <w:rPr>
          <w:rFonts w:cs="Arial"/>
        </w:rPr>
        <w:t>2.</w:t>
      </w:r>
      <w:r>
        <w:rPr>
          <w:rFonts w:cs="Arial"/>
        </w:rPr>
        <w:tab/>
        <w:t>Een dompelbad of een douche-installatie waarin wordt gewerkt met gewasbeschermingsmiddelen of biociden is opgesteld boven een lekbak of een vloeistofdichte vloer of verharding.</w:t>
      </w:r>
    </w:p>
    <w:p w:rsidR="007A01F9" w:rsidRDefault="007A01F9" w:rsidP="007A01F9">
      <w:pPr>
        <w:pStyle w:val="art1enivo"/>
        <w:shd w:val="clear" w:color="auto" w:fill="D9D9D9" w:themeFill="background1" w:themeFillShade="D9"/>
        <w:suppressAutoHyphens/>
        <w:rPr>
          <w:rFonts w:cs="Arial"/>
        </w:rPr>
      </w:pPr>
      <w:r>
        <w:rPr>
          <w:rFonts w:cs="Arial"/>
        </w:rPr>
        <w:t>3.</w:t>
      </w:r>
      <w:r>
        <w:rPr>
          <w:rFonts w:cs="Arial"/>
        </w:rPr>
        <w:tab/>
        <w:t>Gedompelde producten en de tijdens het dompelen gebruikte emballage waar nog gewasbeschermingsmiddelen of biociden uit kunnen lekken, worden boven het dompelbad, een vloeistofdichte vloer of verharding of een lekbak bewaard.</w:t>
      </w:r>
    </w:p>
    <w:p w:rsidR="007A01F9" w:rsidRDefault="007A01F9" w:rsidP="007A01F9">
      <w:pPr>
        <w:pStyle w:val="art1enivo"/>
        <w:shd w:val="clear" w:color="auto" w:fill="D9D9D9" w:themeFill="background1" w:themeFillShade="D9"/>
        <w:suppressAutoHyphens/>
        <w:rPr>
          <w:rFonts w:cs="Arial"/>
        </w:rPr>
      </w:pPr>
      <w:r>
        <w:rPr>
          <w:rFonts w:cs="Arial"/>
        </w:rPr>
        <w:t>4.</w:t>
      </w:r>
      <w:r>
        <w:rPr>
          <w:rFonts w:cs="Arial"/>
        </w:rPr>
        <w:tab/>
        <w:t>Gedouchte producten en de tijdens het douchen gebruikte emballage waar nog gewasbeschermingsmiddelen of biociden uit kunnen lekken, worden in de douche-installatie, boven een vloeistofdichte vloer of verharding of een lekbak bewaard.</w:t>
      </w:r>
    </w:p>
    <w:p w:rsidR="007A01F9" w:rsidRDefault="007A01F9" w:rsidP="007A01F9">
      <w:pPr>
        <w:pStyle w:val="art1enivo"/>
        <w:shd w:val="clear" w:color="auto" w:fill="D9D9D9" w:themeFill="background1" w:themeFillShade="D9"/>
        <w:suppressAutoHyphens/>
        <w:rPr>
          <w:rFonts w:cs="Arial"/>
        </w:rPr>
      </w:pPr>
      <w:r>
        <w:rPr>
          <w:rFonts w:cs="Arial"/>
        </w:rPr>
        <w:t>5.</w:t>
      </w:r>
      <w:r>
        <w:rPr>
          <w:rFonts w:cs="Arial"/>
        </w:rPr>
        <w:tab/>
        <w:t>Een buitenopslag voor gedompelde of gedouchte producten of voor tijdens het dompelen gebruikte emballage is tegen inregenen beschermd.</w:t>
      </w:r>
    </w:p>
    <w:p w:rsidR="007A01F9" w:rsidRDefault="007A01F9" w:rsidP="007A01F9">
      <w:pPr>
        <w:pStyle w:val="art1enivo"/>
        <w:shd w:val="clear" w:color="auto" w:fill="D9D9D9" w:themeFill="background1" w:themeFillShade="D9"/>
        <w:suppressAutoHyphens/>
        <w:rPr>
          <w:rFonts w:cs="Arial"/>
        </w:rPr>
      </w:pPr>
      <w:r>
        <w:rPr>
          <w:rFonts w:cs="Arial"/>
        </w:rPr>
        <w:t>6.</w:t>
      </w:r>
      <w:r>
        <w:rPr>
          <w:rFonts w:cs="Arial"/>
        </w:rPr>
        <w:tab/>
        <w:t>Het bevoegd gezag kan, indien het belang van de bescherming van de bodem daartoe noodzaakt, bij maatwerkvoorschrift eisen stellen aan de locatie en de opstelling van het dompelbad of de douche-installatie, de gedompelde of gedouchte producten en de emballage, bedoeld in het tweede tot en met zesde lid.</w:t>
      </w:r>
    </w:p>
    <w:p w:rsidR="007A01F9" w:rsidRDefault="007A01F9" w:rsidP="007A01F9">
      <w:pPr>
        <w:pStyle w:val="artikelkop"/>
        <w:shd w:val="clear" w:color="auto" w:fill="D9D9D9" w:themeFill="background1" w:themeFillShade="D9"/>
        <w:rPr>
          <w:rFonts w:eastAsiaTheme="minorEastAsia"/>
          <w:lang w:eastAsia="nl-NL"/>
        </w:rPr>
      </w:pPr>
      <w:r>
        <w:rPr>
          <w:rFonts w:eastAsiaTheme="minorEastAsia"/>
          <w:lang w:eastAsia="nl-NL"/>
        </w:rPr>
        <w:t xml:space="preserve">Artikel 3.94a </w:t>
      </w:r>
    </w:p>
    <w:p w:rsidR="007A01F9" w:rsidRDefault="007A01F9" w:rsidP="007A01F9">
      <w:pPr>
        <w:pStyle w:val="artplat"/>
        <w:shd w:val="clear" w:color="auto" w:fill="D9D9D9" w:themeFill="background1" w:themeFillShade="D9"/>
        <w:rPr>
          <w:rFonts w:eastAsiaTheme="minorEastAsia"/>
          <w:lang w:eastAsia="nl-NL"/>
        </w:rPr>
      </w:pPr>
      <w:r>
        <w:rPr>
          <w:rFonts w:eastAsiaTheme="minorEastAsia"/>
          <w:lang w:eastAsia="nl-NL"/>
        </w:rPr>
        <w:t>Ten behoeve van het realiseren van een verwaarloosbaar bodemrisico als bedoeld in artikel 3.103 van het besluit, wordt bij het spoelen van bloembollen met een spoelmachine ten minste voldaan aan de Handreiking bezinkbassins bloembollensector.</w:t>
      </w:r>
    </w:p>
    <w:p w:rsidR="007A01F9" w:rsidRDefault="007A01F9" w:rsidP="007A01F9">
      <w:pPr>
        <w:pStyle w:val="artikelkop"/>
        <w:shd w:val="clear" w:color="auto" w:fill="D9D9D9" w:themeFill="background1" w:themeFillShade="D9"/>
        <w:rPr>
          <w:rFonts w:eastAsiaTheme="minorEastAsia"/>
          <w:lang w:eastAsia="nl-NL"/>
        </w:rPr>
      </w:pPr>
      <w:r>
        <w:rPr>
          <w:rFonts w:eastAsiaTheme="minorEastAsia"/>
          <w:lang w:eastAsia="nl-NL"/>
        </w:rPr>
        <w:t>Artikel 3.94b</w:t>
      </w:r>
    </w:p>
    <w:p w:rsidR="007A01F9" w:rsidRDefault="007A01F9" w:rsidP="007A01F9">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Aan artikel 3.105, vierde lid, onderdeel b, van het besluit wordt in ieder geval voldaan indien de zuiveringsvoorziening voldoet aan het tweede tot en met het vierde lid.</w:t>
      </w:r>
    </w:p>
    <w:p w:rsidR="007A01F9" w:rsidRDefault="007A01F9" w:rsidP="007A01F9">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zuiveringsvoorziening bestaat uit:</w:t>
      </w:r>
    </w:p>
    <w:p w:rsidR="007A01F9" w:rsidRDefault="007A01F9" w:rsidP="007A01F9">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voorzuivering met een lamellenfilter, en</w:t>
      </w:r>
    </w:p>
    <w:p w:rsidR="007A01F9" w:rsidRDefault="007A01F9" w:rsidP="007A01F9">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nazuivering met een ozoninstallatie en actief koolfilter.</w:t>
      </w:r>
    </w:p>
    <w:p w:rsidR="007A01F9" w:rsidRDefault="007A01F9" w:rsidP="007A01F9">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Indien bij het sorteren gebruik wordt gemaakt van ten hoogste 8 kubieke meter water:</w:t>
      </w:r>
    </w:p>
    <w:p w:rsidR="007A01F9" w:rsidRDefault="007A01F9" w:rsidP="007A01F9">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heeft het lamellenfilter een inhoud van ten minste 1,5 kubieke meter en een capaciteit van ten minste 2 kubieke meter per uur;</w:t>
      </w:r>
    </w:p>
    <w:p w:rsidR="007A01F9" w:rsidRDefault="007A01F9" w:rsidP="007A01F9">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heeft de ozoninstallatie een capaciteit van ten minste 1 kubieke meter per uur, is de contacttijd in de ozoninstallatie ten minste 30 minuten en wordt ten minste 20 gram ozon per kubieke meter te behandelen afvalwater toegevoegd, en</w:t>
      </w:r>
    </w:p>
    <w:p w:rsidR="007A01F9" w:rsidRDefault="007A01F9" w:rsidP="007A01F9">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is de contacttijd in het actief koolfilter ten minste 20 minuten.</w:t>
      </w:r>
    </w:p>
    <w:p w:rsidR="007A01F9" w:rsidRDefault="007A01F9" w:rsidP="007A01F9">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Indien bij het sorteren gebruikt wordt gemaakt van meer dan 8 en ten hoogste 16 kubieke meter water:</w:t>
      </w:r>
    </w:p>
    <w:p w:rsidR="007A01F9" w:rsidRDefault="007A01F9" w:rsidP="007A01F9">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heeft het lamellenfilter een inhoud van ten minste 6 kubieke meter en een capaciteit van ten minste 4 kubieke meter per uur;</w:t>
      </w:r>
    </w:p>
    <w:p w:rsidR="007A01F9" w:rsidRDefault="007A01F9" w:rsidP="007A01F9">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heeft de ozoninstallatie een capaciteit van ten minste 3 kubieke meter per uur, is de contacttijd in de ozoninstallatie ten minste 30 minuten en wordt ten minste 20 gram ozon per kubieke meter te behandelen afvalwater toegevoegd, en</w:t>
      </w:r>
    </w:p>
    <w:p w:rsidR="007A01F9" w:rsidRDefault="007A01F9" w:rsidP="007A01F9">
      <w:pPr>
        <w:shd w:val="clear" w:color="auto" w:fill="D9D9D9" w:themeFill="background1" w:themeFillShade="D9"/>
      </w:pPr>
      <w:r>
        <w:rPr>
          <w:rFonts w:eastAsiaTheme="minorEastAsia"/>
          <w:lang w:eastAsia="nl-NL"/>
        </w:rPr>
        <w:t>c.</w:t>
      </w:r>
      <w:r>
        <w:rPr>
          <w:rFonts w:eastAsiaTheme="minorEastAsia"/>
          <w:lang w:eastAsia="nl-NL"/>
        </w:rPr>
        <w:tab/>
        <w:t>is de contacttijd in het actief koolfilter ten minste 20 minuten.</w:t>
      </w:r>
    </w:p>
    <w:p w:rsidR="007A01F9" w:rsidRPr="007A01F9" w:rsidRDefault="007A01F9" w:rsidP="007A01F9"/>
    <w:p w:rsidR="00296032" w:rsidRPr="00296032" w:rsidRDefault="00296032">
      <w:pPr>
        <w:pStyle w:val="paragraaf"/>
        <w:rPr>
          <w:rFonts w:cs="Arial"/>
        </w:rPr>
      </w:pPr>
      <w:bookmarkStart w:id="139" w:name="_Toc431375631"/>
      <w:r w:rsidRPr="00296032">
        <w:rPr>
          <w:rFonts w:cs="Arial"/>
        </w:rPr>
        <w:t>§ 3.5.7 Composteren</w:t>
      </w:r>
      <w:bookmarkEnd w:id="139"/>
    </w:p>
    <w:p w:rsidR="00296032" w:rsidRPr="00296032" w:rsidRDefault="00296032">
      <w:pPr>
        <w:pStyle w:val="artikelkop"/>
        <w:rPr>
          <w:rFonts w:cs="Arial"/>
        </w:rPr>
      </w:pPr>
      <w:r w:rsidRPr="00296032">
        <w:rPr>
          <w:rFonts w:cs="Arial"/>
        </w:rPr>
        <w:t>Artikel 3.106</w:t>
      </w:r>
    </w:p>
    <w:p w:rsidR="00296032" w:rsidRPr="00620047" w:rsidRDefault="00296032">
      <w:pPr>
        <w:pStyle w:val="art1enivo"/>
        <w:rPr>
          <w:rFonts w:cs="Arial"/>
        </w:rPr>
      </w:pPr>
      <w:r w:rsidRPr="00620047">
        <w:rPr>
          <w:rFonts w:cs="Arial"/>
        </w:rPr>
        <w:t>1.</w:t>
      </w:r>
      <w:r w:rsidRPr="00620047">
        <w:rPr>
          <w:rFonts w:cs="Arial"/>
        </w:rPr>
        <w:tab/>
        <w:t>Deze paragraaf is van toepassing op het composteren van groenafval, dat is ontstaan bij werkzaamheden die buiten de inrichting zijn verricht door degene die de inrichting drijft of dat niet afkomstig is van buiten de inrichting, voor zover geen sprake is van gevaarlijke afvalstoffen, met een volume van ten hoogste 600 kubieke meter.</w:t>
      </w:r>
    </w:p>
    <w:p w:rsidR="00296032" w:rsidRPr="00620047" w:rsidRDefault="00296032">
      <w:pPr>
        <w:pStyle w:val="art1enivo"/>
        <w:rPr>
          <w:rFonts w:cs="Arial"/>
        </w:rPr>
      </w:pPr>
      <w:r w:rsidRPr="00620047">
        <w:rPr>
          <w:rFonts w:cs="Arial"/>
        </w:rPr>
        <w:t>2.</w:t>
      </w:r>
      <w:r w:rsidRPr="00620047">
        <w:rPr>
          <w:rFonts w:cs="Arial"/>
        </w:rPr>
        <w:tab/>
        <w:t>De artikelen 3.107 tot en met 3.109 zijn niet van toepassing op het composteren van groenafval, van ten hoogste 3 kubieke meter.</w:t>
      </w:r>
    </w:p>
    <w:p w:rsidR="00296032" w:rsidRPr="00296032" w:rsidRDefault="00296032">
      <w:pPr>
        <w:pStyle w:val="artikelkop"/>
        <w:rPr>
          <w:rFonts w:cs="Arial"/>
        </w:rPr>
      </w:pPr>
      <w:r w:rsidRPr="00296032">
        <w:rPr>
          <w:rFonts w:cs="Arial"/>
        </w:rPr>
        <w:t>Artikel 3.107</w:t>
      </w:r>
    </w:p>
    <w:p w:rsidR="00296032" w:rsidRPr="00620047" w:rsidRDefault="00296032">
      <w:pPr>
        <w:pStyle w:val="art1enivo"/>
        <w:rPr>
          <w:rFonts w:cs="Arial"/>
        </w:rPr>
      </w:pPr>
      <w:r w:rsidRPr="00620047">
        <w:rPr>
          <w:rFonts w:cs="Arial"/>
        </w:rPr>
        <w:t>1.</w:t>
      </w:r>
      <w:r w:rsidRPr="00620047">
        <w:rPr>
          <w:rFonts w:cs="Arial"/>
        </w:rPr>
        <w:tab/>
        <w:t>Voor het realiseren van een goede afbraak wordt een composteringshoop ten minste zo vaak omgezet als nodig is om anaërobe afbraak te voorkomen.</w:t>
      </w:r>
    </w:p>
    <w:p w:rsidR="00296032" w:rsidRPr="00620047" w:rsidRDefault="00296032">
      <w:pPr>
        <w:pStyle w:val="art1enivo"/>
        <w:rPr>
          <w:rFonts w:cs="Arial"/>
        </w:rPr>
      </w:pPr>
      <w:r w:rsidRPr="00620047">
        <w:rPr>
          <w:rFonts w:cs="Arial"/>
        </w:rPr>
        <w:t>2.</w:t>
      </w:r>
      <w:r w:rsidRPr="00620047">
        <w:rPr>
          <w:rFonts w:cs="Arial"/>
        </w:rPr>
        <w:tab/>
        <w:t>Een composteringshoop bevat ten hoogste 50% aan hulpstoffen.</w:t>
      </w:r>
    </w:p>
    <w:p w:rsidR="00296032" w:rsidRPr="00296032" w:rsidRDefault="00296032">
      <w:pPr>
        <w:pStyle w:val="artikelkop"/>
        <w:rPr>
          <w:rFonts w:cs="Arial"/>
        </w:rPr>
      </w:pPr>
      <w:r w:rsidRPr="00296032">
        <w:rPr>
          <w:rFonts w:cs="Arial"/>
        </w:rPr>
        <w:t>Artikel 3.108</w:t>
      </w:r>
    </w:p>
    <w:p w:rsidR="00296032" w:rsidRPr="00620047" w:rsidRDefault="00296032">
      <w:pPr>
        <w:pStyle w:val="art1enivo"/>
        <w:rPr>
          <w:rFonts w:cs="Arial"/>
        </w:rPr>
      </w:pPr>
      <w:r w:rsidRPr="00620047">
        <w:rPr>
          <w:rFonts w:cs="Arial"/>
        </w:rPr>
        <w:t>1.</w:t>
      </w:r>
      <w:r w:rsidRPr="00620047">
        <w:rPr>
          <w:rFonts w:cs="Arial"/>
        </w:rPr>
        <w:tab/>
        <w:t>Het composteren vindt plaats op ten minste:</w:t>
      </w:r>
    </w:p>
    <w:p w:rsidR="00296032" w:rsidRPr="00620047" w:rsidRDefault="00296032">
      <w:pPr>
        <w:pStyle w:val="art2enivo"/>
        <w:rPr>
          <w:rFonts w:cs="Arial"/>
        </w:rPr>
      </w:pPr>
      <w:r w:rsidRPr="00620047">
        <w:rPr>
          <w:rFonts w:cs="Arial"/>
        </w:rPr>
        <w:t>a.</w:t>
      </w:r>
      <w:r w:rsidRPr="00620047">
        <w:rPr>
          <w:rFonts w:cs="Arial"/>
        </w:rPr>
        <w:tab/>
        <w:t>100 meter afstand tot een geurgevoelig object, dat binnen de bebouwde kom is gelegen, of</w:t>
      </w:r>
    </w:p>
    <w:p w:rsidR="00296032" w:rsidRPr="00620047" w:rsidRDefault="00296032">
      <w:pPr>
        <w:pStyle w:val="art2enivo"/>
        <w:rPr>
          <w:rFonts w:cs="Arial"/>
        </w:rPr>
      </w:pPr>
      <w:r w:rsidRPr="00620047">
        <w:rPr>
          <w:rFonts w:cs="Arial"/>
        </w:rPr>
        <w:t>b.</w:t>
      </w:r>
      <w:r w:rsidRPr="00620047">
        <w:rPr>
          <w:rFonts w:cs="Arial"/>
        </w:rPr>
        <w:tab/>
        <w:t>50 meter afstand tot een geurgevoelig object, dat buiten de bebouwde kom is gelegen.</w:t>
      </w:r>
    </w:p>
    <w:p w:rsidR="00296032" w:rsidRPr="00620047" w:rsidRDefault="00296032">
      <w:pPr>
        <w:pStyle w:val="art1enivo"/>
        <w:rPr>
          <w:rFonts w:cs="Arial"/>
        </w:rPr>
      </w:pPr>
      <w:r w:rsidRPr="00620047">
        <w:rPr>
          <w:rFonts w:cs="Arial"/>
        </w:rPr>
        <w:t>2.</w:t>
      </w:r>
      <w:r w:rsidRPr="00620047">
        <w:rPr>
          <w:rFonts w:cs="Arial"/>
        </w:rPr>
        <w:tab/>
        <w:t>De afstanden, genoemd in het eerste lid, worden gemeten vanaf de buitenzijde van het geurgevoelig object tot het dichtstbijzijnde punt van de locatie waar het composteren plaatsvindt.</w:t>
      </w:r>
    </w:p>
    <w:p w:rsidR="00296032" w:rsidRPr="00620047" w:rsidRDefault="00296032">
      <w:pPr>
        <w:pStyle w:val="art1enivo"/>
        <w:rPr>
          <w:rFonts w:cs="Arial"/>
        </w:rPr>
      </w:pPr>
      <w:r w:rsidRPr="00620047">
        <w:rPr>
          <w:rFonts w:cs="Arial"/>
        </w:rPr>
        <w:t>3.</w:t>
      </w:r>
      <w:r w:rsidRPr="00620047">
        <w:rPr>
          <w:rFonts w:cs="Arial"/>
        </w:rPr>
        <w:tab/>
        <w:t>Het bevoegd gezag kan, indien blijkt dat de geurhinder een aanvaardbaar niveau overschrijdt, onverminderd artikel 2.7a, bij maatwerkvoorschrift eisen stellen aan:</w:t>
      </w:r>
    </w:p>
    <w:p w:rsidR="00296032" w:rsidRPr="00620047" w:rsidRDefault="00296032">
      <w:pPr>
        <w:pStyle w:val="art2enivo"/>
        <w:rPr>
          <w:rFonts w:cs="Arial"/>
        </w:rPr>
      </w:pPr>
      <w:r w:rsidRPr="00620047">
        <w:rPr>
          <w:rFonts w:cs="Arial"/>
        </w:rPr>
        <w:t>a.</w:t>
      </w:r>
      <w:r w:rsidRPr="00620047">
        <w:rPr>
          <w:rFonts w:cs="Arial"/>
        </w:rPr>
        <w:tab/>
        <w:t>de situering van de composteringshoop, of</w:t>
      </w:r>
    </w:p>
    <w:p w:rsidR="00296032" w:rsidRPr="00620047" w:rsidRDefault="00296032">
      <w:pPr>
        <w:pStyle w:val="art2enivo"/>
        <w:rPr>
          <w:rFonts w:cs="Arial"/>
        </w:rPr>
      </w:pPr>
      <w:r w:rsidRPr="00620047">
        <w:rPr>
          <w:rFonts w:cs="Arial"/>
        </w:rPr>
        <w:t>b.</w:t>
      </w:r>
      <w:r w:rsidRPr="00620047">
        <w:rPr>
          <w:rFonts w:cs="Arial"/>
        </w:rPr>
        <w:tab/>
        <w:t>het afdekken van de composteringshoop.</w:t>
      </w:r>
    </w:p>
    <w:p w:rsidR="00296032" w:rsidRPr="00620047" w:rsidRDefault="00296032">
      <w:pPr>
        <w:pStyle w:val="art1enivo"/>
      </w:pPr>
      <w:r w:rsidRPr="00620047">
        <w:t>4.</w:t>
      </w:r>
      <w:r w:rsidRPr="00620047">
        <w:tab/>
        <w:t>Het eerste lid is niet van toepassing indien het composteren plaatsvindt binnen een van de afstanden, bedoeld in dat lid, het composteren reeds plaatsvond voor 1 januari 2013 en verplaatsing redelijkerwijs niet kan worden gevergd.</w:t>
      </w:r>
    </w:p>
    <w:p w:rsidR="00296032" w:rsidRPr="00620047" w:rsidRDefault="00296032">
      <w:pPr>
        <w:pStyle w:val="art1enivo"/>
      </w:pPr>
      <w:r w:rsidRPr="00620047">
        <w:t>5.</w:t>
      </w:r>
      <w:r w:rsidRPr="00620047">
        <w:tab/>
        <w:t>Indien het vierde lid van toepassing is:</w:t>
      </w:r>
    </w:p>
    <w:p w:rsidR="00296032" w:rsidRPr="00620047" w:rsidRDefault="00296032">
      <w:pPr>
        <w:pStyle w:val="art2enivo"/>
      </w:pPr>
      <w:r w:rsidRPr="00620047">
        <w:t>a.</w:t>
      </w:r>
      <w:r w:rsidRPr="00620047">
        <w:tab/>
        <w:t>treft degene die de inrichting drijft maatregelen of voorzieningen die geurhinder voorkomen of tot een aanvaardbaar niveau beperken, en</w:t>
      </w:r>
    </w:p>
    <w:p w:rsidR="00296032" w:rsidRPr="00620047" w:rsidRDefault="00296032">
      <w:pPr>
        <w:pStyle w:val="art2enivo"/>
      </w:pPr>
      <w:r w:rsidRPr="00620047">
        <w:t>b.</w:t>
      </w:r>
      <w:r w:rsidRPr="00620047">
        <w:tab/>
        <w:t>geeft degene die de inrichting drijft, op verzoek van het bevoegd gezag aan welke maatregelen of voorzieningen hij daartoe heeft getroffen of zal treffen.</w:t>
      </w:r>
    </w:p>
    <w:p w:rsidR="00296032" w:rsidRPr="00296032" w:rsidRDefault="00296032">
      <w:pPr>
        <w:pStyle w:val="artikelkop"/>
        <w:rPr>
          <w:rFonts w:cs="Arial"/>
        </w:rPr>
      </w:pPr>
      <w:r w:rsidRPr="00296032">
        <w:rPr>
          <w:rFonts w:cs="Arial"/>
        </w:rPr>
        <w:t>Artikel 3.109</w:t>
      </w:r>
    </w:p>
    <w:p w:rsidR="00296032" w:rsidRPr="00620047" w:rsidRDefault="00296032">
      <w:pPr>
        <w:pStyle w:val="artplat"/>
        <w:rPr>
          <w:rFonts w:cs="Arial"/>
        </w:rPr>
      </w:pPr>
      <w:r w:rsidRPr="00620047">
        <w:rPr>
          <w:rFonts w:cs="Arial"/>
        </w:rPr>
        <w:t>Bij het composteren wordt, ten behoeve van het realiseren van een verwaarloosbaar bodemrisico, voldaan aan de bij ministeriële regeling gestelde eisen.</w:t>
      </w:r>
    </w:p>
    <w:p w:rsidR="00296032" w:rsidRPr="00296032" w:rsidRDefault="00296032">
      <w:pPr>
        <w:pStyle w:val="artikelkop"/>
        <w:rPr>
          <w:rFonts w:cs="Arial"/>
        </w:rPr>
      </w:pPr>
      <w:r w:rsidRPr="00296032">
        <w:rPr>
          <w:rFonts w:cs="Arial"/>
        </w:rPr>
        <w:t>Artikel 3.110</w:t>
      </w:r>
    </w:p>
    <w:p w:rsidR="00296032" w:rsidRDefault="00296032">
      <w:pPr>
        <w:pStyle w:val="artplat"/>
        <w:rPr>
          <w:rFonts w:cs="Arial"/>
        </w:rPr>
      </w:pPr>
      <w:r w:rsidRPr="00620047">
        <w:rPr>
          <w:rFonts w:cs="Arial"/>
        </w:rPr>
        <w:t>Een composteringshoop is gelegen op een afstand van ten minste 5 meter vanaf de insteek van een oppervlaktewaterlichaam.</w:t>
      </w:r>
    </w:p>
    <w:p w:rsidR="007A01F9" w:rsidRDefault="007A01F9">
      <w:pPr>
        <w:pStyle w:val="artplat"/>
        <w:rPr>
          <w:rFonts w:cs="Arial"/>
        </w:rPr>
      </w:pPr>
    </w:p>
    <w:p w:rsidR="007A01F9" w:rsidRDefault="007A01F9" w:rsidP="007A01F9">
      <w:pPr>
        <w:pStyle w:val="paragraaf"/>
        <w:shd w:val="clear" w:color="auto" w:fill="D9D9D9" w:themeFill="background1" w:themeFillShade="D9"/>
      </w:pPr>
      <w:bookmarkStart w:id="140" w:name="_Toc431375632"/>
      <w:r>
        <w:t>§ 3.5.5.</w:t>
      </w:r>
      <w:r>
        <w:tab/>
        <w:t>Composteren</w:t>
      </w:r>
      <w:bookmarkEnd w:id="140"/>
    </w:p>
    <w:p w:rsidR="007A01F9" w:rsidRDefault="007A01F9" w:rsidP="007A01F9">
      <w:pPr>
        <w:pStyle w:val="artikelkop"/>
        <w:shd w:val="clear" w:color="auto" w:fill="D9D9D9" w:themeFill="background1" w:themeFillShade="D9"/>
      </w:pPr>
      <w:r>
        <w:t xml:space="preserve">Artikel 3.95 </w:t>
      </w:r>
    </w:p>
    <w:p w:rsidR="007A01F9" w:rsidRDefault="007A01F9" w:rsidP="007A01F9">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als bedoeld in artikel 3.109 van het besluit wordt bij het composteren voldaan aan het tweede tot en met vierde lid.</w:t>
      </w:r>
    </w:p>
    <w:p w:rsidR="007A01F9" w:rsidRDefault="007A01F9" w:rsidP="007A01F9">
      <w:pPr>
        <w:pStyle w:val="art1enivo"/>
        <w:shd w:val="clear" w:color="auto" w:fill="D9D9D9" w:themeFill="background1" w:themeFillShade="D9"/>
        <w:suppressAutoHyphens/>
        <w:rPr>
          <w:rFonts w:cs="Arial"/>
        </w:rPr>
      </w:pPr>
      <w:r>
        <w:rPr>
          <w:rFonts w:cs="Arial"/>
        </w:rPr>
        <w:t>2.</w:t>
      </w:r>
      <w:r>
        <w:rPr>
          <w:rFonts w:cs="Arial"/>
        </w:rPr>
        <w:tab/>
        <w:t>Indien binnen een periode van drie jaar gedurende een periode die langer is dan twee weken, maar korter dan negen maanden, op één plaats wordt gecomposteerd, is de composteringshoop in de periode van 1 november tot 1 maart afgedekt met vezeldoek, antiworteldoek of gelijkwaardig materiaal.</w:t>
      </w:r>
    </w:p>
    <w:p w:rsidR="007A01F9" w:rsidRDefault="007A01F9" w:rsidP="007A01F9">
      <w:pPr>
        <w:pStyle w:val="art1enivo"/>
        <w:shd w:val="clear" w:color="auto" w:fill="D9D9D9" w:themeFill="background1" w:themeFillShade="D9"/>
        <w:suppressAutoHyphens/>
        <w:rPr>
          <w:rFonts w:cs="Arial"/>
        </w:rPr>
      </w:pPr>
      <w:r>
        <w:rPr>
          <w:rFonts w:cs="Arial"/>
        </w:rPr>
        <w:t>3.</w:t>
      </w:r>
      <w:r>
        <w:rPr>
          <w:rFonts w:cs="Arial"/>
        </w:rPr>
        <w:tab/>
        <w:t>Indien binnen een periode van drie jaar gedurende een periode die langer is dan negen maanden op één plaats wordt gecomposteerd, is de composteringshoop:</w:t>
      </w:r>
    </w:p>
    <w:p w:rsidR="007A01F9" w:rsidRDefault="007A01F9" w:rsidP="007A01F9">
      <w:pPr>
        <w:pStyle w:val="art2enivo"/>
        <w:shd w:val="clear" w:color="auto" w:fill="D9D9D9" w:themeFill="background1" w:themeFillShade="D9"/>
        <w:suppressAutoHyphens/>
        <w:rPr>
          <w:rFonts w:cs="Arial"/>
        </w:rPr>
      </w:pPr>
      <w:r>
        <w:rPr>
          <w:rFonts w:cs="Arial"/>
        </w:rPr>
        <w:t>a.</w:t>
      </w:r>
      <w:r>
        <w:rPr>
          <w:rFonts w:cs="Arial"/>
        </w:rPr>
        <w:tab/>
        <w:t>in de periode van 1 september tot en met 31 maart afgedekt met vezeldoek, antiworteldoek of gelijkwaardig materiaal, en</w:t>
      </w:r>
    </w:p>
    <w:p w:rsidR="007A01F9" w:rsidRDefault="007A01F9" w:rsidP="007A01F9">
      <w:pPr>
        <w:pStyle w:val="art2enivo"/>
        <w:shd w:val="clear" w:color="auto" w:fill="D9D9D9" w:themeFill="background1" w:themeFillShade="D9"/>
        <w:suppressAutoHyphens/>
        <w:rPr>
          <w:rFonts w:cs="Arial"/>
        </w:rPr>
      </w:pPr>
      <w:r>
        <w:rPr>
          <w:rFonts w:cs="Arial"/>
        </w:rPr>
        <w:t>b.</w:t>
      </w:r>
      <w:r>
        <w:rPr>
          <w:rFonts w:cs="Arial"/>
        </w:rPr>
        <w:tab/>
        <w:t>geplaatst boven een adsorberende laag met een dikte van ten minste 0,15 meter en een organische stofgehalte van ten minste 25%.</w:t>
      </w:r>
    </w:p>
    <w:p w:rsidR="007A01F9" w:rsidRDefault="007A01F9" w:rsidP="007A01F9">
      <w:pPr>
        <w:shd w:val="clear" w:color="auto" w:fill="D9D9D9" w:themeFill="background1" w:themeFillShade="D9"/>
      </w:pPr>
      <w:r>
        <w:rPr>
          <w:rFonts w:cs="Arial"/>
        </w:rPr>
        <w:t>4.</w:t>
      </w:r>
      <w:r>
        <w:rPr>
          <w:rFonts w:cs="Arial"/>
        </w:rPr>
        <w:tab/>
        <w:t>Indien de composteringshoop wordt verwijderd, wordt de adsorberende laag, bedoeld in het derde lid, onderdeel b, eveneens verwijderd.</w:t>
      </w:r>
    </w:p>
    <w:p w:rsidR="007A01F9" w:rsidRPr="00620047" w:rsidRDefault="007A01F9">
      <w:pPr>
        <w:pStyle w:val="artplat"/>
        <w:rPr>
          <w:rFonts w:cs="Arial"/>
        </w:rPr>
      </w:pPr>
    </w:p>
    <w:p w:rsidR="00296032" w:rsidRPr="00296032" w:rsidRDefault="00296032">
      <w:pPr>
        <w:pStyle w:val="paragraaf"/>
        <w:rPr>
          <w:rFonts w:cs="Arial"/>
        </w:rPr>
      </w:pPr>
      <w:bookmarkStart w:id="141" w:name="_Toc431375633"/>
      <w:r w:rsidRPr="00296032">
        <w:rPr>
          <w:rFonts w:cs="Arial"/>
        </w:rPr>
        <w:t>§ 3.5.8</w:t>
      </w:r>
      <w:r w:rsidRPr="00296032">
        <w:rPr>
          <w:rFonts w:cs="Arial"/>
        </w:rPr>
        <w:tab/>
        <w:t>Houden van landbouwhuisdieren in dierenverblijven</w:t>
      </w:r>
      <w:bookmarkEnd w:id="141"/>
    </w:p>
    <w:p w:rsidR="00296032" w:rsidRPr="00296032" w:rsidRDefault="00296032">
      <w:pPr>
        <w:pStyle w:val="artikelkop"/>
        <w:rPr>
          <w:rFonts w:cs="Arial"/>
        </w:rPr>
      </w:pPr>
      <w:r w:rsidRPr="00296032">
        <w:rPr>
          <w:rFonts w:cs="Arial"/>
        </w:rPr>
        <w:t>Artikel 3.111</w:t>
      </w:r>
    </w:p>
    <w:p w:rsidR="00296032" w:rsidRPr="00620047" w:rsidRDefault="00296032">
      <w:pPr>
        <w:pStyle w:val="art1enivo"/>
        <w:rPr>
          <w:rFonts w:cs="Arial"/>
        </w:rPr>
      </w:pPr>
      <w:r w:rsidRPr="00620047">
        <w:rPr>
          <w:rFonts w:cs="Arial"/>
        </w:rPr>
        <w:t>1.</w:t>
      </w:r>
      <w:r w:rsidRPr="00620047">
        <w:rPr>
          <w:rFonts w:cs="Arial"/>
        </w:rPr>
        <w:tab/>
        <w:t>De artikelen 3.112 tot en met 3.129 zijn van toepassing op het houden van landbouwhuisdieren.</w:t>
      </w:r>
    </w:p>
    <w:p w:rsidR="00296032" w:rsidRPr="00620047" w:rsidRDefault="00296032">
      <w:pPr>
        <w:pStyle w:val="art1enivo"/>
        <w:rPr>
          <w:b/>
        </w:rPr>
      </w:pPr>
      <w:r w:rsidRPr="00620047">
        <w:t>2.</w:t>
      </w:r>
      <w:r w:rsidRPr="00620047">
        <w:tab/>
        <w:t xml:space="preserve">De artikelen 3.112 tot en met 3.126 zijn niet van toepassing op inrichtingen waar minder dan 10 schapen, 5 paarden, 10 geiten, 25 stuks pluimvee, 25 </w:t>
      </w:r>
      <w:r w:rsidRPr="004703DC">
        <w:t>konijnen en 10 overige</w:t>
      </w:r>
      <w:r w:rsidRPr="00620047">
        <w:t xml:space="preserve"> landbouwhuisdieren worden gehouden.</w:t>
      </w:r>
    </w:p>
    <w:p w:rsidR="00296032" w:rsidRPr="00296032" w:rsidRDefault="00296032">
      <w:pPr>
        <w:pStyle w:val="artikelkop"/>
        <w:rPr>
          <w:rFonts w:cs="Arial"/>
        </w:rPr>
      </w:pPr>
      <w:r w:rsidRPr="00296032">
        <w:rPr>
          <w:rFonts w:cs="Arial"/>
        </w:rPr>
        <w:t>Artikel 3.112</w:t>
      </w:r>
    </w:p>
    <w:p w:rsidR="00296032" w:rsidRPr="00620047" w:rsidRDefault="00296032">
      <w:pPr>
        <w:pStyle w:val="art1enivo"/>
        <w:rPr>
          <w:rFonts w:cs="Arial"/>
        </w:rPr>
      </w:pPr>
      <w:r w:rsidRPr="00620047">
        <w:rPr>
          <w:rFonts w:cs="Arial"/>
        </w:rPr>
        <w:t>1.</w:t>
      </w:r>
      <w:r w:rsidRPr="00620047">
        <w:rPr>
          <w:rFonts w:cs="Arial"/>
        </w:rPr>
        <w:tab/>
        <w:t>Voor de berekening van de ammoniakemissie van een inrichting wordt het aantal landbouwhuisdieren dat in de inrichting aanwezig mag zijn, vermenigvuldigd met de emissiefactoren, genoemd in de regeling op grond van artikel 1 van de Wet ammoniak en veehouderij.</w:t>
      </w:r>
    </w:p>
    <w:p w:rsidR="00296032" w:rsidRPr="00620047" w:rsidRDefault="00296032">
      <w:pPr>
        <w:pStyle w:val="art1enivo"/>
        <w:rPr>
          <w:rFonts w:cs="Arial"/>
        </w:rPr>
      </w:pPr>
      <w:r w:rsidRPr="00620047">
        <w:rPr>
          <w:rFonts w:cs="Arial"/>
        </w:rPr>
        <w:t>2.</w:t>
      </w:r>
      <w:r w:rsidRPr="00620047">
        <w:rPr>
          <w:rFonts w:cs="Arial"/>
        </w:rPr>
        <w:tab/>
        <w:t>Voor de toepassing van artikel 3.114 geldt voor een diercategorie waarvoor geen maximale emissiewaarde is vastgesteld, de emissiefactor behorende bij het betrokken huisvestingssysteem als maximale emissiewaarde.</w:t>
      </w:r>
    </w:p>
    <w:p w:rsidR="00296032" w:rsidRPr="00296032" w:rsidRDefault="00296032">
      <w:pPr>
        <w:pStyle w:val="artikelkop"/>
        <w:rPr>
          <w:rFonts w:cs="Arial"/>
        </w:rPr>
      </w:pPr>
      <w:r w:rsidRPr="00296032">
        <w:rPr>
          <w:rFonts w:cs="Arial"/>
        </w:rPr>
        <w:t>Artikel 3.113</w:t>
      </w:r>
    </w:p>
    <w:p w:rsidR="00296032" w:rsidRPr="00620047" w:rsidRDefault="00296032">
      <w:pPr>
        <w:pStyle w:val="artplat"/>
      </w:pPr>
      <w:r w:rsidRPr="00620047">
        <w:t>Binnen een zeer kwetsbaar gebied of in een zone van 250 meter rondom een zodanig gebied, vindt het oprichten van een dierenverblijf, indien voorafgaand aan het oprichten geen sprake is van een inrichting waar landbouwhuisdieren worden gehouden, niet plaats, tenzij het dierenverblijf bestemd is voor landbouwhuisdieren die uitsluitend of in hoofdzaak worden gehouden ten behoeve van natuurbeheer.</w:t>
      </w:r>
    </w:p>
    <w:p w:rsidR="00296032" w:rsidRPr="00296032" w:rsidRDefault="00296032">
      <w:pPr>
        <w:pStyle w:val="artikelkop"/>
        <w:rPr>
          <w:rFonts w:cs="Arial"/>
        </w:rPr>
      </w:pPr>
      <w:r w:rsidRPr="00296032">
        <w:rPr>
          <w:rFonts w:cs="Arial"/>
        </w:rPr>
        <w:t>Artikel 3.114</w:t>
      </w:r>
    </w:p>
    <w:p w:rsidR="00296032" w:rsidRPr="00620047" w:rsidRDefault="00296032">
      <w:pPr>
        <w:pStyle w:val="art1enivo"/>
        <w:rPr>
          <w:rFonts w:cs="Arial"/>
        </w:rPr>
      </w:pPr>
      <w:r w:rsidRPr="00620047">
        <w:rPr>
          <w:rFonts w:cs="Arial"/>
        </w:rPr>
        <w:t>1.</w:t>
      </w:r>
      <w:r w:rsidRPr="00620047">
        <w:rPr>
          <w:rFonts w:cs="Arial"/>
        </w:rPr>
        <w:tab/>
        <w:t>Binnen een inrichting waar landbouwhuisdieren worden gehouden in een dierenverblijf dat is gelegen binnen een zeer kwetsbaar gebied of in een zone van 250 meter rondom een zodanig gebied, vindt het uitbreiden van het aantal landbouwhuisdieren van een of meer diercategorieën niet plaats, tenzij:</w:t>
      </w:r>
    </w:p>
    <w:p w:rsidR="00296032" w:rsidRPr="00620047" w:rsidRDefault="00296032">
      <w:pPr>
        <w:pStyle w:val="art2enivo"/>
        <w:rPr>
          <w:rFonts w:cs="Arial"/>
        </w:rPr>
      </w:pPr>
      <w:r w:rsidRPr="00620047">
        <w:rPr>
          <w:rFonts w:cs="Arial"/>
        </w:rPr>
        <w:t>a.</w:t>
      </w:r>
      <w:r w:rsidRPr="00620047">
        <w:rPr>
          <w:rFonts w:cs="Arial"/>
        </w:rPr>
        <w:tab/>
        <w:t>de ammoniakemissie na de uitbreiding niet meer bedraagt dan de ammoniakemissie uit de tot de inrichting behorende dierenverblijven die de inrichting:</w:t>
      </w:r>
    </w:p>
    <w:p w:rsidR="00296032" w:rsidRPr="00620047" w:rsidRDefault="00296032">
      <w:pPr>
        <w:pStyle w:val="art3enivo"/>
      </w:pPr>
      <w:r w:rsidRPr="00620047">
        <w:t>1°.</w:t>
      </w:r>
      <w:r w:rsidRPr="00620047">
        <w:tab/>
        <w:t>voorafgaand aan de uitbreiding zou mogen veroorzaken, indien de emissie per dierplaats gelijk zou zijn aan de maximale emissiewaarde, of</w:t>
      </w:r>
    </w:p>
    <w:p w:rsidR="00296032" w:rsidRPr="00620047" w:rsidRDefault="00296032">
      <w:pPr>
        <w:pStyle w:val="art3enivo"/>
      </w:pPr>
      <w:r w:rsidRPr="00620047">
        <w:t>2°.</w:t>
      </w:r>
      <w:r w:rsidRPr="00620047">
        <w:tab/>
        <w:t>voorafgaand aan de uitbreiding mocht veroorzaken, indien deze lager is dan de ammoniakemissie als bedoeld onder 1°;</w:t>
      </w:r>
    </w:p>
    <w:p w:rsidR="00296032" w:rsidRPr="00620047" w:rsidRDefault="00296032">
      <w:pPr>
        <w:pStyle w:val="art2enivo"/>
        <w:rPr>
          <w:rFonts w:cs="Arial"/>
        </w:rPr>
      </w:pPr>
      <w:r w:rsidRPr="00620047">
        <w:rPr>
          <w:rFonts w:cs="Arial"/>
        </w:rPr>
        <w:t>b.</w:t>
      </w:r>
      <w:r w:rsidRPr="00620047">
        <w:rPr>
          <w:rFonts w:cs="Arial"/>
        </w:rPr>
        <w:tab/>
        <w:t>in de inrichting op 31 december 2001 melkrundvee werd gehouden, de uitbreiding uitsluitend melkrundvee betreft en de ammoniakemissie na de uitbreiding niet meer bedraagt dan de ammoniakemissie die een melkrundveehouderij met 200 stuks melkvee en 140 stuks vrouwelijk jongvee in geval van oprichting zou veroorzaken, indien de ammoniakemissie per dierplaats gelijk zou zijn aan de maximale emissiewaarde;</w:t>
      </w:r>
    </w:p>
    <w:p w:rsidR="00296032" w:rsidRPr="00620047" w:rsidRDefault="00296032">
      <w:pPr>
        <w:pStyle w:val="art2enivo"/>
        <w:rPr>
          <w:rFonts w:cs="Arial"/>
        </w:rPr>
      </w:pPr>
      <w:r w:rsidRPr="00620047">
        <w:rPr>
          <w:rFonts w:cs="Arial"/>
        </w:rPr>
        <w:t>c.</w:t>
      </w:r>
      <w:r w:rsidRPr="00620047">
        <w:rPr>
          <w:rFonts w:cs="Arial"/>
        </w:rPr>
        <w:tab/>
        <w:t>de uitbreiding schapen of paarden betreft;</w:t>
      </w:r>
    </w:p>
    <w:p w:rsidR="00296032" w:rsidRPr="00620047" w:rsidRDefault="00296032">
      <w:pPr>
        <w:pStyle w:val="art2enivo"/>
        <w:rPr>
          <w:rFonts w:cs="Arial"/>
        </w:rPr>
      </w:pPr>
      <w:r w:rsidRPr="00620047">
        <w:rPr>
          <w:rFonts w:cs="Arial"/>
        </w:rPr>
        <w:t>d.</w:t>
      </w:r>
      <w:r w:rsidRPr="00620047">
        <w:rPr>
          <w:rFonts w:cs="Arial"/>
        </w:rPr>
        <w:tab/>
        <w:t>de uitbreiding dieren betreft die worden gehouden overeenkomstig de regels die krachtens artikel 2 van de Landbouwkwaliteitswet zijn gesteld ten aanzien van de biologische productiemethoden, of</w:t>
      </w:r>
    </w:p>
    <w:p w:rsidR="00296032" w:rsidRPr="00620047" w:rsidRDefault="00296032">
      <w:pPr>
        <w:pStyle w:val="art2enivo"/>
        <w:rPr>
          <w:rFonts w:cs="Arial"/>
        </w:rPr>
      </w:pPr>
      <w:r w:rsidRPr="00620047">
        <w:rPr>
          <w:rFonts w:cs="Arial"/>
        </w:rPr>
        <w:t>e.</w:t>
      </w:r>
      <w:r w:rsidRPr="00620047">
        <w:rPr>
          <w:rFonts w:cs="Arial"/>
        </w:rPr>
        <w:tab/>
        <w:t>de uitbreiding dieren betreft die worden gehouden uitsluitend of in hoofdzaak ten behoeve van natuurbeheer.</w:t>
      </w:r>
    </w:p>
    <w:p w:rsidR="00296032" w:rsidRPr="00620047" w:rsidRDefault="00296032">
      <w:pPr>
        <w:pStyle w:val="art1enivo"/>
        <w:rPr>
          <w:rFonts w:cs="Arial"/>
        </w:rPr>
      </w:pPr>
      <w:r w:rsidRPr="00620047">
        <w:rPr>
          <w:rFonts w:cs="Arial"/>
        </w:rPr>
        <w:t>2.</w:t>
      </w:r>
      <w:r w:rsidRPr="00620047">
        <w:rPr>
          <w:rFonts w:cs="Arial"/>
        </w:rPr>
        <w:tab/>
        <w:t>Het eerste lid is van overeenkomstige toepassing op het zodanig wijzigen van een huisvestingssysteem dat de ammoniakemissie per dierplaats toeneemt, tenzij de wijziging bestaat uit een aanpassing van het systeem die noodzakelijk is op grond van de wettelijke voorschriften op het gebied van dierenwelzijn en slechts voor zover het aantal dierplaatsen niet wordt uitgebreid.</w:t>
      </w:r>
    </w:p>
    <w:p w:rsidR="00296032" w:rsidRPr="00620047" w:rsidRDefault="00296032">
      <w:pPr>
        <w:pStyle w:val="art1enivo"/>
      </w:pPr>
      <w:r w:rsidRPr="00620047">
        <w:t>3.</w:t>
      </w:r>
      <w:r w:rsidRPr="00620047">
        <w:tab/>
        <w:t>Voor het bepalen van de ammoniakemissie uit de dierenverblijven die de inrichting voorafgaand aan de uitbreiding, bedoeld in het eerste lid, zou mogen veroorzaken, worden de ammoniakemissie van de dieren waarvoor eerder een vergunning is verleend met toepassing van artikel 5, eerste lid, onderdelen c tot en met f, dan wel artikel 7, eerste lid, onderdelen b tot en met e, van de Wet ammoniak en veehouderij, en de ammoniakemissie van de dieren waarmee de inrichting op grond van het eerste lid, onderdelen b, c, d of e, is uitgebreid, niet meegerekend.</w:t>
      </w:r>
    </w:p>
    <w:p w:rsidR="00296032" w:rsidRPr="00620047" w:rsidRDefault="00296032"/>
    <w:p w:rsidR="00296032" w:rsidRPr="00296032" w:rsidRDefault="00296032">
      <w:pPr>
        <w:pStyle w:val="artikelkop"/>
      </w:pPr>
      <w:r w:rsidRPr="00296032">
        <w:t>Artikel 3.114a</w:t>
      </w:r>
    </w:p>
    <w:p w:rsidR="00296032" w:rsidRPr="00620047" w:rsidRDefault="00296032"/>
    <w:p w:rsidR="00296032" w:rsidRPr="00620047" w:rsidRDefault="00296032">
      <w:pPr>
        <w:pStyle w:val="artplat"/>
      </w:pPr>
      <w:r w:rsidRPr="00620047">
        <w:t>Totdat met betrekking tot een inrichting die een activiteit uitvoert als bedoeld in artikel 3.111 waarvan een tot de inrichting behorend dierenverblijf geheel of gedeeltelijk is gelegen binnen een zeer kwetsbaar gebied of in een zone van 250 meter rondom een zodanig gebied een wijziging waarop artikel 3.113 of artikel 3.114 van toepassing is, is gemeld, worden binnen de inrichting niet meer landbouwhuisdieren per diercategorie gehouden en is de ammoniakemissie niet groter dan:</w:t>
      </w:r>
    </w:p>
    <w:p w:rsidR="00296032" w:rsidRPr="00620047" w:rsidRDefault="00296032">
      <w:pPr>
        <w:pStyle w:val="artplatletter"/>
      </w:pPr>
      <w:r w:rsidRPr="00620047">
        <w:t xml:space="preserve">a. </w:t>
      </w:r>
      <w:r w:rsidRPr="00620047">
        <w:tab/>
        <w:t>op grond van een vergunning als bedoeld in artikel 2.1, eerste lid, aanhef en onder e, van de Wet algemene bepalingen omgevingsrecht mochten worden gehouden, onderscheidenlijk mocht worden veroorzaakt tot het tijdstip waarop dit besluit op de inrichting van toepassing werd, of</w:t>
      </w:r>
    </w:p>
    <w:p w:rsidR="00296032" w:rsidRPr="00620047" w:rsidRDefault="00296032">
      <w:pPr>
        <w:pStyle w:val="artplatletter"/>
      </w:pPr>
      <w:r w:rsidRPr="00620047">
        <w:t xml:space="preserve">b. </w:t>
      </w:r>
      <w:r w:rsidRPr="00620047">
        <w:tab/>
        <w:t>op grond van de betrokken algemene maatregel van bestuur mochten worden gehouden, onderscheidenlijk mocht worden veroorzaakt, tot het van toepassing worden van dit besluit op de inrichting en waarvan in geval van oprichting of wijziging van de inrichting een melding als bedoeld in artikel 8.41, eerste lid, van de Wet milieubeheer was gedaan.</w:t>
      </w:r>
    </w:p>
    <w:p w:rsidR="00296032" w:rsidRPr="00296032" w:rsidRDefault="00296032">
      <w:pPr>
        <w:pStyle w:val="artikelkop"/>
      </w:pPr>
      <w:r w:rsidRPr="00296032">
        <w:t>Artikel 3.115</w:t>
      </w:r>
    </w:p>
    <w:p w:rsidR="00296032" w:rsidRPr="00620047" w:rsidRDefault="00296032">
      <w:pPr>
        <w:pStyle w:val="art1enivo"/>
        <w:rPr>
          <w:rFonts w:cs="Arial"/>
        </w:rPr>
      </w:pPr>
      <w:r w:rsidRPr="00620047">
        <w:rPr>
          <w:rFonts w:cs="Arial"/>
        </w:rPr>
        <w:t>1.</w:t>
      </w:r>
      <w:r w:rsidRPr="00620047">
        <w:rPr>
          <w:rFonts w:cs="Arial"/>
        </w:rPr>
        <w:tab/>
        <w:t>Het oprichten, uitbreiden, of wijzigen van een dierenverblijf met dieren met geuremissiefactor is verboden, indien de geurbelasting die de inrichting vanwege dierenverblijven waar dieren met geuremissiefactor worden gehouden veroorzaakt, op geurgevoelige objecten die zijn gelegen in de gebieden, bedoeld in tabel 3.115, na de oprichting, uitbreiding of wijziging meer bedraagt dan de in die tabel aangegeven waarden.</w:t>
      </w:r>
    </w:p>
    <w:p w:rsidR="00296032" w:rsidRPr="00620047" w:rsidRDefault="00296032">
      <w:pPr>
        <w:pStyle w:val="art2enivo"/>
        <w:rPr>
          <w:rFonts w:cs="Arial"/>
        </w:rPr>
      </w:pPr>
    </w:p>
    <w:p w:rsidR="00296032" w:rsidRPr="00620047" w:rsidRDefault="00296032">
      <w:pPr>
        <w:pStyle w:val="art2enivo"/>
        <w:rPr>
          <w:rFonts w:cs="Arial"/>
        </w:rPr>
      </w:pPr>
      <w:r w:rsidRPr="00620047">
        <w:rPr>
          <w:rFonts w:cs="Arial"/>
          <w:b/>
        </w:rPr>
        <w:t xml:space="preserve">Tabel 3.115 </w:t>
      </w:r>
      <w:r w:rsidRPr="00620047">
        <w:rPr>
          <w:rFonts w:cs="Arial"/>
        </w:rPr>
        <w:t>geurbelasting ouE/m3 (odour units per kubieke meter lucht)</w:t>
      </w:r>
    </w:p>
    <w:p w:rsidR="00296032" w:rsidRPr="00620047" w:rsidRDefault="00296032">
      <w:pPr>
        <w:spacing w:line="260" w:lineRule="exact"/>
        <w:ind w:left="426"/>
        <w:rPr>
          <w:rFonts w:cs="Arial"/>
          <w:sz w:val="18"/>
          <w:szCs w:val="18"/>
        </w:rPr>
      </w:pPr>
    </w:p>
    <w:tbl>
      <w:tblPr>
        <w:tblW w:w="8505" w:type="dxa"/>
        <w:tblInd w:w="5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0A0" w:firstRow="1" w:lastRow="0" w:firstColumn="1" w:lastColumn="0" w:noHBand="0" w:noVBand="0"/>
      </w:tblPr>
      <w:tblGrid>
        <w:gridCol w:w="2551"/>
        <w:gridCol w:w="3119"/>
        <w:gridCol w:w="2835"/>
      </w:tblGrid>
      <w:tr w:rsidR="00296032" w:rsidRPr="00620047">
        <w:trPr>
          <w:tblHeader/>
        </w:trPr>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108" w:type="dxa"/>
              <w:bottom w:w="0" w:type="dxa"/>
              <w:right w:w="108" w:type="dxa"/>
            </w:tcMar>
            <w:hideMark/>
          </w:tcPr>
          <w:p w:rsidR="00296032" w:rsidRPr="00620047" w:rsidRDefault="00296032">
            <w:pPr>
              <w:rPr>
                <w:rFonts w:cs="Arial"/>
                <w:b/>
              </w:rPr>
            </w:pPr>
            <w:r w:rsidRPr="00620047">
              <w:rPr>
                <w:rFonts w:cs="Arial"/>
                <w:b/>
              </w:rPr>
              <w:t>(P98)</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108" w:type="dxa"/>
              <w:bottom w:w="0" w:type="dxa"/>
              <w:right w:w="108" w:type="dxa"/>
            </w:tcMar>
            <w:hideMark/>
          </w:tcPr>
          <w:p w:rsidR="00296032" w:rsidRPr="00620047" w:rsidRDefault="00296032">
            <w:pPr>
              <w:rPr>
                <w:rFonts w:cs="Arial"/>
                <w:b/>
              </w:rPr>
            </w:pPr>
            <w:r w:rsidRPr="00620047">
              <w:rPr>
                <w:rFonts w:cs="Arial"/>
                <w:b/>
              </w:rPr>
              <w:t>niet-concentratiegebied</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108" w:type="dxa"/>
              <w:bottom w:w="0" w:type="dxa"/>
              <w:right w:w="108" w:type="dxa"/>
            </w:tcMar>
            <w:hideMark/>
          </w:tcPr>
          <w:p w:rsidR="00296032" w:rsidRPr="00620047" w:rsidRDefault="00296032">
            <w:pPr>
              <w:rPr>
                <w:rFonts w:cs="Arial"/>
                <w:b/>
              </w:rPr>
            </w:pPr>
            <w:r w:rsidRPr="00620047">
              <w:rPr>
                <w:rFonts w:cs="Arial"/>
                <w:b/>
              </w:rPr>
              <w:t>concentratiegebied</w:t>
            </w:r>
          </w:p>
        </w:tc>
      </w:tr>
      <w:tr w:rsidR="00296032" w:rsidRPr="00620047">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108" w:type="dxa"/>
              <w:bottom w:w="0" w:type="dxa"/>
              <w:right w:w="108" w:type="dxa"/>
            </w:tcMar>
            <w:hideMark/>
          </w:tcPr>
          <w:p w:rsidR="00296032" w:rsidRPr="00620047" w:rsidRDefault="00296032">
            <w:pPr>
              <w:rPr>
                <w:rFonts w:cs="Arial"/>
              </w:rPr>
            </w:pPr>
            <w:r w:rsidRPr="00620047">
              <w:rPr>
                <w:rFonts w:cs="Arial"/>
              </w:rPr>
              <w:t>bebouwde kom</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108" w:type="dxa"/>
              <w:bottom w:w="0" w:type="dxa"/>
              <w:right w:w="108" w:type="dxa"/>
            </w:tcMar>
            <w:hideMark/>
          </w:tcPr>
          <w:p w:rsidR="00296032" w:rsidRPr="00620047" w:rsidRDefault="00296032">
            <w:pPr>
              <w:rPr>
                <w:rFonts w:cs="Arial"/>
              </w:rPr>
            </w:pPr>
            <w:r w:rsidRPr="00620047">
              <w:rPr>
                <w:rFonts w:cs="Arial"/>
              </w:rPr>
              <w:t>2,0</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108" w:type="dxa"/>
              <w:bottom w:w="0" w:type="dxa"/>
              <w:right w:w="108" w:type="dxa"/>
            </w:tcMar>
            <w:hideMark/>
          </w:tcPr>
          <w:p w:rsidR="00296032" w:rsidRPr="00620047" w:rsidRDefault="00296032">
            <w:pPr>
              <w:rPr>
                <w:rFonts w:cs="Arial"/>
              </w:rPr>
            </w:pPr>
            <w:r w:rsidRPr="00620047">
              <w:rPr>
                <w:rFonts w:cs="Arial"/>
              </w:rPr>
              <w:t>3,0</w:t>
            </w:r>
          </w:p>
        </w:tc>
      </w:tr>
      <w:tr w:rsidR="00296032" w:rsidRPr="00620047">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108" w:type="dxa"/>
              <w:bottom w:w="0" w:type="dxa"/>
              <w:right w:w="108" w:type="dxa"/>
            </w:tcMar>
            <w:hideMark/>
          </w:tcPr>
          <w:p w:rsidR="00296032" w:rsidRPr="00620047" w:rsidRDefault="00296032">
            <w:pPr>
              <w:rPr>
                <w:rFonts w:cs="Arial"/>
              </w:rPr>
            </w:pPr>
            <w:r w:rsidRPr="00620047">
              <w:rPr>
                <w:rFonts w:cs="Arial"/>
              </w:rPr>
              <w:t>buiten bebouwde kom</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108" w:type="dxa"/>
              <w:bottom w:w="0" w:type="dxa"/>
              <w:right w:w="108" w:type="dxa"/>
            </w:tcMar>
            <w:hideMark/>
          </w:tcPr>
          <w:p w:rsidR="00296032" w:rsidRPr="00620047" w:rsidRDefault="00296032">
            <w:pPr>
              <w:rPr>
                <w:rFonts w:cs="Arial"/>
              </w:rPr>
            </w:pPr>
            <w:r w:rsidRPr="00620047">
              <w:rPr>
                <w:rFonts w:cs="Arial"/>
              </w:rPr>
              <w:t>8,0</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108" w:type="dxa"/>
              <w:bottom w:w="0" w:type="dxa"/>
              <w:right w:w="108" w:type="dxa"/>
            </w:tcMar>
            <w:hideMark/>
          </w:tcPr>
          <w:p w:rsidR="00296032" w:rsidRPr="00620047" w:rsidRDefault="00296032">
            <w:pPr>
              <w:rPr>
                <w:rFonts w:cs="Arial"/>
              </w:rPr>
            </w:pPr>
            <w:r w:rsidRPr="00620047">
              <w:rPr>
                <w:rFonts w:cs="Arial"/>
              </w:rPr>
              <w:t>14,0</w:t>
            </w:r>
          </w:p>
        </w:tc>
      </w:tr>
    </w:tbl>
    <w:p w:rsidR="00296032" w:rsidRPr="00620047" w:rsidRDefault="00296032">
      <w:pPr>
        <w:spacing w:line="260" w:lineRule="exact"/>
        <w:rPr>
          <w:rFonts w:cs="Arial"/>
          <w:sz w:val="18"/>
          <w:szCs w:val="18"/>
        </w:rPr>
      </w:pPr>
    </w:p>
    <w:p w:rsidR="00296032" w:rsidRPr="00620047" w:rsidRDefault="00296032">
      <w:pPr>
        <w:pStyle w:val="art1enivo"/>
        <w:rPr>
          <w:rFonts w:cs="Arial"/>
        </w:rPr>
      </w:pPr>
      <w:r w:rsidRPr="00620047">
        <w:rPr>
          <w:rFonts w:cs="Arial"/>
        </w:rPr>
        <w:t>2.</w:t>
      </w:r>
      <w:r w:rsidRPr="00620047">
        <w:rPr>
          <w:rFonts w:cs="Arial"/>
        </w:rPr>
        <w:tab/>
        <w:t>Het eerste lid is niet van toepassing:</w:t>
      </w:r>
    </w:p>
    <w:p w:rsidR="00296032" w:rsidRPr="00620047" w:rsidRDefault="00296032">
      <w:pPr>
        <w:pStyle w:val="art2enivo"/>
        <w:rPr>
          <w:rFonts w:cs="Arial"/>
        </w:rPr>
      </w:pPr>
      <w:r w:rsidRPr="00620047">
        <w:rPr>
          <w:rFonts w:cs="Arial"/>
        </w:rPr>
        <w:t>a.</w:t>
      </w:r>
      <w:r w:rsidRPr="00620047">
        <w:rPr>
          <w:rFonts w:cs="Arial"/>
        </w:rPr>
        <w:tab/>
        <w:t>indien het geurgevoelig object een object als bedoeld in artikel 3.116, eerste lid, onderdelen a, b of c, of tweede lid, is</w:t>
      </w:r>
      <w:r w:rsidR="00287D56">
        <w:rPr>
          <w:rFonts w:cs="Arial"/>
        </w:rPr>
        <w:t>;</w:t>
      </w:r>
    </w:p>
    <w:p w:rsidR="00296032" w:rsidRPr="00620047" w:rsidRDefault="00296032">
      <w:pPr>
        <w:pStyle w:val="art2enivo"/>
        <w:rPr>
          <w:rFonts w:cs="Arial"/>
        </w:rPr>
      </w:pPr>
      <w:r w:rsidRPr="00620047">
        <w:rPr>
          <w:rFonts w:cs="Arial"/>
        </w:rPr>
        <w:t>b.</w:t>
      </w:r>
      <w:r w:rsidRPr="00620047">
        <w:rPr>
          <w:rFonts w:cs="Arial"/>
        </w:rPr>
        <w:tab/>
        <w:t>op de uitbreiding van een dierenverblijf indien een geurbelastingreducerende maatregel wordt toegepast en de totale geurbelasting na de uitbreiding niet meer bedraagt dan het gemiddelde van de bij de betreffende situatie behorende waarde uit tabel 3.115 en de geurbelasting die de inrichting voorafgaand aan het toepassen van de maatregel veroorzaakte, of</w:t>
      </w:r>
    </w:p>
    <w:p w:rsidR="00296032" w:rsidRPr="00620047" w:rsidRDefault="00296032">
      <w:pPr>
        <w:pStyle w:val="art2enivo"/>
        <w:rPr>
          <w:rFonts w:cs="Arial"/>
        </w:rPr>
      </w:pPr>
      <w:r w:rsidRPr="00620047">
        <w:rPr>
          <w:rFonts w:cs="Arial"/>
        </w:rPr>
        <w:t>c.</w:t>
      </w:r>
      <w:r w:rsidRPr="00620047">
        <w:rPr>
          <w:rFonts w:cs="Arial"/>
        </w:rPr>
        <w:tab/>
        <w:t>indien bij de oprichting, uitbreiding of wijziging van een dierenverblijf de geurbelasting die de inrichting op enig geurgevoelig object veroorzaakt, niet toeneemt en het aantal dieren per diercategorie met geuremissiefactor binnen de inrichting niet toeneemt.</w:t>
      </w:r>
    </w:p>
    <w:p w:rsidR="00296032" w:rsidRPr="00296032" w:rsidRDefault="00296032">
      <w:pPr>
        <w:pStyle w:val="artikelkop"/>
        <w:rPr>
          <w:rFonts w:cs="Arial"/>
        </w:rPr>
      </w:pPr>
      <w:r w:rsidRPr="00296032">
        <w:rPr>
          <w:rFonts w:cs="Arial"/>
        </w:rPr>
        <w:t>Artikel 3.116</w:t>
      </w:r>
    </w:p>
    <w:p w:rsidR="00296032" w:rsidRPr="00620047" w:rsidRDefault="00296032">
      <w:pPr>
        <w:pStyle w:val="art1enivo"/>
        <w:rPr>
          <w:rFonts w:cs="Arial"/>
        </w:rPr>
      </w:pPr>
      <w:r w:rsidRPr="00620047">
        <w:rPr>
          <w:rFonts w:cs="Arial"/>
        </w:rPr>
        <w:t>1.</w:t>
      </w:r>
      <w:r w:rsidRPr="00620047">
        <w:rPr>
          <w:rFonts w:cs="Arial"/>
        </w:rPr>
        <w:tab/>
        <w:t>Het oprichten, uitbreiden of wijzigen van een dierenverblijf met dieren met geuremissiefactor vindt niet plaats, indien na de oprichting, uitbreiding of wijziging de afstand tussen het dierenverblijf en:</w:t>
      </w:r>
    </w:p>
    <w:p w:rsidR="00296032" w:rsidRPr="00620047" w:rsidRDefault="00296032">
      <w:pPr>
        <w:pStyle w:val="art2enivo"/>
        <w:rPr>
          <w:rFonts w:cs="Arial"/>
        </w:rPr>
      </w:pPr>
      <w:r w:rsidRPr="00620047">
        <w:rPr>
          <w:rFonts w:cs="Arial"/>
        </w:rPr>
        <w:t>a.</w:t>
      </w:r>
      <w:r w:rsidRPr="00620047">
        <w:rPr>
          <w:rFonts w:cs="Arial"/>
        </w:rPr>
        <w:tab/>
        <w:t>een geurgevoelig object dat deel uitmaakt van een andere veehouderij;</w:t>
      </w:r>
    </w:p>
    <w:p w:rsidR="00296032" w:rsidRPr="00620047" w:rsidRDefault="00296032">
      <w:pPr>
        <w:pStyle w:val="art2enivo"/>
        <w:rPr>
          <w:rFonts w:cs="Arial"/>
        </w:rPr>
      </w:pPr>
      <w:r w:rsidRPr="00620047">
        <w:rPr>
          <w:rFonts w:cs="Arial"/>
        </w:rPr>
        <w:t>b.</w:t>
      </w:r>
      <w:r w:rsidRPr="00620047">
        <w:rPr>
          <w:rFonts w:cs="Arial"/>
        </w:rPr>
        <w:tab/>
        <w:t>een geurgevoelig object dat op of na 19 maart 2000 heeft opgehouden deel uit te maken van een andere veehouderij, of</w:t>
      </w:r>
    </w:p>
    <w:p w:rsidR="00296032" w:rsidRPr="00620047" w:rsidRDefault="00296032">
      <w:pPr>
        <w:pStyle w:val="art2enivo"/>
        <w:rPr>
          <w:rFonts w:cs="Arial"/>
        </w:rPr>
      </w:pPr>
      <w:r w:rsidRPr="00620047">
        <w:rPr>
          <w:rFonts w:cs="Arial"/>
        </w:rPr>
        <w:t>c.</w:t>
      </w:r>
      <w:r w:rsidRPr="00620047">
        <w:rPr>
          <w:rFonts w:cs="Arial"/>
        </w:rPr>
        <w:tab/>
        <w:t>een woning die op of na 19 maart 2000 is gebouwd:</w:t>
      </w:r>
    </w:p>
    <w:p w:rsidR="00296032" w:rsidRPr="00620047" w:rsidRDefault="00296032">
      <w:pPr>
        <w:pStyle w:val="art3enivo"/>
      </w:pPr>
      <w:r w:rsidRPr="00620047">
        <w:t>1°.</w:t>
      </w:r>
      <w:r w:rsidRPr="00620047">
        <w:tab/>
        <w:t>op een kavel die op dat tijdstip in gebruik was als veehouderij;</w:t>
      </w:r>
    </w:p>
    <w:p w:rsidR="00296032" w:rsidRPr="00620047" w:rsidRDefault="00296032">
      <w:pPr>
        <w:pStyle w:val="art3enivo"/>
      </w:pPr>
      <w:r w:rsidRPr="00620047">
        <w:t>2°.</w:t>
      </w:r>
      <w:r w:rsidRPr="00620047">
        <w:tab/>
        <w:t>in samenhang met het geheel of gedeeltelijk buiten werking stellen van de veehouderij, en</w:t>
      </w:r>
    </w:p>
    <w:p w:rsidR="00296032" w:rsidRPr="00620047" w:rsidRDefault="00296032">
      <w:pPr>
        <w:pStyle w:val="art3enivo"/>
      </w:pPr>
      <w:r w:rsidRPr="00620047">
        <w:t>3°.</w:t>
      </w:r>
      <w:r w:rsidRPr="00620047">
        <w:tab/>
        <w:t>in samenhang met de sloop van de bedrijfsgebouwen die onderdeel hebben uitgemaakt van de veehouderij:</w:t>
      </w:r>
    </w:p>
    <w:p w:rsidR="00296032" w:rsidRPr="00620047" w:rsidRDefault="00296032">
      <w:pPr>
        <w:pStyle w:val="artplatletter"/>
        <w:rPr>
          <w:rFonts w:cs="Arial"/>
        </w:rPr>
      </w:pPr>
      <w:r w:rsidRPr="00620047">
        <w:rPr>
          <w:rFonts w:cs="Arial"/>
        </w:rPr>
        <w:tab/>
        <w:t>minder dan 100 meter bedraagt, indien het object, bedoeld in onderdeel a, b of c, binnen de bebouwde kom is gelegen, of</w:t>
      </w:r>
    </w:p>
    <w:p w:rsidR="00296032" w:rsidRPr="00620047" w:rsidRDefault="00296032">
      <w:pPr>
        <w:pStyle w:val="artplatletter"/>
        <w:rPr>
          <w:rFonts w:cs="Arial"/>
        </w:rPr>
      </w:pPr>
      <w:r w:rsidRPr="00620047">
        <w:rPr>
          <w:rFonts w:cs="Arial"/>
        </w:rPr>
        <w:tab/>
        <w:t>minder dan 50 meter bedraagt, indien het object, bedoeld in onderdeel a, b of c, buiten de bebouwde kom is gelegen.</w:t>
      </w:r>
    </w:p>
    <w:p w:rsidR="00296032" w:rsidRPr="00620047" w:rsidRDefault="00296032">
      <w:pPr>
        <w:pStyle w:val="art1enivo"/>
        <w:rPr>
          <w:rFonts w:cs="Arial"/>
        </w:rPr>
      </w:pPr>
      <w:r w:rsidRPr="00620047">
        <w:rPr>
          <w:rFonts w:cs="Arial"/>
        </w:rPr>
        <w:t>2.</w:t>
      </w:r>
      <w:r w:rsidRPr="00620047">
        <w:rPr>
          <w:rFonts w:cs="Arial"/>
        </w:rPr>
        <w:tab/>
        <w:t xml:space="preserve"> Het eerste lid is van overeenkomstige toepassing op een geurgevoelig object dat op de kavel, bedoeld in onderdeel c van dat lid, aanwezig is. </w:t>
      </w:r>
    </w:p>
    <w:p w:rsidR="00296032" w:rsidRPr="00620047" w:rsidRDefault="00296032">
      <w:pPr>
        <w:pStyle w:val="art1enivo"/>
        <w:rPr>
          <w:rFonts w:cs="Arial"/>
        </w:rPr>
      </w:pPr>
      <w:r w:rsidRPr="00620047">
        <w:rPr>
          <w:rFonts w:cs="Arial"/>
        </w:rPr>
        <w:t>3.</w:t>
      </w:r>
      <w:r w:rsidRPr="00620047">
        <w:rPr>
          <w:rFonts w:cs="Arial"/>
        </w:rPr>
        <w:tab/>
        <w:t>Het eerste lid is niet van toepassing indien de geurbelasting op het object, bedoeld in de onderdelen a, b of c van dat lid, lager is dan de waarde die volgens artikel 3.115, eerste lid, geldt voor het gebied waarin dat object ligt.</w:t>
      </w:r>
    </w:p>
    <w:p w:rsidR="00296032" w:rsidRPr="00620047" w:rsidRDefault="00296032">
      <w:pPr>
        <w:pStyle w:val="art1enivo"/>
        <w:rPr>
          <w:rFonts w:cs="Arial"/>
        </w:rPr>
      </w:pPr>
      <w:r w:rsidRPr="00620047">
        <w:rPr>
          <w:rFonts w:cs="Arial"/>
        </w:rPr>
        <w:t>4.</w:t>
      </w:r>
      <w:r w:rsidRPr="00620047">
        <w:rPr>
          <w:rFonts w:cs="Arial"/>
        </w:rPr>
        <w:tab/>
        <w:t>Het eerste lid is eveneens niet van toepassing als bij de oprichting, uitbreiding of wijziging van een dierenverblijf de geurbelasting op een geurgevoelig object niet toeneemt, het aantal dieren per diercategorie met geuremissiefactor binnen de inrichting niet toeneemt en de afstand van het dierenverblijf tot een geurgevoelig object niet afneemt.</w:t>
      </w:r>
    </w:p>
    <w:p w:rsidR="00296032" w:rsidRPr="00296032" w:rsidRDefault="00296032">
      <w:pPr>
        <w:pStyle w:val="artikelkop"/>
        <w:rPr>
          <w:rFonts w:cs="Arial"/>
        </w:rPr>
      </w:pPr>
      <w:r w:rsidRPr="00296032">
        <w:rPr>
          <w:rFonts w:cs="Arial"/>
        </w:rPr>
        <w:t>Artikel 3.117</w:t>
      </w:r>
    </w:p>
    <w:p w:rsidR="00296032" w:rsidRPr="00620047" w:rsidRDefault="00296032">
      <w:pPr>
        <w:pStyle w:val="art1enivo"/>
        <w:rPr>
          <w:rFonts w:cs="Arial"/>
        </w:rPr>
      </w:pPr>
      <w:r w:rsidRPr="00620047">
        <w:rPr>
          <w:rFonts w:cs="Arial"/>
        </w:rPr>
        <w:t>1.</w:t>
      </w:r>
      <w:r w:rsidRPr="00620047">
        <w:rPr>
          <w:rFonts w:cs="Arial"/>
        </w:rPr>
        <w:tab/>
        <w:t>Het oprichten, uitbreiden of wijzigen van een dierenverblijf met dieren zonder geuremissiefactor vindt niet plaats, indien de afstand tussen enig binnen de inrichting gelegen dierenverblijf waar dieren zonder geuremissiefactor worden gehouden en een geurgevoelig object, na de oprichting, uitbreiding of wijziging:</w:t>
      </w:r>
    </w:p>
    <w:p w:rsidR="00296032" w:rsidRPr="00620047" w:rsidRDefault="00296032">
      <w:pPr>
        <w:pStyle w:val="art2enivo"/>
        <w:rPr>
          <w:rFonts w:cs="Arial"/>
        </w:rPr>
      </w:pPr>
      <w:r w:rsidRPr="00620047">
        <w:rPr>
          <w:rFonts w:cs="Arial"/>
        </w:rPr>
        <w:t>a.</w:t>
      </w:r>
      <w:r w:rsidRPr="00620047">
        <w:rPr>
          <w:rFonts w:cs="Arial"/>
        </w:rPr>
        <w:tab/>
        <w:t>minder dan 100 meter bedraagt, indien het geurgevoelige object binnen de bebouwde kom is gelegen, of</w:t>
      </w:r>
    </w:p>
    <w:p w:rsidR="00296032" w:rsidRPr="00620047" w:rsidRDefault="00296032">
      <w:pPr>
        <w:pStyle w:val="art2enivo"/>
        <w:rPr>
          <w:rFonts w:cs="Arial"/>
        </w:rPr>
      </w:pPr>
      <w:r w:rsidRPr="00620047">
        <w:rPr>
          <w:rFonts w:cs="Arial"/>
        </w:rPr>
        <w:t>b.</w:t>
      </w:r>
      <w:r w:rsidRPr="00620047">
        <w:rPr>
          <w:rFonts w:cs="Arial"/>
        </w:rPr>
        <w:tab/>
        <w:t>minder dan 50 meter bedraagt, indien het geurgevoelige object buiten de bebouwde kom is gelegen.</w:t>
      </w:r>
    </w:p>
    <w:p w:rsidR="00296032" w:rsidRPr="00620047" w:rsidRDefault="00296032">
      <w:pPr>
        <w:pStyle w:val="art1enivo"/>
        <w:rPr>
          <w:rFonts w:cs="Arial"/>
        </w:rPr>
      </w:pPr>
      <w:r w:rsidRPr="00620047">
        <w:rPr>
          <w:rFonts w:cs="Arial"/>
        </w:rPr>
        <w:t>2.</w:t>
      </w:r>
      <w:r w:rsidRPr="00620047">
        <w:rPr>
          <w:rFonts w:cs="Arial"/>
        </w:rPr>
        <w:tab/>
        <w:t>Het eerste lid is niet van toepassing als bij de oprichting, uitbreiding of wijziging van een dierenverblijf het aantal dieren per diercategorie zonder geuremissiefactor binnen de inrichting niet toeneemt en de afstand van het dierenverblijf tot een geurgevoelig object niet afneemt, indien die kleiner is dan de afstand, bedoeld in het eerste lid.</w:t>
      </w:r>
    </w:p>
    <w:p w:rsidR="00296032" w:rsidRPr="00296032" w:rsidRDefault="00296032">
      <w:pPr>
        <w:pStyle w:val="artikelkop"/>
        <w:rPr>
          <w:rFonts w:cs="Arial"/>
        </w:rPr>
      </w:pPr>
      <w:r w:rsidRPr="00296032">
        <w:rPr>
          <w:rFonts w:cs="Arial"/>
        </w:rPr>
        <w:t>Artikel 3.118</w:t>
      </w:r>
    </w:p>
    <w:p w:rsidR="00296032" w:rsidRPr="00620047" w:rsidRDefault="00296032">
      <w:pPr>
        <w:pStyle w:val="art1enivo"/>
        <w:rPr>
          <w:rFonts w:cs="Arial"/>
        </w:rPr>
      </w:pPr>
      <w:r w:rsidRPr="00620047">
        <w:rPr>
          <w:rFonts w:cs="Arial"/>
        </w:rPr>
        <w:t>1.</w:t>
      </w:r>
      <w:r w:rsidRPr="00620047">
        <w:rPr>
          <w:rFonts w:cs="Arial"/>
        </w:rPr>
        <w:tab/>
        <w:t>De artikelen 3.115 tot en met 3.117 zijn niet van toepassing, voor zover bij verordening op grond van artikel 6 van de Wet geurhinder en veehouderij andere waarden of afstanden zijn vastgesteld. In dat geval vindt het oprichten, uitbreiden of wijzigen van een dierenverblijf niet plaats, indien na die oprichting, uitbreiding of wijziging de geurbelasting die de inrichting vanwege dierenverblijven waar dieren met geuremissiefactor worden gehouden veroorzaakt op geurgevoelige objecten, groter is dan de in de verordening vastgestelde belasting dan wel, indien binnen de inrichting de afstand tussen enig dierenverblijf waar dieren zonder geuremissiefactor worden gehouden en een geurgevoelig object kleiner is dan in de verordening vastgestelde afstand.</w:t>
      </w:r>
    </w:p>
    <w:p w:rsidR="00296032" w:rsidRPr="00620047" w:rsidRDefault="00296032">
      <w:pPr>
        <w:pStyle w:val="art1enivo"/>
        <w:rPr>
          <w:rFonts w:cs="Arial"/>
        </w:rPr>
      </w:pPr>
      <w:r w:rsidRPr="00620047">
        <w:rPr>
          <w:rFonts w:cs="Arial"/>
        </w:rPr>
        <w:t>2.</w:t>
      </w:r>
      <w:r w:rsidRPr="00620047">
        <w:rPr>
          <w:rFonts w:cs="Arial"/>
        </w:rPr>
        <w:tab/>
        <w:t>Artikel 3.115, tweede lid, onderdeel b, is van overeenkomstige toepassing, met dien verstande dat de totale geurbelasting na de uitbreiding niet meer bedraagt dan het gemiddelde van de in de verordening vastgelegde waarde en de geurbelasting die de inrichting voorafgaand aan het toepassen van de maatregel veroorzaakte.</w:t>
      </w:r>
    </w:p>
    <w:p w:rsidR="00296032" w:rsidRPr="00620047" w:rsidRDefault="00296032">
      <w:pPr>
        <w:pStyle w:val="art1enivo"/>
        <w:rPr>
          <w:rFonts w:cs="Arial"/>
        </w:rPr>
      </w:pPr>
      <w:r w:rsidRPr="00620047">
        <w:rPr>
          <w:rFonts w:cs="Arial"/>
        </w:rPr>
        <w:t>3.</w:t>
      </w:r>
      <w:r w:rsidRPr="00620047">
        <w:rPr>
          <w:rFonts w:cs="Arial"/>
        </w:rPr>
        <w:tab/>
        <w:t>De tweede volzin van het eerste lid is niet van toepassing op het oprichten, uitbreiden of wijzigen van een dierenverblijf, indien voorafgaand aan het tijdstip waarop een aanhoudingsbesluit als bedoeld in artikel 7 van de Wet geurhinder en veehouderij is genomen, of indien een dergelijk aanhoudingsbesluit niet is genomen, voor het tijdstip dat een verordening als bedoeld in artikel 6 van die wet is vastgesteld, een vergunning op grond van artikel 2.1, eerste lid, onderdeel e, van de Wet algemene bepalingen omgevingsrecht voor die oprichting of uitbreiding onherroepelijk is geworden.</w:t>
      </w:r>
    </w:p>
    <w:p w:rsidR="00296032" w:rsidRPr="00620047" w:rsidRDefault="00296032">
      <w:pPr>
        <w:pStyle w:val="art1enivo"/>
        <w:rPr>
          <w:rFonts w:cs="Arial"/>
        </w:rPr>
      </w:pPr>
      <w:r w:rsidRPr="00620047">
        <w:rPr>
          <w:rFonts w:cs="Arial"/>
        </w:rPr>
        <w:t>4.</w:t>
      </w:r>
      <w:r w:rsidRPr="00620047">
        <w:rPr>
          <w:rFonts w:cs="Arial"/>
        </w:rPr>
        <w:tab/>
        <w:t>De tweede volzin van het eerste lid is niet van toepassing op het oprichten, uitbreiden of wijzigen van een dierenverblijf, indien:</w:t>
      </w:r>
    </w:p>
    <w:p w:rsidR="00296032" w:rsidRPr="00620047" w:rsidRDefault="00296032">
      <w:pPr>
        <w:pStyle w:val="art2enivo"/>
        <w:rPr>
          <w:rFonts w:cs="Arial"/>
        </w:rPr>
      </w:pPr>
      <w:r w:rsidRPr="00620047">
        <w:rPr>
          <w:rFonts w:cs="Arial"/>
        </w:rPr>
        <w:t>a.</w:t>
      </w:r>
      <w:r w:rsidRPr="00620047">
        <w:rPr>
          <w:rFonts w:cs="Arial"/>
        </w:rPr>
        <w:tab/>
        <w:t>bij een dierenverblijf als bedoeld in artikel 3.115 de geurbelasting die de inrichting op enig geurgevoelig object veroorzaakt niet toeneemt en het aantal dieren per diercategorie met geuremissiefactor binnen de inrichting niet toeneemt;</w:t>
      </w:r>
    </w:p>
    <w:p w:rsidR="00296032" w:rsidRPr="00620047" w:rsidRDefault="00296032">
      <w:pPr>
        <w:pStyle w:val="art2enivo"/>
        <w:rPr>
          <w:rFonts w:cs="Arial"/>
        </w:rPr>
      </w:pPr>
      <w:r w:rsidRPr="00620047">
        <w:rPr>
          <w:rFonts w:cs="Arial"/>
        </w:rPr>
        <w:t>b.</w:t>
      </w:r>
      <w:r w:rsidRPr="00620047">
        <w:rPr>
          <w:rFonts w:cs="Arial"/>
        </w:rPr>
        <w:tab/>
        <w:t>bij een dierenverblijf als bedoeld in artikel 3.116 de geurbelasting die de inrichting op enig geurgevoelig object veroorzaakt niet toeneemt en het aantal dieren per diercategorie met geuremissiefactor binnen de inrichting niet toeneemt en de afstand tot een geurgevoelig object niet afneemt, indien die kleiner is dan de afstand, bedoeld in het eerste lid, of</w:t>
      </w:r>
    </w:p>
    <w:p w:rsidR="00296032" w:rsidRPr="00620047" w:rsidRDefault="00296032">
      <w:pPr>
        <w:pStyle w:val="art2enivo"/>
        <w:rPr>
          <w:rFonts w:cs="Arial"/>
        </w:rPr>
      </w:pPr>
      <w:r w:rsidRPr="00620047">
        <w:rPr>
          <w:rFonts w:cs="Arial"/>
        </w:rPr>
        <w:t>c.</w:t>
      </w:r>
      <w:r w:rsidRPr="00620047">
        <w:rPr>
          <w:rFonts w:cs="Arial"/>
        </w:rPr>
        <w:tab/>
        <w:t xml:space="preserve"> bij een dierenverblijf als bedoeld in artikel 3.117 het aantal dieren per diercategorie zonder geuremissiefactor binnen de inrichting niet toeneemt en de afstand tot een geurgevoelig object niet afneemt, indien die kleiner is dan de afstand, bedoeld in het eerste lid.</w:t>
      </w:r>
    </w:p>
    <w:p w:rsidR="00296032" w:rsidRPr="00296032" w:rsidRDefault="00296032">
      <w:pPr>
        <w:pStyle w:val="artikelkop"/>
        <w:rPr>
          <w:rFonts w:cs="Arial"/>
        </w:rPr>
      </w:pPr>
      <w:r w:rsidRPr="00296032">
        <w:rPr>
          <w:rFonts w:cs="Arial"/>
        </w:rPr>
        <w:t>Artikel 3.119</w:t>
      </w:r>
    </w:p>
    <w:p w:rsidR="00296032" w:rsidRPr="00620047" w:rsidRDefault="00296032">
      <w:pPr>
        <w:pStyle w:val="art1enivo"/>
        <w:rPr>
          <w:rFonts w:cs="Arial"/>
        </w:rPr>
      </w:pPr>
      <w:r w:rsidRPr="00620047">
        <w:rPr>
          <w:rFonts w:cs="Arial"/>
        </w:rPr>
        <w:t>1.</w:t>
      </w:r>
      <w:r w:rsidRPr="00620047">
        <w:rPr>
          <w:rFonts w:cs="Arial"/>
        </w:rPr>
        <w:tab/>
        <w:t>Onverminderd de artikelen 3.115 tot en met 3.117 is het oprichten, uitbreiden of wijzigen van een dierenverblijf verboden, indien na de oprichting, uitbreiding of wijziging de afstand van de buitenzijde van een dierenverblijf tot de dichtstbijzijnde buitenzijde van een geurgevoelig object:</w:t>
      </w:r>
    </w:p>
    <w:p w:rsidR="00296032" w:rsidRPr="00620047" w:rsidRDefault="00296032">
      <w:pPr>
        <w:pStyle w:val="art2enivo"/>
        <w:rPr>
          <w:rFonts w:cs="Arial"/>
        </w:rPr>
      </w:pPr>
      <w:r w:rsidRPr="00620047">
        <w:rPr>
          <w:rFonts w:cs="Arial"/>
        </w:rPr>
        <w:t>a.</w:t>
      </w:r>
      <w:r w:rsidRPr="00620047">
        <w:rPr>
          <w:rFonts w:cs="Arial"/>
        </w:rPr>
        <w:tab/>
        <w:t>minder dan 50 meter bedraagt, indien het geurgevoelig object binnen de bebouwde kom is gelegen, of</w:t>
      </w:r>
    </w:p>
    <w:p w:rsidR="00296032" w:rsidRPr="00620047" w:rsidRDefault="00296032">
      <w:pPr>
        <w:pStyle w:val="art2enivo"/>
        <w:rPr>
          <w:rFonts w:cs="Arial"/>
        </w:rPr>
      </w:pPr>
      <w:r w:rsidRPr="00620047">
        <w:rPr>
          <w:rFonts w:cs="Arial"/>
        </w:rPr>
        <w:t>b.</w:t>
      </w:r>
      <w:r w:rsidRPr="00620047">
        <w:rPr>
          <w:rFonts w:cs="Arial"/>
        </w:rPr>
        <w:tab/>
        <w:t>minder dan 25 meter bedraagt, indien het geurgevoelig object buiten de bebouwde kom is gelegen.</w:t>
      </w:r>
    </w:p>
    <w:p w:rsidR="00296032" w:rsidRPr="00620047" w:rsidRDefault="00296032">
      <w:pPr>
        <w:pStyle w:val="art1enivo"/>
        <w:rPr>
          <w:rFonts w:cs="Arial"/>
        </w:rPr>
      </w:pPr>
      <w:r w:rsidRPr="00620047">
        <w:rPr>
          <w:rFonts w:cs="Arial"/>
        </w:rPr>
        <w:t>2.</w:t>
      </w:r>
      <w:r w:rsidRPr="00620047">
        <w:rPr>
          <w:rFonts w:cs="Arial"/>
        </w:rPr>
        <w:tab/>
        <w:t>Het eerste lid is niet van toepassing, indien de afstand van de buitenzijde van het dierenverblijf tot de dichtstbijzijnde buitenzijde van een geurgevoelig object niet afneemt, en</w:t>
      </w:r>
    </w:p>
    <w:p w:rsidR="00296032" w:rsidRPr="00620047" w:rsidRDefault="00296032">
      <w:pPr>
        <w:pStyle w:val="art2enivo"/>
        <w:rPr>
          <w:rFonts w:cs="Arial"/>
        </w:rPr>
      </w:pPr>
      <w:r w:rsidRPr="00620047">
        <w:rPr>
          <w:rFonts w:cs="Arial"/>
        </w:rPr>
        <w:t>a.</w:t>
      </w:r>
      <w:r w:rsidRPr="00620047">
        <w:rPr>
          <w:rFonts w:cs="Arial"/>
        </w:rPr>
        <w:tab/>
        <w:t>bij een dierenverblijf als bedoeld in artikel 3.115 het aantal dieren per diercategorie met geuremissiefactor niet toeneemt en de geurbelasting die de inrichting op enig geurgevoelig object veroorzaakt niet toeneemt;</w:t>
      </w:r>
    </w:p>
    <w:p w:rsidR="00296032" w:rsidRPr="00620047" w:rsidRDefault="00296032">
      <w:pPr>
        <w:pStyle w:val="art2enivo"/>
        <w:rPr>
          <w:rFonts w:cs="Arial"/>
        </w:rPr>
      </w:pPr>
      <w:r w:rsidRPr="00620047">
        <w:rPr>
          <w:rFonts w:cs="Arial"/>
        </w:rPr>
        <w:t>b.</w:t>
      </w:r>
      <w:r w:rsidRPr="00620047">
        <w:rPr>
          <w:rFonts w:cs="Arial"/>
        </w:rPr>
        <w:tab/>
        <w:t>bij een dierenverblijf als bedoeld in artikel 3.116 het aantal dieren per diercategorie met geuremissiefactor niet toeneemt, de geurbelasting die de inrichting op enig geurgevoelig object veroorzaakt niet toeneemt en de afstand tot een geurgevoelig object niet afneemt, indien die kleiner is dan de afstand, genoemd in artikel 3.116, eerste lid, of</w:t>
      </w:r>
    </w:p>
    <w:p w:rsidR="00296032" w:rsidRPr="00620047" w:rsidRDefault="00296032">
      <w:pPr>
        <w:pStyle w:val="art2enivo"/>
        <w:rPr>
          <w:rFonts w:cs="Arial"/>
        </w:rPr>
      </w:pPr>
      <w:r w:rsidRPr="00620047">
        <w:rPr>
          <w:rFonts w:cs="Arial"/>
        </w:rPr>
        <w:t>c.</w:t>
      </w:r>
      <w:r w:rsidRPr="00620047">
        <w:rPr>
          <w:rFonts w:cs="Arial"/>
        </w:rPr>
        <w:tab/>
        <w:t>bij een dierenverblijf als bedoeld in artikel 3.117 het aantal dieren per diercategorie zonder geuremissiefactor niet toeneemt en de afstand tot een geurgevoelig object niet afneemt, indien die kleiner is dan de afstand, genoemd in artikel 3.117, eerste lid.</w:t>
      </w:r>
    </w:p>
    <w:p w:rsidR="00296032" w:rsidRPr="00296032" w:rsidRDefault="00296032">
      <w:pPr>
        <w:pStyle w:val="artikelkop"/>
      </w:pPr>
      <w:r w:rsidRPr="00296032">
        <w:t xml:space="preserve">Artikel 3.119a </w:t>
      </w:r>
    </w:p>
    <w:p w:rsidR="00296032" w:rsidRPr="00620047" w:rsidRDefault="00296032">
      <w:pPr>
        <w:pStyle w:val="art1enivo"/>
      </w:pPr>
      <w:r w:rsidRPr="00620047">
        <w:t>1.</w:t>
      </w:r>
      <w:r w:rsidRPr="00620047">
        <w:tab/>
        <w:t>Totdat met betrekking tot een inrichting die een activiteit verricht als bedoeld in artikel 3.111 een wijziging waarop de artikelen 3.115 tot en met 3.119 van toepassing zijn, is gemeld, worden binnen de inrichting niet meer landbouwhuisdieren per diercategorie gehouden, is de geurbelasting niet groter en is de afstand tot een geurgevoelig object niet kleiner dan:</w:t>
      </w:r>
    </w:p>
    <w:p w:rsidR="00296032" w:rsidRPr="00620047" w:rsidRDefault="00296032">
      <w:pPr>
        <w:pStyle w:val="art2enivo"/>
      </w:pPr>
      <w:r w:rsidRPr="00620047">
        <w:t>a.</w:t>
      </w:r>
      <w:r w:rsidRPr="00620047">
        <w:tab/>
        <w:t>op grond van een vergunning als bedoeld in artikel 2.1, eerste lid, aanhef en onder e, van de Wet algemene bepalingen omgevingsrecht mochten worden gehouden, mocht worden veroorzaakt onderscheidenlijk mocht bedragen tot het tijdstip waarop dit besluit op de inrichting van toepassing werd, of</w:t>
      </w:r>
    </w:p>
    <w:p w:rsidR="00296032" w:rsidRPr="00620047" w:rsidRDefault="00296032">
      <w:pPr>
        <w:pStyle w:val="art2enivo"/>
      </w:pPr>
      <w:r w:rsidRPr="00620047">
        <w:t>b.</w:t>
      </w:r>
      <w:r w:rsidRPr="00620047">
        <w:tab/>
        <w:t>op grond van de betrokken algemene maatregel van bestuur mochten worden</w:t>
      </w:r>
    </w:p>
    <w:p w:rsidR="00296032" w:rsidRPr="00620047" w:rsidRDefault="00296032">
      <w:pPr>
        <w:pStyle w:val="art1enivo"/>
        <w:ind w:firstLine="0"/>
      </w:pPr>
      <w:r w:rsidRPr="00620047">
        <w:t>gehouden, mocht worden veroorzaakt onderscheidenlijk mocht bedragen, tot het van toepassing worden van dit besluit op de inrichting en waarvan in geval van oprichting of wijziging van de inrichting een melding als bedoeld in artikel 8.41, eerste lid, van de Wet milieubeheer is gedaan.</w:t>
      </w:r>
    </w:p>
    <w:p w:rsidR="00296032" w:rsidRPr="00620047" w:rsidRDefault="00296032">
      <w:pPr>
        <w:pStyle w:val="art1enivo"/>
      </w:pPr>
      <w:r w:rsidRPr="00620047">
        <w:t>2.</w:t>
      </w:r>
      <w:r w:rsidRPr="00620047">
        <w:tab/>
        <w:t>Het eerste lid is niet van toepassing op de afstand tot een geurgevoelig object indien deze is afgenomen anders dan door wijziging van de inrichting.</w:t>
      </w:r>
    </w:p>
    <w:p w:rsidR="00296032" w:rsidRPr="00296032" w:rsidRDefault="00296032">
      <w:pPr>
        <w:pStyle w:val="artikelkop"/>
        <w:rPr>
          <w:rFonts w:cs="Arial"/>
        </w:rPr>
      </w:pPr>
      <w:r w:rsidRPr="00296032">
        <w:rPr>
          <w:rFonts w:cs="Arial"/>
        </w:rPr>
        <w:t>Artikel 3.120</w:t>
      </w:r>
    </w:p>
    <w:p w:rsidR="00296032" w:rsidRPr="00620047" w:rsidRDefault="00296032">
      <w:pPr>
        <w:pStyle w:val="artplat"/>
        <w:rPr>
          <w:rFonts w:cs="Arial"/>
        </w:rPr>
      </w:pPr>
      <w:r w:rsidRPr="00620047">
        <w:rPr>
          <w:rFonts w:cs="Arial"/>
        </w:rPr>
        <w:t>Het aantal aanwezige dieren per diersoort wordt ten minste een keer per maand geregistreerd, waarbij de perioden tussen de registraties van een vergelijkbare tijdsduur zijn. De registraties zijn binnen de inrichting aanwezig en worden gedurende tien jaren bewaard.</w:t>
      </w:r>
    </w:p>
    <w:p w:rsidR="00296032" w:rsidRPr="00296032" w:rsidRDefault="00296032">
      <w:pPr>
        <w:pStyle w:val="artikelkop"/>
        <w:rPr>
          <w:rFonts w:cs="Arial"/>
        </w:rPr>
      </w:pPr>
      <w:r w:rsidRPr="00296032">
        <w:rPr>
          <w:rFonts w:cs="Arial"/>
        </w:rPr>
        <w:t>Artikel 3.121</w:t>
      </w:r>
    </w:p>
    <w:p w:rsidR="00296032" w:rsidRPr="00620047" w:rsidRDefault="00296032">
      <w:pPr>
        <w:rPr>
          <w:rFonts w:cs="Arial"/>
        </w:rPr>
      </w:pPr>
      <w:r w:rsidRPr="00620047">
        <w:rPr>
          <w:rFonts w:cs="Arial"/>
        </w:rPr>
        <w:t>De geurbelasting, bedoeld in deze paragraaf, wordt bepaald en de afstanden, bedoeld in deze paragraaf, worden gemeten op de wijze die in de regeling op grond van artikel 10 van de Wet geurhinder en veehouderij is vastgesteld.</w:t>
      </w:r>
    </w:p>
    <w:p w:rsidR="00296032" w:rsidRPr="00296032" w:rsidRDefault="00296032">
      <w:pPr>
        <w:pStyle w:val="artikelkop"/>
        <w:rPr>
          <w:rFonts w:cs="Arial"/>
        </w:rPr>
      </w:pPr>
      <w:r w:rsidRPr="00296032">
        <w:rPr>
          <w:rFonts w:cs="Arial"/>
        </w:rPr>
        <w:t>Artikel 3.122</w:t>
      </w:r>
    </w:p>
    <w:p w:rsidR="00296032" w:rsidRPr="00620047" w:rsidRDefault="00296032">
      <w:pPr>
        <w:pStyle w:val="artplat"/>
        <w:rPr>
          <w:rFonts w:cs="Arial"/>
        </w:rPr>
      </w:pPr>
      <w:r w:rsidRPr="00620047">
        <w:rPr>
          <w:rFonts w:cs="Arial"/>
        </w:rPr>
        <w:t>Bij het houden van landbouwhuisdieren in een dierenverblijf wordt, ten behoeve van het realiseren van een verwaarloosbaar bodemrisico, voldaan aan de bij ministeriële regeling gestelde eisen.</w:t>
      </w:r>
    </w:p>
    <w:p w:rsidR="00296032" w:rsidRPr="00296032" w:rsidRDefault="00296032">
      <w:pPr>
        <w:pStyle w:val="artikelkop"/>
        <w:rPr>
          <w:rFonts w:cs="Arial"/>
        </w:rPr>
      </w:pPr>
      <w:r w:rsidRPr="00296032">
        <w:rPr>
          <w:rFonts w:cs="Arial"/>
        </w:rPr>
        <w:t>Artikel 3.123</w:t>
      </w:r>
    </w:p>
    <w:p w:rsidR="00296032" w:rsidRPr="00620047" w:rsidRDefault="00296032">
      <w:pPr>
        <w:pStyle w:val="art1enivo"/>
        <w:rPr>
          <w:rFonts w:cs="Arial"/>
        </w:rPr>
      </w:pPr>
      <w:r w:rsidRPr="00620047">
        <w:rPr>
          <w:rFonts w:cs="Arial"/>
        </w:rPr>
        <w:t>1.</w:t>
      </w:r>
      <w:r w:rsidRPr="00620047">
        <w:rPr>
          <w:rFonts w:cs="Arial"/>
        </w:rPr>
        <w:tab/>
        <w:t>Ten behoeve van de goede werking van een huisvestingssysteem en het voorkomen dan wel voor zover dat niet mogelijk is het zoveel mogelijk beperken van emissies naar de lucht, wordt ten minste voldaan aan het tweede en derde lid.</w:t>
      </w:r>
    </w:p>
    <w:p w:rsidR="00296032" w:rsidRPr="00620047" w:rsidRDefault="00296032">
      <w:pPr>
        <w:pStyle w:val="art1enivo"/>
        <w:rPr>
          <w:rFonts w:cs="Arial"/>
        </w:rPr>
      </w:pPr>
      <w:r w:rsidRPr="00620047">
        <w:rPr>
          <w:rFonts w:cs="Arial"/>
        </w:rPr>
        <w:t>2.</w:t>
      </w:r>
      <w:r w:rsidRPr="00620047">
        <w:rPr>
          <w:rFonts w:cs="Arial"/>
        </w:rPr>
        <w:tab/>
        <w:t>Een huisvestingssysteem is uitgevoerd overeenkomstig de bij dat huisvestingssysteem behorende technische beschrijving, bedoeld in de bijlage bij de regeling op grond van artikel 1 van de Wet ammoniak en veehouderij.</w:t>
      </w:r>
    </w:p>
    <w:p w:rsidR="00296032" w:rsidRPr="00620047" w:rsidRDefault="00296032">
      <w:pPr>
        <w:pStyle w:val="art1enivo"/>
        <w:rPr>
          <w:rFonts w:cs="Arial"/>
        </w:rPr>
      </w:pPr>
      <w:r w:rsidRPr="00620047">
        <w:rPr>
          <w:rFonts w:cs="Arial"/>
        </w:rPr>
        <w:t>3.</w:t>
      </w:r>
      <w:r w:rsidRPr="00620047">
        <w:rPr>
          <w:rFonts w:cs="Arial"/>
        </w:rPr>
        <w:tab/>
        <w:t>Degene die een inrichting drijft waarin landbouwhuisdieren worden gehouden in een huisvestingssysteem, draagt er zorg voor dat het huisvestingssysteem wordt gebruikt en onderhouden overeenkomstig de voorwaarden die noodzakelijk zijn voor een goede werking van het huisvestingssysteem.</w:t>
      </w:r>
    </w:p>
    <w:p w:rsidR="00296032" w:rsidRPr="00296032" w:rsidRDefault="00296032">
      <w:pPr>
        <w:pStyle w:val="artikelkop"/>
        <w:rPr>
          <w:rFonts w:cs="Arial"/>
        </w:rPr>
      </w:pPr>
      <w:r w:rsidRPr="00296032">
        <w:rPr>
          <w:rFonts w:cs="Arial"/>
        </w:rPr>
        <w:t>Artikel 3.124</w:t>
      </w:r>
    </w:p>
    <w:p w:rsidR="00296032" w:rsidRPr="00620047" w:rsidRDefault="00296032">
      <w:pPr>
        <w:pStyle w:val="artplat"/>
        <w:rPr>
          <w:rFonts w:cs="Arial"/>
        </w:rPr>
      </w:pPr>
      <w:r w:rsidRPr="00620047">
        <w:rPr>
          <w:rFonts w:cs="Arial"/>
        </w:rPr>
        <w:t>Indien landbouwhuisdieren worden gehouden in een huisvestingssysteem dat is voorzien van een luchtwassysteem, voldoet het luchtwassysteem, onverminderd artikel 3.123, in het belang van de goede werking van het luchtwassysteem en van het voorkomen dan wel voor zover dat niet mogelijk is het zoveel mogelijk beperken van emissies naar de lucht, ten minste aan de artikelen 3.125 en 3.126.</w:t>
      </w:r>
    </w:p>
    <w:p w:rsidR="00296032" w:rsidRPr="00296032" w:rsidRDefault="00296032">
      <w:pPr>
        <w:pStyle w:val="artikelkop"/>
        <w:rPr>
          <w:rFonts w:cs="Arial"/>
        </w:rPr>
      </w:pPr>
      <w:r w:rsidRPr="00296032">
        <w:rPr>
          <w:rFonts w:cs="Arial"/>
        </w:rPr>
        <w:t>Artikel 3.125</w:t>
      </w:r>
    </w:p>
    <w:p w:rsidR="00296032" w:rsidRPr="00620047" w:rsidRDefault="00296032">
      <w:pPr>
        <w:pStyle w:val="art1enivo"/>
        <w:rPr>
          <w:rFonts w:cs="Arial"/>
        </w:rPr>
      </w:pPr>
      <w:r w:rsidRPr="00620047">
        <w:rPr>
          <w:rFonts w:cs="Arial"/>
        </w:rPr>
        <w:t>1.</w:t>
      </w:r>
      <w:r w:rsidRPr="00620047">
        <w:rPr>
          <w:rFonts w:cs="Arial"/>
        </w:rPr>
        <w:tab/>
        <w:t>De capaciteit van het luchtwassysteem is ten minste gelijk aan de totale maximale ventilatiebehoefte van het aantal en de categorie landbouwhuisdieren die worden gehouden in het huisvestingssysteem.</w:t>
      </w:r>
    </w:p>
    <w:p w:rsidR="00296032" w:rsidRPr="00620047" w:rsidRDefault="00296032">
      <w:pPr>
        <w:pStyle w:val="art1enivo"/>
        <w:rPr>
          <w:rFonts w:cs="Arial"/>
        </w:rPr>
      </w:pPr>
      <w:r w:rsidRPr="00620047">
        <w:rPr>
          <w:rFonts w:cs="Arial"/>
        </w:rPr>
        <w:t>2.</w:t>
      </w:r>
      <w:r w:rsidRPr="00620047">
        <w:rPr>
          <w:rFonts w:cs="Arial"/>
        </w:rPr>
        <w:tab/>
        <w:t>Bij ministeriële regeling kan worden bepaald op welke wijze de capaciteit en de totale maximale ventilatiebehoefte worden vastgesteld en vastgelegd.</w:t>
      </w:r>
    </w:p>
    <w:p w:rsidR="00296032" w:rsidRPr="00620047" w:rsidRDefault="00296032">
      <w:pPr>
        <w:pStyle w:val="art1enivo"/>
        <w:rPr>
          <w:rFonts w:cs="Arial"/>
        </w:rPr>
      </w:pPr>
      <w:r w:rsidRPr="00620047">
        <w:rPr>
          <w:rFonts w:cs="Arial"/>
        </w:rPr>
        <w:t>3.</w:t>
      </w:r>
      <w:r w:rsidRPr="00620047">
        <w:rPr>
          <w:rFonts w:cs="Arial"/>
        </w:rPr>
        <w:tab/>
        <w:t>Ten behoeve van een evenredige verdeling van de stallucht door het luchtwassysteem, wordt voldaan aan de bij ministeriële regeling gestelde eisen.</w:t>
      </w:r>
    </w:p>
    <w:p w:rsidR="00296032" w:rsidRPr="00620047" w:rsidRDefault="00296032">
      <w:pPr>
        <w:pStyle w:val="art1enivo"/>
        <w:rPr>
          <w:rFonts w:cs="Arial"/>
        </w:rPr>
      </w:pPr>
      <w:r w:rsidRPr="00620047">
        <w:rPr>
          <w:rFonts w:cs="Arial"/>
        </w:rPr>
        <w:t>4.</w:t>
      </w:r>
      <w:r w:rsidRPr="00620047">
        <w:rPr>
          <w:rFonts w:cs="Arial"/>
        </w:rPr>
        <w:tab/>
        <w:t>Het luchtwassysteem is voorzien van een elektronisch monitoringssysteem, waarmee de parameters die van belang zijn voor een goede werking van het luchtwassysteem worden geregistreerd.</w:t>
      </w:r>
    </w:p>
    <w:p w:rsidR="00296032" w:rsidRPr="00620047" w:rsidRDefault="00296032">
      <w:pPr>
        <w:pStyle w:val="art1enivo"/>
        <w:rPr>
          <w:rFonts w:cs="Arial"/>
        </w:rPr>
      </w:pPr>
      <w:r w:rsidRPr="00620047">
        <w:rPr>
          <w:rFonts w:cs="Arial"/>
        </w:rPr>
        <w:t>5.</w:t>
      </w:r>
      <w:r w:rsidRPr="00620047">
        <w:rPr>
          <w:rFonts w:cs="Arial"/>
        </w:rPr>
        <w:tab/>
        <w:t>Bij ministeriële regeling worden regels gesteld over het elektronisch monitoringssysteem en wordt bepaald welke parameters in ieder geval worden geregistreerd.</w:t>
      </w:r>
    </w:p>
    <w:p w:rsidR="00296032" w:rsidRPr="00620047" w:rsidRDefault="00296032">
      <w:pPr>
        <w:pStyle w:val="art1enivo"/>
        <w:rPr>
          <w:rFonts w:cs="Arial"/>
        </w:rPr>
      </w:pPr>
      <w:r w:rsidRPr="00620047">
        <w:rPr>
          <w:rFonts w:cs="Arial"/>
        </w:rPr>
        <w:t>6.</w:t>
      </w:r>
      <w:r w:rsidRPr="00620047">
        <w:rPr>
          <w:rFonts w:cs="Arial"/>
        </w:rPr>
        <w:tab/>
        <w:t>Indien uit de registratie, bedoeld in het vijfde lid, blijkt dat de parameters worden overschreden, worden onmiddellijk maatregelen getroffen om een goede werking van het luchtwassysteem te waarborgen.</w:t>
      </w:r>
    </w:p>
    <w:p w:rsidR="00296032" w:rsidRPr="00620047" w:rsidRDefault="00296032">
      <w:pPr>
        <w:pStyle w:val="art1enivo"/>
        <w:rPr>
          <w:rFonts w:cs="Arial"/>
        </w:rPr>
      </w:pPr>
      <w:r w:rsidRPr="00620047">
        <w:rPr>
          <w:rFonts w:cs="Arial"/>
        </w:rPr>
        <w:t>7.</w:t>
      </w:r>
      <w:r w:rsidRPr="00620047">
        <w:rPr>
          <w:rFonts w:cs="Arial"/>
        </w:rPr>
        <w:tab/>
        <w:t>Ten aanzien van het gebruik en onderhoud van een luchtwassysteem, worden gedragsvoorschriften opgesteld, die ten minste voldoen aan de bij ministeriële regeling gestelde eisen.</w:t>
      </w:r>
    </w:p>
    <w:p w:rsidR="00296032" w:rsidRPr="00620047" w:rsidRDefault="00296032">
      <w:pPr>
        <w:pStyle w:val="art1enivo"/>
      </w:pPr>
      <w:r w:rsidRPr="00620047">
        <w:t>8.</w:t>
      </w:r>
      <w:r w:rsidRPr="00620047">
        <w:tab/>
        <w:t>Het vierde lid is tot 1 januari 2016 niet van toepassing op een luchtwassysteem dat is geïnstalleerd voor 1 januari 2013 en niet is voorzien van een elektronisch monitoringssysteem als bedoeld in dat lid.</w:t>
      </w:r>
    </w:p>
    <w:p w:rsidR="00296032" w:rsidRPr="00620047" w:rsidRDefault="00296032">
      <w:pPr>
        <w:pStyle w:val="art1enivo"/>
      </w:pPr>
      <w:r w:rsidRPr="00620047">
        <w:t>9.</w:t>
      </w:r>
      <w:r w:rsidRPr="00620047">
        <w:tab/>
        <w:t>Van een luchtwassysteem als bedoeld in het achtste lid worden tot 1 januari 2016 ten minste eenmaal per week de volgende gegevens geregistreerd:</w:t>
      </w:r>
    </w:p>
    <w:p w:rsidR="00296032" w:rsidRPr="00620047" w:rsidRDefault="00296032">
      <w:pPr>
        <w:pStyle w:val="art2enivo"/>
      </w:pPr>
      <w:r w:rsidRPr="00620047">
        <w:t>a.</w:t>
      </w:r>
      <w:r w:rsidRPr="00620047">
        <w:tab/>
        <w:t>de zuurgraad van het waswater;</w:t>
      </w:r>
    </w:p>
    <w:p w:rsidR="00296032" w:rsidRPr="00620047" w:rsidRDefault="00296032">
      <w:pPr>
        <w:pStyle w:val="art2enivo"/>
      </w:pPr>
      <w:r w:rsidRPr="00620047">
        <w:t>b.</w:t>
      </w:r>
      <w:r w:rsidRPr="00620047">
        <w:tab/>
        <w:t>de meterstand van de urenteller van de waswaterpomp;</w:t>
      </w:r>
    </w:p>
    <w:p w:rsidR="00296032" w:rsidRPr="00620047" w:rsidRDefault="00296032">
      <w:pPr>
        <w:pStyle w:val="art2enivo"/>
      </w:pPr>
      <w:r w:rsidRPr="00620047">
        <w:t>c.</w:t>
      </w:r>
      <w:r w:rsidRPr="00620047">
        <w:tab/>
        <w:t>de meterstand van de watermeter van de spuiwaterproductie in kubieke meter.</w:t>
      </w:r>
    </w:p>
    <w:p w:rsidR="00296032" w:rsidRPr="00620047" w:rsidRDefault="00296032">
      <w:pPr>
        <w:pStyle w:val="art1enivo"/>
      </w:pPr>
      <w:r w:rsidRPr="00620047">
        <w:t>10.</w:t>
      </w:r>
      <w:r w:rsidRPr="00620047">
        <w:tab/>
        <w:t>De gegevens, genoemd in het achtste lid, worden gedurende ten minste drie jaar in de inrichting bewaard.</w:t>
      </w:r>
    </w:p>
    <w:p w:rsidR="00296032" w:rsidRPr="00296032" w:rsidRDefault="00296032">
      <w:pPr>
        <w:pStyle w:val="artikelkop"/>
      </w:pPr>
      <w:r w:rsidRPr="00296032">
        <w:t xml:space="preserve">Artikel 3.125a </w:t>
      </w:r>
    </w:p>
    <w:p w:rsidR="00296032" w:rsidRPr="00620047" w:rsidRDefault="00296032">
      <w:pPr>
        <w:pStyle w:val="art1enivo"/>
      </w:pPr>
      <w:r w:rsidRPr="00620047">
        <w:t>1.</w:t>
      </w:r>
      <w:r w:rsidRPr="00620047">
        <w:tab/>
        <w:t>Aan een luchtwassysteem als bedoeld in artikel 3.125, achtste lid, wordt uiterlijk 1 juli 2015 een meting naar de emissiereductie van ammoniak uitgevoerd.</w:t>
      </w:r>
    </w:p>
    <w:p w:rsidR="00296032" w:rsidRPr="00620047" w:rsidRDefault="00296032">
      <w:pPr>
        <w:pStyle w:val="art1enivo"/>
      </w:pPr>
      <w:r w:rsidRPr="00620047">
        <w:t>2.</w:t>
      </w:r>
      <w:r w:rsidRPr="00620047">
        <w:tab/>
        <w:t>Een meting als bedoeld in het eerste lid vindt plaats onder representatieve bedrijfscondities in de zomerperiode tussen 10.00 en 14.00 uur, waarbij de meting wordt uitgevoerd overeenkomstig artikel 2.8.</w:t>
      </w:r>
    </w:p>
    <w:p w:rsidR="00296032" w:rsidRPr="00620047" w:rsidRDefault="00296032">
      <w:pPr>
        <w:pStyle w:val="art1enivo"/>
      </w:pPr>
      <w:r w:rsidRPr="00620047">
        <w:t>3.</w:t>
      </w:r>
      <w:r w:rsidRPr="00620047">
        <w:tab/>
        <w:t>Een afschrift van de rapportage van de meting wordt in de inrichting bewaard tot ten minste het tijdstip waarop twee jaren zijn verstreken na de eerstvolgende meting.</w:t>
      </w:r>
    </w:p>
    <w:p w:rsidR="00296032" w:rsidRPr="00620047" w:rsidRDefault="00296032">
      <w:pPr>
        <w:pStyle w:val="art1enivo"/>
      </w:pPr>
      <w:r w:rsidRPr="00620047">
        <w:t>4.</w:t>
      </w:r>
      <w:r w:rsidRPr="00620047">
        <w:tab/>
        <w:t>Indien uit de meting blijkt dat niet wordt voldaan aan de emissiereductie van ammoniak, genoemd in de systeembeschrijving, op grond waarvan krachtens artikel 1 van de Wet ammoniak en veehouderij een emissiefactor voor dat huisvestingssysteem is vastgesteld, worden maatregelen getroffen om daar alsnog aan te voldoen en wordt binnen een jaar na het uitvoeren van de meting een herhalingsmeting uitgevoerd.</w:t>
      </w:r>
    </w:p>
    <w:p w:rsidR="00296032" w:rsidRPr="00296032" w:rsidRDefault="00296032">
      <w:pPr>
        <w:pStyle w:val="artikelkop"/>
        <w:rPr>
          <w:rFonts w:cs="Arial"/>
        </w:rPr>
      </w:pPr>
      <w:r w:rsidRPr="00296032">
        <w:rPr>
          <w:rFonts w:cs="Arial"/>
        </w:rPr>
        <w:t>Artikel 3.126</w:t>
      </w:r>
    </w:p>
    <w:p w:rsidR="00296032" w:rsidRPr="00620047" w:rsidRDefault="00296032">
      <w:pPr>
        <w:pStyle w:val="art1enivo"/>
      </w:pPr>
      <w:r w:rsidRPr="00620047">
        <w:rPr>
          <w:rFonts w:cs="Arial"/>
        </w:rPr>
        <w:t>1.</w:t>
      </w:r>
      <w:r w:rsidRPr="00620047">
        <w:rPr>
          <w:rFonts w:cs="Arial"/>
        </w:rPr>
        <w:tab/>
      </w:r>
      <w:r w:rsidRPr="00620047">
        <w:rPr>
          <w:rFonts w:eastAsia="Calibri"/>
        </w:rPr>
        <w:t>Bij het lozen van spuiwater van een luchtwassysteem wordt ten minste voldaan aan het tw</w:t>
      </w:r>
      <w:r w:rsidRPr="00620047">
        <w:t>eede tot en met vierde lid.</w:t>
      </w:r>
    </w:p>
    <w:p w:rsidR="00296032" w:rsidRPr="00620047" w:rsidRDefault="00296032">
      <w:pPr>
        <w:pStyle w:val="art1enivo"/>
        <w:rPr>
          <w:rFonts w:cs="Arial"/>
        </w:rPr>
      </w:pPr>
      <w:r w:rsidRPr="00620047">
        <w:rPr>
          <w:rFonts w:cs="Arial"/>
        </w:rPr>
        <w:t>2.</w:t>
      </w:r>
      <w:r w:rsidRPr="00620047">
        <w:rPr>
          <w:rFonts w:cs="Arial"/>
        </w:rPr>
        <w:tab/>
        <w:t>Het lozen van spuiwater afkomstig van een luchtwassysteem in een vuilwaterriool is verboden.</w:t>
      </w:r>
    </w:p>
    <w:p w:rsidR="00296032" w:rsidRPr="00620047" w:rsidRDefault="00296032">
      <w:pPr>
        <w:pStyle w:val="art1enivo"/>
      </w:pPr>
      <w:r w:rsidRPr="00620047">
        <w:t>3.</w:t>
      </w:r>
      <w:r w:rsidRPr="00620047">
        <w:tab/>
        <w:t xml:space="preserve">Het bevoegd gezag kan bij maatwerkvoorschrift bepalen dat het tweede lid niet van toepassing is en het lozen in een vuilwaterriool toestaan, indien het belang van de bescherming van het milieu zich niet tegen het lozen in een vuilwaterriool verzet. </w:t>
      </w:r>
      <w:r w:rsidRPr="00620047">
        <w:br/>
        <w:t>Artikel 2.2, vierde lid, is van overeenkomstige toepassing.</w:t>
      </w:r>
    </w:p>
    <w:p w:rsidR="00296032" w:rsidRPr="00620047" w:rsidRDefault="00296032">
      <w:pPr>
        <w:pStyle w:val="art1enivo"/>
      </w:pPr>
      <w:r w:rsidRPr="00620047">
        <w:t>4.</w:t>
      </w:r>
      <w:r w:rsidRPr="00620047">
        <w:tab/>
        <w:t>Het te lozen afvalwater kan op een doelmatige wijze worden bemonsterd.</w:t>
      </w:r>
    </w:p>
    <w:p w:rsidR="00296032" w:rsidRPr="00296032" w:rsidRDefault="00296032">
      <w:pPr>
        <w:pStyle w:val="artikelkop"/>
        <w:rPr>
          <w:rFonts w:cs="Arial"/>
        </w:rPr>
      </w:pPr>
      <w:r w:rsidRPr="00296032">
        <w:rPr>
          <w:rFonts w:cs="Arial"/>
        </w:rPr>
        <w:t>Artikel 3.127</w:t>
      </w:r>
    </w:p>
    <w:p w:rsidR="00296032" w:rsidRPr="00620047" w:rsidRDefault="00296032">
      <w:pPr>
        <w:pStyle w:val="art1enivo"/>
      </w:pPr>
      <w:r w:rsidRPr="00620047">
        <w:t>1.</w:t>
      </w:r>
      <w:r w:rsidRPr="00620047">
        <w:tab/>
        <w:t>Bij het lozen van afvalwater als gevolg van het reinigen en ontsmetten van dierenverblijven wordt ten minste voldaan aan het tweede en derde lid.</w:t>
      </w:r>
    </w:p>
    <w:p w:rsidR="00296032" w:rsidRPr="00620047" w:rsidRDefault="00296032">
      <w:pPr>
        <w:pStyle w:val="art1enivo"/>
      </w:pPr>
      <w:r w:rsidRPr="00620047">
        <w:t>2.</w:t>
      </w:r>
      <w:r w:rsidRPr="00620047">
        <w:tab/>
        <w:t>Bij het in het vuilwaterriool lozen van afvalwater als gevolg van het reinigen en ontsmetten van dierenverblijven, bedraagt het gehalte aan onopgeloste stoffen niet meer dan 300 milligram per liter.</w:t>
      </w:r>
    </w:p>
    <w:p w:rsidR="00296032" w:rsidRPr="00620047" w:rsidRDefault="00296032">
      <w:pPr>
        <w:pStyle w:val="art1enivo"/>
      </w:pPr>
      <w:r w:rsidRPr="00620047">
        <w:t>3.</w:t>
      </w:r>
      <w:r w:rsidRPr="00620047">
        <w:tab/>
        <w:t>Het te lozen afvalwater kan op een doelmatige wijze worden bemonsterd.</w:t>
      </w:r>
    </w:p>
    <w:p w:rsidR="00296032" w:rsidRPr="00296032" w:rsidRDefault="00296032">
      <w:pPr>
        <w:pStyle w:val="artikelkop"/>
        <w:rPr>
          <w:rFonts w:cs="Arial"/>
        </w:rPr>
      </w:pPr>
      <w:r w:rsidRPr="00296032">
        <w:rPr>
          <w:rFonts w:cs="Arial"/>
        </w:rPr>
        <w:t>Artikel 3.128</w:t>
      </w:r>
    </w:p>
    <w:p w:rsidR="00296032" w:rsidRPr="00620047" w:rsidRDefault="00296032">
      <w:pPr>
        <w:pStyle w:val="artplat"/>
        <w:rPr>
          <w:rFonts w:cs="Arial"/>
        </w:rPr>
      </w:pPr>
      <w:r w:rsidRPr="00620047">
        <w:rPr>
          <w:rFonts w:cs="Arial"/>
        </w:rPr>
        <w:t>[vervallen per 1 maart 2014]</w:t>
      </w:r>
    </w:p>
    <w:p w:rsidR="00296032" w:rsidRPr="00296032" w:rsidRDefault="00296032">
      <w:pPr>
        <w:pStyle w:val="artikelkop"/>
        <w:rPr>
          <w:rFonts w:cs="Arial"/>
        </w:rPr>
      </w:pPr>
      <w:r w:rsidRPr="00296032">
        <w:rPr>
          <w:rFonts w:cs="Arial"/>
        </w:rPr>
        <w:t>Artikel 3.129</w:t>
      </w:r>
    </w:p>
    <w:p w:rsidR="00296032" w:rsidRPr="00620047" w:rsidRDefault="00296032">
      <w:pPr>
        <w:pStyle w:val="art1enivo"/>
        <w:rPr>
          <w:rFonts w:cs="Arial"/>
        </w:rPr>
      </w:pPr>
      <w:r w:rsidRPr="00620047">
        <w:rPr>
          <w:rFonts w:cs="Arial"/>
        </w:rPr>
        <w:t>1.</w:t>
      </w:r>
      <w:r w:rsidRPr="00620047">
        <w:rPr>
          <w:rFonts w:cs="Arial"/>
        </w:rPr>
        <w:tab/>
        <w:t>Bij het lozen van afvalwater als gevolg van het wassen en spoelen bij melkwinning wordt ten minste voldaan aan het tweede en derde lid.</w:t>
      </w:r>
    </w:p>
    <w:p w:rsidR="00296032" w:rsidRPr="00620047" w:rsidRDefault="00296032">
      <w:pPr>
        <w:pStyle w:val="art1enivo"/>
        <w:rPr>
          <w:rFonts w:cs="Arial"/>
        </w:rPr>
      </w:pPr>
      <w:r w:rsidRPr="00620047">
        <w:rPr>
          <w:rFonts w:cs="Arial"/>
        </w:rPr>
        <w:t>2.</w:t>
      </w:r>
      <w:r w:rsidRPr="00620047">
        <w:rPr>
          <w:rFonts w:cs="Arial"/>
        </w:rPr>
        <w:tab/>
        <w:t>Afvalwater afkomstig van het wassen en spoelen van melkwininstallaties wordt zo veel mogelijk hergebruikt.</w:t>
      </w:r>
    </w:p>
    <w:p w:rsidR="00296032" w:rsidRDefault="00296032">
      <w:pPr>
        <w:pStyle w:val="art1enivo"/>
        <w:rPr>
          <w:rFonts w:cs="Arial"/>
        </w:rPr>
      </w:pPr>
      <w:r w:rsidRPr="00620047">
        <w:rPr>
          <w:rFonts w:cs="Arial"/>
        </w:rPr>
        <w:t>3.</w:t>
      </w:r>
      <w:r w:rsidRPr="00620047">
        <w:rPr>
          <w:rFonts w:cs="Arial"/>
        </w:rPr>
        <w:tab/>
        <w:t>Het lozen van afvalwater op of in de bodem is toegestaan, indien het afvalwater gelijkmatig wordt verspreid over de onverharde bodem.</w:t>
      </w:r>
    </w:p>
    <w:p w:rsidR="00923907" w:rsidRDefault="00923907" w:rsidP="00923907"/>
    <w:p w:rsidR="00923907" w:rsidRDefault="00923907" w:rsidP="00923907">
      <w:pPr>
        <w:pStyle w:val="paragraaf"/>
        <w:shd w:val="clear" w:color="auto" w:fill="D9D9D9" w:themeFill="background1" w:themeFillShade="D9"/>
      </w:pPr>
      <w:bookmarkStart w:id="142" w:name="_Toc431375634"/>
      <w:r>
        <w:t>§ 3.5.6.</w:t>
      </w:r>
      <w:r>
        <w:tab/>
        <w:t>Houden van landbouwhuisdieren in dierenverblijven</w:t>
      </w:r>
      <w:bookmarkEnd w:id="142"/>
    </w:p>
    <w:p w:rsidR="00923907" w:rsidRDefault="00923907" w:rsidP="00923907">
      <w:pPr>
        <w:pStyle w:val="artikelkop"/>
        <w:shd w:val="clear" w:color="auto" w:fill="D9D9D9" w:themeFill="background1" w:themeFillShade="D9"/>
      </w:pPr>
      <w:r>
        <w:t xml:space="preserve">Artikel 3.96 </w:t>
      </w:r>
    </w:p>
    <w:p w:rsidR="00923907" w:rsidRDefault="00923907" w:rsidP="00923907">
      <w:pPr>
        <w:pStyle w:val="art1enivo"/>
        <w:shd w:val="clear" w:color="auto" w:fill="D9D9D9" w:themeFill="background1" w:themeFillShade="D9"/>
      </w:pPr>
      <w:r>
        <w:t>1.</w:t>
      </w:r>
      <w:r>
        <w:tab/>
        <w:t>Ten behoeve van het realiseren van een verwaarloosbaar bodemrisico als bedoeld in artikel 3.122 van het besluit is de vloer van een dierenverblijf of een deel daarvan waaraan geen mestkelder is verbonden, ten minste vloeistofkerend uitgevoerd. Artikel 2.3 is daarbij niet van toepassing.</w:t>
      </w:r>
    </w:p>
    <w:p w:rsidR="00923907" w:rsidRDefault="00923907" w:rsidP="00923907">
      <w:pPr>
        <w:pStyle w:val="art1enivo"/>
        <w:shd w:val="clear" w:color="auto" w:fill="D9D9D9" w:themeFill="background1" w:themeFillShade="D9"/>
      </w:pPr>
      <w:r>
        <w:t>2.</w:t>
      </w:r>
      <w:r>
        <w:tab/>
        <w:t>Artikel 2.11, eerste tot en met negende lid, van het besluit is niet van toepassing op een dierenverblijf.</w:t>
      </w:r>
    </w:p>
    <w:p w:rsidR="00923907" w:rsidRDefault="00923907" w:rsidP="00923907">
      <w:pPr>
        <w:pStyle w:val="artikelkop"/>
        <w:shd w:val="clear" w:color="auto" w:fill="D9D9D9" w:themeFill="background1" w:themeFillShade="D9"/>
      </w:pPr>
      <w:r>
        <w:t xml:space="preserve">Artikel 3.97 </w:t>
      </w:r>
    </w:p>
    <w:p w:rsidR="00923907" w:rsidRDefault="00923907" w:rsidP="00923907">
      <w:pPr>
        <w:pStyle w:val="art1enivo"/>
        <w:shd w:val="clear" w:color="auto" w:fill="D9D9D9" w:themeFill="background1" w:themeFillShade="D9"/>
        <w:suppressAutoHyphens/>
        <w:rPr>
          <w:rFonts w:cs="Arial"/>
        </w:rPr>
      </w:pPr>
      <w:r>
        <w:rPr>
          <w:rFonts w:cs="Arial"/>
        </w:rPr>
        <w:t>1.</w:t>
      </w:r>
      <w:r>
        <w:rPr>
          <w:rFonts w:cs="Arial"/>
        </w:rPr>
        <w:tab/>
        <w:t>Voor het vastleggen van de capaciteit en de totale maximale ventilatiebehoefte, bedoeld in artikel 3.125, tweede lid, van het besluit is een opleveringsverklaring binnen de inrichting aanwezig.</w:t>
      </w:r>
    </w:p>
    <w:p w:rsidR="00923907" w:rsidRDefault="00923907" w:rsidP="00923907">
      <w:pPr>
        <w:pStyle w:val="art1enivo"/>
        <w:shd w:val="clear" w:color="auto" w:fill="D9D9D9" w:themeFill="background1" w:themeFillShade="D9"/>
        <w:suppressAutoHyphens/>
        <w:rPr>
          <w:rFonts w:cs="Arial"/>
        </w:rPr>
      </w:pPr>
      <w:r>
        <w:rPr>
          <w:rFonts w:cs="Arial"/>
        </w:rPr>
        <w:t>2.</w:t>
      </w:r>
      <w:r>
        <w:rPr>
          <w:rFonts w:cs="Arial"/>
        </w:rPr>
        <w:tab/>
        <w:t>In de opleveringsverklaring, bedoeld in het eerste lid, zijn ten minste de volgende gegevens opgenomen:</w:t>
      </w:r>
    </w:p>
    <w:p w:rsidR="00923907" w:rsidRDefault="00923907" w:rsidP="00923907">
      <w:pPr>
        <w:pStyle w:val="art2enivo"/>
        <w:shd w:val="clear" w:color="auto" w:fill="D9D9D9" w:themeFill="background1" w:themeFillShade="D9"/>
        <w:suppressAutoHyphens/>
        <w:rPr>
          <w:rFonts w:cs="Arial"/>
        </w:rPr>
      </w:pPr>
      <w:r>
        <w:rPr>
          <w:rFonts w:cs="Arial"/>
        </w:rPr>
        <w:t>a.</w:t>
      </w:r>
      <w:r>
        <w:rPr>
          <w:rFonts w:cs="Arial"/>
        </w:rPr>
        <w:tab/>
        <w:t>het maximale aantal landbouwhuisdieren per diercategorie per luchtwassysteem en de maximale ventilatiebehoefte van deze dieren;</w:t>
      </w:r>
    </w:p>
    <w:p w:rsidR="00923907" w:rsidRDefault="00923907" w:rsidP="00923907">
      <w:pPr>
        <w:pStyle w:val="art2enivo"/>
        <w:shd w:val="clear" w:color="auto" w:fill="D9D9D9" w:themeFill="background1" w:themeFillShade="D9"/>
        <w:suppressAutoHyphens/>
        <w:rPr>
          <w:rFonts w:cs="Arial"/>
        </w:rPr>
      </w:pPr>
      <w:r>
        <w:rPr>
          <w:rFonts w:cs="Arial"/>
        </w:rPr>
        <w:t>b.</w:t>
      </w:r>
      <w:r>
        <w:rPr>
          <w:rFonts w:cs="Arial"/>
        </w:rPr>
        <w:tab/>
        <w:t>de maximale capaciteit van het luchtwassysteem in kubieke meter per uur;</w:t>
      </w:r>
    </w:p>
    <w:p w:rsidR="00923907" w:rsidRDefault="00923907" w:rsidP="00923907">
      <w:pPr>
        <w:pStyle w:val="art2enivo"/>
        <w:shd w:val="clear" w:color="auto" w:fill="D9D9D9" w:themeFill="background1" w:themeFillShade="D9"/>
        <w:suppressAutoHyphens/>
        <w:rPr>
          <w:rFonts w:cs="Arial"/>
        </w:rPr>
      </w:pPr>
      <w:r>
        <w:rPr>
          <w:rFonts w:cs="Arial"/>
        </w:rPr>
        <w:t>c.</w:t>
      </w:r>
      <w:r>
        <w:rPr>
          <w:rFonts w:cs="Arial"/>
        </w:rPr>
        <w:tab/>
        <w:t>het aanstroomoppervlak van het filterpakket in vierkante meter;</w:t>
      </w:r>
    </w:p>
    <w:p w:rsidR="00923907" w:rsidRDefault="00923907" w:rsidP="00923907">
      <w:pPr>
        <w:pStyle w:val="art2enivo"/>
        <w:shd w:val="clear" w:color="auto" w:fill="D9D9D9" w:themeFill="background1" w:themeFillShade="D9"/>
        <w:suppressAutoHyphens/>
        <w:rPr>
          <w:rFonts w:cs="Arial"/>
        </w:rPr>
      </w:pPr>
      <w:r>
        <w:rPr>
          <w:rFonts w:cs="Arial"/>
        </w:rPr>
        <w:t>d.</w:t>
      </w:r>
      <w:r>
        <w:rPr>
          <w:rFonts w:cs="Arial"/>
        </w:rPr>
        <w:tab/>
        <w:t>de afmetingen, het volume en de samenstelling van het filterpakket;</w:t>
      </w:r>
    </w:p>
    <w:p w:rsidR="00923907" w:rsidRDefault="00923907" w:rsidP="00923907">
      <w:pPr>
        <w:pStyle w:val="art2enivo"/>
        <w:shd w:val="clear" w:color="auto" w:fill="D9D9D9" w:themeFill="background1" w:themeFillShade="D9"/>
        <w:suppressAutoHyphens/>
        <w:rPr>
          <w:rFonts w:cs="Arial"/>
        </w:rPr>
      </w:pPr>
      <w:r>
        <w:rPr>
          <w:rFonts w:cs="Arial"/>
        </w:rPr>
        <w:t>e.</w:t>
      </w:r>
      <w:r>
        <w:rPr>
          <w:rFonts w:cs="Arial"/>
        </w:rPr>
        <w:tab/>
        <w:t>de afmetingen van de drukkamer;</w:t>
      </w:r>
    </w:p>
    <w:p w:rsidR="00923907" w:rsidRDefault="00923907" w:rsidP="00923907">
      <w:pPr>
        <w:pStyle w:val="art2enivo"/>
        <w:shd w:val="clear" w:color="auto" w:fill="D9D9D9" w:themeFill="background1" w:themeFillShade="D9"/>
        <w:suppressAutoHyphens/>
        <w:rPr>
          <w:rFonts w:cs="Arial"/>
        </w:rPr>
      </w:pPr>
      <w:r>
        <w:rPr>
          <w:rFonts w:cs="Arial"/>
        </w:rPr>
        <w:t>f.</w:t>
      </w:r>
      <w:r>
        <w:rPr>
          <w:rFonts w:cs="Arial"/>
        </w:rPr>
        <w:tab/>
        <w:t>de drukval over het filterpakket in pascal;</w:t>
      </w:r>
    </w:p>
    <w:p w:rsidR="00923907" w:rsidRDefault="00923907" w:rsidP="00923907">
      <w:pPr>
        <w:pStyle w:val="art2enivo"/>
        <w:shd w:val="clear" w:color="auto" w:fill="D9D9D9" w:themeFill="background1" w:themeFillShade="D9"/>
        <w:suppressAutoHyphens/>
        <w:rPr>
          <w:rFonts w:cs="Arial"/>
        </w:rPr>
      </w:pPr>
      <w:r>
        <w:rPr>
          <w:rFonts w:cs="Arial"/>
        </w:rPr>
        <w:t>g.</w:t>
      </w:r>
      <w:r>
        <w:rPr>
          <w:rFonts w:cs="Arial"/>
        </w:rPr>
        <w:tab/>
        <w:t>het zuurverbruik in liters per dag in geval van een chemische wasstap;</w:t>
      </w:r>
    </w:p>
    <w:p w:rsidR="00923907" w:rsidRDefault="00923907" w:rsidP="00923907">
      <w:pPr>
        <w:pStyle w:val="art2enivo"/>
        <w:shd w:val="clear" w:color="auto" w:fill="D9D9D9" w:themeFill="background1" w:themeFillShade="D9"/>
        <w:suppressAutoHyphens/>
        <w:rPr>
          <w:rFonts w:cs="Arial"/>
        </w:rPr>
      </w:pPr>
      <w:r>
        <w:rPr>
          <w:rFonts w:cs="Arial"/>
        </w:rPr>
        <w:t>h.</w:t>
      </w:r>
      <w:r>
        <w:rPr>
          <w:rFonts w:cs="Arial"/>
        </w:rPr>
        <w:tab/>
        <w:t>het elektriciteitsverbruik van de waswaterpomp in kilowatt uur;</w:t>
      </w:r>
    </w:p>
    <w:p w:rsidR="00923907" w:rsidRDefault="00923907" w:rsidP="00923907">
      <w:pPr>
        <w:pStyle w:val="art2enivo"/>
        <w:shd w:val="clear" w:color="auto" w:fill="D9D9D9" w:themeFill="background1" w:themeFillShade="D9"/>
        <w:suppressAutoHyphens/>
        <w:rPr>
          <w:rFonts w:cs="Arial"/>
        </w:rPr>
      </w:pPr>
      <w:r>
        <w:rPr>
          <w:rFonts w:cs="Arial"/>
        </w:rPr>
        <w:t>i.</w:t>
      </w:r>
      <w:r>
        <w:rPr>
          <w:rFonts w:cs="Arial"/>
        </w:rPr>
        <w:tab/>
        <w:t>het spuiwaterdebiet in liters per uur en de spuifrequentie;</w:t>
      </w:r>
    </w:p>
    <w:p w:rsidR="00923907" w:rsidRDefault="00923907" w:rsidP="00923907">
      <w:pPr>
        <w:pStyle w:val="art2enivo"/>
        <w:shd w:val="clear" w:color="auto" w:fill="D9D9D9" w:themeFill="background1" w:themeFillShade="D9"/>
        <w:suppressAutoHyphens/>
        <w:rPr>
          <w:rFonts w:cs="Arial"/>
        </w:rPr>
      </w:pPr>
      <w:r>
        <w:rPr>
          <w:rFonts w:cs="Arial"/>
        </w:rPr>
        <w:t>j.</w:t>
      </w:r>
      <w:r>
        <w:rPr>
          <w:rFonts w:cs="Arial"/>
        </w:rPr>
        <w:tab/>
        <w:t>het waswaterdebiet in liters per uur.</w:t>
      </w:r>
    </w:p>
    <w:p w:rsidR="00923907" w:rsidRDefault="00923907" w:rsidP="00923907">
      <w:pPr>
        <w:pStyle w:val="artikelkop"/>
        <w:shd w:val="clear" w:color="auto" w:fill="D9D9D9" w:themeFill="background1" w:themeFillShade="D9"/>
      </w:pPr>
      <w:r>
        <w:t xml:space="preserve">Artikel 3.98 </w:t>
      </w:r>
    </w:p>
    <w:p w:rsidR="00923907" w:rsidRDefault="00923907" w:rsidP="00923907">
      <w:pPr>
        <w:pStyle w:val="art1enivo"/>
        <w:shd w:val="clear" w:color="auto" w:fill="D9D9D9" w:themeFill="background1" w:themeFillShade="D9"/>
        <w:suppressAutoHyphens/>
        <w:rPr>
          <w:rFonts w:cs="Arial"/>
        </w:rPr>
      </w:pPr>
      <w:r>
        <w:rPr>
          <w:rFonts w:cs="Arial"/>
        </w:rPr>
        <w:t>1.</w:t>
      </w:r>
      <w:r>
        <w:rPr>
          <w:rFonts w:cs="Arial"/>
        </w:rPr>
        <w:tab/>
        <w:t>Ten behoeve van een evenredige verdeling van de stallucht over het aanstroomoppervlak van het filterpakket van het luchtwassysteem als bedoeld in artikel 3.125, derde lid, van het besluit wordt voldaan aan het tweede tot en met vijfde lid.</w:t>
      </w:r>
    </w:p>
    <w:p w:rsidR="00923907" w:rsidRDefault="00923907" w:rsidP="00923907">
      <w:pPr>
        <w:pStyle w:val="art1enivo"/>
        <w:shd w:val="clear" w:color="auto" w:fill="D9D9D9" w:themeFill="background1" w:themeFillShade="D9"/>
        <w:suppressAutoHyphens/>
        <w:rPr>
          <w:rFonts w:cs="Arial"/>
        </w:rPr>
      </w:pPr>
      <w:r>
        <w:rPr>
          <w:rFonts w:cs="Arial"/>
        </w:rPr>
        <w:t>2.</w:t>
      </w:r>
      <w:r>
        <w:rPr>
          <w:rFonts w:cs="Arial"/>
        </w:rPr>
        <w:tab/>
        <w:t>Het doorstroomoppervlak van het luchtkanaal bedraagt ten minste een vierkante centimeter per kubieke meter lucht bij de maximale capaciteit van het luchtwassysteem.</w:t>
      </w:r>
    </w:p>
    <w:p w:rsidR="00923907" w:rsidRDefault="00923907" w:rsidP="00923907">
      <w:pPr>
        <w:pStyle w:val="art1enivo"/>
        <w:shd w:val="clear" w:color="auto" w:fill="D9D9D9" w:themeFill="background1" w:themeFillShade="D9"/>
        <w:suppressAutoHyphens/>
        <w:rPr>
          <w:rFonts w:cs="Arial"/>
        </w:rPr>
      </w:pPr>
      <w:r>
        <w:rPr>
          <w:rFonts w:cs="Arial"/>
        </w:rPr>
        <w:t>3.</w:t>
      </w:r>
      <w:r>
        <w:rPr>
          <w:rFonts w:cs="Arial"/>
        </w:rPr>
        <w:tab/>
        <w:t>De afstand tussen de ventilatoren die de lucht uit het huisvestingssysteem zuigen en het filterpakket is ten minste drie meter.</w:t>
      </w:r>
    </w:p>
    <w:p w:rsidR="00923907" w:rsidRDefault="00923907" w:rsidP="00923907">
      <w:pPr>
        <w:pStyle w:val="art1enivo"/>
        <w:shd w:val="clear" w:color="auto" w:fill="D9D9D9" w:themeFill="background1" w:themeFillShade="D9"/>
        <w:suppressAutoHyphens/>
        <w:rPr>
          <w:rFonts w:cs="Arial"/>
        </w:rPr>
      </w:pPr>
      <w:r>
        <w:rPr>
          <w:rFonts w:cs="Arial"/>
        </w:rPr>
        <w:t>4.</w:t>
      </w:r>
      <w:r>
        <w:rPr>
          <w:rFonts w:cs="Arial"/>
        </w:rPr>
        <w:tab/>
        <w:t>In afwijking van het derde lid bedraagt de vrije ruimte voor het filterpakket ten minste een meter als de ventilatoren na het filterpakket zijn geplaatst.</w:t>
      </w:r>
    </w:p>
    <w:p w:rsidR="00923907" w:rsidRDefault="00923907" w:rsidP="00923907">
      <w:pPr>
        <w:pStyle w:val="art1enivo"/>
        <w:shd w:val="clear" w:color="auto" w:fill="D9D9D9" w:themeFill="background1" w:themeFillShade="D9"/>
        <w:suppressAutoHyphens/>
        <w:rPr>
          <w:rFonts w:cs="Arial"/>
        </w:rPr>
      </w:pPr>
      <w:r>
        <w:rPr>
          <w:rFonts w:cs="Arial"/>
        </w:rPr>
        <w:t>5.</w:t>
      </w:r>
      <w:r>
        <w:rPr>
          <w:rFonts w:cs="Arial"/>
        </w:rPr>
        <w:tab/>
        <w:t>Indien voor het filterpakket een reinigingsstap is geplaatst zonder filterpakket worden de afstanden, bedoeld in het derde en vierde lid, gemeten tot deze reinigingsstap.</w:t>
      </w:r>
    </w:p>
    <w:p w:rsidR="00923907" w:rsidRDefault="00923907" w:rsidP="00923907">
      <w:pPr>
        <w:pStyle w:val="art1enivo"/>
        <w:shd w:val="clear" w:color="auto" w:fill="D9D9D9" w:themeFill="background1" w:themeFillShade="D9"/>
      </w:pPr>
      <w:r>
        <w:t>6.</w:t>
      </w:r>
      <w:r>
        <w:tab/>
        <w:t>Het eerste tot en met vijfde lid is niet van toepassing indien de drukkamer, bedoeld in artikel 3.97, onder e, voor 1 januari 2013 in gebruik was en bouwkundige aanpassing van de drukkamer redelijkerwijs niet kan worden gevergd.</w:t>
      </w:r>
    </w:p>
    <w:p w:rsidR="00923907" w:rsidRDefault="00923907" w:rsidP="00923907">
      <w:pPr>
        <w:pStyle w:val="artikelkop"/>
        <w:shd w:val="clear" w:color="auto" w:fill="D9D9D9" w:themeFill="background1" w:themeFillShade="D9"/>
      </w:pPr>
      <w:r>
        <w:t xml:space="preserve">Artikel 3.99 </w:t>
      </w:r>
    </w:p>
    <w:p w:rsidR="00923907" w:rsidRDefault="00923907" w:rsidP="00923907">
      <w:pPr>
        <w:pStyle w:val="art1enivo"/>
        <w:shd w:val="clear" w:color="auto" w:fill="D9D9D9" w:themeFill="background1" w:themeFillShade="D9"/>
        <w:suppressAutoHyphens/>
        <w:rPr>
          <w:rFonts w:cs="Arial"/>
        </w:rPr>
      </w:pPr>
      <w:r>
        <w:rPr>
          <w:rFonts w:cs="Arial"/>
        </w:rPr>
        <w:t>1.</w:t>
      </w:r>
      <w:r>
        <w:rPr>
          <w:rFonts w:cs="Arial"/>
        </w:rPr>
        <w:tab/>
        <w:t>In een elektronisch monitoringsysteem als bedoeld in artikel 3.125, vijfde lid, van het besluit worden ieder uur de waarden van in ieder geval de volgende parameters geregistreerd:</w:t>
      </w:r>
    </w:p>
    <w:p w:rsidR="00923907" w:rsidRDefault="00923907" w:rsidP="00923907">
      <w:pPr>
        <w:pStyle w:val="art2enivo"/>
        <w:shd w:val="clear" w:color="auto" w:fill="D9D9D9" w:themeFill="background1" w:themeFillShade="D9"/>
        <w:suppressAutoHyphens/>
        <w:rPr>
          <w:rFonts w:cs="Arial"/>
        </w:rPr>
      </w:pPr>
      <w:r>
        <w:rPr>
          <w:rFonts w:cs="Arial"/>
        </w:rPr>
        <w:t>a.</w:t>
      </w:r>
      <w:r>
        <w:rPr>
          <w:rFonts w:cs="Arial"/>
        </w:rPr>
        <w:tab/>
        <w:t>de zuurgraad van het waswater;</w:t>
      </w:r>
    </w:p>
    <w:p w:rsidR="00923907" w:rsidRDefault="00923907" w:rsidP="00923907">
      <w:pPr>
        <w:pStyle w:val="art2enivo"/>
        <w:shd w:val="clear" w:color="auto" w:fill="D9D9D9" w:themeFill="background1" w:themeFillShade="D9"/>
        <w:suppressAutoHyphens/>
        <w:rPr>
          <w:rFonts w:cs="Arial"/>
        </w:rPr>
      </w:pPr>
      <w:r>
        <w:rPr>
          <w:rFonts w:cs="Arial"/>
        </w:rPr>
        <w:t>b.</w:t>
      </w:r>
      <w:r>
        <w:rPr>
          <w:rFonts w:cs="Arial"/>
        </w:rPr>
        <w:tab/>
        <w:t>de geleidbaarheid van het waswater in milliSiemens per centimeter;</w:t>
      </w:r>
    </w:p>
    <w:p w:rsidR="00923907" w:rsidRDefault="00923907" w:rsidP="00923907">
      <w:pPr>
        <w:pStyle w:val="art2enivo"/>
        <w:shd w:val="clear" w:color="auto" w:fill="D9D9D9" w:themeFill="background1" w:themeFillShade="D9"/>
        <w:suppressAutoHyphens/>
        <w:rPr>
          <w:rFonts w:cs="Arial"/>
        </w:rPr>
      </w:pPr>
      <w:r>
        <w:rPr>
          <w:rFonts w:cs="Arial"/>
        </w:rPr>
        <w:t>c.</w:t>
      </w:r>
      <w:r>
        <w:rPr>
          <w:rFonts w:cs="Arial"/>
        </w:rPr>
        <w:tab/>
        <w:t>de spuiwaterproductie in kubieke meter;</w:t>
      </w:r>
    </w:p>
    <w:p w:rsidR="00923907" w:rsidRDefault="00923907" w:rsidP="00923907">
      <w:pPr>
        <w:pStyle w:val="art2enivo"/>
        <w:shd w:val="clear" w:color="auto" w:fill="D9D9D9" w:themeFill="background1" w:themeFillShade="D9"/>
        <w:suppressAutoHyphens/>
        <w:rPr>
          <w:rFonts w:cs="Arial"/>
        </w:rPr>
      </w:pPr>
      <w:r>
        <w:rPr>
          <w:rFonts w:cs="Arial"/>
        </w:rPr>
        <w:t>d.</w:t>
      </w:r>
      <w:r>
        <w:rPr>
          <w:rFonts w:cs="Arial"/>
        </w:rPr>
        <w:tab/>
        <w:t>de drukval over het filterpakket in pascal;</w:t>
      </w:r>
    </w:p>
    <w:p w:rsidR="00923907" w:rsidRDefault="00923907" w:rsidP="00923907">
      <w:pPr>
        <w:pStyle w:val="art2enivo"/>
        <w:shd w:val="clear" w:color="auto" w:fill="D9D9D9" w:themeFill="background1" w:themeFillShade="D9"/>
        <w:suppressAutoHyphens/>
        <w:rPr>
          <w:rFonts w:cs="Arial"/>
        </w:rPr>
      </w:pPr>
      <w:r>
        <w:rPr>
          <w:rFonts w:cs="Arial"/>
        </w:rPr>
        <w:t>e.</w:t>
      </w:r>
      <w:r>
        <w:rPr>
          <w:rFonts w:cs="Arial"/>
        </w:rPr>
        <w:tab/>
        <w:t>het elektriciteitsverbruik van de waswaterpomp in kilowatt uur.</w:t>
      </w:r>
    </w:p>
    <w:p w:rsidR="00923907" w:rsidRDefault="00923907" w:rsidP="00923907">
      <w:pPr>
        <w:pStyle w:val="art1enivo"/>
        <w:shd w:val="clear" w:color="auto" w:fill="D9D9D9" w:themeFill="background1" w:themeFillShade="D9"/>
        <w:suppressAutoHyphens/>
        <w:rPr>
          <w:rFonts w:cs="Arial"/>
        </w:rPr>
      </w:pPr>
      <w:r>
        <w:rPr>
          <w:rFonts w:cs="Arial"/>
        </w:rPr>
        <w:t>2.</w:t>
      </w:r>
      <w:r>
        <w:rPr>
          <w:rFonts w:cs="Arial"/>
        </w:rPr>
        <w:tab/>
        <w:t>Van de parameters, genoemd in het eerste lid, onderdelen c en e, worden tevens de cumulatieve waarden geregistreerd.</w:t>
      </w:r>
    </w:p>
    <w:p w:rsidR="00923907" w:rsidRDefault="00923907" w:rsidP="00923907">
      <w:pPr>
        <w:pStyle w:val="art1enivo"/>
        <w:shd w:val="clear" w:color="auto" w:fill="D9D9D9" w:themeFill="background1" w:themeFillShade="D9"/>
        <w:suppressAutoHyphens/>
        <w:rPr>
          <w:rFonts w:cs="Arial"/>
        </w:rPr>
      </w:pPr>
      <w:r>
        <w:rPr>
          <w:rFonts w:cs="Arial"/>
        </w:rPr>
        <w:t>3.</w:t>
      </w:r>
      <w:r>
        <w:rPr>
          <w:rFonts w:cs="Arial"/>
        </w:rPr>
        <w:tab/>
        <w:t>Het waswater van het luchtwassysteem is voorzien van een debietmeting en een laagdebietalarmering die onmiddellijk in werking treedt als het debiet van het waswater te laag is voor een goede werking van het luchtwassysteem.</w:t>
      </w:r>
    </w:p>
    <w:p w:rsidR="00923907" w:rsidRDefault="00923907" w:rsidP="00923907">
      <w:pPr>
        <w:pStyle w:val="art1enivo"/>
        <w:shd w:val="clear" w:color="auto" w:fill="D9D9D9" w:themeFill="background1" w:themeFillShade="D9"/>
        <w:suppressAutoHyphens/>
        <w:rPr>
          <w:rFonts w:cs="Arial"/>
        </w:rPr>
      </w:pPr>
      <w:r>
        <w:rPr>
          <w:rFonts w:cs="Arial"/>
        </w:rPr>
        <w:t>4.</w:t>
      </w:r>
      <w:r>
        <w:rPr>
          <w:rFonts w:cs="Arial"/>
        </w:rPr>
        <w:tab/>
        <w:t>De geregistreerde waarden van de parameters worden gedurende ten minste vijf jaar binnen de inrichting bewaard.</w:t>
      </w:r>
    </w:p>
    <w:p w:rsidR="00923907" w:rsidRDefault="00923907" w:rsidP="00923907">
      <w:pPr>
        <w:pStyle w:val="artikelkop"/>
        <w:shd w:val="clear" w:color="auto" w:fill="D9D9D9" w:themeFill="background1" w:themeFillShade="D9"/>
      </w:pPr>
      <w:r>
        <w:t xml:space="preserve">Artikel 3.100 </w:t>
      </w:r>
    </w:p>
    <w:p w:rsidR="00923907" w:rsidRDefault="00923907" w:rsidP="00923907">
      <w:pPr>
        <w:pStyle w:val="art1enivo"/>
        <w:shd w:val="clear" w:color="auto" w:fill="D9D9D9" w:themeFill="background1" w:themeFillShade="D9"/>
        <w:suppressAutoHyphens/>
        <w:rPr>
          <w:rFonts w:cs="Arial"/>
        </w:rPr>
      </w:pPr>
      <w:r>
        <w:rPr>
          <w:rFonts w:cs="Arial"/>
        </w:rPr>
        <w:t>1.</w:t>
      </w:r>
      <w:r>
        <w:rPr>
          <w:rFonts w:cs="Arial"/>
        </w:rPr>
        <w:tab/>
        <w:t>Voor de registratie van de parameters, bedoeld in artikel 3.125, vijfde lid, van het besluit zijn doelmatige meetvoorzieningen aanwezig die voldoen aan het tweede tot en met vierde lid.</w:t>
      </w:r>
    </w:p>
    <w:p w:rsidR="00923907" w:rsidRDefault="00923907" w:rsidP="00923907">
      <w:pPr>
        <w:pStyle w:val="art1enivo"/>
        <w:shd w:val="clear" w:color="auto" w:fill="D9D9D9" w:themeFill="background1" w:themeFillShade="D9"/>
        <w:suppressAutoHyphens/>
        <w:rPr>
          <w:rFonts w:cs="Arial"/>
        </w:rPr>
      </w:pPr>
      <w:r>
        <w:rPr>
          <w:rFonts w:cs="Arial"/>
        </w:rPr>
        <w:t>2.</w:t>
      </w:r>
      <w:r>
        <w:rPr>
          <w:rFonts w:cs="Arial"/>
        </w:rPr>
        <w:tab/>
        <w:t>Voor het meten van de spuiwaterproductie is per spuiwaterstroom in de spuileiding een elektromagnetische flowmeter geïnstalleerd.</w:t>
      </w:r>
    </w:p>
    <w:p w:rsidR="00923907" w:rsidRDefault="00923907" w:rsidP="00923907">
      <w:pPr>
        <w:pStyle w:val="art1enivo"/>
        <w:shd w:val="clear" w:color="auto" w:fill="D9D9D9" w:themeFill="background1" w:themeFillShade="D9"/>
        <w:suppressAutoHyphens/>
        <w:rPr>
          <w:rFonts w:cs="Arial"/>
        </w:rPr>
      </w:pPr>
      <w:r>
        <w:rPr>
          <w:rFonts w:cs="Arial"/>
        </w:rPr>
        <w:t>3.</w:t>
      </w:r>
      <w:r>
        <w:rPr>
          <w:rFonts w:cs="Arial"/>
        </w:rPr>
        <w:tab/>
        <w:t>Ten minste eenmaal per zes maanden worden de EC-elektrode en de pH-elektrode gekalibreerd door een deskundige op het gebied van het kalibreren van elektrodes.</w:t>
      </w:r>
    </w:p>
    <w:p w:rsidR="00923907" w:rsidRDefault="00923907" w:rsidP="00923907">
      <w:pPr>
        <w:pStyle w:val="art1enivo"/>
        <w:shd w:val="clear" w:color="auto" w:fill="D9D9D9" w:themeFill="background1" w:themeFillShade="D9"/>
        <w:suppressAutoHyphens/>
        <w:rPr>
          <w:rFonts w:cs="Arial"/>
        </w:rPr>
      </w:pPr>
      <w:r>
        <w:rPr>
          <w:rFonts w:cs="Arial"/>
        </w:rPr>
        <w:t>4.</w:t>
      </w:r>
      <w:r>
        <w:rPr>
          <w:rFonts w:cs="Arial"/>
        </w:rPr>
        <w:tab/>
        <w:t>Bewijzen van de kalibraties worden gedurende ten minste vijf jaar binnen de inrichting bewaard.</w:t>
      </w:r>
    </w:p>
    <w:p w:rsidR="00923907" w:rsidRDefault="00923907" w:rsidP="00923907">
      <w:pPr>
        <w:pStyle w:val="artikelkop"/>
        <w:shd w:val="clear" w:color="auto" w:fill="D9D9D9" w:themeFill="background1" w:themeFillShade="D9"/>
      </w:pPr>
      <w:r>
        <w:t xml:space="preserve">Artikel 3.101 </w:t>
      </w:r>
    </w:p>
    <w:p w:rsidR="00923907" w:rsidRDefault="00923907" w:rsidP="00923907">
      <w:pPr>
        <w:pStyle w:val="artplat"/>
        <w:shd w:val="clear" w:color="auto" w:fill="D9D9D9" w:themeFill="background1" w:themeFillShade="D9"/>
        <w:suppressAutoHyphens/>
        <w:rPr>
          <w:rFonts w:cs="Arial"/>
        </w:rPr>
      </w:pPr>
      <w:r>
        <w:rPr>
          <w:rFonts w:cs="Arial"/>
        </w:rPr>
        <w:t>In de gedragsvoorschriften, bedoeld in artikel 3.125, zevende lid, van het besluit wordt ten minste aangegeven:</w:t>
      </w:r>
    </w:p>
    <w:p w:rsidR="00923907" w:rsidRDefault="00923907" w:rsidP="00923907">
      <w:pPr>
        <w:pStyle w:val="art1enivo"/>
        <w:shd w:val="clear" w:color="auto" w:fill="D9D9D9" w:themeFill="background1" w:themeFillShade="D9"/>
      </w:pPr>
      <w:r>
        <w:t>a.</w:t>
      </w:r>
      <w:r>
        <w:tab/>
        <w:t>wanneer en op welke wijze de schoonmaak en het onderhoud van het luchtwassysteem door een deskundige op het gebied van luchtwassystemen zullen plaatsvinden;</w:t>
      </w:r>
    </w:p>
    <w:p w:rsidR="00923907" w:rsidRDefault="00923907" w:rsidP="00923907">
      <w:pPr>
        <w:pStyle w:val="art1enivo"/>
        <w:shd w:val="clear" w:color="auto" w:fill="D9D9D9" w:themeFill="background1" w:themeFillShade="D9"/>
      </w:pPr>
      <w:r>
        <w:t>b.</w:t>
      </w:r>
      <w:r>
        <w:tab/>
        <w:t>wanneer en op welke wijze de visuele controles en schoonmaak van het luchtwassysteem door de drijver van de inrichting zullen plaatsvinden;</w:t>
      </w:r>
    </w:p>
    <w:p w:rsidR="00923907" w:rsidRDefault="00923907" w:rsidP="00923907">
      <w:pPr>
        <w:pStyle w:val="art1enivo"/>
        <w:shd w:val="clear" w:color="auto" w:fill="D9D9D9" w:themeFill="background1" w:themeFillShade="D9"/>
      </w:pPr>
      <w:r>
        <w:t>c.</w:t>
      </w:r>
      <w:r>
        <w:tab/>
        <w:t>op welke wijze de waarden en instellingen van het luchtwassysteem die bepalend zijn voor de goede werking worden gecontroleerd, en</w:t>
      </w:r>
    </w:p>
    <w:p w:rsidR="00923907" w:rsidRDefault="00923907" w:rsidP="00923907">
      <w:pPr>
        <w:pStyle w:val="art1enivo"/>
        <w:shd w:val="clear" w:color="auto" w:fill="D9D9D9" w:themeFill="background1" w:themeFillShade="D9"/>
      </w:pPr>
      <w:r>
        <w:t>d.</w:t>
      </w:r>
      <w:r>
        <w:tab/>
        <w:t>welke maatregelen als bedoeld in artikel 3.125, zesde lid, van het besluit worden getroffen.</w:t>
      </w:r>
    </w:p>
    <w:p w:rsidR="00923907" w:rsidRPr="00923907" w:rsidRDefault="00923907" w:rsidP="00923907"/>
    <w:p w:rsidR="00296032" w:rsidRPr="00296032" w:rsidRDefault="00296032">
      <w:pPr>
        <w:pStyle w:val="paragraaf"/>
      </w:pPr>
      <w:bookmarkStart w:id="143" w:name="_Toc431375635"/>
      <w:r w:rsidRPr="00296032">
        <w:t>§ 3.5.9. Bereiden van brijvoer voor eigen landbouwhuisdieren</w:t>
      </w:r>
      <w:bookmarkEnd w:id="143"/>
    </w:p>
    <w:p w:rsidR="00296032" w:rsidRPr="00296032" w:rsidRDefault="00296032">
      <w:pPr>
        <w:pStyle w:val="artikelkop"/>
      </w:pPr>
      <w:r w:rsidRPr="00296032">
        <w:t>Artikel 3.129a</w:t>
      </w:r>
    </w:p>
    <w:p w:rsidR="00296032" w:rsidRPr="00620047" w:rsidRDefault="00296032">
      <w:pPr>
        <w:pStyle w:val="artplat"/>
      </w:pPr>
      <w:r w:rsidRPr="00620047">
        <w:t>Deze paragraaf is van toepassing op het bereiden van brijvoer met plantaardige bijvoedermiddelen voor landbouwhuisdieren die binnen dezelfde inrichting worden gehouden voor zover de verwerkingscapaciteit voor het bereiden van brijvoer ten hoogste 4.000 ton per jaar bedraagt.</w:t>
      </w:r>
    </w:p>
    <w:p w:rsidR="00296032" w:rsidRPr="00296032" w:rsidRDefault="00296032">
      <w:pPr>
        <w:pStyle w:val="artikelkop"/>
      </w:pPr>
      <w:r w:rsidRPr="00296032">
        <w:t>Artikel 3.129b</w:t>
      </w:r>
    </w:p>
    <w:p w:rsidR="00296032" w:rsidRDefault="00296032">
      <w:pPr>
        <w:pStyle w:val="artplat"/>
      </w:pPr>
      <w:r w:rsidRPr="00620047">
        <w:t>Bij het bereiden van brijvoer wordt ten behoeve van het voorkomen dan wel, voor zover dat niet mogelijk is, het tot een aanvaardbaar niveau beperken van geurhinder, ten minste voldaan aan de bij ministeriële regeling gestelde eisen.</w:t>
      </w:r>
    </w:p>
    <w:p w:rsidR="008E231B" w:rsidRDefault="008E231B">
      <w:pPr>
        <w:pStyle w:val="artplat"/>
      </w:pPr>
    </w:p>
    <w:p w:rsidR="008E231B" w:rsidRDefault="008E231B" w:rsidP="008E231B">
      <w:pPr>
        <w:pStyle w:val="paragraaf"/>
        <w:shd w:val="clear" w:color="auto" w:fill="D9D9D9" w:themeFill="background1" w:themeFillShade="D9"/>
        <w:rPr>
          <w:rFonts w:eastAsia="Calibri"/>
        </w:rPr>
      </w:pPr>
      <w:bookmarkStart w:id="144" w:name="_Toc431375636"/>
      <w:r>
        <w:t xml:space="preserve">§ </w:t>
      </w:r>
      <w:r>
        <w:rPr>
          <w:rFonts w:eastAsia="Calibri"/>
        </w:rPr>
        <w:t>3.5.7.</w:t>
      </w:r>
      <w:r>
        <w:rPr>
          <w:rFonts w:eastAsia="Calibri"/>
        </w:rPr>
        <w:tab/>
        <w:t>Bereiden van brijvoer voor eigen landbouwhuisdieren</w:t>
      </w:r>
      <w:bookmarkEnd w:id="144"/>
    </w:p>
    <w:p w:rsidR="008E231B" w:rsidRDefault="008E231B" w:rsidP="008E231B">
      <w:pPr>
        <w:pStyle w:val="artikelkop"/>
        <w:shd w:val="clear" w:color="auto" w:fill="D9D9D9" w:themeFill="background1" w:themeFillShade="D9"/>
      </w:pPr>
      <w:r>
        <w:t xml:space="preserve">Artikel 3.102 </w:t>
      </w:r>
    </w:p>
    <w:p w:rsidR="008E231B" w:rsidRPr="008E231B" w:rsidRDefault="008E231B" w:rsidP="008E231B">
      <w:pPr>
        <w:pStyle w:val="artplat"/>
        <w:shd w:val="clear" w:color="auto" w:fill="D9D9D9" w:themeFill="background1" w:themeFillShade="D9"/>
        <w:suppressAutoHyphens/>
        <w:rPr>
          <w:rFonts w:cs="Arial"/>
        </w:rPr>
      </w:pPr>
      <w:r>
        <w:rPr>
          <w:rFonts w:cs="Arial"/>
        </w:rPr>
        <w:t>Ten behoeve van het voorkomen dan wel voor zover dat niet mogelijk is het tot een aanvaardbaar niveau beperken van geurhinder als bedoeld in artikel 3.129b van het besluit vindt het bereiden van brijvoer ten minste plaats in een gesloten ruimte.</w:t>
      </w:r>
    </w:p>
    <w:p w:rsidR="00296032" w:rsidRPr="00296032" w:rsidRDefault="00296032">
      <w:pPr>
        <w:pStyle w:val="paragraaf"/>
      </w:pPr>
      <w:bookmarkStart w:id="145" w:name="_Toc431375637"/>
      <w:r w:rsidRPr="00296032">
        <w:t>§ 3.5.10. Kleinschalig vergisten van uitsluitend dierlijke meststoffen</w:t>
      </w:r>
      <w:bookmarkEnd w:id="145"/>
    </w:p>
    <w:p w:rsidR="00296032" w:rsidRPr="00296032" w:rsidRDefault="00296032">
      <w:pPr>
        <w:pStyle w:val="artikelkop"/>
      </w:pPr>
      <w:r w:rsidRPr="00296032">
        <w:t xml:space="preserve">Artikel 3.129c </w:t>
      </w:r>
    </w:p>
    <w:p w:rsidR="00296032" w:rsidRPr="00620047" w:rsidRDefault="00296032">
      <w:pPr>
        <w:pStyle w:val="art1enivo"/>
      </w:pPr>
      <w:r w:rsidRPr="00620047">
        <w:t>1.</w:t>
      </w:r>
      <w:r w:rsidRPr="00620047">
        <w:tab/>
        <w:t>Deze paragraaf is van toepassing op het vergisten van dierlijke mest met een verwerkingscapaciteit van ten hoogste 25.000 kubieke meter mest per jaar.</w:t>
      </w:r>
    </w:p>
    <w:p w:rsidR="00296032" w:rsidRPr="00620047" w:rsidRDefault="00296032">
      <w:pPr>
        <w:pStyle w:val="art1enivo"/>
      </w:pPr>
      <w:r w:rsidRPr="00620047">
        <w:t>2.</w:t>
      </w:r>
      <w:r w:rsidRPr="00620047">
        <w:tab/>
        <w:t>Onverminderd het eerste lid is deze paragraaf eveneens van toepassing op het voor of na het vergisten, bedoeld in het eerste lid:</w:t>
      </w:r>
    </w:p>
    <w:p w:rsidR="00296032" w:rsidRPr="00620047" w:rsidRDefault="00296032">
      <w:pPr>
        <w:pStyle w:val="art2enivo"/>
      </w:pPr>
      <w:r w:rsidRPr="00620047">
        <w:t>a.</w:t>
      </w:r>
      <w:r w:rsidRPr="00620047">
        <w:tab/>
        <w:t>biologisch behandelen van dierlijke meststoffen;</w:t>
      </w:r>
    </w:p>
    <w:p w:rsidR="00296032" w:rsidRPr="00620047" w:rsidRDefault="00296032">
      <w:pPr>
        <w:pStyle w:val="art2enivo"/>
      </w:pPr>
      <w:r w:rsidRPr="00620047">
        <w:t>b.</w:t>
      </w:r>
      <w:r w:rsidRPr="00620047">
        <w:tab/>
        <w:t>opslaan van digestaat van het vergisten van dierlijke meststoffen, zolang dat nog biologisch actief is;</w:t>
      </w:r>
    </w:p>
    <w:p w:rsidR="00296032" w:rsidRPr="00620047" w:rsidRDefault="00296032">
      <w:pPr>
        <w:pStyle w:val="art2enivo"/>
      </w:pPr>
      <w:r w:rsidRPr="00620047">
        <w:t>c.</w:t>
      </w:r>
      <w:r w:rsidRPr="00620047">
        <w:tab/>
        <w:t>opslaan, bewerken en transporteren van vergistinggas met een capaciteit voor de opslag in opslagtanks van ten hoogste 20.000 liter.</w:t>
      </w:r>
    </w:p>
    <w:p w:rsidR="00296032" w:rsidRPr="00296032" w:rsidRDefault="00296032">
      <w:pPr>
        <w:pStyle w:val="artikelkop"/>
      </w:pPr>
      <w:r w:rsidRPr="00296032">
        <w:t xml:space="preserve">Artikel 3.129d </w:t>
      </w:r>
    </w:p>
    <w:p w:rsidR="00296032" w:rsidRPr="00620047" w:rsidRDefault="00296032">
      <w:pPr>
        <w:pStyle w:val="art1enivo"/>
      </w:pPr>
      <w:r w:rsidRPr="00620047">
        <w:t>1.</w:t>
      </w:r>
      <w:r w:rsidRPr="00620047">
        <w:tab/>
        <w:t>Een installatie voor het vergisten van dierlijke meststoffen en de opslag van digestaat dat nog biologisch actief is, is gasdicht en voorzien van een overdrukbeveiliging.</w:t>
      </w:r>
    </w:p>
    <w:p w:rsidR="00296032" w:rsidRPr="00620047" w:rsidRDefault="00296032">
      <w:pPr>
        <w:pStyle w:val="art1enivo"/>
      </w:pPr>
      <w:r w:rsidRPr="00620047">
        <w:t>2.</w:t>
      </w:r>
      <w:r w:rsidRPr="00620047">
        <w:tab/>
        <w:t>Het is verboden digestaat dat nog biologisch actief is buiten de inrichting te brengen of buiten de vergistingstank te mengen met andere dierlijke meststoffen.</w:t>
      </w:r>
    </w:p>
    <w:p w:rsidR="00296032" w:rsidRPr="00620047" w:rsidRDefault="00296032">
      <w:pPr>
        <w:pStyle w:val="art1enivo"/>
      </w:pPr>
      <w:r w:rsidRPr="00620047">
        <w:t>3.</w:t>
      </w:r>
      <w:r w:rsidRPr="00620047">
        <w:tab/>
        <w:t>Bij het vergisten van dierlijke meststoffen en de opslag van digestaat dat nog biologisch actief is, is emissie van vergistinggas verboden anders dan een emissie via de overdrukbeveiliging die plaatsvindt als gevolg van een incident of via een fakkel of andere maatregel als bedoeld in het vijfde lid.</w:t>
      </w:r>
    </w:p>
    <w:p w:rsidR="00296032" w:rsidRPr="00620047" w:rsidRDefault="00296032">
      <w:pPr>
        <w:pStyle w:val="art1enivo"/>
      </w:pPr>
      <w:r w:rsidRPr="00620047">
        <w:t>4.</w:t>
      </w:r>
      <w:r w:rsidRPr="00620047">
        <w:tab/>
        <w:t>Een installatie voor het vergisten van dierlijke meststoffen, het opslaan van vergistinggas en het transporteren en bewerken van vergistinggas is voorzien van een elektronisch monitoringssysteem dat de goede werking van de installatie controleert en de inrichtinghouder waarschuwt bij incidenten die kunnen leiden tot onveilige situaties of de emissie van vergistinggas meldt. De inrichtinghouder draagt er zorg voor dat binnen een uur na de waarschuwing actie wordt ondernomen om incidenten die zijn gemeld door het systeem te verhelpen.</w:t>
      </w:r>
    </w:p>
    <w:p w:rsidR="00296032" w:rsidRPr="00620047" w:rsidRDefault="00296032">
      <w:pPr>
        <w:pStyle w:val="art1enivo"/>
      </w:pPr>
      <w:r w:rsidRPr="00620047">
        <w:t>5.</w:t>
      </w:r>
      <w:r w:rsidRPr="00620047">
        <w:tab/>
        <w:t>Het bevoegd gezag kan, indien blijkt dat de inrichtinghouder onvoldoende maatregelen treft om uitstoot van vergistinggas bij incidenten te voorkomen, bij maatwerkvoorschrift voorschrijven dat een fakkel of andere maatregel wordt toegepast om vergistinggas bij incidenten te verbranden.</w:t>
      </w:r>
    </w:p>
    <w:p w:rsidR="00296032" w:rsidRPr="00296032" w:rsidRDefault="00296032">
      <w:pPr>
        <w:pStyle w:val="artikelkop"/>
      </w:pPr>
      <w:r w:rsidRPr="00296032">
        <w:t xml:space="preserve">Artikel 3.129e </w:t>
      </w:r>
    </w:p>
    <w:p w:rsidR="00296032" w:rsidRPr="00620047" w:rsidRDefault="00296032">
      <w:pPr>
        <w:pStyle w:val="art1enivo"/>
      </w:pPr>
      <w:r w:rsidRPr="00620047">
        <w:t>1.</w:t>
      </w:r>
      <w:r w:rsidRPr="00620047">
        <w:tab/>
        <w:t>Vergistinggas bevat, op de plaats waar het de installatie, bedoeld in artikel 3.129d, eerste lid, verlaat, ten hoogste 430 milligram waterstofsulfide per normaal kubieke meter.</w:t>
      </w:r>
    </w:p>
    <w:p w:rsidR="00296032" w:rsidRPr="00620047" w:rsidRDefault="00296032">
      <w:pPr>
        <w:pStyle w:val="art1enivo"/>
      </w:pPr>
      <w:r w:rsidRPr="00620047">
        <w:t>2.</w:t>
      </w:r>
      <w:r w:rsidRPr="00620047">
        <w:tab/>
        <w:t>Onverminderd het eerste lid bevat vergistinggas dat de inrichting via een leiding verlaat ten hoogste 15 milligram ammoniak per normaal kubieke meter.</w:t>
      </w:r>
    </w:p>
    <w:p w:rsidR="00296032" w:rsidRPr="00620047" w:rsidRDefault="00296032">
      <w:pPr>
        <w:pStyle w:val="art1enivo"/>
      </w:pPr>
      <w:r w:rsidRPr="00620047">
        <w:t>3.</w:t>
      </w:r>
      <w:r w:rsidRPr="00620047">
        <w:tab/>
        <w:t>Een installatie voor het vergisten van dierlijke meststoffen heeft ten minste één monsternamepunt voor vergistinggas.</w:t>
      </w:r>
    </w:p>
    <w:p w:rsidR="00296032" w:rsidRPr="00620047" w:rsidRDefault="00296032">
      <w:pPr>
        <w:pStyle w:val="art1enivo"/>
      </w:pPr>
      <w:r w:rsidRPr="00620047">
        <w:t>4.</w:t>
      </w:r>
      <w:r w:rsidRPr="00620047">
        <w:tab/>
        <w:t>Het vergistinggas wordt bij ingebruikname van de installatie en vervolgens maandelijks bemonsterd en geanalyseerd op het gehalte waterstofsulfide en, indien het tweede lid van toepassing is, op het gehalte ammoniak.</w:t>
      </w:r>
    </w:p>
    <w:p w:rsidR="00296032" w:rsidRPr="00620047" w:rsidRDefault="00296032">
      <w:pPr>
        <w:pStyle w:val="art1enivo"/>
      </w:pPr>
      <w:r w:rsidRPr="00620047">
        <w:t>5.</w:t>
      </w:r>
      <w:r w:rsidRPr="00620047">
        <w:tab/>
        <w:t>De resultaten van de analyses worden ten minste vijf jaar binnen de inrichting bewaard.</w:t>
      </w:r>
    </w:p>
    <w:p w:rsidR="00296032" w:rsidRPr="00620047" w:rsidRDefault="00296032">
      <w:pPr>
        <w:pStyle w:val="art1enivo"/>
      </w:pPr>
      <w:r w:rsidRPr="00620047">
        <w:t xml:space="preserve">6. </w:t>
      </w:r>
      <w:r w:rsidRPr="00620047">
        <w:tab/>
        <w:t>Het bevoegd gezag kan op verzoek van de drijver van de inrichting bij maatwerkvoorschrift bepalen dat het vierde en vijfde lid niet van toepassing zijn, indien de drijver van de inrichting zorgt voor een continue registratie van het gehalte waterstofsulfide en, indien het tweede lid van toepassing is, het gehalte ammoniak. In dat geval kan het bevoegd gezag bij maatwerkvoorschrift eisen stellen aan de toegepaste meetmethode en de verwerking van de meetonnauwkeurigheid.</w:t>
      </w:r>
    </w:p>
    <w:p w:rsidR="00296032" w:rsidRPr="00296032" w:rsidRDefault="00296032">
      <w:pPr>
        <w:pStyle w:val="artikelkop"/>
      </w:pPr>
      <w:r w:rsidRPr="00296032">
        <w:t xml:space="preserve">Artikel 3.129f </w:t>
      </w:r>
    </w:p>
    <w:p w:rsidR="00296032" w:rsidRPr="00620047" w:rsidRDefault="00296032">
      <w:pPr>
        <w:pStyle w:val="art1enivo"/>
      </w:pPr>
      <w:r w:rsidRPr="00620047">
        <w:t>1.</w:t>
      </w:r>
      <w:r w:rsidRPr="00620047">
        <w:tab/>
        <w:t>Tussen een gaszak met vergistinggas en buiten de inrichting gelegen kwetsbare en beperkt kwetsbare objecten is de afstand ten minste 50 meter, gerekend vanaf het middelpunt van de gaszak.</w:t>
      </w:r>
    </w:p>
    <w:p w:rsidR="00296032" w:rsidRPr="00620047" w:rsidRDefault="00296032">
      <w:pPr>
        <w:pStyle w:val="art1enivo"/>
      </w:pPr>
      <w:r w:rsidRPr="00620047">
        <w:t>2.</w:t>
      </w:r>
      <w:r w:rsidRPr="00620047">
        <w:tab/>
        <w:t>Tussen een opslagtank voor vloeibaar biogas en buiten de inrichting gelegen kwetsbare en beperkt kwetsbare objecten is de afstand ten minste 50 meter, gerekend vanaf het aftappunt van de opslagtank.</w:t>
      </w:r>
    </w:p>
    <w:p w:rsidR="00296032" w:rsidRPr="00620047" w:rsidRDefault="00296032">
      <w:pPr>
        <w:pStyle w:val="art1enivo"/>
      </w:pPr>
      <w:r w:rsidRPr="00620047">
        <w:t>3.</w:t>
      </w:r>
      <w:r w:rsidRPr="00620047">
        <w:tab/>
        <w:t>Binnen de afstanden, genoemd in het eerste en tweede lid, is overnachting en recreatief verblijf door derden niet toegestaan.</w:t>
      </w:r>
    </w:p>
    <w:p w:rsidR="00296032" w:rsidRPr="00296032" w:rsidRDefault="00296032">
      <w:pPr>
        <w:pStyle w:val="artikelkop"/>
      </w:pPr>
      <w:r w:rsidRPr="00296032">
        <w:t xml:space="preserve">Artikel 3.129g </w:t>
      </w:r>
    </w:p>
    <w:p w:rsidR="00296032" w:rsidRPr="00620047" w:rsidRDefault="00296032">
      <w:pPr>
        <w:pStyle w:val="art1enivo"/>
      </w:pPr>
      <w:r w:rsidRPr="00620047">
        <w:t>1.</w:t>
      </w:r>
      <w:r w:rsidRPr="00620047">
        <w:tab/>
        <w:t>Een voorziening voor het biologisch behandelen van dierlijke meststoffen voor of na het vergisten ligt op een afstand van ten minste 100 meter van een geurgevoelig object dat binnen de bebouwde kom is gelegen.</w:t>
      </w:r>
    </w:p>
    <w:p w:rsidR="00296032" w:rsidRPr="00620047" w:rsidRDefault="00296032">
      <w:pPr>
        <w:pStyle w:val="art1enivo"/>
      </w:pPr>
      <w:r w:rsidRPr="00620047">
        <w:t>2.</w:t>
      </w:r>
      <w:r w:rsidRPr="00620047">
        <w:tab/>
        <w:t>Een voorziening voor het biologisch behandelen van dierlijke meststoffen voor of na het vergisten ligt op een afstand van ten minste 50 meter van een geurgevoelig object dat buiten de bebouwde kom is gelegen.</w:t>
      </w:r>
    </w:p>
    <w:p w:rsidR="00296032" w:rsidRPr="00620047" w:rsidRDefault="00296032">
      <w:pPr>
        <w:pStyle w:val="art1enivo"/>
      </w:pPr>
      <w:r w:rsidRPr="00620047">
        <w:t>3.</w:t>
      </w:r>
      <w:r w:rsidRPr="00620047">
        <w:tab/>
        <w:t>Het bevoegd gezag kan, indien blijkt dat de geurhinder als gevolg van het biologisch behandelen van dierlijke meststoffen voor of na het vergisten een aanvaardbaar niveau overschrijdt, onverminderd artikel 2.7a, bij maatwerkvoorschrift eisen stellen aan:</w:t>
      </w:r>
    </w:p>
    <w:p w:rsidR="00296032" w:rsidRPr="00620047" w:rsidRDefault="00296032">
      <w:pPr>
        <w:pStyle w:val="art2enivo"/>
      </w:pPr>
      <w:r w:rsidRPr="00620047">
        <w:t>a.</w:t>
      </w:r>
      <w:r w:rsidRPr="00620047">
        <w:tab/>
        <w:t>de situering van de voorziening;</w:t>
      </w:r>
    </w:p>
    <w:p w:rsidR="00296032" w:rsidRPr="00620047" w:rsidRDefault="00296032">
      <w:pPr>
        <w:pStyle w:val="art2enivo"/>
      </w:pPr>
      <w:r w:rsidRPr="00620047">
        <w:t>b.</w:t>
      </w:r>
      <w:r w:rsidRPr="00620047">
        <w:tab/>
        <w:t>het gesloten uitvoeren van de voorziening;</w:t>
      </w:r>
    </w:p>
    <w:p w:rsidR="00296032" w:rsidRPr="00620047" w:rsidRDefault="00296032">
      <w:pPr>
        <w:pStyle w:val="art2enivo"/>
      </w:pPr>
      <w:r w:rsidRPr="00620047">
        <w:t>c.</w:t>
      </w:r>
      <w:r w:rsidRPr="00620047">
        <w:tab/>
        <w:t>de ligging en afvoerhoogte van het emissiepunt, indien emissies worden afgezogen;</w:t>
      </w:r>
    </w:p>
    <w:p w:rsidR="00296032" w:rsidRPr="00620047" w:rsidRDefault="00296032">
      <w:pPr>
        <w:pStyle w:val="art2enivo"/>
      </w:pPr>
      <w:r w:rsidRPr="00620047">
        <w:t>d.</w:t>
      </w:r>
      <w:r w:rsidRPr="00620047">
        <w:tab/>
        <w:t>de toepassing van een doelmatige ontgeuringsinstallatie.</w:t>
      </w:r>
    </w:p>
    <w:p w:rsidR="00296032" w:rsidRPr="00296032" w:rsidRDefault="00296032">
      <w:pPr>
        <w:pStyle w:val="artikelkop"/>
      </w:pPr>
      <w:r w:rsidRPr="00296032">
        <w:t xml:space="preserve">Artikel 3.129h </w:t>
      </w:r>
    </w:p>
    <w:p w:rsidR="00296032" w:rsidRPr="00620047" w:rsidRDefault="00296032">
      <w:pPr>
        <w:pStyle w:val="artplat"/>
      </w:pPr>
      <w:r w:rsidRPr="00620047">
        <w:t>Bij het vergisten van dierlijke meststoffen en de activiteiten, bedoeld in artikel 3.129c, tweede lid, wordt ten behoeve van:</w:t>
      </w:r>
    </w:p>
    <w:p w:rsidR="00296032" w:rsidRPr="00620047" w:rsidRDefault="00296032">
      <w:pPr>
        <w:pStyle w:val="artplatletter"/>
      </w:pPr>
      <w:r w:rsidRPr="00620047">
        <w:t>a.</w:t>
      </w:r>
      <w:r w:rsidRPr="00620047">
        <w:tab/>
        <w:t>het realiseren van een verwaarloosbaar bodemrisico;</w:t>
      </w:r>
    </w:p>
    <w:p w:rsidR="00296032" w:rsidRPr="00620047" w:rsidRDefault="00296032">
      <w:pPr>
        <w:pStyle w:val="artplatletter"/>
      </w:pPr>
      <w:r w:rsidRPr="00620047">
        <w:t>b.</w:t>
      </w:r>
      <w:r w:rsidRPr="00620047">
        <w:tab/>
        <w:t>het voorkomen van risico’s voor de omgeving en ongewone voorvallen, dan wel, voor zover dat niet mogelijk is, het zoveel mogelijk beperken van de risico’s voor de omgeving en de kans dat ongewone voorvallen zich voordoen en de gevolgen hiervan; of</w:t>
      </w:r>
    </w:p>
    <w:p w:rsidR="00296032" w:rsidRPr="00620047" w:rsidRDefault="00296032">
      <w:pPr>
        <w:pStyle w:val="artplatletter"/>
      </w:pPr>
      <w:r w:rsidRPr="00620047">
        <w:t>c.</w:t>
      </w:r>
      <w:r w:rsidRPr="00620047">
        <w:tab/>
        <w:t>het doelmatig verspreiden van emissies naar de buitenlucht,</w:t>
      </w:r>
    </w:p>
    <w:p w:rsidR="00296032" w:rsidRDefault="00296032">
      <w:pPr>
        <w:pStyle w:val="artplat"/>
      </w:pPr>
      <w:r w:rsidRPr="00620047">
        <w:t>ten minste voldaan aan de bij ministeriële regeling gestelde eisen.</w:t>
      </w:r>
    </w:p>
    <w:p w:rsidR="008E231B" w:rsidRDefault="008E231B">
      <w:pPr>
        <w:pStyle w:val="artplat"/>
      </w:pPr>
    </w:p>
    <w:p w:rsidR="008E231B" w:rsidRDefault="008E231B" w:rsidP="008E231B">
      <w:pPr>
        <w:pStyle w:val="paragraaf"/>
        <w:shd w:val="clear" w:color="auto" w:fill="D9D9D9" w:themeFill="background1" w:themeFillShade="D9"/>
        <w:rPr>
          <w:rFonts w:eastAsiaTheme="minorEastAsia"/>
          <w:lang w:eastAsia="nl-NL"/>
        </w:rPr>
      </w:pPr>
      <w:bookmarkStart w:id="146" w:name="_Toc431375638"/>
      <w:r>
        <w:rPr>
          <w:rFonts w:eastAsiaTheme="minorEastAsia"/>
          <w:lang w:eastAsia="nl-NL"/>
        </w:rPr>
        <w:t>§ 3.5.8.</w:t>
      </w:r>
      <w:r>
        <w:rPr>
          <w:rFonts w:eastAsiaTheme="minorEastAsia"/>
          <w:lang w:eastAsia="nl-NL"/>
        </w:rPr>
        <w:tab/>
        <w:t>Kleinschalig vergisten van uitsluitend dierlijke meststoffen</w:t>
      </w:r>
      <w:bookmarkEnd w:id="146"/>
    </w:p>
    <w:p w:rsidR="008E231B" w:rsidRDefault="008E231B" w:rsidP="008E231B">
      <w:pPr>
        <w:pStyle w:val="artikelkop"/>
        <w:shd w:val="clear" w:color="auto" w:fill="D9D9D9" w:themeFill="background1" w:themeFillShade="D9"/>
        <w:rPr>
          <w:rFonts w:eastAsiaTheme="minorEastAsia"/>
          <w:lang w:eastAsia="nl-NL"/>
        </w:rPr>
      </w:pPr>
      <w:r>
        <w:rPr>
          <w:rFonts w:eastAsiaTheme="minorEastAsia"/>
          <w:lang w:eastAsia="nl-NL"/>
        </w:rPr>
        <w:t xml:space="preserve">Artikel 3.102a </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Ten behoeve van het realiseren van een verwaarloosbaar bodemrisico, bedoel in artikel 3.129h, onderdeel a, van het besluit voldoet een installatie voor het vergisten van dierlijke meststoffen, het opslaan van het restproduct van het vergisten van dierlijke meststoffen, zolang dat restproduct nog niet stabiel is, het biologisch behandelen van dierlijke meststoffen voor of na het vergisten en het bewerken van vergistinggas ten minste aan de artikelen 3.102b en 3.102c.</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3.129h, onderdeel b, van het besluit wordt bij het vergisten van dierlijke meststoffen, het opslaan van het restproduct van het vergisten van dierlijke meststoffen, zolang dat restproduct nog niet stabiel is, het opslaan van vergistinggas, het bewerken en transporteren van vergistinggas ten minste voldaan aan de artikelen 3.102b, 3.102d en 3.102e.</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Ten behoeve van het doelmatig verspreiden van emissies naar de buitenlucht, bedoeld in artikel 3.129h, onderdeel c, van het besluit voldoet een installatie voor het bewerken van vergistinggas ten minste aan artikel 3.102f.</w:t>
      </w:r>
    </w:p>
    <w:p w:rsidR="008E231B" w:rsidRDefault="008E231B" w:rsidP="008E231B">
      <w:pPr>
        <w:pStyle w:val="artikelkop"/>
        <w:shd w:val="clear" w:color="auto" w:fill="D9D9D9" w:themeFill="background1" w:themeFillShade="D9"/>
        <w:rPr>
          <w:rFonts w:eastAsiaTheme="minorEastAsia"/>
          <w:lang w:eastAsia="nl-NL"/>
        </w:rPr>
      </w:pPr>
      <w:r>
        <w:rPr>
          <w:rFonts w:eastAsiaTheme="minorEastAsia"/>
          <w:lang w:eastAsia="nl-NL"/>
        </w:rPr>
        <w:t xml:space="preserve">Artikel 3.102b </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Een installatie voor het:</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biologisch behandelen van dierlijke meststoffen voor of na het vergisten;</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opslaan van digestaat van het vergisten van dierlijke meststoffen, dat nog niet stabiel is;</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opslaan van vergistinggas, en</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bewerken en transporteren van vergistinggas,</w:t>
      </w:r>
    </w:p>
    <w:p w:rsidR="008E231B" w:rsidRDefault="008E231B" w:rsidP="008E231B">
      <w:pPr>
        <w:pStyle w:val="art1enivo"/>
        <w:shd w:val="clear" w:color="auto" w:fill="D9D9D9" w:themeFill="background1" w:themeFillShade="D9"/>
        <w:ind w:firstLine="0"/>
        <w:rPr>
          <w:rFonts w:eastAsiaTheme="minorEastAsia"/>
          <w:lang w:eastAsia="nl-NL"/>
        </w:rPr>
      </w:pPr>
      <w:r>
        <w:rPr>
          <w:rFonts w:eastAsiaTheme="minorEastAsia"/>
          <w:lang w:eastAsia="nl-NL"/>
        </w:rPr>
        <w:t>is voorzien van een kwaliteitsverklaring, waaruit blijkt dat de installatie bij oplevering voldoet aan de NTA 9766. In de kwaliteitsverklaring wordt een referentieperiode vastgesteld voor de geldigheid. De referentieperiode is ten hoogste 15 jaar.</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Ten minste vier weken voor het aflopen van de referentieperiode wordt beoordeeld of de installatie nog steeds voldoet aan de NTA 9766 en wordt een kwaliteitsverklaring afgegeven met referentieperiode.</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Indien de beoordeling, bedoeld in het tweede lid, ertoe leidt dat de kwaliteitsverklaring alleen afgegeven kan worden indien bepaalde reparaties of wijzigingen worden uitgevoerd, draagt degene die de inrichting drijft er zorg voor dat deze reparaties of wijzigingen onverwijld worden uitgevoerd.</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Indien voor een installatie of voorziening geen kwaliteitsverklaring als bedoeld in het tweede lid kan worden afgegeven, of de reparaties of wijzigingen bedoeld in het derde lid niet worden uitgevoerd, wordt de installatie buiten gebruik gesteld.</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aanvulling op het eerste lid wordt een gaszak waarin vergistinggas wordt opgeslagen jaarlijks visueel geïnspecteerd op tekenen van verwering of slijtage en indien nodig gerepareerd.</w:t>
      </w:r>
    </w:p>
    <w:p w:rsidR="008E231B" w:rsidRDefault="008E231B" w:rsidP="008E231B">
      <w:pPr>
        <w:pStyle w:val="artikelkop"/>
        <w:shd w:val="clear" w:color="auto" w:fill="D9D9D9" w:themeFill="background1" w:themeFillShade="D9"/>
        <w:rPr>
          <w:rFonts w:eastAsiaTheme="minorEastAsia"/>
          <w:lang w:eastAsia="nl-NL"/>
        </w:rPr>
      </w:pPr>
      <w:r>
        <w:rPr>
          <w:rFonts w:eastAsiaTheme="minorEastAsia"/>
          <w:lang w:eastAsia="nl-NL"/>
        </w:rPr>
        <w:t xml:space="preserve">Artikel 3.102c </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volgende activiteiten vinden plaats boven een bodembeschermende voorziening:</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het vergisten van dierlijke meststoffen;</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het opslaan van het restproduct van het vergisten van dierlijke meststoffen, zolang dat restproduct nog niet stabiel is, en</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het biologisch behandelen van dierlijke meststoffen voor of na het vergisten.</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 afwijking van het eerste lid is een geheel of gedeeltelijk ondergrondse voorziening voor de activiteiten, bedoeld in het eerste lid:</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vloeistofdicht, of</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aangelegd overeenkomstig BRL 2342.</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vul- en aftappunten van een voorziening voor de activiteiten, bedoeld in het eerste lid, zijn geplaatst boven een vloeistofdichte vloer of verharding of boven of in een lekbak.</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Het bewerken van vergistinggas vindt plaats boven een bodembeschermende voorziening.</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Artikel 2.11 van het besluit is niet van toepassing op de activiteiten, bedoeld in het eerste lid.</w:t>
      </w:r>
    </w:p>
    <w:p w:rsidR="008E231B" w:rsidRDefault="008E231B" w:rsidP="008E231B">
      <w:pPr>
        <w:pStyle w:val="artikelkop"/>
        <w:shd w:val="clear" w:color="auto" w:fill="D9D9D9" w:themeFill="background1" w:themeFillShade="D9"/>
        <w:rPr>
          <w:rFonts w:eastAsiaTheme="minorEastAsia"/>
          <w:lang w:eastAsia="nl-NL"/>
        </w:rPr>
      </w:pPr>
      <w:r>
        <w:rPr>
          <w:rFonts w:eastAsiaTheme="minorEastAsia"/>
          <w:lang w:eastAsia="nl-NL"/>
        </w:rPr>
        <w:t xml:space="preserve">Artikel 3.102d </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Een installatie voor het vergisten van dierlijke meststoffen en het opslaan, bewerken en transporteren van vergistinggas is uitgevoerd in materialen die bestand zijn tegen de inwerking van dierlijke mest en vergistinggas.</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Bij de relevante delen van een installatie voor het vergisten van dierlijke meststoffen is een noodprocedure aanwezig waarin is opgenomen:</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een beschrijving van de handelingen die worden verricht bij ten minste de volgende incidenten:</w:t>
      </w:r>
    </w:p>
    <w:p w:rsidR="008E231B" w:rsidRDefault="008E231B" w:rsidP="008E231B">
      <w:pPr>
        <w:pStyle w:val="art3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een storing van de WKK-installatie of de installatie voor het bewerken van vergistinggas;</w:t>
      </w:r>
    </w:p>
    <w:p w:rsidR="008E231B" w:rsidRDefault="008E231B" w:rsidP="008E231B">
      <w:pPr>
        <w:pStyle w:val="art3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stroomuitval;</w:t>
      </w:r>
    </w:p>
    <w:p w:rsidR="008E231B" w:rsidRDefault="008E231B" w:rsidP="008E231B">
      <w:pPr>
        <w:pStyle w:val="art3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brand, en</w:t>
      </w:r>
    </w:p>
    <w:p w:rsidR="008E231B" w:rsidRDefault="008E231B" w:rsidP="008E231B">
      <w:pPr>
        <w:pStyle w:val="art3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het afgaan van de overdrukbeveiliging.</w:t>
      </w:r>
    </w:p>
    <w:p w:rsidR="008E231B" w:rsidRDefault="008E231B" w:rsidP="008E231B">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een lijst van contactpersonen en instanties die worden gewaarschuwd.</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Indien vergistinggas wordt geodoriseerd met tetrahydrothiofeen is tevens onderdeel van de noodprocedure dat een incident waarbij tetrahydrothiofeen vrijkomt, wordt gemeld aan het bevoegd gezag, de brandweer en de lokale beheerder van het aardgasnet.</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Een installatie voor het vergisten van dierlijke meststoffen of het bewerken van vergistinggas wordt uitsluitend bediend door een persoon die over voldoende deskundigheid beschikt. Bij de installatie zijn bedieningsinstructies aanwezig.</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Indien vergistinggas via een leiding uit de inrichting wordt getransporteerd, is de installatie die het vergistinggas op de leiding brengt zo afgesteld dat bij een plotselinge drukval in de leiding de levering van biogas wordt stopgezet. In dat geval wordt de levering hervat indien is vastgesteld dat er geen problemen met de leiding zijn of deze zijn opgelost.</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Bovengrondse vergistinggasleidingen zijn beveiligd tegen aanrijden. Ondergrondse vergistinggasleidingen lopen niet onder gebouwen door. Vergistinggasleidingen zijn herkenbaar als zodanig gemerkt.</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7.</w:t>
      </w:r>
      <w:r>
        <w:rPr>
          <w:rFonts w:eastAsiaTheme="minorEastAsia"/>
          <w:lang w:eastAsia="nl-NL"/>
        </w:rPr>
        <w:tab/>
        <w:t>Indien een installatie voor het vergisten van dierlijke meststoffen of een voorziening voor het opslaan of bewerken van vergistinggas buiten gebruik wordt gesteld, wordt eerst het restant vergistinggas uit de installatie verwijderd. Het vergistinggas wordt indien mogelijk nuttig toegepast en voor zover dat niet mogelijk is vernietigd of anders afgevoerd met zo min mogelijk gevaar voor mens en milieu. Zodra de installatie niet meer gasdicht is, wordt het overgebleven restproduct zo snel mogelijk uit de installatie verwijderd en gestabiliseerd.</w:t>
      </w:r>
    </w:p>
    <w:p w:rsidR="008E231B" w:rsidRDefault="008E231B" w:rsidP="008E231B">
      <w:pPr>
        <w:pStyle w:val="artikelkop"/>
        <w:shd w:val="clear" w:color="auto" w:fill="D9D9D9" w:themeFill="background1" w:themeFillShade="D9"/>
        <w:rPr>
          <w:rFonts w:eastAsiaTheme="minorEastAsia"/>
          <w:lang w:eastAsia="nl-NL"/>
        </w:rPr>
      </w:pPr>
      <w:r>
        <w:rPr>
          <w:rFonts w:eastAsiaTheme="minorEastAsia"/>
          <w:lang w:eastAsia="nl-NL"/>
        </w:rPr>
        <w:t xml:space="preserve">Artikel 3.102e </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Op een vast opgestelde opslagtank voor vloeibaar vergistinggas zijn de voorschriften 2.2.1, 2.2.3 tot en met 2.2.6, 2.2.10, 2.2.13 tot en met 2.2.15 van PGS 33-1 van overeenkomstige toepassing.</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Bij het legen van de opslagtank zijn de voorschriften 3.3.1, 3.3.2, 3.3.6 tot en met 3.3.12, 5.5.1 tot en met 5.5.6 van PGS 33-1 van overeenkomstige toepassing.</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Onverminderd het tweede lid wordt een vast opgestelde opslagtank voor vloeibaar vergistinggas geleegd met composietslangen. Bij het legen van de tank wordt potentiaalvereffening toegepast om statische oplading te voorkomen.</w:t>
      </w:r>
    </w:p>
    <w:p w:rsidR="008E231B" w:rsidRDefault="008E231B" w:rsidP="008E231B">
      <w:pPr>
        <w:pStyle w:val="artikelkop"/>
        <w:shd w:val="clear" w:color="auto" w:fill="D9D9D9" w:themeFill="background1" w:themeFillShade="D9"/>
        <w:rPr>
          <w:rFonts w:eastAsiaTheme="minorEastAsia"/>
          <w:lang w:eastAsia="nl-NL"/>
        </w:rPr>
      </w:pPr>
      <w:r>
        <w:rPr>
          <w:rFonts w:eastAsiaTheme="minorEastAsia"/>
          <w:lang w:eastAsia="nl-NL"/>
        </w:rPr>
        <w:t xml:space="preserve">Artikel 3.102f </w:t>
      </w:r>
    </w:p>
    <w:p w:rsidR="008E231B" w:rsidRDefault="008E231B" w:rsidP="008E231B">
      <w:pPr>
        <w:pStyle w:val="artplat"/>
        <w:shd w:val="clear" w:color="auto" w:fill="D9D9D9" w:themeFill="background1" w:themeFillShade="D9"/>
        <w:rPr>
          <w:rFonts w:eastAsiaTheme="minorEastAsia"/>
          <w:lang w:eastAsia="nl-NL"/>
        </w:rPr>
      </w:pPr>
      <w:r>
        <w:rPr>
          <w:rFonts w:eastAsiaTheme="minorEastAsia"/>
          <w:lang w:eastAsia="nl-NL"/>
        </w:rPr>
        <w:t>De kooldioxide die vrijkomt bij het bewerken van vergistinggas wordt bovendaks en omhoog gericht afgevoerd.</w:t>
      </w:r>
    </w:p>
    <w:p w:rsidR="008E231B" w:rsidRPr="00620047" w:rsidRDefault="008E231B">
      <w:pPr>
        <w:pStyle w:val="artplat"/>
      </w:pPr>
    </w:p>
    <w:p w:rsidR="00296032" w:rsidRPr="00620047" w:rsidRDefault="00296032">
      <w:pPr>
        <w:pStyle w:val="afdeling"/>
      </w:pPr>
      <w:bookmarkStart w:id="147" w:name="_Toc431375639"/>
      <w:r w:rsidRPr="00620047">
        <w:t>Afdeling 3.6.</w:t>
      </w:r>
      <w:r w:rsidRPr="00620047">
        <w:tab/>
        <w:t>Voedingsmiddelen</w:t>
      </w:r>
      <w:bookmarkEnd w:id="147"/>
    </w:p>
    <w:p w:rsidR="00296032" w:rsidRPr="00296032" w:rsidRDefault="00296032">
      <w:pPr>
        <w:pStyle w:val="paragraaf"/>
      </w:pPr>
      <w:bookmarkStart w:id="148" w:name="_Toc431375640"/>
      <w:r w:rsidRPr="00296032">
        <w:t>§ 3.6.1.</w:t>
      </w:r>
      <w:r w:rsidRPr="00296032">
        <w:tab/>
        <w:t>Bereiden van voedingsmiddelen</w:t>
      </w:r>
      <w:bookmarkEnd w:id="148"/>
    </w:p>
    <w:p w:rsidR="00296032" w:rsidRPr="00296032" w:rsidRDefault="00296032">
      <w:pPr>
        <w:pStyle w:val="artikelkop"/>
      </w:pPr>
      <w:r w:rsidRPr="00296032">
        <w:t>Artikel 3.130</w:t>
      </w:r>
    </w:p>
    <w:p w:rsidR="00296032" w:rsidRPr="00620047" w:rsidRDefault="00296032">
      <w:pPr>
        <w:pStyle w:val="artplat"/>
      </w:pPr>
      <w:r w:rsidRPr="00620047">
        <w:t>Deze paragraaf is van toepassing op het bereiden van voedingsmiddelen met:</w:t>
      </w:r>
    </w:p>
    <w:p w:rsidR="00296032" w:rsidRPr="00620047" w:rsidRDefault="00296032">
      <w:pPr>
        <w:pStyle w:val="artplatletter"/>
      </w:pPr>
      <w:r w:rsidRPr="00620047">
        <w:t>a.</w:t>
      </w:r>
      <w:r w:rsidRPr="00620047">
        <w:tab/>
        <w:t>keukenapparatuur;</w:t>
      </w:r>
    </w:p>
    <w:p w:rsidR="00296032" w:rsidRPr="00620047" w:rsidRDefault="00296032">
      <w:pPr>
        <w:pStyle w:val="artplatletter"/>
      </w:pPr>
      <w:r w:rsidRPr="00620047">
        <w:t>b.</w:t>
      </w:r>
      <w:r w:rsidRPr="00620047">
        <w:tab/>
        <w:t>grootkeukenapparatuur;</w:t>
      </w:r>
    </w:p>
    <w:p w:rsidR="00296032" w:rsidRPr="00620047" w:rsidRDefault="00296032">
      <w:pPr>
        <w:pStyle w:val="artplatletter"/>
      </w:pPr>
      <w:r w:rsidRPr="00620047">
        <w:t>c.</w:t>
      </w:r>
      <w:r w:rsidRPr="00620047">
        <w:tab/>
        <w:t>één of meer bakkerijovens die chargegewijs beladen worden, of</w:t>
      </w:r>
    </w:p>
    <w:p w:rsidR="00296032" w:rsidRPr="00620047" w:rsidRDefault="00296032">
      <w:pPr>
        <w:pStyle w:val="artplatletter"/>
      </w:pPr>
      <w:r w:rsidRPr="00620047">
        <w:t>d.</w:t>
      </w:r>
      <w:r w:rsidRPr="00620047">
        <w:tab/>
        <w:t>één of meer bakkerijovens die continu beladen worden met een nominaal vermogen van ten hoogste 400 kilowatt.</w:t>
      </w:r>
    </w:p>
    <w:p w:rsidR="00296032" w:rsidRPr="00296032" w:rsidRDefault="00296032">
      <w:pPr>
        <w:pStyle w:val="artikelkop"/>
      </w:pPr>
      <w:r w:rsidRPr="00296032">
        <w:t>Artikel 3.131</w:t>
      </w:r>
    </w:p>
    <w:p w:rsidR="00296032" w:rsidRPr="00620047" w:rsidRDefault="00296032">
      <w:pPr>
        <w:pStyle w:val="art1enivo"/>
      </w:pPr>
      <w:r w:rsidRPr="00620047">
        <w:t>1.</w:t>
      </w:r>
      <w:r w:rsidRPr="00620047">
        <w:tab/>
        <w:t>Bij het in het vuilwaterriool lozen van afvalwater afkomstig van het bereiden van voedingsmiddelen en daarmee samenhangende activiteiten wordt ten minste voldaan aan het tweede tot en met het vijfde lid.</w:t>
      </w:r>
    </w:p>
    <w:p w:rsidR="00296032" w:rsidRPr="00620047" w:rsidRDefault="00296032">
      <w:pPr>
        <w:pStyle w:val="art1enivo"/>
      </w:pPr>
      <w:r w:rsidRPr="00620047">
        <w:t>2.</w:t>
      </w:r>
      <w:r w:rsidRPr="00620047">
        <w:tab/>
        <w:t>Indien niet in een vuilwaterriool geloosd kan worden, is lozen anders dan in een vuilwaterriool toegestaan, indien het afvalwater gezamenlijk met huishoudelijk afvalwater wordt geloosd en de voorzieningen voor het zuiveren van huishoudelijk afvalwater zijn berekend op het zuiveren van het afvalwater afkomstig van het bereiden van voedingsmiddelen en daarmee samenhangende activiteiten.</w:t>
      </w:r>
    </w:p>
    <w:p w:rsidR="00296032" w:rsidRPr="00620047" w:rsidRDefault="00296032">
      <w:pPr>
        <w:pStyle w:val="art1enivo"/>
      </w:pPr>
      <w:r w:rsidRPr="00620047">
        <w:t>3.</w:t>
      </w:r>
      <w:r w:rsidRPr="00620047">
        <w:tab/>
        <w:t>Afvalwater dat afvalstoffen bevat, die door versnijdende of vermalende apparatuur zijn versneden of vermalen, wordt niet geloosd.</w:t>
      </w:r>
    </w:p>
    <w:p w:rsidR="00296032" w:rsidRPr="00620047" w:rsidRDefault="00296032">
      <w:pPr>
        <w:pStyle w:val="art1enivo"/>
      </w:pPr>
      <w:r w:rsidRPr="00620047">
        <w:t>4.</w:t>
      </w:r>
      <w:r w:rsidRPr="00620047">
        <w:tab/>
        <w:t>Het vethoudende afvalwater wordt voorafgaand aan de vermenging met ander niet-vethoudend afvalwater geleid door een vetafscheider en slibvangput die voldoen aan en worden gebruikt conform NEN-EN 1825-1 en 2. In afwijking van NEN-EN 1825-1 en 2 kan met een lagere frequentie van het ledigen en reinigen dan daarin vermeld worden volstaan, indien een lagere frequentie geen nadelige gevolgen heeft voor het doelmatig functioneren van de afscheider.</w:t>
      </w:r>
    </w:p>
    <w:p w:rsidR="00296032" w:rsidRPr="00620047" w:rsidRDefault="00296032">
      <w:pPr>
        <w:pStyle w:val="art1enivo"/>
      </w:pPr>
      <w:r w:rsidRPr="00620047">
        <w:t>5.</w:t>
      </w:r>
      <w:r w:rsidRPr="00620047">
        <w:tab/>
        <w:t>Bij maatwerkvoorschrift kan het bevoegd gezag in afwijking van het vierde lid, het lozen zonder een vetafscheider en slibvangput toestaan, indien gelet op het vetgehalte in het te lozen afvalwater in combinatie met de hoeveelheid te lozen afvalwater, het lozen geen nadelige gevolgen heeft voor de doelmatige werking van de voorzieningen voor het beheer van afvalwater. Artikel 2.2, vierde lid, is van overeenkomstige toepassing.</w:t>
      </w:r>
    </w:p>
    <w:p w:rsidR="00296032" w:rsidRPr="00620047" w:rsidRDefault="00296032">
      <w:pPr>
        <w:pStyle w:val="art1enivo"/>
      </w:pPr>
      <w:r w:rsidRPr="00620047">
        <w:t xml:space="preserve">6. </w:t>
      </w:r>
      <w:r w:rsidRPr="00620047">
        <w:tab/>
        <w:t>Het vierde lid is niet van toepassing indien voor het tijdstip waarop dat artikel op de inrichting van toepassing werd een slibvangput en een vetafscheider zijn geplaatst die op de hoeveelheid afvalwater is afgestemd.</w:t>
      </w:r>
    </w:p>
    <w:p w:rsidR="00296032" w:rsidRPr="00620047" w:rsidRDefault="00296032">
      <w:pPr>
        <w:pStyle w:val="art1enivo"/>
      </w:pPr>
      <w:r w:rsidRPr="00620047">
        <w:t>7.</w:t>
      </w:r>
      <w:r w:rsidRPr="00620047">
        <w:tab/>
        <w:t>Indien op een inrichting voor 1 januari 2008 een besluit als bedoeld in artikel 6.43 van toepassing was en vanuit die inrichting het afvalwater van het vervaardigen of bereiden van voedingsmiddelen werd geloosd zonder behandeling in een vetafscheider en slibvangput die voldoen aan NEN-EN-1825-1 en 2 dan wel op de hoeveelheid afvalwater is afgestemd, geldt voor dat lozen een ontheffing die als maatwerkvoorschrift als bedoeld in het vijfde lid wordt aangemerkt.</w:t>
      </w:r>
    </w:p>
    <w:p w:rsidR="00296032" w:rsidRPr="00620047" w:rsidRDefault="00296032">
      <w:pPr>
        <w:pStyle w:val="art1enivo"/>
      </w:pPr>
      <w:r w:rsidRPr="00620047">
        <w:t xml:space="preserve">8. </w:t>
      </w:r>
      <w:r w:rsidRPr="00620047">
        <w:tab/>
        <w:t>Het zevende lid is van overeenkomstige toepassing op een inrichting waarop van 1 januari 2008 tot 1 januari 2013 het Besluit landbouw milieubeheer, het Besluit mestbassins milieubeheer of het Besluit glastuinbouw van toepassing was.</w:t>
      </w:r>
    </w:p>
    <w:p w:rsidR="00296032" w:rsidRPr="00296032" w:rsidRDefault="00296032">
      <w:pPr>
        <w:pStyle w:val="artikelkop"/>
      </w:pPr>
      <w:r w:rsidRPr="00296032">
        <w:t>Artikel 3.132</w:t>
      </w:r>
    </w:p>
    <w:p w:rsidR="00296032" w:rsidRDefault="00296032">
      <w:pPr>
        <w:pStyle w:val="artplat"/>
      </w:pPr>
      <w:r w:rsidRPr="00620047">
        <w:t>Bij het bereiden van voedingsmiddelen wordt ten behoeve van het voorkomen dan wel voor zover dat niet mogelijk is het tot een aanvaardbaar niveau beperken van geurhinder voldaan aan de bij ministeriële regeling gestelde eisen.</w:t>
      </w:r>
    </w:p>
    <w:p w:rsidR="008E231B" w:rsidRDefault="008E231B">
      <w:pPr>
        <w:pStyle w:val="artplat"/>
      </w:pPr>
    </w:p>
    <w:p w:rsidR="008E231B" w:rsidRDefault="008E231B" w:rsidP="008E231B">
      <w:pPr>
        <w:pStyle w:val="paragraaf"/>
        <w:shd w:val="clear" w:color="auto" w:fill="D9D9D9" w:themeFill="background1" w:themeFillShade="D9"/>
      </w:pPr>
      <w:bookmarkStart w:id="149" w:name="_Toc431375641"/>
      <w:r>
        <w:t>§ 3.6.1.</w:t>
      </w:r>
      <w:r>
        <w:tab/>
        <w:t>Bereiden van voedingsmiddelen</w:t>
      </w:r>
      <w:bookmarkEnd w:id="149"/>
    </w:p>
    <w:p w:rsidR="008E231B" w:rsidRDefault="008E231B" w:rsidP="008E231B">
      <w:pPr>
        <w:pStyle w:val="artikelkop"/>
        <w:shd w:val="clear" w:color="auto" w:fill="D9D9D9" w:themeFill="background1" w:themeFillShade="D9"/>
      </w:pPr>
      <w:r>
        <w:t xml:space="preserve">Artikel 3.103 </w:t>
      </w:r>
    </w:p>
    <w:p w:rsidR="008E231B" w:rsidRDefault="008E231B" w:rsidP="008E231B">
      <w:pPr>
        <w:pStyle w:val="art1enivo"/>
        <w:shd w:val="clear" w:color="auto" w:fill="D9D9D9" w:themeFill="background1" w:themeFillShade="D9"/>
        <w:suppressAutoHyphens/>
        <w:rPr>
          <w:rFonts w:cs="Arial"/>
        </w:rPr>
      </w:pPr>
      <w:r>
        <w:rPr>
          <w:rFonts w:cs="Arial"/>
        </w:rPr>
        <w:t>1.</w:t>
      </w:r>
      <w:r>
        <w:rPr>
          <w:rFonts w:cs="Arial"/>
        </w:rPr>
        <w:tab/>
        <w:t>Ten behoeve van het voorkomen, dan wel, voor zover dat niet mogelijk is, het tot een aanvaardbaar niveau beperken van geurhinder als bedoeld in artikel 3.132 van het besluit, worden afgezogen dampen en gassen van het bereiden van voedingsmiddelen als bedoeld in artikel 3.130, onder b, c en d, van het besluit die naar de buitenlucht worden geëmitteerd:</w:t>
      </w:r>
    </w:p>
    <w:p w:rsidR="008E231B" w:rsidRDefault="008E231B" w:rsidP="008E231B">
      <w:pPr>
        <w:pStyle w:val="art2enivo"/>
        <w:shd w:val="clear" w:color="auto" w:fill="D9D9D9" w:themeFill="background1" w:themeFillShade="D9"/>
        <w:suppressAutoHyphens/>
        <w:rPr>
          <w:rFonts w:cs="Arial"/>
        </w:rPr>
      </w:pPr>
      <w:r>
        <w:rPr>
          <w:rFonts w:cs="Arial"/>
        </w:rPr>
        <w:t>a.</w:t>
      </w:r>
      <w:r>
        <w:rPr>
          <w:rFonts w:cs="Arial"/>
        </w:rPr>
        <w:tab/>
        <w:t xml:space="preserve"> ten minste twee meter boven de hoogste daklijn van de binnen 25 meter van de uitmonding gelegen bebouwing afgevoerd; of</w:t>
      </w:r>
    </w:p>
    <w:p w:rsidR="008E231B" w:rsidRDefault="008E231B" w:rsidP="008E231B">
      <w:pPr>
        <w:pStyle w:val="art2enivo"/>
        <w:shd w:val="clear" w:color="auto" w:fill="D9D9D9" w:themeFill="background1" w:themeFillShade="D9"/>
        <w:suppressAutoHyphens/>
        <w:rPr>
          <w:rFonts w:cs="Arial"/>
        </w:rPr>
      </w:pPr>
      <w:r>
        <w:rPr>
          <w:rFonts w:cs="Arial"/>
        </w:rPr>
        <w:t>b.</w:t>
      </w:r>
      <w:r>
        <w:rPr>
          <w:rFonts w:cs="Arial"/>
        </w:rPr>
        <w:tab/>
        <w:t>geleid door een doelmatige ontgeuringsinstallatie.</w:t>
      </w:r>
    </w:p>
    <w:p w:rsidR="008E231B" w:rsidRDefault="008E231B" w:rsidP="008E231B">
      <w:pPr>
        <w:pStyle w:val="art1enivo"/>
        <w:shd w:val="clear" w:color="auto" w:fill="D9D9D9" w:themeFill="background1" w:themeFillShade="D9"/>
        <w:suppressAutoHyphens/>
        <w:rPr>
          <w:rFonts w:cs="Arial"/>
        </w:rPr>
      </w:pPr>
      <w:r>
        <w:rPr>
          <w:rFonts w:cs="Arial"/>
        </w:rPr>
        <w:t>2.</w:t>
      </w:r>
      <w:r>
        <w:rPr>
          <w:rFonts w:cs="Arial"/>
        </w:rPr>
        <w:tab/>
        <w:t>Ten behoeve van het voorkomen dan wel, voor zover dat niet mogelijk is, het tot een aanvaardbaar niveau beperken van geurhinder, bedoeld in artikel 3.132 van het besluit, worden dampen die vrijkomen bij het bereiden van voedingsmiddelen, bedoeld in artikel 3.130, onder b, van het besluit, in een ruimte bij grillen, anders dan met houtskool, dan wel frituren of bakken in olie of vet, afgezogen en voordat zij in de buitenlucht worden afgevoerd, geleid door een doelmatig verwisselbaar of reinigbaar vetvangend filter.</w:t>
      </w:r>
    </w:p>
    <w:p w:rsidR="008E231B" w:rsidRDefault="008E231B" w:rsidP="008E231B">
      <w:pPr>
        <w:pStyle w:val="art1enivo"/>
        <w:shd w:val="clear" w:color="auto" w:fill="D9D9D9" w:themeFill="background1" w:themeFillShade="D9"/>
        <w:suppressAutoHyphens/>
        <w:rPr>
          <w:rFonts w:cs="Arial"/>
        </w:rPr>
      </w:pPr>
      <w:r>
        <w:rPr>
          <w:rFonts w:cs="Arial"/>
        </w:rPr>
        <w:t>3.</w:t>
      </w:r>
      <w:r>
        <w:rPr>
          <w:rFonts w:cs="Arial"/>
        </w:rPr>
        <w:tab/>
        <w:t xml:space="preserve"> Het eerste en tweede lid zijn niet van toepassing indien het mogelijke effect van de geuremissie van de uittredende lucht van een afzuiginstallatie beperkt blijft tot een gezoneerd industrieterrein of een bedrijventerrein met minder dan één gevoelig gebouw per hectare.</w:t>
      </w:r>
    </w:p>
    <w:p w:rsidR="008E231B" w:rsidRDefault="008E231B" w:rsidP="008E231B">
      <w:pPr>
        <w:pStyle w:val="art1enivo"/>
        <w:shd w:val="clear" w:color="auto" w:fill="D9D9D9" w:themeFill="background1" w:themeFillShade="D9"/>
        <w:suppressAutoHyphens/>
        <w:rPr>
          <w:rFonts w:cs="Arial"/>
        </w:rPr>
      </w:pPr>
      <w:r>
        <w:rPr>
          <w:rFonts w:cs="Arial"/>
        </w:rPr>
        <w:t>4.</w:t>
      </w:r>
      <w:r>
        <w:rPr>
          <w:rFonts w:cs="Arial"/>
        </w:rPr>
        <w:tab/>
        <w:t>Het bevoegd gezag kan indien blijkt dat de geurhinder een aanvaardbaar niveau overschrijdt vanwege het slecht functioneren van de ontgeuringsinstallatie, onvoldoende verspreiding van afgezogen dampen, geuremissies die niet via de afzuiging worden afgevoerd of incidentele geurpieken, in aanvulling op het eerste lid, overeenkomstig artikel 2.7a, derde lid, van het besluit, maatwerkvoorschriften stellen met betrekking tot:</w:t>
      </w:r>
    </w:p>
    <w:p w:rsidR="008E231B" w:rsidRDefault="008E231B" w:rsidP="008E231B">
      <w:pPr>
        <w:pStyle w:val="art2enivo"/>
        <w:shd w:val="clear" w:color="auto" w:fill="D9D9D9" w:themeFill="background1" w:themeFillShade="D9"/>
        <w:suppressAutoHyphens/>
        <w:rPr>
          <w:rFonts w:cs="Arial"/>
        </w:rPr>
      </w:pPr>
      <w:r>
        <w:rPr>
          <w:rFonts w:cs="Arial"/>
        </w:rPr>
        <w:t>a.</w:t>
      </w:r>
      <w:r>
        <w:rPr>
          <w:rFonts w:cs="Arial"/>
        </w:rPr>
        <w:tab/>
        <w:t>de uitvoering en het onderhoud van een ontgeuringsinstallatie als bedoeld in het eerste lid;</w:t>
      </w:r>
    </w:p>
    <w:p w:rsidR="008E231B" w:rsidRDefault="008E231B" w:rsidP="008E231B">
      <w:pPr>
        <w:pStyle w:val="art2enivo"/>
        <w:shd w:val="clear" w:color="auto" w:fill="D9D9D9" w:themeFill="background1" w:themeFillShade="D9"/>
        <w:suppressAutoHyphens/>
        <w:rPr>
          <w:rFonts w:cs="Arial"/>
        </w:rPr>
      </w:pPr>
      <w:r>
        <w:rPr>
          <w:rFonts w:cs="Arial"/>
        </w:rPr>
        <w:t>b.</w:t>
      </w:r>
      <w:r>
        <w:rPr>
          <w:rFonts w:cs="Arial"/>
        </w:rPr>
        <w:tab/>
        <w:t>de situering van het emissiepunt;</w:t>
      </w:r>
    </w:p>
    <w:p w:rsidR="008E231B" w:rsidRDefault="008E231B" w:rsidP="008E231B">
      <w:pPr>
        <w:pStyle w:val="art2enivo"/>
        <w:shd w:val="clear" w:color="auto" w:fill="D9D9D9" w:themeFill="background1" w:themeFillShade="D9"/>
        <w:suppressAutoHyphens/>
        <w:rPr>
          <w:rFonts w:cs="Arial"/>
        </w:rPr>
      </w:pPr>
      <w:r>
        <w:rPr>
          <w:rFonts w:cs="Arial"/>
        </w:rPr>
        <w:t>c.</w:t>
      </w:r>
      <w:r>
        <w:rPr>
          <w:rFonts w:cs="Arial"/>
        </w:rPr>
        <w:tab/>
        <w:t>het voorkomen of beperken van diffuse geuremissies; of</w:t>
      </w:r>
    </w:p>
    <w:p w:rsidR="008E231B" w:rsidRDefault="008E231B" w:rsidP="008E231B">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eerste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In afwijking van het vijfde lid kan het bevoegd gezag maatwerkvoorschriften als bedoeld het vierde lid stellen.</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7.</w:t>
      </w:r>
      <w:r>
        <w:rPr>
          <w:rFonts w:eastAsiaTheme="minorEastAsia"/>
          <w:lang w:eastAsia="nl-NL"/>
        </w:rPr>
        <w:tab/>
        <w:t>In afwijking van het vijfde lid kan het bevoegd gezag indien blijkt dat de geurhinder een aanvaardbaar niveau overschrijdt overeenkomstig artikel 2.7a, tweede en derde lid, van het besluit bij maatwerkvoorschrift bepalen dat het eerste lid wel van toepassing is.</w:t>
      </w:r>
    </w:p>
    <w:p w:rsidR="008E231B" w:rsidRPr="00620047" w:rsidRDefault="008E231B">
      <w:pPr>
        <w:pStyle w:val="artplat"/>
      </w:pPr>
    </w:p>
    <w:p w:rsidR="00296032" w:rsidRPr="00296032" w:rsidRDefault="00296032">
      <w:pPr>
        <w:pStyle w:val="paragraaf"/>
      </w:pPr>
      <w:bookmarkStart w:id="150" w:name="_Toc431375642"/>
      <w:r w:rsidRPr="00296032">
        <w:t>§ 3.6.2.</w:t>
      </w:r>
      <w:r w:rsidRPr="00296032">
        <w:tab/>
        <w:t>Slachten van dieren, uitsnijden van vlees of vis of bewerken van dierlijke bijproducten</w:t>
      </w:r>
      <w:bookmarkEnd w:id="150"/>
    </w:p>
    <w:p w:rsidR="00296032" w:rsidRPr="00296032" w:rsidRDefault="00296032">
      <w:pPr>
        <w:pStyle w:val="artikelkop"/>
      </w:pPr>
      <w:r w:rsidRPr="00296032">
        <w:t>Artikel 3.133</w:t>
      </w:r>
    </w:p>
    <w:p w:rsidR="00296032" w:rsidRPr="00620047" w:rsidRDefault="00296032">
      <w:pPr>
        <w:pStyle w:val="art1enivo"/>
      </w:pPr>
      <w:r w:rsidRPr="00620047">
        <w:t>1.</w:t>
      </w:r>
      <w:r w:rsidRPr="00620047">
        <w:tab/>
        <w:t>Deze paragraaf is van toepassing op:</w:t>
      </w:r>
    </w:p>
    <w:p w:rsidR="00296032" w:rsidRPr="00620047" w:rsidRDefault="00296032">
      <w:pPr>
        <w:pStyle w:val="art2enivo"/>
      </w:pPr>
      <w:r w:rsidRPr="00620047">
        <w:t>a.</w:t>
      </w:r>
      <w:r w:rsidRPr="00620047">
        <w:tab/>
        <w:t>het slachten van ten hoogste 10.000 kilogram levend gewicht aan dieren per week en het broeien, koken of pekelen van daarbij vrijkomende dierlijke bijproducten;</w:t>
      </w:r>
    </w:p>
    <w:p w:rsidR="00296032" w:rsidRPr="00620047" w:rsidRDefault="00296032">
      <w:pPr>
        <w:pStyle w:val="art2enivo"/>
      </w:pPr>
      <w:r w:rsidRPr="00620047">
        <w:t>b.</w:t>
      </w:r>
      <w:r w:rsidRPr="00620047">
        <w:tab/>
        <w:t>het uitsnijden van vlees van karkassen of karkasdelen;</w:t>
      </w:r>
    </w:p>
    <w:p w:rsidR="00296032" w:rsidRPr="00620047" w:rsidRDefault="00296032">
      <w:pPr>
        <w:pStyle w:val="art2enivo"/>
      </w:pPr>
      <w:r w:rsidRPr="00620047">
        <w:t>c.</w:t>
      </w:r>
      <w:r w:rsidRPr="00620047">
        <w:tab/>
        <w:t>het uitsnijden van vis, of</w:t>
      </w:r>
    </w:p>
    <w:p w:rsidR="00296032" w:rsidRPr="00620047" w:rsidRDefault="00296032">
      <w:pPr>
        <w:pStyle w:val="art2enivo"/>
      </w:pPr>
      <w:r w:rsidRPr="00620047">
        <w:t>d.</w:t>
      </w:r>
      <w:r w:rsidRPr="00620047">
        <w:tab/>
        <w:t>het uitsnijden en pekelen van organen.</w:t>
      </w:r>
    </w:p>
    <w:p w:rsidR="00296032" w:rsidRPr="00620047" w:rsidRDefault="00296032">
      <w:pPr>
        <w:pStyle w:val="art1enivo"/>
      </w:pPr>
      <w:r w:rsidRPr="00620047">
        <w:t>2.</w:t>
      </w:r>
      <w:r w:rsidRPr="00620047">
        <w:tab/>
        <w:t>Deze paragraaf is niet van toepassing op een IPPC-installatie.</w:t>
      </w:r>
    </w:p>
    <w:p w:rsidR="00296032" w:rsidRPr="00296032" w:rsidRDefault="00296032">
      <w:pPr>
        <w:pStyle w:val="artikelkop"/>
      </w:pPr>
      <w:r w:rsidRPr="00296032">
        <w:t>Artikel 3.134</w:t>
      </w:r>
    </w:p>
    <w:p w:rsidR="00296032" w:rsidRPr="00620047" w:rsidRDefault="00296032">
      <w:pPr>
        <w:pStyle w:val="art1enivo"/>
      </w:pPr>
      <w:r w:rsidRPr="00620047">
        <w:t>1.</w:t>
      </w:r>
      <w:r w:rsidRPr="00620047">
        <w:tab/>
        <w:t>Het slachten van dieren en het bewerken van dierlijke bijproducten vindt inpandig plaats.</w:t>
      </w:r>
    </w:p>
    <w:p w:rsidR="00296032" w:rsidRPr="00620047" w:rsidRDefault="00296032">
      <w:pPr>
        <w:pStyle w:val="art1enivo"/>
      </w:pPr>
      <w:r w:rsidRPr="00620047">
        <w:t>2.</w:t>
      </w:r>
      <w:r w:rsidRPr="00620047">
        <w:tab/>
        <w:t>Bij het in het vuilwaterriool lozen van afvalwater afkomstig van het bewerken van dierlijke bijproducten of het reinigen en desinfecteren van ruimtes waar dieren zijn geslacht, karkassen zijn bewerkt, vlees is uitgesneden van karkassen of karkasdelen, vis is uitgesneden, organen worden verwerkt of dierlijke bijproducten worden bewerkt, wordt ten minste voldaan aan het derde tot en met zevende lid.</w:t>
      </w:r>
    </w:p>
    <w:p w:rsidR="00296032" w:rsidRPr="00620047" w:rsidRDefault="00296032">
      <w:pPr>
        <w:pStyle w:val="art1enivo"/>
      </w:pPr>
      <w:r w:rsidRPr="00620047">
        <w:t>3.</w:t>
      </w:r>
      <w:r w:rsidRPr="00620047">
        <w:tab/>
        <w:t>Het afvalwater, bedoeld in het tweede lid, wordt voor vermenging met ander niet vethoudend afvalwater geleid door een vetafscheider en slibvangput die voldoen aan en worden gebruikt conform NEN-EN 1825-1 en 2. In afwijking van NEN-EN 1825-1 en 2 kan met een lagere frequentie van het legen en reinigen dan daar vermeld worden volstaan indien dit geen nadelige gevolgen heeft voor het doelmatig functioneren van de afscheider.</w:t>
      </w:r>
    </w:p>
    <w:p w:rsidR="00296032" w:rsidRPr="00620047" w:rsidRDefault="00296032">
      <w:pPr>
        <w:pStyle w:val="art1enivo"/>
      </w:pPr>
      <w:r w:rsidRPr="00620047">
        <w:t>4.</w:t>
      </w:r>
      <w:r w:rsidRPr="00620047">
        <w:tab/>
        <w:t>Het afvalwater wordt voorafgaand aan het lozen in een vuilwaterriool niet onderworpen aan een biologische behandeling.</w:t>
      </w:r>
    </w:p>
    <w:p w:rsidR="00296032" w:rsidRPr="00620047" w:rsidRDefault="00296032">
      <w:pPr>
        <w:pStyle w:val="art1enivo"/>
      </w:pPr>
      <w:r w:rsidRPr="00620047">
        <w:t>5.</w:t>
      </w:r>
      <w:r w:rsidRPr="00620047">
        <w:tab/>
        <w:t>Het bevoegd gezag kan, indien het belang van de bescherming van het milieu zich daartegen niet verzet, bij maatwerkvoorschrift, in afwijking van het vierde lid, een biologische behandeling toestaan voorafgaand aan het lozen in een vuilwaterriool.</w:t>
      </w:r>
    </w:p>
    <w:p w:rsidR="00296032" w:rsidRPr="00620047" w:rsidRDefault="00296032">
      <w:pPr>
        <w:pStyle w:val="art1enivo"/>
      </w:pPr>
      <w:r w:rsidRPr="00620047">
        <w:t>6.</w:t>
      </w:r>
      <w:r w:rsidRPr="00620047">
        <w:tab/>
        <w:t>Het derde lid is niet van toepassing op een slibvangput en een vetafscheider die zijn geplaatst binnen een inrichting voorafgaand aan het tijdstip waarop dat lid op die inrichting van toepassing werd.</w:t>
      </w:r>
    </w:p>
    <w:p w:rsidR="00296032" w:rsidRPr="00620047" w:rsidRDefault="00296032">
      <w:pPr>
        <w:pStyle w:val="art1enivo"/>
      </w:pPr>
      <w:r w:rsidRPr="00620047">
        <w:t>7.</w:t>
      </w:r>
      <w:r w:rsidRPr="00620047">
        <w:tab/>
        <w:t>Het derde lid is eveneens niet van toepassing op een flocculatie-afscheider die binnen een inrichting is geplaatst voorafgaand aan het tijdstip waarop die leden op die inrichting van toepassing werden.</w:t>
      </w:r>
    </w:p>
    <w:p w:rsidR="00296032" w:rsidRPr="00296032" w:rsidRDefault="00296032">
      <w:pPr>
        <w:pStyle w:val="artikelkop"/>
      </w:pPr>
      <w:r w:rsidRPr="00296032">
        <w:t>Artikel 3.135</w:t>
      </w:r>
    </w:p>
    <w:p w:rsidR="00296032" w:rsidRPr="00620047" w:rsidRDefault="00296032">
      <w:pPr>
        <w:pStyle w:val="art1enivo"/>
      </w:pPr>
      <w:r w:rsidRPr="00620047">
        <w:t>1.</w:t>
      </w:r>
      <w:r w:rsidRPr="00620047">
        <w:tab/>
        <w:t>Bij het broeien of koken van dierlijke bijproducten wordt ten behoeve van het voorkomen dan wel, voor zover dat niet mogelijk is, het tot een aanvaardbaar niveau beperken van geurhinder voldaan aan de bij ministeriële regeling gestelde eisen.</w:t>
      </w:r>
    </w:p>
    <w:p w:rsidR="00296032" w:rsidRPr="00620047" w:rsidRDefault="00296032">
      <w:pPr>
        <w:pStyle w:val="art1enivo"/>
      </w:pPr>
      <w:r w:rsidRPr="00620047">
        <w:t>2.</w:t>
      </w:r>
      <w:r w:rsidRPr="00620047">
        <w:tab/>
        <w:t>Bij het pekelen wordt ten behoeve van het realiseren van een verwaarloosbaar bodemrisico voldaan aan de bij ministeriële regeling gestelde eisen.</w:t>
      </w:r>
    </w:p>
    <w:p w:rsidR="00296032" w:rsidRPr="00620047" w:rsidRDefault="00296032">
      <w:pPr>
        <w:pStyle w:val="art1enivo"/>
      </w:pPr>
      <w:r w:rsidRPr="00620047">
        <w:t>3.</w:t>
      </w:r>
      <w:r w:rsidRPr="00620047">
        <w:tab/>
        <w:t>Bij het pekelen wordt:</w:t>
      </w:r>
    </w:p>
    <w:p w:rsidR="00296032" w:rsidRPr="00620047" w:rsidRDefault="00296032">
      <w:pPr>
        <w:pStyle w:val="art2enivo"/>
      </w:pPr>
      <w:r w:rsidRPr="00620047">
        <w:t>a.</w:t>
      </w:r>
      <w:r w:rsidRPr="00620047">
        <w:tab/>
        <w:t>ter bescherming van de doelmatige werking van voorzieningen voor het beheer van afvalwater, of</w:t>
      </w:r>
    </w:p>
    <w:p w:rsidR="00296032" w:rsidRPr="00620047" w:rsidRDefault="00296032">
      <w:pPr>
        <w:pStyle w:val="art2enivo"/>
      </w:pPr>
      <w:r w:rsidRPr="00620047">
        <w:t>b.</w:t>
      </w:r>
      <w:r w:rsidRPr="00620047">
        <w:tab/>
        <w:t>ten behoeve van het voorkomen dan wel, voor zover dat niet mogelijk is, het zoveel mogelijk beperken van de verontreiniging van een oppervlaktewaterlichaam,</w:t>
      </w:r>
    </w:p>
    <w:p w:rsidR="00296032" w:rsidRPr="00620047" w:rsidRDefault="00296032">
      <w:pPr>
        <w:pStyle w:val="art2enivo"/>
      </w:pPr>
      <w:r w:rsidRPr="00620047">
        <w:t>ten minste voldaan aan de bij ministeriële regeling gestelde eisen.</w:t>
      </w:r>
    </w:p>
    <w:p w:rsidR="00296032" w:rsidRPr="00296032" w:rsidRDefault="00296032">
      <w:pPr>
        <w:pStyle w:val="artikelkop"/>
      </w:pPr>
      <w:r w:rsidRPr="00296032">
        <w:t>Artikel 3.136</w:t>
      </w:r>
    </w:p>
    <w:p w:rsidR="00296032" w:rsidRPr="00620047" w:rsidRDefault="00296032">
      <w:pPr>
        <w:pStyle w:val="artplat"/>
      </w:pPr>
      <w:r w:rsidRPr="00620047">
        <w:t>Bij het slachten van dieren wordt:</w:t>
      </w:r>
    </w:p>
    <w:p w:rsidR="00296032" w:rsidRPr="00620047" w:rsidRDefault="00296032">
      <w:pPr>
        <w:pStyle w:val="artplatletter"/>
      </w:pPr>
      <w:r w:rsidRPr="00620047">
        <w:t>a.</w:t>
      </w:r>
      <w:r w:rsidRPr="00620047">
        <w:tab/>
        <w:t>ten behoeve van het realiseren van een verwaarloosbaar bodemrisico voldaan aan de bij ministeriële regeling gestelde eisen, of</w:t>
      </w:r>
    </w:p>
    <w:p w:rsidR="00296032" w:rsidRDefault="00296032">
      <w:pPr>
        <w:pStyle w:val="artplatletter"/>
      </w:pPr>
      <w:r w:rsidRPr="00620047">
        <w:t>b.</w:t>
      </w:r>
      <w:r w:rsidRPr="00620047">
        <w:tab/>
        <w:t>ten behoeve van het voorkomen dan wel voor zover dat niet mogelijk is het tot een aanvaardbaar niveau beperken van geurhinder ten minste voldaan aan de bij ministeriële regeling gestelde eisen.</w:t>
      </w:r>
    </w:p>
    <w:p w:rsidR="008E231B" w:rsidRDefault="008E231B">
      <w:pPr>
        <w:pStyle w:val="artplatletter"/>
      </w:pPr>
    </w:p>
    <w:p w:rsidR="008E231B" w:rsidRDefault="008E231B" w:rsidP="008E231B">
      <w:pPr>
        <w:pStyle w:val="paragraaf"/>
        <w:shd w:val="clear" w:color="auto" w:fill="D9D9D9" w:themeFill="background1" w:themeFillShade="D9"/>
      </w:pPr>
      <w:bookmarkStart w:id="151" w:name="_Toc431375643"/>
      <w:r>
        <w:t>§ 3.6.2.</w:t>
      </w:r>
      <w:r>
        <w:tab/>
        <w:t>Slachten van dieren, uitsnijden van vlees of vis of bewerken van dierlijke bijproducten</w:t>
      </w:r>
      <w:bookmarkEnd w:id="151"/>
    </w:p>
    <w:p w:rsidR="008E231B" w:rsidRDefault="008E231B" w:rsidP="008E231B">
      <w:pPr>
        <w:pStyle w:val="artikelkop"/>
        <w:shd w:val="clear" w:color="auto" w:fill="D9D9D9" w:themeFill="background1" w:themeFillShade="D9"/>
      </w:pPr>
      <w:r>
        <w:t xml:space="preserve">Artikel 3.104 </w:t>
      </w:r>
    </w:p>
    <w:p w:rsidR="008E231B" w:rsidRDefault="008E231B" w:rsidP="008E231B">
      <w:pPr>
        <w:pStyle w:val="art1enivo"/>
        <w:shd w:val="clear" w:color="auto" w:fill="D9D9D9" w:themeFill="background1" w:themeFillShade="D9"/>
        <w:suppressAutoHyphens/>
        <w:rPr>
          <w:rFonts w:cs="Arial"/>
        </w:rPr>
      </w:pPr>
      <w:r>
        <w:rPr>
          <w:rFonts w:cs="Arial"/>
        </w:rPr>
        <w:t>1.</w:t>
      </w:r>
      <w:r>
        <w:rPr>
          <w:rFonts w:cs="Arial"/>
        </w:rPr>
        <w:tab/>
        <w:t>Ten behoeve van het voorkomen, dan wel, voor zover dat niet mogelijk is, het tot een aanvaardbaar niveau beperken van geurhinder als bedoeld in de artikelen 3.135 en 3.136 van het besluit:</w:t>
      </w:r>
    </w:p>
    <w:p w:rsidR="008E231B" w:rsidRDefault="008E231B" w:rsidP="008E231B">
      <w:pPr>
        <w:pStyle w:val="art2enivo"/>
        <w:shd w:val="clear" w:color="auto" w:fill="D9D9D9" w:themeFill="background1" w:themeFillShade="D9"/>
        <w:suppressAutoHyphens/>
        <w:rPr>
          <w:rFonts w:cs="Arial"/>
        </w:rPr>
      </w:pPr>
      <w:r>
        <w:rPr>
          <w:rFonts w:cs="Arial"/>
        </w:rPr>
        <w:t>a.</w:t>
      </w:r>
      <w:r>
        <w:rPr>
          <w:rFonts w:cs="Arial"/>
        </w:rPr>
        <w:tab/>
        <w:t>wordt bij het slachten van dieren als bedoeld in artikel 3.133, onder a, van het besluit ten minste de vaste dierlijke mest die vrijkomt bij het slachten in afgesloten, lekvrije tonnen of bakken opgeslagen;</w:t>
      </w:r>
    </w:p>
    <w:p w:rsidR="008E231B" w:rsidRDefault="008E231B" w:rsidP="008E231B">
      <w:pPr>
        <w:pStyle w:val="art2enivo"/>
        <w:shd w:val="clear" w:color="auto" w:fill="D9D9D9" w:themeFill="background1" w:themeFillShade="D9"/>
        <w:suppressAutoHyphens/>
        <w:rPr>
          <w:rFonts w:cs="Arial"/>
        </w:rPr>
      </w:pPr>
      <w:r>
        <w:rPr>
          <w:rFonts w:cs="Arial"/>
        </w:rPr>
        <w:t>b.</w:t>
      </w:r>
      <w:r>
        <w:rPr>
          <w:rFonts w:cs="Arial"/>
        </w:rPr>
        <w:tab/>
        <w:t xml:space="preserve"> worden afgezogen dampen en gassen van het broeien of koken van dierlijke bijproducten als bedoeld in artikel 3.133, onder a, van het besluit, indien deze op de buitenlucht worden geëmitteerd:</w:t>
      </w:r>
    </w:p>
    <w:p w:rsidR="008E231B" w:rsidRDefault="008E231B" w:rsidP="008E231B">
      <w:pPr>
        <w:pStyle w:val="art3enivo"/>
        <w:shd w:val="clear" w:color="auto" w:fill="D9D9D9" w:themeFill="background1" w:themeFillShade="D9"/>
        <w:suppressAutoHyphens/>
      </w:pPr>
      <w:r>
        <w:t>1°.</w:t>
      </w:r>
      <w:r>
        <w:tab/>
        <w:t>ten minste twee meter boven de hoogste daklijn van de binnen 25 meter van de uitmonding gelegen gebouwen afgevoerd; of</w:t>
      </w:r>
    </w:p>
    <w:p w:rsidR="008E231B" w:rsidRDefault="008E231B" w:rsidP="008E231B">
      <w:pPr>
        <w:pStyle w:val="art3enivo"/>
        <w:shd w:val="clear" w:color="auto" w:fill="D9D9D9" w:themeFill="background1" w:themeFillShade="D9"/>
        <w:suppressAutoHyphens/>
      </w:pPr>
      <w:r>
        <w:t>2°.</w:t>
      </w:r>
      <w:r>
        <w:tab/>
        <w:t>geleid door een doelmatige ontgeuringsinstallatie.</w:t>
      </w:r>
    </w:p>
    <w:p w:rsidR="008E231B" w:rsidRDefault="008E231B" w:rsidP="008E231B">
      <w:pPr>
        <w:pStyle w:val="art1enivo"/>
        <w:shd w:val="clear" w:color="auto" w:fill="D9D9D9" w:themeFill="background1" w:themeFillShade="D9"/>
        <w:suppressAutoHyphens/>
        <w:rPr>
          <w:rFonts w:cs="Arial"/>
        </w:rPr>
      </w:pPr>
      <w:r>
        <w:rPr>
          <w:rFonts w:cs="Arial"/>
        </w:rPr>
        <w:t>2.</w:t>
      </w:r>
      <w:r>
        <w:rPr>
          <w:rFonts w:cs="Arial"/>
        </w:rPr>
        <w:tab/>
        <w:t xml:space="preserve"> Het bevoegd gezag kan, indien blijkt dat de geurhinder een aanvaardbaar niveau overschrijdt vanwege het slecht functioneren van de ontgeuringsinstallatie, onvoldoende verspreiding van afgezogen dampen, geuremissie die niet via de afzuiging wordt afgevoerd of incidentele geurpieken, in aanvulling op het eerste lid, onder b, overeenkomstig artikel 2.7a, derde lid, van het besluit, maatwerkvoorschriften stellen met betrekking tot:</w:t>
      </w:r>
    </w:p>
    <w:p w:rsidR="008E231B" w:rsidRDefault="008E231B" w:rsidP="008E231B">
      <w:pPr>
        <w:pStyle w:val="art2enivo"/>
        <w:shd w:val="clear" w:color="auto" w:fill="D9D9D9" w:themeFill="background1" w:themeFillShade="D9"/>
        <w:suppressAutoHyphens/>
        <w:rPr>
          <w:rFonts w:cs="Arial"/>
        </w:rPr>
      </w:pPr>
      <w:r>
        <w:rPr>
          <w:rFonts w:cs="Arial"/>
        </w:rPr>
        <w:t>a.</w:t>
      </w:r>
      <w:r>
        <w:rPr>
          <w:rFonts w:cs="Arial"/>
        </w:rPr>
        <w:tab/>
        <w:t>de uitvoering en het onderhoud van een ontgeuringsinstallatie als bedoeld in het eerste lid, onder b;</w:t>
      </w:r>
    </w:p>
    <w:p w:rsidR="008E231B" w:rsidRDefault="008E231B" w:rsidP="008E231B">
      <w:pPr>
        <w:pStyle w:val="art2enivo"/>
        <w:shd w:val="clear" w:color="auto" w:fill="D9D9D9" w:themeFill="background1" w:themeFillShade="D9"/>
        <w:suppressAutoHyphens/>
        <w:rPr>
          <w:rFonts w:cs="Arial"/>
        </w:rPr>
      </w:pPr>
      <w:r>
        <w:rPr>
          <w:rFonts w:cs="Arial"/>
        </w:rPr>
        <w:t>b.</w:t>
      </w:r>
      <w:r>
        <w:rPr>
          <w:rFonts w:cs="Arial"/>
        </w:rPr>
        <w:tab/>
        <w:t>de situering van de afvoerpijp;</w:t>
      </w:r>
    </w:p>
    <w:p w:rsidR="008E231B" w:rsidRDefault="008E231B" w:rsidP="008E231B">
      <w:pPr>
        <w:pStyle w:val="art2enivo"/>
        <w:shd w:val="clear" w:color="auto" w:fill="D9D9D9" w:themeFill="background1" w:themeFillShade="D9"/>
        <w:suppressAutoHyphens/>
        <w:rPr>
          <w:rFonts w:cs="Arial"/>
        </w:rPr>
      </w:pPr>
      <w:r>
        <w:rPr>
          <w:rFonts w:cs="Arial"/>
        </w:rPr>
        <w:t>c.</w:t>
      </w:r>
      <w:r>
        <w:rPr>
          <w:rFonts w:cs="Arial"/>
        </w:rPr>
        <w:tab/>
        <w:t>het voorkomen of beperken van diffuse geuremissies; of</w:t>
      </w:r>
    </w:p>
    <w:p w:rsidR="008E231B" w:rsidRDefault="008E231B" w:rsidP="008E231B">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8E231B" w:rsidRDefault="008E231B" w:rsidP="008E231B">
      <w:pPr>
        <w:pStyle w:val="art1enivo"/>
        <w:shd w:val="clear" w:color="auto" w:fill="D9D9D9" w:themeFill="background1" w:themeFillShade="D9"/>
        <w:suppressAutoHyphens/>
        <w:rPr>
          <w:rFonts w:cs="Arial"/>
        </w:rPr>
      </w:pPr>
      <w:r>
        <w:rPr>
          <w:rFonts w:cs="Arial"/>
        </w:rPr>
        <w:t>3.</w:t>
      </w:r>
      <w:r>
        <w:rPr>
          <w:rFonts w:cs="Arial"/>
        </w:rPr>
        <w:tab/>
        <w:t>In afwijking van het eerste lid, onder b, kan het bevoegd gezag indien blijkt dat de geurhinder een aanvaardbaar niveau overschrijdt en de bevoegdheden, bedoeld in het tweede lid, onvoldoende zijn om de overschrijding ongedaan te maken, overeenkomstig artikel 2.7a, derde lid, van het besluit maatwerkvoorschriften stellen met betrekking tot de aanwezigheid van een ontgeuringsinstallatie of een grotere afvoerhoogte van de afgezogen dampen en gassen.</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eerste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8E231B" w:rsidRDefault="008E231B" w:rsidP="008E231B">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kan het bevoegd gezag maatwerkvoorschriften als bedoeld in het tweede en derde lid stellen.</w:t>
      </w:r>
    </w:p>
    <w:p w:rsidR="008E231B" w:rsidRDefault="008E231B" w:rsidP="008E231B">
      <w:pPr>
        <w:pStyle w:val="artikelkop"/>
        <w:shd w:val="clear" w:color="auto" w:fill="D9D9D9" w:themeFill="background1" w:themeFillShade="D9"/>
      </w:pPr>
      <w:r>
        <w:t xml:space="preserve">Artikel 3.105 </w:t>
      </w:r>
    </w:p>
    <w:p w:rsidR="008E231B" w:rsidRDefault="008E231B" w:rsidP="008E231B">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als bedoeld in artikel 3.135 van het besluit vindt het pekelen van dierlijke bijproducten en organen als bedoeld in artikel 3.133, onder a en d, van het besluit plaats boven een bodembeschermende voorziening.</w:t>
      </w:r>
    </w:p>
    <w:p w:rsidR="008E231B" w:rsidRDefault="008E231B" w:rsidP="008E231B">
      <w:pPr>
        <w:shd w:val="clear" w:color="auto" w:fill="D9D9D9" w:themeFill="background1" w:themeFillShade="D9"/>
      </w:pPr>
      <w:r>
        <w:rPr>
          <w:rFonts w:cs="Arial"/>
        </w:rPr>
        <w:t>2.</w:t>
      </w:r>
      <w:r>
        <w:rPr>
          <w:rFonts w:cs="Arial"/>
        </w:rPr>
        <w:tab/>
        <w:t>Ten behoeve van het voorkomen dan wel, voor zover dat niet mogelijk is, het zoveel mogelijk beperken van de verontreiniging van een oppervlaktewaterlichaam en ter bescherming van de doelmatige werking van voorzieningen voor het beheer van afvalwater als bedoeld in artikel 3.135 van het besluit worden bij het pekelen van dierlijke bijproducten en organen, bedoeld in artikel 3.133, onder a en d,van het besluit, ten minste de gemorste of gelekte stoffen zoveel mogelijk zonder verder toevoegen van water opgeruimd en afgevoerd als afvalstof en wordt zoveel mogelijk voorkomen dat deze stoffen in het afvalwater terecht kunnen komen. Deze werkwijze wordt opgenomen in de bedrijfsinterne procedures en werkinstructies, bedoeld in artikel 2.3, tweede lid.</w:t>
      </w:r>
    </w:p>
    <w:p w:rsidR="008E231B" w:rsidRPr="00620047" w:rsidRDefault="008E231B">
      <w:pPr>
        <w:pStyle w:val="artplatletter"/>
      </w:pPr>
    </w:p>
    <w:p w:rsidR="00296032" w:rsidRPr="00296032" w:rsidRDefault="00296032">
      <w:pPr>
        <w:pStyle w:val="paragraaf"/>
      </w:pPr>
      <w:bookmarkStart w:id="152" w:name="_Toc431375644"/>
      <w:r w:rsidRPr="00296032">
        <w:t>§ 3.6.3.</w:t>
      </w:r>
      <w:r w:rsidRPr="00296032">
        <w:tab/>
        <w:t>Industrieel vervaardigen of bewerken van voedingsmiddelen of dranken</w:t>
      </w:r>
      <w:bookmarkEnd w:id="152"/>
    </w:p>
    <w:p w:rsidR="00296032" w:rsidRPr="00296032" w:rsidRDefault="00296032">
      <w:pPr>
        <w:pStyle w:val="artikelkop"/>
      </w:pPr>
      <w:r w:rsidRPr="00296032">
        <w:t>Artikel 3.137</w:t>
      </w:r>
    </w:p>
    <w:p w:rsidR="00296032" w:rsidRPr="00620047" w:rsidRDefault="00296032">
      <w:pPr>
        <w:pStyle w:val="art1enivo"/>
      </w:pPr>
      <w:r w:rsidRPr="00620047">
        <w:t>1.</w:t>
      </w:r>
      <w:r w:rsidRPr="00620047">
        <w:tab/>
        <w:t>Deze paragraaf is van toepassing op het vervaardigen of bewerken van voedingsmiddelen of dranken, voor zover daarbij geen sprake is van:</w:t>
      </w:r>
    </w:p>
    <w:p w:rsidR="00296032" w:rsidRPr="00620047" w:rsidRDefault="00296032">
      <w:pPr>
        <w:pStyle w:val="art2enivo"/>
      </w:pPr>
      <w:r w:rsidRPr="00620047">
        <w:t>a.</w:t>
      </w:r>
      <w:r w:rsidRPr="00620047">
        <w:tab/>
        <w:t>het ambachtelijk bereiden van voedingsmiddelen of dranken;</w:t>
      </w:r>
    </w:p>
    <w:p w:rsidR="00296032" w:rsidRPr="00620047" w:rsidRDefault="00296032">
      <w:pPr>
        <w:pStyle w:val="art2enivo"/>
      </w:pPr>
      <w:r w:rsidRPr="00620047">
        <w:t>b.</w:t>
      </w:r>
      <w:r w:rsidRPr="00620047">
        <w:tab/>
        <w:t>het bereiden van voedingsmiddelen of dranken met:</w:t>
      </w:r>
    </w:p>
    <w:p w:rsidR="00296032" w:rsidRPr="00620047" w:rsidRDefault="00296032">
      <w:pPr>
        <w:pStyle w:val="art3enivo"/>
      </w:pPr>
      <w:r w:rsidRPr="00620047">
        <w:t>1°.</w:t>
      </w:r>
      <w:r w:rsidRPr="00620047">
        <w:tab/>
        <w:t>keukenapparatuur,</w:t>
      </w:r>
    </w:p>
    <w:p w:rsidR="00296032" w:rsidRPr="00620047" w:rsidRDefault="00296032">
      <w:pPr>
        <w:pStyle w:val="art3enivo"/>
      </w:pPr>
      <w:r w:rsidRPr="00620047">
        <w:t>2°.</w:t>
      </w:r>
      <w:r w:rsidRPr="00620047">
        <w:tab/>
        <w:t>grootkeukenapparatuur;</w:t>
      </w:r>
    </w:p>
    <w:p w:rsidR="00296032" w:rsidRPr="00620047" w:rsidRDefault="00296032">
      <w:pPr>
        <w:pStyle w:val="art3enivo"/>
      </w:pPr>
      <w:r w:rsidRPr="00620047">
        <w:t>3°.</w:t>
      </w:r>
      <w:r w:rsidRPr="00620047">
        <w:tab/>
        <w:t>een of meer bakkerijovens die chargegewijs beladen worden, of</w:t>
      </w:r>
    </w:p>
    <w:p w:rsidR="00296032" w:rsidRPr="00620047" w:rsidRDefault="00296032">
      <w:pPr>
        <w:pStyle w:val="art3enivo"/>
      </w:pPr>
      <w:r w:rsidRPr="00620047">
        <w:t>4°.</w:t>
      </w:r>
      <w:r w:rsidRPr="00620047">
        <w:tab/>
        <w:t>één of meer bakkerijovens die continu beladen worden met een nominaal vermogen van ten hoogste 400 kilowatt;</w:t>
      </w:r>
    </w:p>
    <w:p w:rsidR="00296032" w:rsidRPr="00620047" w:rsidRDefault="00296032">
      <w:pPr>
        <w:pStyle w:val="art2enivo"/>
      </w:pPr>
      <w:r w:rsidRPr="00620047">
        <w:t>c.</w:t>
      </w:r>
      <w:r w:rsidRPr="00620047">
        <w:tab/>
        <w:t>het slachten van dieren en het uitsnijden van vlees en vis;</w:t>
      </w:r>
    </w:p>
    <w:p w:rsidR="00296032" w:rsidRPr="00620047" w:rsidRDefault="00296032">
      <w:pPr>
        <w:pStyle w:val="art2enivo"/>
      </w:pPr>
      <w:r w:rsidRPr="00620047">
        <w:t>d.</w:t>
      </w:r>
      <w:r w:rsidRPr="00620047">
        <w:tab/>
        <w:t>de extractie van plantaardige oliën of veredeling van vetten;</w:t>
      </w:r>
    </w:p>
    <w:p w:rsidR="00296032" w:rsidRPr="00620047" w:rsidRDefault="00296032">
      <w:pPr>
        <w:pStyle w:val="art2enivo"/>
      </w:pPr>
      <w:r w:rsidRPr="00620047">
        <w:t>e.</w:t>
      </w:r>
      <w:r w:rsidRPr="00620047">
        <w:tab/>
        <w:t>de productie van zetmeel of suiker;</w:t>
      </w:r>
    </w:p>
    <w:p w:rsidR="00296032" w:rsidRPr="00620047" w:rsidRDefault="00296032">
      <w:pPr>
        <w:pStyle w:val="art2enivo"/>
      </w:pPr>
      <w:r w:rsidRPr="00620047">
        <w:t>f.</w:t>
      </w:r>
      <w:r w:rsidRPr="00620047">
        <w:tab/>
        <w:t>de productie van alcohol, of</w:t>
      </w:r>
    </w:p>
    <w:p w:rsidR="00296032" w:rsidRPr="00620047" w:rsidRDefault="00296032">
      <w:pPr>
        <w:pStyle w:val="art2enivo"/>
      </w:pPr>
      <w:r w:rsidRPr="00620047">
        <w:t>g.</w:t>
      </w:r>
      <w:r w:rsidRPr="00620047">
        <w:tab/>
        <w:t>de productie van voedingsmiddelen voor landbouwhuisdieren..</w:t>
      </w:r>
    </w:p>
    <w:p w:rsidR="00296032" w:rsidRPr="00620047" w:rsidRDefault="00296032">
      <w:pPr>
        <w:pStyle w:val="art1enivo"/>
      </w:pPr>
      <w:r w:rsidRPr="00620047">
        <w:t>2.</w:t>
      </w:r>
      <w:r w:rsidRPr="00620047">
        <w:tab/>
        <w:t>Deze paragraaf is niet van toepassing op een IPPC-installatie.</w:t>
      </w:r>
    </w:p>
    <w:p w:rsidR="00296032" w:rsidRPr="00296032" w:rsidRDefault="00296032">
      <w:pPr>
        <w:pStyle w:val="artikelkop"/>
      </w:pPr>
      <w:r w:rsidRPr="00296032">
        <w:t>Artikel 3.138</w:t>
      </w:r>
    </w:p>
    <w:p w:rsidR="00296032" w:rsidRPr="00620047" w:rsidRDefault="00296032">
      <w:pPr>
        <w:pStyle w:val="art1enivo"/>
      </w:pPr>
      <w:r w:rsidRPr="00620047">
        <w:t>1.</w:t>
      </w:r>
      <w:r w:rsidRPr="00620047">
        <w:tab/>
        <w:t>Het in een oppervlaktewaterlichaam lozen van afvalwater afkomstig van het vervaardigen of bewerken van voedingsmiddelen of dranken is uitsluitend toegestaan, indien daarbij ten minste wordt voldaan aan de eisen, gesteld bij of krachtens het tweede tot en met het zesde lid.</w:t>
      </w:r>
    </w:p>
    <w:p w:rsidR="00296032" w:rsidRPr="00620047" w:rsidRDefault="00296032">
      <w:pPr>
        <w:pStyle w:val="art1enivo"/>
      </w:pPr>
      <w:r w:rsidRPr="00620047">
        <w:t>2.</w:t>
      </w:r>
      <w:r w:rsidRPr="00620047">
        <w:tab/>
        <w:t>Het te lozen afvalwater bevat geen stoffen die op grond van het BBT-informatiedocument over het beoordelen van stoffen en preparaten voor de uitvoering van het emissiebeleid water, aangewezen krachtens artikel 5.4, tweede lid, van het Besluit omgevingsrecht («Beoordeling stoffen en preparaten» van de Commissie Integraal Waterbeheer CIW (4 2000-05)), worden aangemerkt als stoffen waarvoor een:</w:t>
      </w:r>
    </w:p>
    <w:p w:rsidR="00296032" w:rsidRPr="00620047" w:rsidRDefault="00296032">
      <w:pPr>
        <w:pStyle w:val="art2enivo"/>
      </w:pPr>
      <w:r w:rsidRPr="00620047">
        <w:t>a.</w:t>
      </w:r>
      <w:r w:rsidRPr="00620047">
        <w:tab/>
        <w:t>saneringsinspanning A geldt, of</w:t>
      </w:r>
    </w:p>
    <w:p w:rsidR="00296032" w:rsidRPr="00620047" w:rsidRDefault="00296032">
      <w:pPr>
        <w:pStyle w:val="art2enivo"/>
      </w:pPr>
      <w:r w:rsidRPr="00620047">
        <w:t>b.</w:t>
      </w:r>
      <w:r w:rsidRPr="00620047">
        <w:tab/>
        <w:t>saneringsinspanning B geldt, tenzij het afvalwater wordt gezuiverd door middel van biologische zuivering.</w:t>
      </w:r>
    </w:p>
    <w:p w:rsidR="00296032" w:rsidRPr="00620047" w:rsidRDefault="00296032">
      <w:pPr>
        <w:pStyle w:val="art1enivo"/>
      </w:pPr>
      <w:r w:rsidRPr="00620047">
        <w:t>3.</w:t>
      </w:r>
      <w:r w:rsidRPr="00620047">
        <w:tab/>
        <w:t>In afwijking van het tweede lid kan het bevoegd gezag, indien het belang van de bescherming van het milieu zich daar niet tegen verzet, bij maatwerkvoorschrift het lozen van afvalwater als bedoeld in dat lid, onder a of b, toestaan. Artikel 2.2, vierde lid, is van overeenkomstige toepassing.</w:t>
      </w:r>
    </w:p>
    <w:p w:rsidR="00296032" w:rsidRPr="00620047" w:rsidRDefault="00296032">
      <w:pPr>
        <w:pStyle w:val="art1enivo"/>
      </w:pPr>
      <w:r w:rsidRPr="00620047">
        <w:t>4.</w:t>
      </w:r>
      <w:r w:rsidRPr="00620047">
        <w:tab/>
        <w:t>Onverminderd het tweede en derde lid voldoet het te lozen afvalwater in enig steekmonster aan de volgende eisen:</w:t>
      </w:r>
    </w:p>
    <w:p w:rsidR="00296032" w:rsidRPr="00620047" w:rsidRDefault="00296032">
      <w:pPr>
        <w:pStyle w:val="art2enivo"/>
      </w:pPr>
      <w:r w:rsidRPr="00620047">
        <w:t>a) het biochemisch zuurstofverbruik bedraagt ten hoogste 30 mg/l;</w:t>
      </w:r>
    </w:p>
    <w:p w:rsidR="00296032" w:rsidRPr="00620047" w:rsidRDefault="00296032">
      <w:pPr>
        <w:pStyle w:val="art2enivo"/>
      </w:pPr>
      <w:r w:rsidRPr="00620047">
        <w:t>b) het chemisch zuurstofverbruik bedraagt ten hoogste 250 mg/l;</w:t>
      </w:r>
    </w:p>
    <w:p w:rsidR="00296032" w:rsidRPr="00620047" w:rsidRDefault="00296032">
      <w:pPr>
        <w:pStyle w:val="art2enivo"/>
      </w:pPr>
      <w:r w:rsidRPr="00620047">
        <w:t>c) de totale hoeveelheid onopgeloste bestanddelen bedraagt ten hoogste 100 mg/l;</w:t>
      </w:r>
    </w:p>
    <w:p w:rsidR="00296032" w:rsidRPr="00620047" w:rsidRDefault="00296032">
      <w:pPr>
        <w:pStyle w:val="art2enivo"/>
      </w:pPr>
      <w:r w:rsidRPr="00620047">
        <w:t>d) het gehalte aan zink bedraagt ten hoogste 1 mg/l;</w:t>
      </w:r>
    </w:p>
    <w:p w:rsidR="00296032" w:rsidRPr="00620047" w:rsidRDefault="00296032">
      <w:pPr>
        <w:pStyle w:val="art2enivo"/>
      </w:pPr>
      <w:r w:rsidRPr="00620047">
        <w:t>e) het gehalte aan koper bedraagt ten hoogste 1 mg/l;</w:t>
      </w:r>
    </w:p>
    <w:p w:rsidR="00296032" w:rsidRPr="00620047" w:rsidRDefault="00296032">
      <w:pPr>
        <w:pStyle w:val="art2enivo"/>
      </w:pPr>
      <w:r w:rsidRPr="00620047">
        <w:t>f) het gehalte aan totaalfosfor bedraagt ten hoogste 2 mg/l, en</w:t>
      </w:r>
    </w:p>
    <w:p w:rsidR="00296032" w:rsidRPr="00620047" w:rsidRDefault="00296032">
      <w:pPr>
        <w:pStyle w:val="art2enivo"/>
      </w:pPr>
      <w:r w:rsidRPr="00620047">
        <w:t>g) het gehalte aan totaalstikstof bedraagt ten hoogste 15 mg/l.</w:t>
      </w:r>
    </w:p>
    <w:p w:rsidR="00296032" w:rsidRPr="00620047" w:rsidRDefault="00296032">
      <w:pPr>
        <w:pStyle w:val="art1enivo"/>
      </w:pPr>
      <w:r w:rsidRPr="00620047">
        <w:t>5.</w:t>
      </w:r>
      <w:r w:rsidRPr="00620047">
        <w:tab/>
        <w:t>In afwijking van het vierde lid kan het bevoegd gezag bij maatwerkvoorschrift:</w:t>
      </w:r>
    </w:p>
    <w:p w:rsidR="00296032" w:rsidRPr="00620047" w:rsidRDefault="00296032">
      <w:pPr>
        <w:pStyle w:val="art2enivo"/>
      </w:pPr>
      <w:r w:rsidRPr="00620047">
        <w:t>a.</w:t>
      </w:r>
      <w:r w:rsidRPr="00620047">
        <w:tab/>
        <w:t>lagere gehaltes of grenswaarden vaststellen indien het belang van het milieu daartoe noodzaakt, of</w:t>
      </w:r>
    </w:p>
    <w:p w:rsidR="00296032" w:rsidRPr="00620047" w:rsidRDefault="00296032">
      <w:pPr>
        <w:pStyle w:val="art2enivo"/>
      </w:pPr>
      <w:r w:rsidRPr="00620047">
        <w:t>b.</w:t>
      </w:r>
      <w:r w:rsidRPr="00620047">
        <w:tab/>
        <w:t>hogere gehaltes of grenswaarden vaststellen, indien het belang van de bescherming van het milieu zich daartegen niet verzet.</w:t>
      </w:r>
    </w:p>
    <w:p w:rsidR="00296032" w:rsidRPr="00620047" w:rsidRDefault="00296032">
      <w:pPr>
        <w:pStyle w:val="art2enivo"/>
      </w:pPr>
      <w:r w:rsidRPr="00620047">
        <w:t>Artikel 2.2, vierde lid, is van overeenkomstige toepassing.</w:t>
      </w:r>
    </w:p>
    <w:p w:rsidR="00296032" w:rsidRPr="00620047" w:rsidRDefault="00296032">
      <w:pPr>
        <w:pStyle w:val="art1enivo"/>
      </w:pPr>
      <w:r w:rsidRPr="00620047">
        <w:t>6.</w:t>
      </w:r>
      <w:r w:rsidRPr="00620047">
        <w:tab/>
        <w:t>Het te lozen afvalwater kan op een doelmatige wijze worden bemonsterd.</w:t>
      </w:r>
    </w:p>
    <w:p w:rsidR="00296032" w:rsidRPr="00296032" w:rsidRDefault="00296032">
      <w:pPr>
        <w:pStyle w:val="artikelkop"/>
      </w:pPr>
      <w:r w:rsidRPr="00296032">
        <w:t>Artikel 3.139</w:t>
      </w:r>
    </w:p>
    <w:p w:rsidR="00296032" w:rsidRPr="00620047" w:rsidRDefault="00296032">
      <w:pPr>
        <w:pStyle w:val="art1enivo"/>
      </w:pPr>
      <w:r w:rsidRPr="00620047">
        <w:t>1.</w:t>
      </w:r>
      <w:r w:rsidRPr="00620047">
        <w:tab/>
        <w:t>Het lozen in een vuilwaterriool van afvalwater afkomstig van het vervaardigen of bewerken van voedingsmiddelen of dranken is toegestaan indien daarbij ten minste voldaan wordt aan de eisen, gesteld bij en krachtens het tweede tot en met zesde lid.</w:t>
      </w:r>
    </w:p>
    <w:p w:rsidR="00296032" w:rsidRPr="00620047" w:rsidRDefault="00296032">
      <w:pPr>
        <w:pStyle w:val="art1enivo"/>
      </w:pPr>
      <w:r w:rsidRPr="00620047">
        <w:t>2.</w:t>
      </w:r>
      <w:r w:rsidRPr="00620047">
        <w:tab/>
        <w:t>Het te lozen afvalwater bevat geen stoffen die op grond van het BBT-informatiedocument over het beoordelen van stoffen en preparaten voor de uitvoering van het emissiebeleid water, aangewezen krachtens artikel 5.4, tweede lid, van het Besluit omgevingsrecht («Beoordeling stoffen en preparaten» van de Commissie Integraal Waterbeheer CIW (4 2000-05)), worden aangemerkt als stoffen waarvoor een saneringsinspanning A geldt.</w:t>
      </w:r>
    </w:p>
    <w:p w:rsidR="00296032" w:rsidRPr="00620047" w:rsidRDefault="00296032">
      <w:pPr>
        <w:pStyle w:val="art1enivo"/>
      </w:pPr>
      <w:r w:rsidRPr="00620047">
        <w:t>3.</w:t>
      </w:r>
      <w:r w:rsidRPr="00620047">
        <w:tab/>
        <w:t>In afwijking van het tweede lid kan het bevoegd gezag, indien het belang van de bescherming van het milieu zich daar niet tegen verzet, bij maatwerkvoorschrift het lozen van afvalwater, bedoeld in dat lid, toestaan.</w:t>
      </w:r>
      <w:r w:rsidRPr="00620047">
        <w:br/>
        <w:t>Artikel 2.2, vierde lid, is van overeenkomstige toepassing.</w:t>
      </w:r>
    </w:p>
    <w:p w:rsidR="00296032" w:rsidRPr="00620047" w:rsidRDefault="00296032">
      <w:pPr>
        <w:pStyle w:val="art1enivo"/>
      </w:pPr>
      <w:r w:rsidRPr="00620047">
        <w:t>4.</w:t>
      </w:r>
      <w:r w:rsidRPr="00620047">
        <w:tab/>
        <w:t>Het afvalwater wordt voorafgaand aan het lozen in een vuilwaterriool niet onderworpen aan een biologische behandeling.</w:t>
      </w:r>
    </w:p>
    <w:p w:rsidR="00296032" w:rsidRPr="00620047" w:rsidRDefault="00296032">
      <w:pPr>
        <w:pStyle w:val="art1enivo"/>
      </w:pPr>
      <w:r w:rsidRPr="00620047">
        <w:t>5.</w:t>
      </w:r>
      <w:r w:rsidRPr="00620047">
        <w:tab/>
        <w:t>Het bevoegd gezag kan, indien het belang van de bescherming van het milieu zich daartegen niet verzet, bij maatwerkvoorschrift, in afwijking van het vierde lid, een biologische behandeling toestaan voorafgaand aan het lozen in een vuilwaterriool.</w:t>
      </w:r>
    </w:p>
    <w:p w:rsidR="00296032" w:rsidRPr="00620047" w:rsidRDefault="00296032">
      <w:pPr>
        <w:pStyle w:val="art1enivo"/>
      </w:pPr>
      <w:r w:rsidRPr="00620047">
        <w:t>6.</w:t>
      </w:r>
      <w:r w:rsidRPr="00620047">
        <w:tab/>
        <w:t>Bij het in het vuilwaterriool lozen van afvalwater waarbij olie, vet, zuivel, vlees of vis wordt verwerkt, wordt het afvalwater, voor vermenging met ander niet-vethoudend afvalwater geleid door een vetafscheider en slibvangput die voldoen aan en worden gebruikt conform NEN-EN 1825-1 en -2. In afwijking van NEN-EN 1825-1 en 2 kan met een lagere frequentie van het ledigen en reinigen dan daar vermeld worden volstaan indien dit geen nadelige gevolgen heeft voor het doelmatig functioneren van de afscheider.</w:t>
      </w:r>
    </w:p>
    <w:p w:rsidR="00296032" w:rsidRPr="00620047" w:rsidRDefault="00296032">
      <w:pPr>
        <w:pStyle w:val="art1enivo"/>
      </w:pPr>
      <w:r w:rsidRPr="00620047">
        <w:t>7.</w:t>
      </w:r>
      <w:r w:rsidRPr="00620047">
        <w:tab/>
        <w:t>Het te lozen afvalwater kan op een doelmatige wijze worden bemonsterd.</w:t>
      </w:r>
    </w:p>
    <w:p w:rsidR="00296032" w:rsidRPr="00620047" w:rsidRDefault="00296032">
      <w:pPr>
        <w:pStyle w:val="art1enivo"/>
      </w:pPr>
      <w:r w:rsidRPr="00620047">
        <w:t>8.</w:t>
      </w:r>
      <w:r w:rsidRPr="00620047">
        <w:tab/>
        <w:t>Het zesde lid is niet van toepassing op een slibvangput en een vetafscheider die zijn geplaatst binnen een inrichting voorafgaand aan het tijdstip waarop dat lid op die inrichting van toepassing werd.</w:t>
      </w:r>
    </w:p>
    <w:p w:rsidR="00296032" w:rsidRPr="00620047" w:rsidRDefault="00296032">
      <w:pPr>
        <w:pStyle w:val="art1enivo"/>
      </w:pPr>
      <w:r w:rsidRPr="00620047">
        <w:t xml:space="preserve">9. </w:t>
      </w:r>
      <w:r w:rsidRPr="00620047">
        <w:tab/>
        <w:t>Het zesde lid is eveneens niet van toepassing op een flocculatie-afscheider die binnen een inrichting is geplaatst voorafgaand aan het tijdstip waarop die leden op die inrichting van toepassing werden..</w:t>
      </w:r>
    </w:p>
    <w:p w:rsidR="00296032" w:rsidRPr="00296032" w:rsidRDefault="00296032">
      <w:pPr>
        <w:pStyle w:val="artikelkop"/>
      </w:pPr>
      <w:r w:rsidRPr="00296032">
        <w:t>Artikel 3.140</w:t>
      </w:r>
    </w:p>
    <w:p w:rsidR="00296032" w:rsidRPr="00620047" w:rsidRDefault="00296032">
      <w:pPr>
        <w:pStyle w:val="art1enivo"/>
      </w:pPr>
      <w:r w:rsidRPr="00620047">
        <w:t>1.</w:t>
      </w:r>
      <w:r w:rsidRPr="00620047">
        <w:tab/>
        <w:t>Een inrichting voor het vervaardigen of bewerken van voedingsmiddelen of dranken wordt uitsluitend opgericht of uitgebreid in capaciteit voor dat vervaardigen of bewerken indien nieuwe geurhinder ter plaatse van geurgevoelige objecten door die oprichting of uitbreiding wordt voorkomen. De eerste volzin is eveneens van toepassing op het wijzigen van de inrichting, indien die wijziging leidt tot een grotere of andere geurbelasting ter plaatse van een of meer geurgevoelige objecten.</w:t>
      </w:r>
    </w:p>
    <w:p w:rsidR="00296032" w:rsidRPr="00620047" w:rsidRDefault="00296032">
      <w:pPr>
        <w:pStyle w:val="art1enivo"/>
      </w:pPr>
      <w:r w:rsidRPr="00620047">
        <w:t>2.</w:t>
      </w:r>
      <w:r w:rsidRPr="00620047">
        <w:tab/>
        <w:t>Het bevoegd gezag kan in afwijking van het eerste lid bij maatwerkvoorschrift een bepaalde mate van nieuwe geurhinder ter plaatse van geurgevoelige objecten toestaan, indien het belang van de bescherming van het milieu zich daartegen niet verzet. Bij het opstellen van het maatwerkvoorschrift is artikel 2.7a van overeenkomstige toepassing en houdt het bevoegd gezag rekening met vastgesteld lokaal beleid ten aanzien van geurhinder.</w:t>
      </w:r>
    </w:p>
    <w:p w:rsidR="00296032" w:rsidRPr="00620047" w:rsidRDefault="00296032">
      <w:pPr>
        <w:pStyle w:val="art1enivo"/>
      </w:pPr>
      <w:r w:rsidRPr="00620047">
        <w:t>3.</w:t>
      </w:r>
      <w:r w:rsidRPr="00620047">
        <w:tab/>
        <w:t>Het bevoegd gezag kan, indien blijkt dat ten gevolge van het vervaardigen of bewerken van voedingsmiddelen of dranken de geurhinder ter plaatse van een of meer geurgevoelige objecten een aanvaardbaar niveau overschrijdt, onverminderd artikel 2.7a bij maatwerkvoorschrift bepalen dat een bepaalde geurbelasting ter plaatse van geurgevoelige objecten niet wordt overschreden, dan wel dat technische voorzieningen in de inrichting worden aangebracht of gedragsregels in de inrichting in acht worden genomen om de geurhinder tot een aanvaardbaar niveau te beperken.</w:t>
      </w:r>
    </w:p>
    <w:p w:rsidR="00296032" w:rsidRPr="00296032" w:rsidRDefault="00296032">
      <w:pPr>
        <w:pStyle w:val="artikelkop"/>
      </w:pPr>
      <w:r w:rsidRPr="00296032">
        <w:t>Artikel 3.141</w:t>
      </w:r>
    </w:p>
    <w:p w:rsidR="00296032" w:rsidRPr="00620047" w:rsidRDefault="00296032">
      <w:pPr>
        <w:pStyle w:val="art1enivo"/>
      </w:pPr>
      <w:r w:rsidRPr="00620047">
        <w:t>1.</w:t>
      </w:r>
      <w:r w:rsidRPr="00620047">
        <w:tab/>
        <w:t>Onverminderd artikel 2.5, eerste, vierde en vijfde lid, en artikel 2.6 is bij het vervaardigen of bewerken van voedingsmiddelen of dranken waarbij voedingsmiddelen of dranken of grondstoffen daarvan worden gedroogd, gemalen, gebrand of geroosterd of waarbij goederen behorend tot de stuifklasse S1, S2, S3 of S4 worden gemengd, de emissieconcentratie van stofklasse S niet meer dan:</w:t>
      </w:r>
    </w:p>
    <w:p w:rsidR="00296032" w:rsidRPr="00620047" w:rsidRDefault="00296032">
      <w:pPr>
        <w:pStyle w:val="art2enivo"/>
      </w:pPr>
      <w:r w:rsidRPr="00620047">
        <w:t>a.</w:t>
      </w:r>
      <w:r w:rsidRPr="00620047">
        <w:tab/>
        <w:t>5 milligram per normaal kubieke meter, indien de massastroom van stofklasse S naar de lucht gelijk is aan of groter is dan 200 gram per uur, en</w:t>
      </w:r>
    </w:p>
    <w:p w:rsidR="00296032" w:rsidRPr="00620047" w:rsidRDefault="00296032">
      <w:pPr>
        <w:pStyle w:val="art2enivo"/>
      </w:pPr>
      <w:r w:rsidRPr="00620047">
        <w:t>b.</w:t>
      </w:r>
      <w:r w:rsidRPr="00620047">
        <w:tab/>
        <w:t>50 milligram per normaal kubieke meter, indien de massastroom van stofklasse S kleiner is dan 200 gram per uur.</w:t>
      </w:r>
    </w:p>
    <w:p w:rsidR="00296032" w:rsidRPr="00620047" w:rsidRDefault="00296032">
      <w:pPr>
        <w:pStyle w:val="art1enivo"/>
      </w:pPr>
      <w:r w:rsidRPr="00620047">
        <w:t>2.</w:t>
      </w:r>
      <w:r w:rsidRPr="00620047">
        <w:tab/>
        <w:t>Het bevoegd gezag kan in de gevallen, bedoeld in het eerste lid, indien het gaat om een emissie van hygroscopisch stof, indien de massastroom van stofklasse S naar de lucht gelijk is aan of groter is dan 200 gram per uur, indien de toepassing van een filtrerende afscheider technisch niet haalbaar is en indien het belang van de bescherming van het milieu zich daartegen niet verzet, bij maatwerkvoorschrift een hogere emissieconcentratie van stofklasse S toestaan. De emissieconcentratie die bij maatwerkvoorschrift wordt toegestaan, bedraagt ten hoogste 50 milligram per normaal kubieke meter.</w:t>
      </w:r>
    </w:p>
    <w:p w:rsidR="00296032" w:rsidRPr="00620047" w:rsidRDefault="00296032">
      <w:pPr>
        <w:pStyle w:val="art1enivo"/>
      </w:pPr>
      <w:r w:rsidRPr="00620047">
        <w:t>3.</w:t>
      </w:r>
      <w:r w:rsidRPr="00620047">
        <w:tab/>
        <w:t>Bij maatwerkvoorschrift, bedoeld in het tweede lid, kunnen eisen worden gesteld met betrekking tot:</w:t>
      </w:r>
    </w:p>
    <w:p w:rsidR="00296032" w:rsidRPr="00620047" w:rsidRDefault="00296032">
      <w:pPr>
        <w:pStyle w:val="art2enivo"/>
      </w:pPr>
      <w:r w:rsidRPr="00620047">
        <w:t>a.</w:t>
      </w:r>
      <w:r w:rsidRPr="00620047">
        <w:tab/>
        <w:t>het controleren van de emissieconcentratie van stofklasse S, of</w:t>
      </w:r>
    </w:p>
    <w:p w:rsidR="00296032" w:rsidRPr="00620047" w:rsidRDefault="00296032">
      <w:pPr>
        <w:pStyle w:val="art2enivo"/>
      </w:pPr>
      <w:r w:rsidRPr="00620047">
        <w:t>b.</w:t>
      </w:r>
      <w:r w:rsidRPr="00620047">
        <w:tab/>
        <w:t>het onderhoud en de controle van een emissiebeperkende techniek die in de inrichting wordt ingezet om aan het maatwerkvoorschrift te voldoen.</w:t>
      </w:r>
    </w:p>
    <w:p w:rsidR="00296032" w:rsidRDefault="00296032">
      <w:pPr>
        <w:pStyle w:val="art1enivo"/>
      </w:pPr>
      <w:r w:rsidRPr="00620047">
        <w:t>4.</w:t>
      </w:r>
      <w:r w:rsidRPr="00620047">
        <w:tab/>
        <w:t>Bij het vervaardigen of bewerken van voedingsmiddelen of dranken waarbij voedingsmiddelen of dranken of grondstoffen daarvan worden gedroogd, gemalen, gebrand of geroosterd of waarbij goederen behorend tot de stuifklasse S1, S2, S3 of S4 worden gemengd, wordt ten behoeve van het voorkomen dan wel beperken van diffuse emissies en het doelmatig verspreiden van emissies naar de buitenlucht voldaan aan de bij ministeriële regeling gestelde eisen.</w:t>
      </w:r>
    </w:p>
    <w:p w:rsidR="00286455" w:rsidRDefault="00286455" w:rsidP="00286455"/>
    <w:p w:rsidR="00286455" w:rsidRDefault="00286455" w:rsidP="00286455">
      <w:pPr>
        <w:pStyle w:val="paragraaf"/>
        <w:shd w:val="clear" w:color="auto" w:fill="D9D9D9" w:themeFill="background1" w:themeFillShade="D9"/>
      </w:pPr>
      <w:bookmarkStart w:id="153" w:name="_Toc431375645"/>
      <w:r>
        <w:t>§ 3.6.3.</w:t>
      </w:r>
      <w:r>
        <w:tab/>
        <w:t>Industrieel vervaardigen of bewerken van voedingsmiddelen of dranken</w:t>
      </w:r>
      <w:bookmarkEnd w:id="153"/>
      <w:r>
        <w:t xml:space="preserve"> </w:t>
      </w:r>
    </w:p>
    <w:p w:rsidR="00286455" w:rsidRDefault="00286455" w:rsidP="00286455">
      <w:pPr>
        <w:pStyle w:val="artikelkop"/>
        <w:shd w:val="clear" w:color="auto" w:fill="D9D9D9" w:themeFill="background1" w:themeFillShade="D9"/>
      </w:pPr>
      <w:r>
        <w:t>Artikel 3.106</w:t>
      </w:r>
    </w:p>
    <w:p w:rsidR="00286455" w:rsidRDefault="00286455" w:rsidP="00286455">
      <w:pPr>
        <w:pStyle w:val="artplat"/>
        <w:shd w:val="clear" w:color="auto" w:fill="D9D9D9" w:themeFill="background1" w:themeFillShade="D9"/>
        <w:suppressAutoHyphens/>
        <w:rPr>
          <w:rFonts w:cs="Arial"/>
        </w:rPr>
      </w:pPr>
      <w:r>
        <w:rPr>
          <w:rFonts w:cs="Arial"/>
        </w:rPr>
        <w:t>Aan artikel 3.141, eerste lid, van het besluit wordt in ieder geval voldaan indien:</w:t>
      </w:r>
    </w:p>
    <w:p w:rsidR="00286455" w:rsidRDefault="00286455" w:rsidP="00286455">
      <w:pPr>
        <w:pStyle w:val="artplatletter"/>
        <w:shd w:val="clear" w:color="auto" w:fill="D9D9D9" w:themeFill="background1" w:themeFillShade="D9"/>
        <w:suppressAutoHyphens/>
        <w:rPr>
          <w:rFonts w:cs="Arial"/>
        </w:rPr>
      </w:pPr>
      <w:r>
        <w:rPr>
          <w:rFonts w:cs="Arial"/>
        </w:rPr>
        <w:t>a.</w:t>
      </w:r>
      <w:r>
        <w:rPr>
          <w:rFonts w:cs="Arial"/>
        </w:rPr>
        <w:tab/>
        <w:t xml:space="preserve">de afgezogen stofemissies die vrijkomen bij het vervaardigen en bewerken van voedingsmiddelen of dranken waarbij voedingsmiddelen of grondstoffen daarvan worden gedroogd, gemalen, gebrand of geroosterd of waarbij goederen behorend tot de stuifklasse S1, S2, S3 of S4 worden gemengd, worden gevoerd door een filtrerende afscheider die geschikt is om aan artikel 3.141, </w:t>
      </w:r>
      <w:r w:rsidR="00F956AE">
        <w:rPr>
          <w:rFonts w:cs="Arial"/>
        </w:rPr>
        <w:t>eerste</w:t>
      </w:r>
      <w:r>
        <w:rPr>
          <w:rFonts w:cs="Arial"/>
        </w:rPr>
        <w:t xml:space="preserve"> lid, van het besluit te voldoen; en </w:t>
      </w:r>
    </w:p>
    <w:p w:rsidR="00286455" w:rsidRDefault="00286455" w:rsidP="00286455">
      <w:pPr>
        <w:pStyle w:val="artplatletter"/>
        <w:shd w:val="clear" w:color="auto" w:fill="D9D9D9" w:themeFill="background1" w:themeFillShade="D9"/>
        <w:suppressAutoHyphens/>
        <w:rPr>
          <w:rFonts w:cs="Arial"/>
        </w:rPr>
      </w:pPr>
      <w:r>
        <w:rPr>
          <w:rFonts w:cs="Arial"/>
        </w:rPr>
        <w:t>b.</w:t>
      </w:r>
      <w:r>
        <w:rPr>
          <w:rFonts w:cs="Arial"/>
        </w:rPr>
        <w:tab/>
        <w:t>die filtrerende afscheider in goede staat van onderhoud verkeert, periodiek gecontroleerd wordt en zo vaak als voor de goede werking nodig is, wordt schoongemaakt en vervangen.</w:t>
      </w:r>
    </w:p>
    <w:p w:rsidR="00286455" w:rsidRDefault="00286455" w:rsidP="00286455">
      <w:pPr>
        <w:pStyle w:val="artikelkop"/>
        <w:shd w:val="clear" w:color="auto" w:fill="D9D9D9" w:themeFill="background1" w:themeFillShade="D9"/>
      </w:pPr>
      <w:r>
        <w:t>Artikel 3.107</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wordt stofklasse S dat vrijkomt bij het vervaardigen en bewerken van voedingsmiddelen of dranken als bedoeld in artikel 3.141 van het besluit waarbij voedingsmiddelen of grondstoffen daarvan worden gedroogd, gemalen, gebrand of geroosterd of waarbij goederen behorend tot de stuifklasse S1, S2, S3 of S4 worden gemengd, voor zover dat redelijkerwijs mogelijk is, doelmatig aan de bron afgezogen.</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de afgezogen emissies die vrijkomen bij het vervaardigen en bewerken van voedingsmiddelen of dranken als bedoeld in artikel 3.141 van het besluit, waarbij voedingsmiddelen of grondstoffen daarvan worden gedroogd, gemalen, gebrand of geroosterd of waarbij goederen behorend tot de stuifklasse S1, S2, S3 of S4 worden gemengd en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en  maatwerkvoorschriften stellen aan de ligging en uitvoering van het afvoerpunt van de emissies naar de buitenlucht, bedoeld in het tweede lid.</w:t>
      </w:r>
    </w:p>
    <w:p w:rsidR="00286455" w:rsidRPr="00286455" w:rsidRDefault="00286455" w:rsidP="00286455"/>
    <w:p w:rsidR="00296032" w:rsidRPr="00620047" w:rsidRDefault="00296032">
      <w:pPr>
        <w:pStyle w:val="afdeling"/>
      </w:pPr>
      <w:bookmarkStart w:id="154" w:name="_Toc431375646"/>
      <w:r w:rsidRPr="00620047">
        <w:t>Afdeling 3.7.</w:t>
      </w:r>
      <w:r w:rsidRPr="00620047">
        <w:tab/>
        <w:t>Sport en recreatie</w:t>
      </w:r>
      <w:bookmarkEnd w:id="154"/>
    </w:p>
    <w:p w:rsidR="00296032" w:rsidRPr="00296032" w:rsidRDefault="00296032">
      <w:pPr>
        <w:pStyle w:val="paragraaf"/>
      </w:pPr>
      <w:bookmarkStart w:id="155" w:name="_Toc431375647"/>
      <w:r w:rsidRPr="00296032">
        <w:t>§ 3.7.1.</w:t>
      </w:r>
      <w:r w:rsidRPr="00296032">
        <w:tab/>
        <w:t>Binnenschietbanen</w:t>
      </w:r>
      <w:bookmarkEnd w:id="155"/>
    </w:p>
    <w:p w:rsidR="00296032" w:rsidRPr="00296032" w:rsidRDefault="00296032">
      <w:pPr>
        <w:pStyle w:val="artikelkop"/>
      </w:pPr>
      <w:r w:rsidRPr="00296032">
        <w:t>Artikel 3.142</w:t>
      </w:r>
    </w:p>
    <w:p w:rsidR="00296032" w:rsidRPr="00620047" w:rsidRDefault="00296032">
      <w:pPr>
        <w:pStyle w:val="artplat"/>
      </w:pPr>
      <w:r w:rsidRPr="00620047">
        <w:t>Deze paragraaf is van toepassing op het schieten op een schietbaan of een combinatie van schietbanen in een gebouw of een deel van een gebouw, zonder open zijden en met een gesloten afdekking.</w:t>
      </w:r>
    </w:p>
    <w:p w:rsidR="00296032" w:rsidRPr="00296032" w:rsidRDefault="00296032">
      <w:pPr>
        <w:pStyle w:val="artikelkop"/>
      </w:pPr>
      <w:r w:rsidRPr="00296032">
        <w:t>Artikel 3.143</w:t>
      </w:r>
    </w:p>
    <w:p w:rsidR="00296032" w:rsidRPr="00620047" w:rsidRDefault="00296032">
      <w:pPr>
        <w:pStyle w:val="art1enivo"/>
      </w:pPr>
      <w:r w:rsidRPr="00620047">
        <w:t>1.</w:t>
      </w:r>
      <w:r w:rsidRPr="00620047">
        <w:tab/>
        <w:t>Onverminderd artikel 2.5, eerste, vierde en vijfde lid, en artikel 2.6 is bij het schieten op een binnenschietbaan, de emissieconcentratie van stofklasse S niet meer dan:</w:t>
      </w:r>
    </w:p>
    <w:p w:rsidR="00296032" w:rsidRPr="00620047" w:rsidRDefault="00296032">
      <w:pPr>
        <w:pStyle w:val="art2enivo"/>
      </w:pPr>
      <w:r w:rsidRPr="00620047">
        <w:t>a.</w:t>
      </w:r>
      <w:r w:rsidRPr="00620047">
        <w:tab/>
        <w:t>5 milligram per normaal kubieke meter, indien de massastroom van stofklasse S naar de lucht gelijk is aan of groter is dan 200 gram per uur, en</w:t>
      </w:r>
    </w:p>
    <w:p w:rsidR="00296032" w:rsidRPr="00620047" w:rsidRDefault="00296032">
      <w:pPr>
        <w:pStyle w:val="art2enivo"/>
      </w:pPr>
      <w:r w:rsidRPr="00620047">
        <w:t>b.</w:t>
      </w:r>
      <w:r w:rsidRPr="00620047">
        <w:tab/>
        <w:t>50 milligram per normaal kubieke meter, indien de massastroom van stofklasse S kleiner is dan 200 gram per uur.</w:t>
      </w:r>
    </w:p>
    <w:p w:rsidR="00296032" w:rsidRPr="00620047" w:rsidRDefault="00296032">
      <w:pPr>
        <w:pStyle w:val="art1enivo"/>
      </w:pPr>
      <w:r w:rsidRPr="00620047">
        <w:t>2.</w:t>
      </w:r>
      <w:r w:rsidRPr="00620047">
        <w:tab/>
        <w:t>Bij het schieten op een binnenschietbaan wordt ten behoeve van het voorkomen dan wel voor zover dat niet mogelijk is het beperken van diffuse emissies en stofhinder en het doelmatig verspreiden van emissies naar de buitenlucht, voldaan aan de bij ministeriële regeling gestelde eisen.</w:t>
      </w:r>
    </w:p>
    <w:p w:rsidR="00296032" w:rsidRPr="00296032" w:rsidRDefault="00296032">
      <w:pPr>
        <w:pStyle w:val="artikelkop"/>
      </w:pPr>
      <w:r w:rsidRPr="00296032">
        <w:t>Artikel 3.144</w:t>
      </w:r>
    </w:p>
    <w:p w:rsidR="00296032" w:rsidRPr="00620047" w:rsidRDefault="00296032">
      <w:pPr>
        <w:pStyle w:val="art1enivo"/>
      </w:pPr>
      <w:r w:rsidRPr="00620047">
        <w:t>1.</w:t>
      </w:r>
      <w:r w:rsidRPr="00620047">
        <w:tab/>
        <w:t>Bij het schieten op een binnenschietbaan wordt ten behoeve van:</w:t>
      </w:r>
    </w:p>
    <w:p w:rsidR="00296032" w:rsidRPr="00620047" w:rsidRDefault="00296032">
      <w:pPr>
        <w:pStyle w:val="art2enivo"/>
      </w:pPr>
      <w:r w:rsidRPr="00620047">
        <w:t>a.</w:t>
      </w:r>
      <w:r w:rsidRPr="00620047">
        <w:tab/>
        <w:t>het voorkomen van risico's voor de omgeving en ongewone voorvallen, dan wel voor zover dat niet mogelijk is het zoveel mogelijk beperken van de risico's voor de omgeving en de kans dat ongewone voorvallen zich voordoen en de gevolgen hiervan, of</w:t>
      </w:r>
    </w:p>
    <w:p w:rsidR="00296032" w:rsidRPr="00620047" w:rsidRDefault="00296032">
      <w:pPr>
        <w:pStyle w:val="art2enivo"/>
      </w:pPr>
      <w:r w:rsidRPr="00620047">
        <w:t>b.</w:t>
      </w:r>
      <w:r w:rsidRPr="00620047">
        <w:tab/>
        <w:t>het voorkomen dan wel, voor zover dat niet mogelijk is, het zoveel mogelijk beperken van bodemverontreiniging;</w:t>
      </w:r>
    </w:p>
    <w:p w:rsidR="00296032" w:rsidRPr="00620047" w:rsidRDefault="00296032">
      <w:pPr>
        <w:pStyle w:val="art2enivo"/>
      </w:pPr>
      <w:r w:rsidRPr="00620047">
        <w:t>ten minste voldaan aan de bij ministeriële regeling gestelde eisen.</w:t>
      </w:r>
    </w:p>
    <w:p w:rsidR="00296032" w:rsidRDefault="00296032">
      <w:pPr>
        <w:pStyle w:val="art1enivo"/>
      </w:pPr>
      <w:r w:rsidRPr="00620047">
        <w:t>2.</w:t>
      </w:r>
      <w:r w:rsidRPr="00620047">
        <w:tab/>
        <w:t>Voor de bepaling van het langtijdgemiddelde beoordelingsniveau (L</w:t>
      </w:r>
      <w:r w:rsidRPr="00620047">
        <w:rPr>
          <w:vertAlign w:val="subscript"/>
        </w:rPr>
        <w:t>ar,LT</w:t>
      </w:r>
      <w:r w:rsidRPr="00620047">
        <w:t>) en het maximaal geluidniveau L</w:t>
      </w:r>
      <w:r w:rsidRPr="00620047">
        <w:rPr>
          <w:vertAlign w:val="subscript"/>
        </w:rPr>
        <w:t>amax</w:t>
      </w:r>
      <w:r w:rsidRPr="00620047">
        <w:t>, veroorzaakt door een inrichting met een binnenschietbaan, wordt voldaan aan bij ministeriële regeling gestelde eisen.</w:t>
      </w:r>
    </w:p>
    <w:p w:rsidR="00286455" w:rsidRDefault="00286455" w:rsidP="00286455"/>
    <w:p w:rsidR="00286455" w:rsidRDefault="00286455" w:rsidP="00286455">
      <w:pPr>
        <w:pStyle w:val="paragraaf"/>
        <w:shd w:val="clear" w:color="auto" w:fill="D9D9D9" w:themeFill="background1" w:themeFillShade="D9"/>
      </w:pPr>
      <w:bookmarkStart w:id="156" w:name="_Toc431375648"/>
      <w:r>
        <w:t>§ 3.7.1.</w:t>
      </w:r>
      <w:r>
        <w:tab/>
        <w:t>Binnenschietbanen</w:t>
      </w:r>
      <w:bookmarkEnd w:id="156"/>
    </w:p>
    <w:p w:rsidR="00286455" w:rsidRDefault="00286455" w:rsidP="00286455">
      <w:pPr>
        <w:pStyle w:val="artikelkop"/>
        <w:shd w:val="clear" w:color="auto" w:fill="D9D9D9" w:themeFill="background1" w:themeFillShade="D9"/>
      </w:pPr>
      <w:r>
        <w:t xml:space="preserve">Artikel 3.108 </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als bedoeld in artikel 3.143 van het besluit, wordt stofklasse S dat vrijkomt bij het schieten op een binnenschietbaan, voor zover dat redelijkerwijs mogelijk is, doelmatig afgezogen.</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als bedoeld in artikel 3.143 van het besluit, worden de afgezogen emissies die vrijkomen bij het schieten op een binnenschietbaan 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en  maatwerkvoorschriften stellen aan de ligging en uitvoering van het afvoerpunt van de emissies naar de buitenlucht, bedoeld in het tweede lid.</w:t>
      </w:r>
    </w:p>
    <w:p w:rsidR="00286455" w:rsidRDefault="00286455" w:rsidP="00286455">
      <w:pPr>
        <w:pStyle w:val="artikelkop"/>
        <w:shd w:val="clear" w:color="auto" w:fill="D9D9D9" w:themeFill="background1" w:themeFillShade="D9"/>
      </w:pPr>
      <w:r>
        <w:t xml:space="preserve">Artikel 3.109 </w:t>
      </w:r>
    </w:p>
    <w:p w:rsidR="00286455" w:rsidRDefault="00286455" w:rsidP="00286455">
      <w:pPr>
        <w:pStyle w:val="artplat"/>
        <w:shd w:val="clear" w:color="auto" w:fill="D9D9D9" w:themeFill="background1" w:themeFillShade="D9"/>
        <w:suppressAutoHyphens/>
        <w:rPr>
          <w:rFonts w:cs="Arial"/>
        </w:rPr>
      </w:pPr>
      <w:r>
        <w:rPr>
          <w:rFonts w:cs="Arial"/>
        </w:rPr>
        <w:t>Aan artikel 3.143, eerste lid, van het besluit wordt in ieder geval voldaan indien:</w:t>
      </w:r>
    </w:p>
    <w:p w:rsidR="00286455" w:rsidRDefault="00286455" w:rsidP="00286455">
      <w:pPr>
        <w:pStyle w:val="artplatletter"/>
        <w:shd w:val="clear" w:color="auto" w:fill="D9D9D9" w:themeFill="background1" w:themeFillShade="D9"/>
        <w:suppressAutoHyphens/>
        <w:rPr>
          <w:rFonts w:cs="Arial"/>
        </w:rPr>
      </w:pPr>
      <w:r>
        <w:rPr>
          <w:rFonts w:cs="Arial"/>
        </w:rPr>
        <w:t>a.</w:t>
      </w:r>
      <w:r>
        <w:rPr>
          <w:rFonts w:cs="Arial"/>
        </w:rPr>
        <w:tab/>
        <w:t>de afgezogen stofemissies die vrijkomen bij het schieten op een binnenschietbaan worden gevoerd door een filtrerende afscheider die geschikt is om aan artikel 3.143, eerste lid, van het besluit te voldoen, en</w:t>
      </w:r>
    </w:p>
    <w:p w:rsidR="00286455" w:rsidRDefault="00286455" w:rsidP="00286455">
      <w:pPr>
        <w:pStyle w:val="artplatletter"/>
        <w:shd w:val="clear" w:color="auto" w:fill="D9D9D9" w:themeFill="background1" w:themeFillShade="D9"/>
        <w:suppressAutoHyphens/>
        <w:rPr>
          <w:rFonts w:cs="Arial"/>
        </w:rPr>
      </w:pPr>
      <w:r>
        <w:rPr>
          <w:rFonts w:cs="Arial"/>
        </w:rPr>
        <w:t>b.</w:t>
      </w:r>
      <w:r>
        <w:rPr>
          <w:rFonts w:cs="Arial"/>
        </w:rPr>
        <w:tab/>
        <w:t>die filtrerende afscheider in goede staat van onderhoud verkeert, periodiek gecontroleerd wordt en zo vaak als voor de goede werking nodig is, wordt schoongemaakt en vervangen.</w:t>
      </w:r>
    </w:p>
    <w:p w:rsidR="00286455" w:rsidRDefault="00286455" w:rsidP="00286455">
      <w:pPr>
        <w:pStyle w:val="artikelkop"/>
        <w:shd w:val="clear" w:color="auto" w:fill="D9D9D9" w:themeFill="background1" w:themeFillShade="D9"/>
      </w:pPr>
      <w:r>
        <w:t xml:space="preserve">Artikel 3.110 </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3.144, aanhef en onder a, van het besluit, wordt bij het schieten op een binnenschietbaan ten minste voldaan aan het tweede en derde lid.</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De constructie van een binnenschietbaan voldoet ten minste aan de in tabel 3.110 aangegeven maatvoering.</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Een binnenschietbaan heeft een doelmatige kogelvanger die ten minste voldoet aan de in tabel 3.110 aangegeven maatvoering.</w:t>
      </w:r>
    </w:p>
    <w:p w:rsidR="00286455" w:rsidRDefault="00286455" w:rsidP="00286455">
      <w:pPr>
        <w:pStyle w:val="art1enivo"/>
        <w:shd w:val="clear" w:color="auto" w:fill="D9D9D9" w:themeFill="background1" w:themeFillShade="D9"/>
        <w:suppressAutoHyphens/>
        <w:rPr>
          <w:rFonts w:cs="Arial"/>
        </w:rPr>
      </w:pPr>
      <w:r>
        <w:rPr>
          <w:rFonts w:cs="Arial"/>
        </w:rPr>
        <w:t>4.</w:t>
      </w:r>
      <w:r>
        <w:rPr>
          <w:rFonts w:cs="Arial"/>
        </w:rPr>
        <w:tab/>
        <w:t>Het bevoegd gezag kan in het belang van de veiligheid voor de omgeving maatwerkvoorschriften stellen aan de uitvoering van de constructie en kogelvanger, bedoeld in het tweede en derde lid.</w:t>
      </w:r>
    </w:p>
    <w:p w:rsidR="00286455" w:rsidRDefault="00286455" w:rsidP="00286455">
      <w:pPr>
        <w:pStyle w:val="tabelkop"/>
        <w:shd w:val="clear" w:color="auto" w:fill="D9D9D9" w:themeFill="background1" w:themeFillShade="D9"/>
      </w:pPr>
      <w:r>
        <w:t>Tabel 3.110</w:t>
      </w:r>
    </w:p>
    <w:p w:rsidR="00286455" w:rsidRDefault="00286455" w:rsidP="00286455">
      <w:pPr>
        <w:shd w:val="clear" w:color="auto" w:fill="D9D9D9" w:themeFill="background1" w:themeFillShade="D9"/>
        <w:suppressAutoHyphens/>
        <w:rPr>
          <w:rFonts w:cs="Arial"/>
        </w:rPr>
      </w:pPr>
    </w:p>
    <w:tbl>
      <w:tblPr>
        <w:tblW w:w="9129"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6" w:space="0" w:color="7F7F7F" w:themeColor="text1" w:themeTint="80"/>
          <w:insideV w:val="single" w:sz="6" w:space="0" w:color="7F7F7F" w:themeColor="text1" w:themeTint="80"/>
        </w:tblBorders>
        <w:tblCellMar>
          <w:top w:w="57" w:type="dxa"/>
          <w:left w:w="57" w:type="dxa"/>
          <w:bottom w:w="57" w:type="dxa"/>
          <w:right w:w="57" w:type="dxa"/>
        </w:tblCellMar>
        <w:tblLook w:val="04A0" w:firstRow="1" w:lastRow="0" w:firstColumn="1" w:lastColumn="0" w:noHBand="0" w:noVBand="1"/>
      </w:tblPr>
      <w:tblGrid>
        <w:gridCol w:w="1900"/>
        <w:gridCol w:w="2409"/>
        <w:gridCol w:w="2410"/>
        <w:gridCol w:w="2410"/>
      </w:tblGrid>
      <w:tr w:rsidR="00286455">
        <w:trPr>
          <w:cantSplit/>
        </w:trPr>
        <w:tc>
          <w:tcPr>
            <w:tcW w:w="1900" w:type="dxa"/>
            <w:tcBorders>
              <w:top w:val="single" w:sz="8"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shd w:val="clear" w:color="auto" w:fill="D9D9D9" w:themeFill="background1" w:themeFillShade="D9"/>
          </w:tcPr>
          <w:p w:rsidR="00286455" w:rsidRDefault="00286455" w:rsidP="00286455">
            <w:pPr>
              <w:shd w:val="clear" w:color="auto" w:fill="D9D9D9" w:themeFill="background1" w:themeFillShade="D9"/>
              <w:suppressAutoHyphens/>
              <w:rPr>
                <w:rFonts w:cs="Arial"/>
                <w:b/>
                <w:sz w:val="16"/>
                <w:szCs w:val="16"/>
              </w:rPr>
            </w:pPr>
          </w:p>
        </w:tc>
        <w:tc>
          <w:tcPr>
            <w:tcW w:w="2409" w:type="dxa"/>
            <w:tcBorders>
              <w:top w:val="single" w:sz="8"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D9D9D9" w:themeFill="background1" w:themeFillShade="D9"/>
            <w:hideMark/>
          </w:tcPr>
          <w:p w:rsidR="00286455" w:rsidRDefault="00286455" w:rsidP="00286455">
            <w:pPr>
              <w:shd w:val="clear" w:color="auto" w:fill="D9D9D9" w:themeFill="background1" w:themeFillShade="D9"/>
              <w:suppressAutoHyphens/>
              <w:rPr>
                <w:rFonts w:cs="Arial"/>
                <w:b/>
                <w:sz w:val="16"/>
                <w:szCs w:val="16"/>
              </w:rPr>
            </w:pPr>
            <w:r>
              <w:rPr>
                <w:rFonts w:cs="Arial"/>
                <w:b/>
                <w:sz w:val="16"/>
                <w:szCs w:val="16"/>
              </w:rPr>
              <w:t>wapens met een kaliber tot en met .22</w:t>
            </w:r>
          </w:p>
        </w:tc>
        <w:tc>
          <w:tcPr>
            <w:tcW w:w="2410" w:type="dxa"/>
            <w:tcBorders>
              <w:top w:val="single" w:sz="8"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D9D9D9" w:themeFill="background1" w:themeFillShade="D9"/>
            <w:hideMark/>
          </w:tcPr>
          <w:p w:rsidR="00286455" w:rsidRDefault="00286455" w:rsidP="00286455">
            <w:pPr>
              <w:shd w:val="clear" w:color="auto" w:fill="D9D9D9" w:themeFill="background1" w:themeFillShade="D9"/>
              <w:suppressAutoHyphens/>
              <w:rPr>
                <w:rFonts w:cs="Arial"/>
                <w:b/>
                <w:sz w:val="16"/>
                <w:szCs w:val="16"/>
              </w:rPr>
            </w:pPr>
            <w:r>
              <w:rPr>
                <w:rFonts w:cs="Arial"/>
                <w:b/>
                <w:sz w:val="16"/>
                <w:szCs w:val="16"/>
              </w:rPr>
              <w:t>vuistvuurwapens met een kaliber tot .50 en overige vuurwapens voorzien van pistoolmunitie</w:t>
            </w:r>
          </w:p>
        </w:tc>
        <w:tc>
          <w:tcPr>
            <w:tcW w:w="2410" w:type="dxa"/>
            <w:tcBorders>
              <w:top w:val="single" w:sz="8"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shd w:val="clear" w:color="auto" w:fill="D9D9D9" w:themeFill="background1" w:themeFillShade="D9"/>
            <w:hideMark/>
          </w:tcPr>
          <w:p w:rsidR="00286455" w:rsidRDefault="00286455" w:rsidP="00286455">
            <w:pPr>
              <w:shd w:val="clear" w:color="auto" w:fill="D9D9D9" w:themeFill="background1" w:themeFillShade="D9"/>
              <w:suppressAutoHyphens/>
              <w:rPr>
                <w:rFonts w:cs="Arial"/>
                <w:b/>
                <w:sz w:val="16"/>
                <w:szCs w:val="16"/>
              </w:rPr>
            </w:pPr>
            <w:r>
              <w:rPr>
                <w:rFonts w:cs="Arial"/>
                <w:b/>
                <w:sz w:val="16"/>
                <w:szCs w:val="16"/>
              </w:rPr>
              <w:t>schoudervuurwapens met een kaliber tot .50</w:t>
            </w:r>
          </w:p>
        </w:tc>
      </w:tr>
      <w:tr w:rsidR="00286455" w:rsidRPr="00FE5362">
        <w:trPr>
          <w:cantSplit/>
        </w:trPr>
        <w:tc>
          <w:tcPr>
            <w:tcW w:w="1900" w:type="dxa"/>
            <w:tcBorders>
              <w:top w:val="single" w:sz="6"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plafond/dak</w:t>
            </w:r>
          </w:p>
        </w:tc>
        <w:tc>
          <w:tcPr>
            <w:tcW w:w="24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lang w:val="en-US"/>
              </w:rPr>
            </w:pPr>
            <w:r>
              <w:rPr>
                <w:rFonts w:cs="Arial"/>
                <w:sz w:val="16"/>
                <w:szCs w:val="16"/>
                <w:lang w:val="en-US"/>
              </w:rPr>
              <w:t>50 mm beton</w:t>
            </w:r>
          </w:p>
          <w:p w:rsidR="00286455" w:rsidRDefault="00286455" w:rsidP="00286455">
            <w:pPr>
              <w:shd w:val="clear" w:color="auto" w:fill="D9D9D9" w:themeFill="background1" w:themeFillShade="D9"/>
              <w:suppressAutoHyphens/>
              <w:rPr>
                <w:rFonts w:cs="Arial"/>
                <w:sz w:val="16"/>
                <w:szCs w:val="16"/>
                <w:lang w:val="en-US"/>
              </w:rPr>
            </w:pPr>
            <w:r>
              <w:rPr>
                <w:rFonts w:cs="Arial"/>
                <w:sz w:val="16"/>
                <w:szCs w:val="16"/>
                <w:lang w:val="en-US"/>
              </w:rPr>
              <w:t>of 100 mm gasbeton</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lang w:val="en-US"/>
              </w:rPr>
            </w:pPr>
            <w:r>
              <w:rPr>
                <w:rFonts w:cs="Arial"/>
                <w:sz w:val="16"/>
                <w:szCs w:val="16"/>
                <w:lang w:val="en-US"/>
              </w:rPr>
              <w:t>100 mm beton</w:t>
            </w:r>
          </w:p>
          <w:p w:rsidR="00286455" w:rsidRDefault="00286455" w:rsidP="00286455">
            <w:pPr>
              <w:shd w:val="clear" w:color="auto" w:fill="D9D9D9" w:themeFill="background1" w:themeFillShade="D9"/>
              <w:suppressAutoHyphens/>
              <w:rPr>
                <w:rFonts w:cs="Arial"/>
                <w:sz w:val="16"/>
                <w:szCs w:val="16"/>
                <w:lang w:val="en-US"/>
              </w:rPr>
            </w:pPr>
            <w:r>
              <w:rPr>
                <w:rFonts w:cs="Arial"/>
                <w:sz w:val="16"/>
                <w:szCs w:val="16"/>
                <w:lang w:val="en-US"/>
              </w:rPr>
              <w:t>of 150 mm gasbeton</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lang w:val="en-US"/>
              </w:rPr>
            </w:pPr>
            <w:r>
              <w:rPr>
                <w:rFonts w:cs="Arial"/>
                <w:sz w:val="16"/>
                <w:szCs w:val="16"/>
                <w:lang w:val="en-US"/>
              </w:rPr>
              <w:t>200 mm beton</w:t>
            </w:r>
          </w:p>
          <w:p w:rsidR="00286455" w:rsidRDefault="00286455" w:rsidP="00286455">
            <w:pPr>
              <w:shd w:val="clear" w:color="auto" w:fill="D9D9D9" w:themeFill="background1" w:themeFillShade="D9"/>
              <w:suppressAutoHyphens/>
              <w:rPr>
                <w:rFonts w:cs="Arial"/>
                <w:sz w:val="16"/>
                <w:szCs w:val="16"/>
                <w:lang w:val="en-US"/>
              </w:rPr>
            </w:pPr>
            <w:r>
              <w:rPr>
                <w:rFonts w:cs="Arial"/>
                <w:sz w:val="16"/>
                <w:szCs w:val="16"/>
                <w:lang w:val="en-US"/>
              </w:rPr>
              <w:t>of 150 mm gasbeton</w:t>
            </w:r>
          </w:p>
        </w:tc>
      </w:tr>
      <w:tr w:rsidR="00286455">
        <w:trPr>
          <w:cantSplit/>
        </w:trPr>
        <w:tc>
          <w:tcPr>
            <w:tcW w:w="1900" w:type="dxa"/>
            <w:tcBorders>
              <w:top w:val="single" w:sz="6"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zijwanden</w:t>
            </w:r>
          </w:p>
        </w:tc>
        <w:tc>
          <w:tcPr>
            <w:tcW w:w="24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100 mm metselwerk of kalkzandsteen</w:t>
            </w:r>
          </w:p>
          <w:p w:rsidR="00286455" w:rsidRDefault="00286455" w:rsidP="00286455">
            <w:pPr>
              <w:shd w:val="clear" w:color="auto" w:fill="D9D9D9" w:themeFill="background1" w:themeFillShade="D9"/>
              <w:suppressAutoHyphens/>
              <w:rPr>
                <w:rFonts w:cs="Arial"/>
                <w:sz w:val="16"/>
                <w:szCs w:val="16"/>
              </w:rPr>
            </w:pPr>
            <w:r>
              <w:rPr>
                <w:rFonts w:cs="Arial"/>
                <w:sz w:val="16"/>
                <w:szCs w:val="16"/>
              </w:rPr>
              <w:t>of 50 mm beton</w:t>
            </w:r>
          </w:p>
          <w:p w:rsidR="00286455" w:rsidRDefault="00286455" w:rsidP="00286455">
            <w:pPr>
              <w:shd w:val="clear" w:color="auto" w:fill="D9D9D9" w:themeFill="background1" w:themeFillShade="D9"/>
              <w:suppressAutoHyphens/>
              <w:rPr>
                <w:rFonts w:cs="Arial"/>
                <w:sz w:val="16"/>
                <w:szCs w:val="16"/>
              </w:rPr>
            </w:pPr>
            <w:r>
              <w:rPr>
                <w:rFonts w:cs="Arial"/>
                <w:sz w:val="16"/>
                <w:szCs w:val="16"/>
              </w:rPr>
              <w:t>of 100 mm gasbeton</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100 mm metselwerk of kalkzandsteen</w:t>
            </w:r>
          </w:p>
          <w:p w:rsidR="00286455" w:rsidRDefault="00286455" w:rsidP="00286455">
            <w:pPr>
              <w:shd w:val="clear" w:color="auto" w:fill="D9D9D9" w:themeFill="background1" w:themeFillShade="D9"/>
              <w:suppressAutoHyphens/>
              <w:rPr>
                <w:rFonts w:cs="Arial"/>
                <w:sz w:val="16"/>
                <w:szCs w:val="16"/>
              </w:rPr>
            </w:pPr>
            <w:r>
              <w:rPr>
                <w:rFonts w:cs="Arial"/>
                <w:sz w:val="16"/>
                <w:szCs w:val="16"/>
              </w:rPr>
              <w:t>of 100 mm beton</w:t>
            </w:r>
          </w:p>
          <w:p w:rsidR="00286455" w:rsidRDefault="00286455" w:rsidP="00286455">
            <w:pPr>
              <w:shd w:val="clear" w:color="auto" w:fill="D9D9D9" w:themeFill="background1" w:themeFillShade="D9"/>
              <w:suppressAutoHyphens/>
              <w:rPr>
                <w:rFonts w:cs="Arial"/>
                <w:sz w:val="16"/>
                <w:szCs w:val="16"/>
              </w:rPr>
            </w:pPr>
            <w:r>
              <w:rPr>
                <w:rFonts w:cs="Arial"/>
                <w:sz w:val="16"/>
                <w:szCs w:val="16"/>
              </w:rPr>
              <w:t>of 150 mm gasbeton</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200 mm metselwerk of kalkzandsteen</w:t>
            </w:r>
          </w:p>
          <w:p w:rsidR="00286455" w:rsidRDefault="00286455" w:rsidP="00286455">
            <w:pPr>
              <w:shd w:val="clear" w:color="auto" w:fill="D9D9D9" w:themeFill="background1" w:themeFillShade="D9"/>
              <w:suppressAutoHyphens/>
              <w:rPr>
                <w:rFonts w:cs="Arial"/>
                <w:sz w:val="16"/>
                <w:szCs w:val="16"/>
              </w:rPr>
            </w:pPr>
            <w:r>
              <w:rPr>
                <w:rFonts w:cs="Arial"/>
                <w:sz w:val="16"/>
                <w:szCs w:val="16"/>
              </w:rPr>
              <w:t>of 200 mm beton</w:t>
            </w:r>
          </w:p>
          <w:p w:rsidR="00286455" w:rsidRDefault="00286455" w:rsidP="00286455">
            <w:pPr>
              <w:shd w:val="clear" w:color="auto" w:fill="D9D9D9" w:themeFill="background1" w:themeFillShade="D9"/>
              <w:suppressAutoHyphens/>
              <w:rPr>
                <w:rFonts w:cs="Arial"/>
                <w:sz w:val="16"/>
                <w:szCs w:val="16"/>
              </w:rPr>
            </w:pPr>
            <w:r>
              <w:rPr>
                <w:rFonts w:cs="Arial"/>
                <w:sz w:val="16"/>
                <w:szCs w:val="16"/>
              </w:rPr>
              <w:t>of 150 mm gasbeton</w:t>
            </w:r>
          </w:p>
        </w:tc>
      </w:tr>
      <w:tr w:rsidR="00286455">
        <w:trPr>
          <w:cantSplit/>
        </w:trPr>
        <w:tc>
          <w:tcPr>
            <w:tcW w:w="1900" w:type="dxa"/>
            <w:tcBorders>
              <w:top w:val="single" w:sz="6"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achterwand</w:t>
            </w:r>
          </w:p>
        </w:tc>
        <w:tc>
          <w:tcPr>
            <w:tcW w:w="24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 xml:space="preserve">100 mm metselwerk of kalkzandsteen </w:t>
            </w:r>
          </w:p>
          <w:p w:rsidR="00286455" w:rsidRDefault="00286455" w:rsidP="00286455">
            <w:pPr>
              <w:shd w:val="clear" w:color="auto" w:fill="D9D9D9" w:themeFill="background1" w:themeFillShade="D9"/>
              <w:suppressAutoHyphens/>
              <w:rPr>
                <w:rFonts w:cs="Arial"/>
                <w:sz w:val="16"/>
                <w:szCs w:val="16"/>
              </w:rPr>
            </w:pPr>
            <w:r>
              <w:rPr>
                <w:rFonts w:cs="Arial"/>
                <w:sz w:val="16"/>
                <w:szCs w:val="16"/>
              </w:rPr>
              <w:t>of 75 mm beton</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 xml:space="preserve">200 mm metselwerk of kalkzandsteen of </w:t>
            </w:r>
          </w:p>
          <w:p w:rsidR="00286455" w:rsidRDefault="00286455" w:rsidP="00286455">
            <w:pPr>
              <w:shd w:val="clear" w:color="auto" w:fill="D9D9D9" w:themeFill="background1" w:themeFillShade="D9"/>
              <w:suppressAutoHyphens/>
              <w:rPr>
                <w:rFonts w:cs="Arial"/>
                <w:sz w:val="16"/>
                <w:szCs w:val="16"/>
              </w:rPr>
            </w:pPr>
            <w:r>
              <w:rPr>
                <w:rFonts w:cs="Arial"/>
                <w:sz w:val="16"/>
                <w:szCs w:val="16"/>
              </w:rPr>
              <w:t>100 mm beton</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200 mm metselwerk of kalkzandsteen</w:t>
            </w:r>
          </w:p>
          <w:p w:rsidR="00286455" w:rsidRDefault="00286455" w:rsidP="00286455">
            <w:pPr>
              <w:shd w:val="clear" w:color="auto" w:fill="D9D9D9" w:themeFill="background1" w:themeFillShade="D9"/>
              <w:suppressAutoHyphens/>
              <w:rPr>
                <w:rFonts w:cs="Arial"/>
                <w:sz w:val="16"/>
                <w:szCs w:val="16"/>
              </w:rPr>
            </w:pPr>
            <w:r>
              <w:rPr>
                <w:rFonts w:cs="Arial"/>
                <w:sz w:val="16"/>
                <w:szCs w:val="16"/>
              </w:rPr>
              <w:t>of 200 mm beton</w:t>
            </w:r>
          </w:p>
        </w:tc>
      </w:tr>
      <w:tr w:rsidR="00286455">
        <w:trPr>
          <w:cantSplit/>
        </w:trPr>
        <w:tc>
          <w:tcPr>
            <w:tcW w:w="1900" w:type="dxa"/>
            <w:tcBorders>
              <w:top w:val="single" w:sz="6"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 xml:space="preserve">bescherming wanden en plafond ter plaatse van het schietpunt </w:t>
            </w:r>
          </w:p>
        </w:tc>
        <w:tc>
          <w:tcPr>
            <w:tcW w:w="24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vurenhout 20 mm of cementvezelplaat 25 mm op regels 25 mm</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vurenhout 25 mm of cementvezelplaat 50 mm op regels 30 mm</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vurenhout 25 mm of cementvezelplaat 50 mm op regels 30 mm</w:t>
            </w:r>
          </w:p>
        </w:tc>
      </w:tr>
      <w:tr w:rsidR="00286455">
        <w:trPr>
          <w:cantSplit/>
        </w:trPr>
        <w:tc>
          <w:tcPr>
            <w:tcW w:w="1900" w:type="dxa"/>
            <w:tcBorders>
              <w:top w:val="single" w:sz="6"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baanzool (indien en voor zover verhard)</w:t>
            </w:r>
          </w:p>
        </w:tc>
        <w:tc>
          <w:tcPr>
            <w:tcW w:w="24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 xml:space="preserve">50 mm beton met afwerking cementvloer of plastisch materiaal </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100 mm beton met afwerking cementvloer of plastisch materiaal</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100 mm beton met afwerking cementvloer of plastisch materiaal</w:t>
            </w:r>
          </w:p>
        </w:tc>
      </w:tr>
      <w:tr w:rsidR="00286455">
        <w:trPr>
          <w:cantSplit/>
          <w:trHeight w:val="542"/>
        </w:trPr>
        <w:tc>
          <w:tcPr>
            <w:tcW w:w="1900" w:type="dxa"/>
            <w:tcBorders>
              <w:top w:val="single" w:sz="6"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baanzool (indien en voor zover onverhard)</w:t>
            </w:r>
          </w:p>
        </w:tc>
        <w:tc>
          <w:tcPr>
            <w:tcW w:w="24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vlak zand, zonder harde bestanddelen met afmetingen groter dan 3 mm</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vlak zand, zonder harde bestanddelen met afmetingen groter dan 3 mm</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vlak zand, zonder harde bestanddelen met afmetingen groter dan 3 mm</w:t>
            </w:r>
          </w:p>
        </w:tc>
      </w:tr>
      <w:tr w:rsidR="00286455">
        <w:trPr>
          <w:cantSplit/>
        </w:trPr>
        <w:tc>
          <w:tcPr>
            <w:tcW w:w="1900" w:type="dxa"/>
            <w:tcBorders>
              <w:top w:val="single" w:sz="6"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bescherming aanschietbare delen</w:t>
            </w:r>
          </w:p>
        </w:tc>
        <w:tc>
          <w:tcPr>
            <w:tcW w:w="24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vurenhout 20 mm op regels 25 mm</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vurenhout 25 mm op regels 30 mm</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vurenhout 25 mm op regels 30 mm</w:t>
            </w:r>
          </w:p>
        </w:tc>
      </w:tr>
      <w:tr w:rsidR="00286455">
        <w:trPr>
          <w:cantSplit/>
        </w:trPr>
        <w:tc>
          <w:tcPr>
            <w:tcW w:w="1900" w:type="dxa"/>
            <w:tcBorders>
              <w:top w:val="single" w:sz="6"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rooster ventilatie-opening</w:t>
            </w:r>
          </w:p>
        </w:tc>
        <w:tc>
          <w:tcPr>
            <w:tcW w:w="24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staalplaat 3 mm</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staalplaat 6 mm</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staalplaat 10 mm</w:t>
            </w:r>
          </w:p>
        </w:tc>
      </w:tr>
      <w:tr w:rsidR="00286455">
        <w:trPr>
          <w:cantSplit/>
        </w:trPr>
        <w:tc>
          <w:tcPr>
            <w:tcW w:w="1900" w:type="dxa"/>
            <w:tcBorders>
              <w:top w:val="single" w:sz="6"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 xml:space="preserve">zandkogelvanger </w:t>
            </w:r>
          </w:p>
        </w:tc>
        <w:tc>
          <w:tcPr>
            <w:tcW w:w="24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Helling 34 graden met horizontaal; nabij plafond 0,75 m diepte</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Helling 34 graden met horizontaal; nabij plafond 1,0 m diepte</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Helling 34 graden met horizontaal; nabij plafond 1,2 m diepte</w:t>
            </w:r>
          </w:p>
        </w:tc>
      </w:tr>
      <w:tr w:rsidR="00286455">
        <w:trPr>
          <w:cantSplit/>
        </w:trPr>
        <w:tc>
          <w:tcPr>
            <w:tcW w:w="1900" w:type="dxa"/>
            <w:tcBorders>
              <w:top w:val="single" w:sz="6" w:space="0" w:color="7F7F7F" w:themeColor="text1" w:themeTint="80"/>
              <w:left w:val="single" w:sz="8" w:space="0" w:color="7F7F7F" w:themeColor="text1" w:themeTint="80"/>
              <w:bottom w:val="single" w:sz="6" w:space="0" w:color="7F7F7F" w:themeColor="text1" w:themeTint="80"/>
              <w:right w:val="single" w:sz="6" w:space="0" w:color="7F7F7F" w:themeColor="text1" w:themeTint="80"/>
            </w:tcBorders>
            <w:shd w:val="clear" w:color="auto" w:fill="FFFFFF"/>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 xml:space="preserve">stalen kogelvanger </w:t>
            </w:r>
          </w:p>
        </w:tc>
        <w:tc>
          <w:tcPr>
            <w:tcW w:w="240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staalplaat trefvlak 5 mm dik</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staalplaat trefvlak 12 mm dik</w:t>
            </w:r>
          </w:p>
        </w:tc>
        <w:tc>
          <w:tcPr>
            <w:tcW w:w="2410" w:type="dxa"/>
            <w:tcBorders>
              <w:top w:val="single" w:sz="6" w:space="0" w:color="7F7F7F" w:themeColor="text1" w:themeTint="80"/>
              <w:left w:val="single" w:sz="6" w:space="0" w:color="7F7F7F" w:themeColor="text1" w:themeTint="80"/>
              <w:bottom w:val="single" w:sz="6" w:space="0" w:color="7F7F7F" w:themeColor="text1" w:themeTint="80"/>
              <w:right w:val="single" w:sz="8" w:space="0" w:color="7F7F7F" w:themeColor="text1" w:themeTint="80"/>
            </w:tcBorders>
            <w:shd w:val="clear" w:color="auto" w:fill="FFFFFF"/>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 xml:space="preserve">----- </w:t>
            </w:r>
          </w:p>
        </w:tc>
      </w:tr>
      <w:tr w:rsidR="00286455">
        <w:trPr>
          <w:cantSplit/>
        </w:trPr>
        <w:tc>
          <w:tcPr>
            <w:tcW w:w="1900" w:type="dxa"/>
            <w:tcBorders>
              <w:top w:val="single" w:sz="6" w:space="0" w:color="7F7F7F" w:themeColor="text1" w:themeTint="80"/>
              <w:left w:val="single" w:sz="8" w:space="0" w:color="7F7F7F" w:themeColor="text1" w:themeTint="80"/>
              <w:bottom w:val="single" w:sz="8"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 xml:space="preserve">kunststof kogelvanger </w:t>
            </w:r>
          </w:p>
        </w:tc>
        <w:tc>
          <w:tcPr>
            <w:tcW w:w="2409" w:type="dxa"/>
            <w:tcBorders>
              <w:top w:val="single" w:sz="6" w:space="0" w:color="7F7F7F" w:themeColor="text1" w:themeTint="80"/>
              <w:left w:val="single" w:sz="6" w:space="0" w:color="7F7F7F" w:themeColor="text1" w:themeTint="80"/>
              <w:bottom w:val="single" w:sz="8"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diepte 0,30 m</w:t>
            </w:r>
          </w:p>
        </w:tc>
        <w:tc>
          <w:tcPr>
            <w:tcW w:w="2410" w:type="dxa"/>
            <w:tcBorders>
              <w:top w:val="single" w:sz="6" w:space="0" w:color="7F7F7F" w:themeColor="text1" w:themeTint="80"/>
              <w:left w:val="single" w:sz="6" w:space="0" w:color="7F7F7F" w:themeColor="text1" w:themeTint="80"/>
              <w:bottom w:val="single" w:sz="8" w:space="0" w:color="7F7F7F" w:themeColor="text1" w:themeTint="80"/>
              <w:right w:val="single" w:sz="6"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diepte 0,50 m</w:t>
            </w:r>
          </w:p>
        </w:tc>
        <w:tc>
          <w:tcPr>
            <w:tcW w:w="2410" w:type="dxa"/>
            <w:tcBorders>
              <w:top w:val="single" w:sz="6" w:space="0" w:color="7F7F7F" w:themeColor="text1" w:themeTint="80"/>
              <w:left w:val="single" w:sz="6" w:space="0" w:color="7F7F7F" w:themeColor="text1" w:themeTint="80"/>
              <w:bottom w:val="single" w:sz="8" w:space="0" w:color="7F7F7F" w:themeColor="text1" w:themeTint="80"/>
              <w:right w:val="single" w:sz="8" w:space="0" w:color="7F7F7F" w:themeColor="text1" w:themeTint="80"/>
            </w:tcBorders>
            <w:hideMark/>
          </w:tcPr>
          <w:p w:rsidR="00286455" w:rsidRDefault="00286455" w:rsidP="00286455">
            <w:pPr>
              <w:shd w:val="clear" w:color="auto" w:fill="D9D9D9" w:themeFill="background1" w:themeFillShade="D9"/>
              <w:suppressAutoHyphens/>
              <w:rPr>
                <w:rFonts w:cs="Arial"/>
                <w:sz w:val="16"/>
                <w:szCs w:val="16"/>
              </w:rPr>
            </w:pPr>
            <w:r>
              <w:rPr>
                <w:rFonts w:cs="Arial"/>
                <w:sz w:val="16"/>
                <w:szCs w:val="16"/>
              </w:rPr>
              <w:t>diepte 0,90 m.</w:t>
            </w:r>
          </w:p>
        </w:tc>
      </w:tr>
    </w:tbl>
    <w:p w:rsidR="00286455" w:rsidRDefault="00286455" w:rsidP="00286455">
      <w:pPr>
        <w:shd w:val="clear" w:color="auto" w:fill="D9D9D9" w:themeFill="background1" w:themeFillShade="D9"/>
        <w:suppressAutoHyphens/>
        <w:rPr>
          <w:rFonts w:cs="Arial"/>
        </w:rPr>
      </w:pPr>
    </w:p>
    <w:p w:rsidR="00286455" w:rsidRDefault="00286455" w:rsidP="00286455">
      <w:pPr>
        <w:pStyle w:val="artikelkop"/>
        <w:shd w:val="clear" w:color="auto" w:fill="D9D9D9" w:themeFill="background1" w:themeFillShade="D9"/>
      </w:pPr>
      <w:r>
        <w:t>Artikel 3.111</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Ten behoeve van het voorkomen dan wel, voor zover dat niet mogelijk is, zoveel mogelijk beperken van de belasting van de bodem, bedoeld in artikel 3.144, aanhef en onder b, van het besluit, wordt bij het schieten op een binnenschietbaan ten minste voldaan aan het tweede tot en met het derde lid.</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Indien bij het schieten hulzen van verschoten munitie vrijkomen, vindt het schieten plaats boven een bodembeschermende voorziening.</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De kogelvanger, bedoeld in artikel 3.110, derde lid, is opgesteld boven een bodembeschermende voorziening.</w:t>
      </w:r>
    </w:p>
    <w:p w:rsidR="00286455" w:rsidRDefault="00286455" w:rsidP="00286455">
      <w:pPr>
        <w:pStyle w:val="artikelkop"/>
        <w:shd w:val="clear" w:color="auto" w:fill="D9D9D9" w:themeFill="background1" w:themeFillShade="D9"/>
      </w:pPr>
      <w:r>
        <w:t>Artikel 3.112</w:t>
      </w:r>
    </w:p>
    <w:p w:rsidR="00286455" w:rsidRDefault="00286455" w:rsidP="00286455">
      <w:pPr>
        <w:pStyle w:val="artplat"/>
        <w:shd w:val="clear" w:color="auto" w:fill="D9D9D9" w:themeFill="background1" w:themeFillShade="D9"/>
        <w:suppressAutoHyphens/>
        <w:rPr>
          <w:rFonts w:cs="Arial"/>
        </w:rPr>
      </w:pPr>
      <w:r>
        <w:rPr>
          <w:rFonts w:cs="Arial"/>
        </w:rPr>
        <w:t>Bij het bepalen van het langtijdgemiddelde beoordelingsniveau (L</w:t>
      </w:r>
      <w:r>
        <w:rPr>
          <w:rFonts w:cs="Arial"/>
          <w:vertAlign w:val="subscript"/>
        </w:rPr>
        <w:t>Ar,LT</w:t>
      </w:r>
      <w:r>
        <w:rPr>
          <w:rFonts w:cs="Arial"/>
        </w:rPr>
        <w:t>) en het maximaal geluidsniveau L</w:t>
      </w:r>
      <w:r>
        <w:rPr>
          <w:rFonts w:cs="Arial"/>
          <w:vertAlign w:val="subscript"/>
        </w:rPr>
        <w:t>Amax</w:t>
      </w:r>
      <w:r>
        <w:rPr>
          <w:rFonts w:cs="Arial"/>
        </w:rPr>
        <w:t xml:space="preserve"> als gevolg van een inrichting met een binnenschietbaan, bedoeld in artikel 3.144, tweede lid, van het besluit, wordt gemeten volgens het in bijlage 7 opgenomen Meetvoorschrift binnenschietinrichtingen.</w:t>
      </w:r>
    </w:p>
    <w:p w:rsidR="00286455" w:rsidRDefault="00286455" w:rsidP="00286455">
      <w:pPr>
        <w:pStyle w:val="artikelkop"/>
        <w:shd w:val="clear" w:color="auto" w:fill="D9D9D9" w:themeFill="background1" w:themeFillShade="D9"/>
      </w:pPr>
      <w:r>
        <w:t>Artikel 3.113</w:t>
      </w:r>
    </w:p>
    <w:p w:rsidR="00286455" w:rsidRDefault="00286455" w:rsidP="00286455">
      <w:pPr>
        <w:shd w:val="clear" w:color="auto" w:fill="D9D9D9" w:themeFill="background1" w:themeFillShade="D9"/>
        <w:suppressAutoHyphens/>
        <w:rPr>
          <w:rFonts w:cs="Arial"/>
        </w:rPr>
      </w:pPr>
      <w:r>
        <w:rPr>
          <w:rFonts w:cs="Arial"/>
        </w:rPr>
        <w:t>Ingevolge artikel 1.11, tiende lid, van het besluit, bevat het rapport van een akoestisch onderzoek, bedoeld in artikel 1.11, derde lid, onder f van het besluit, de volgende gegevens:</w:t>
      </w:r>
    </w:p>
    <w:p w:rsidR="00286455" w:rsidRDefault="00286455" w:rsidP="00286455">
      <w:pPr>
        <w:pStyle w:val="artplatletter"/>
        <w:shd w:val="clear" w:color="auto" w:fill="D9D9D9" w:themeFill="background1" w:themeFillShade="D9"/>
        <w:suppressAutoHyphens/>
        <w:rPr>
          <w:rFonts w:cs="Arial"/>
        </w:rPr>
      </w:pPr>
      <w:r>
        <w:rPr>
          <w:rFonts w:cs="Arial"/>
        </w:rPr>
        <w:t>a.</w:t>
      </w:r>
      <w:r>
        <w:rPr>
          <w:rFonts w:cs="Arial"/>
        </w:rPr>
        <w:tab/>
        <w:t>een gedetailleerde beschrijving (naam, type, fabricaat) van de gemeten representatieve wapens en de gebruikte munitie (type en LOT-nummer);</w:t>
      </w:r>
    </w:p>
    <w:p w:rsidR="00286455" w:rsidRDefault="00286455" w:rsidP="00286455">
      <w:pPr>
        <w:pStyle w:val="artplatletter"/>
        <w:shd w:val="clear" w:color="auto" w:fill="D9D9D9" w:themeFill="background1" w:themeFillShade="D9"/>
        <w:suppressAutoHyphens/>
        <w:rPr>
          <w:rFonts w:cs="Arial"/>
        </w:rPr>
      </w:pPr>
      <w:r>
        <w:rPr>
          <w:rFonts w:cs="Arial"/>
        </w:rPr>
        <w:t>b.</w:t>
      </w:r>
      <w:r>
        <w:rPr>
          <w:rFonts w:cs="Arial"/>
        </w:rPr>
        <w:tab/>
        <w:t>het totale aantal schoten van de representatieve gebruiksituatie voor de relevante wapencategorieën voor de relevante beoordelingsperioden;</w:t>
      </w:r>
    </w:p>
    <w:p w:rsidR="00286455" w:rsidRDefault="00286455" w:rsidP="00286455">
      <w:pPr>
        <w:pStyle w:val="artplatletter"/>
        <w:shd w:val="clear" w:color="auto" w:fill="D9D9D9" w:themeFill="background1" w:themeFillShade="D9"/>
        <w:suppressAutoHyphens/>
        <w:rPr>
          <w:rFonts w:cs="Arial"/>
        </w:rPr>
      </w:pPr>
      <w:r>
        <w:rPr>
          <w:rFonts w:cs="Arial"/>
        </w:rPr>
        <w:t>c.</w:t>
      </w:r>
      <w:r>
        <w:rPr>
          <w:rFonts w:cs="Arial"/>
        </w:rPr>
        <w:tab/>
        <w:t>gebruikte meetapparatuur;</w:t>
      </w:r>
    </w:p>
    <w:p w:rsidR="00286455" w:rsidRDefault="00286455" w:rsidP="00286455">
      <w:pPr>
        <w:pStyle w:val="artplatletter"/>
        <w:shd w:val="clear" w:color="auto" w:fill="D9D9D9" w:themeFill="background1" w:themeFillShade="D9"/>
        <w:suppressAutoHyphens/>
        <w:rPr>
          <w:rFonts w:cs="Arial"/>
        </w:rPr>
      </w:pPr>
      <w:r>
        <w:rPr>
          <w:rFonts w:cs="Arial"/>
        </w:rPr>
        <w:t>d.</w:t>
      </w:r>
      <w:r>
        <w:rPr>
          <w:rFonts w:cs="Arial"/>
        </w:rPr>
        <w:tab/>
        <w:t>een plattegrond van de meetsituatie (bijvoorbeeld: ligging baan, positie wapen, adres, omgeving geluidgevoelige bestemmingen, etc.) en een opgave van de beoordelingspunten (afstanden, microfoonhoogte, afstand tot de gevel, afmetingen van de ruimte);</w:t>
      </w:r>
    </w:p>
    <w:p w:rsidR="00286455" w:rsidRDefault="00286455" w:rsidP="00286455">
      <w:pPr>
        <w:pStyle w:val="artplatletter"/>
        <w:shd w:val="clear" w:color="auto" w:fill="D9D9D9" w:themeFill="background1" w:themeFillShade="D9"/>
        <w:suppressAutoHyphens/>
        <w:rPr>
          <w:rFonts w:cs="Arial"/>
        </w:rPr>
      </w:pPr>
      <w:r>
        <w:rPr>
          <w:rFonts w:cs="Arial"/>
        </w:rPr>
        <w:t>e.</w:t>
      </w:r>
      <w:r>
        <w:rPr>
          <w:rFonts w:cs="Arial"/>
        </w:rPr>
        <w:tab/>
        <w:t>de meetwaarden voor L</w:t>
      </w:r>
      <w:r>
        <w:rPr>
          <w:rFonts w:cs="Arial"/>
          <w:vertAlign w:val="subscript"/>
        </w:rPr>
        <w:t>AE</w:t>
      </w:r>
      <w:r>
        <w:rPr>
          <w:rFonts w:cs="Arial"/>
        </w:rPr>
        <w:t xml:space="preserve"> en L</w:t>
      </w:r>
      <w:r>
        <w:rPr>
          <w:rFonts w:cs="Arial"/>
          <w:vertAlign w:val="subscript"/>
        </w:rPr>
        <w:t>Amax</w:t>
      </w:r>
      <w:r>
        <w:rPr>
          <w:rFonts w:cs="Arial"/>
        </w:rPr>
        <w:t xml:space="preserve"> alsmede de energetische gemiddelde waarden;</w:t>
      </w:r>
    </w:p>
    <w:p w:rsidR="00286455" w:rsidRDefault="00286455" w:rsidP="00286455">
      <w:pPr>
        <w:pStyle w:val="artplatletter"/>
        <w:shd w:val="clear" w:color="auto" w:fill="D9D9D9" w:themeFill="background1" w:themeFillShade="D9"/>
        <w:suppressAutoHyphens/>
        <w:rPr>
          <w:rFonts w:cs="Arial"/>
        </w:rPr>
      </w:pPr>
      <w:r>
        <w:rPr>
          <w:rFonts w:cs="Arial"/>
        </w:rPr>
        <w:t>f.</w:t>
      </w:r>
      <w:r>
        <w:rPr>
          <w:rFonts w:cs="Arial"/>
        </w:rPr>
        <w:tab/>
        <w:t>de beoordelingsniveaus per meetlocatie voor de relevante beoordelingsperioden;</w:t>
      </w:r>
    </w:p>
    <w:p w:rsidR="00286455" w:rsidRDefault="00286455" w:rsidP="00286455">
      <w:pPr>
        <w:pStyle w:val="artplatletter"/>
        <w:shd w:val="clear" w:color="auto" w:fill="D9D9D9" w:themeFill="background1" w:themeFillShade="D9"/>
        <w:suppressAutoHyphens/>
        <w:rPr>
          <w:rFonts w:cs="Arial"/>
        </w:rPr>
      </w:pPr>
      <w:r>
        <w:rPr>
          <w:rFonts w:cs="Arial"/>
        </w:rPr>
        <w:t>g.</w:t>
      </w:r>
      <w:r>
        <w:rPr>
          <w:rFonts w:cs="Arial"/>
        </w:rPr>
        <w:tab/>
        <w:t>het gemeten achtergrondgeluidniveau per meetlocatie en beschrijving van de aard van de stoorgeluiden, en</w:t>
      </w:r>
    </w:p>
    <w:p w:rsidR="00286455" w:rsidRPr="00286455" w:rsidRDefault="00286455" w:rsidP="00286455">
      <w:pPr>
        <w:pStyle w:val="artplatletter"/>
        <w:shd w:val="clear" w:color="auto" w:fill="D9D9D9" w:themeFill="background1" w:themeFillShade="D9"/>
        <w:suppressAutoHyphens/>
        <w:rPr>
          <w:rFonts w:cs="Arial"/>
        </w:rPr>
      </w:pPr>
      <w:r>
        <w:rPr>
          <w:rFonts w:cs="Arial"/>
        </w:rPr>
        <w:t>h.</w:t>
      </w:r>
      <w:r>
        <w:rPr>
          <w:rFonts w:cs="Arial"/>
        </w:rPr>
        <w:tab/>
        <w:t>de weersomstandigheden indien metingen buiten zijn uitgevoerd.</w:t>
      </w:r>
    </w:p>
    <w:p w:rsidR="00296032" w:rsidRPr="00296032" w:rsidRDefault="00296032">
      <w:pPr>
        <w:pStyle w:val="paragraaf"/>
      </w:pPr>
      <w:bookmarkStart w:id="157" w:name="_Toc431375649"/>
      <w:r w:rsidRPr="00296032">
        <w:t>§ 3.7.2.</w:t>
      </w:r>
      <w:r w:rsidRPr="00296032">
        <w:tab/>
        <w:t>Traditioneel schieten</w:t>
      </w:r>
      <w:bookmarkEnd w:id="157"/>
    </w:p>
    <w:p w:rsidR="00296032" w:rsidRPr="00296032" w:rsidRDefault="00296032">
      <w:pPr>
        <w:pStyle w:val="artikelkop"/>
      </w:pPr>
      <w:r w:rsidRPr="00296032">
        <w:t>Artikel 3.145</w:t>
      </w:r>
    </w:p>
    <w:p w:rsidR="00296032" w:rsidRPr="00620047" w:rsidRDefault="00296032">
      <w:pPr>
        <w:pStyle w:val="artplat"/>
      </w:pPr>
      <w:r w:rsidRPr="00620047">
        <w:t>Deze paragraaf is van toepassing op het door schutterijen of schuttersgilden schieten met buksen of geweren vanaf een vaste standplaats op een stilstaand doel in de buitenlucht.</w:t>
      </w:r>
    </w:p>
    <w:p w:rsidR="00296032" w:rsidRPr="00296032" w:rsidRDefault="00296032">
      <w:pPr>
        <w:pStyle w:val="artikelkop"/>
      </w:pPr>
      <w:r w:rsidRPr="00296032">
        <w:t>Artikel 3.146</w:t>
      </w:r>
    </w:p>
    <w:p w:rsidR="00296032" w:rsidRPr="00620047" w:rsidRDefault="00296032">
      <w:pPr>
        <w:pStyle w:val="artplat"/>
      </w:pPr>
      <w:r w:rsidRPr="00620047">
        <w:t>Bij het traditioneel schieten wordt:</w:t>
      </w:r>
    </w:p>
    <w:p w:rsidR="00296032" w:rsidRPr="00620047" w:rsidRDefault="00296032">
      <w:pPr>
        <w:pStyle w:val="artplatletter"/>
      </w:pPr>
      <w:r w:rsidRPr="00620047">
        <w:t>a.</w:t>
      </w:r>
      <w:r w:rsidRPr="00620047">
        <w:tab/>
        <w:t>in afwijking van artikel 2.9, eerste lid, ten behoeve van het voorkomen dan wel, voor zover dat niet mogelijk is, het zoveel mogelijk beperken van de belasting van de bodem, of</w:t>
      </w:r>
    </w:p>
    <w:p w:rsidR="00296032" w:rsidRDefault="00296032">
      <w:pPr>
        <w:pStyle w:val="artplatletter"/>
      </w:pPr>
      <w:r w:rsidRPr="00620047">
        <w:t>b.</w:t>
      </w:r>
      <w:r w:rsidRPr="00620047">
        <w:tab/>
        <w:t>ten behoeve van het voorkomen van risico's voor de omgeving en ongewone voorvallen, dan wel voor zover dat niet mogelijk is het zoveel mogelijk beperken van de risico's voor de omgeving en de kans dat ongewone voorvallen zich voordoen en de gevolgen hiervan, ten minste voldaan aan de bij ministeriële regeling gestelde eisen.</w:t>
      </w:r>
    </w:p>
    <w:p w:rsidR="00286455" w:rsidRDefault="00286455">
      <w:pPr>
        <w:pStyle w:val="artplatletter"/>
      </w:pPr>
    </w:p>
    <w:p w:rsidR="00286455" w:rsidRDefault="00286455" w:rsidP="00286455">
      <w:pPr>
        <w:pStyle w:val="paragraaf"/>
        <w:shd w:val="clear" w:color="auto" w:fill="D9D9D9" w:themeFill="background1" w:themeFillShade="D9"/>
      </w:pPr>
      <w:bookmarkStart w:id="158" w:name="_Toc431375650"/>
      <w:r>
        <w:t>§ 3.7.2.</w:t>
      </w:r>
      <w:r>
        <w:tab/>
        <w:t>Traditioneel schieten</w:t>
      </w:r>
      <w:bookmarkEnd w:id="158"/>
    </w:p>
    <w:p w:rsidR="00286455" w:rsidRDefault="00286455" w:rsidP="00286455">
      <w:pPr>
        <w:pStyle w:val="artikelkop"/>
        <w:shd w:val="clear" w:color="auto" w:fill="D9D9D9" w:themeFill="background1" w:themeFillShade="D9"/>
      </w:pPr>
      <w:r>
        <w:t>Artikel 3.114</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bedoeld in artikel 3.146 van het besluit, wordt bij het traditioneel schieten ten minste voldaan aan het vierde tot en met zevende lid.</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Ten behoeve van het voorkomen dan wel, voor zover dat niet mogelijk is, het zoveel mogelijk beperken van de belasting van de bodem, bedoeld in artikel 3.146 van het besluit, wordt bij het traditioneel schieten voldaan aan het derde, vierde en zevende lid.</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Indien bij het schieten hulzen van verschoten munitie vrijkomen, vindt het schieten plaats boven een bodembeschermende voorziening.</w:t>
      </w:r>
    </w:p>
    <w:p w:rsidR="00286455" w:rsidRDefault="00286455" w:rsidP="00286455">
      <w:pPr>
        <w:pStyle w:val="art1enivo"/>
        <w:shd w:val="clear" w:color="auto" w:fill="D9D9D9" w:themeFill="background1" w:themeFillShade="D9"/>
        <w:suppressAutoHyphens/>
        <w:rPr>
          <w:rFonts w:cs="Arial"/>
        </w:rPr>
      </w:pPr>
      <w:r>
        <w:rPr>
          <w:rFonts w:cs="Arial"/>
        </w:rPr>
        <w:t>4.</w:t>
      </w:r>
      <w:r>
        <w:rPr>
          <w:rFonts w:cs="Arial"/>
        </w:rPr>
        <w:tab/>
        <w:t>Het schieten vindt op zodanige wijze plaats dat alle afgeschoten kogels worden opgevangen in een voorziening. De voorziening is opgesteld boven een bodembeschermende voorziening.</w:t>
      </w:r>
    </w:p>
    <w:p w:rsidR="00286455" w:rsidRDefault="00286455" w:rsidP="00286455">
      <w:pPr>
        <w:pStyle w:val="art1enivo"/>
        <w:shd w:val="clear" w:color="auto" w:fill="D9D9D9" w:themeFill="background1" w:themeFillShade="D9"/>
        <w:suppressAutoHyphens/>
        <w:rPr>
          <w:rFonts w:cs="Arial"/>
        </w:rPr>
      </w:pPr>
      <w:r>
        <w:rPr>
          <w:rFonts w:cs="Arial"/>
        </w:rPr>
        <w:t>5.</w:t>
      </w:r>
      <w:r>
        <w:rPr>
          <w:rFonts w:cs="Arial"/>
        </w:rPr>
        <w:tab/>
        <w:t>Gedurende de periode dat wordt geschoten bevinden zich geen personen of veediersoorten in de onveilige zone, uitgezonderd de schutter, de baancommandant en één of meerdere door de baancommandant aangewezen personen. De onveilige zone omvat de oppervlakte van een rechthoek van twee meter aan weerszijde van de voorziening waarin de afgeschoten kogels worden opgevangen, bedoeld in het vierde lid, bij acht meter. De zone bevindt zich aan de zijde waar op het doel wordt geschoten.</w:t>
      </w:r>
    </w:p>
    <w:p w:rsidR="00286455" w:rsidRDefault="00286455" w:rsidP="00286455">
      <w:pPr>
        <w:pStyle w:val="art1enivo"/>
        <w:shd w:val="clear" w:color="auto" w:fill="D9D9D9" w:themeFill="background1" w:themeFillShade="D9"/>
        <w:suppressAutoHyphens/>
        <w:rPr>
          <w:rFonts w:cs="Arial"/>
        </w:rPr>
      </w:pPr>
      <w:r>
        <w:rPr>
          <w:rFonts w:cs="Arial"/>
        </w:rPr>
        <w:t>6.</w:t>
      </w:r>
      <w:r>
        <w:rPr>
          <w:rFonts w:cs="Arial"/>
        </w:rPr>
        <w:tab/>
        <w:t>In afwijking van het vijfde lid omvat de onveilige zone bij het schieten op een houten blok of knoest met kogels van kalibernummer 16 of kleiner de oppervlakte van een halve cirkel met een straal van 25 meter met het doel waarop wordt geschoten als middelpunt. De zone bevindt zich aan de zijde waar op het doel wordt geschoten.</w:t>
      </w:r>
    </w:p>
    <w:p w:rsidR="00286455" w:rsidRDefault="00286455" w:rsidP="00286455">
      <w:pPr>
        <w:pStyle w:val="art1enivo"/>
        <w:shd w:val="clear" w:color="auto" w:fill="D9D9D9" w:themeFill="background1" w:themeFillShade="D9"/>
        <w:suppressAutoHyphens/>
        <w:rPr>
          <w:rFonts w:cs="Arial"/>
        </w:rPr>
      </w:pPr>
      <w:r>
        <w:rPr>
          <w:rFonts w:cs="Arial"/>
        </w:rPr>
        <w:t>7.</w:t>
      </w:r>
      <w:r>
        <w:rPr>
          <w:rFonts w:cs="Arial"/>
        </w:rPr>
        <w:tab/>
        <w:t>In afwijking van het vierde tot en met het zesde lid kan het bevoegd gezag bij de viering van festiviteiten maatwerkvoorschriften stellen ten behoeve van:</w:t>
      </w:r>
    </w:p>
    <w:p w:rsidR="00286455" w:rsidRDefault="00286455" w:rsidP="00286455">
      <w:pPr>
        <w:pStyle w:val="art2enivo"/>
        <w:shd w:val="clear" w:color="auto" w:fill="D9D9D9" w:themeFill="background1" w:themeFillShade="D9"/>
        <w:suppressAutoHyphens/>
        <w:rPr>
          <w:rFonts w:cs="Arial"/>
        </w:rPr>
      </w:pPr>
      <w:r>
        <w:rPr>
          <w:rFonts w:cs="Arial"/>
        </w:rPr>
        <w:t>a.</w:t>
      </w:r>
      <w:r>
        <w:rPr>
          <w:rFonts w:cs="Arial"/>
        </w:rPr>
        <w:tab/>
        <w:t xml:space="preserve">het voorkomen dan wel, voor zover dat niet mogelijk is, het zoveel mogelijk beperken van de belasting van de bodem; en </w:t>
      </w:r>
    </w:p>
    <w:p w:rsidR="00286455" w:rsidRDefault="00286455" w:rsidP="00286455">
      <w:pPr>
        <w:pStyle w:val="art2enivo"/>
        <w:shd w:val="clear" w:color="auto" w:fill="D9D9D9" w:themeFill="background1" w:themeFillShade="D9"/>
        <w:suppressAutoHyphens/>
        <w:rPr>
          <w:rFonts w:cs="Arial"/>
        </w:rPr>
      </w:pPr>
      <w:r>
        <w:rPr>
          <w:rFonts w:cs="Arial"/>
        </w:rPr>
        <w:t>b.</w:t>
      </w:r>
      <w:r>
        <w:rPr>
          <w:rFonts w:cs="Arial"/>
        </w:rPr>
        <w:tab/>
        <w:t>met betrekking tot de onveilige zone.</w:t>
      </w:r>
    </w:p>
    <w:p w:rsidR="00286455" w:rsidRPr="00620047" w:rsidRDefault="00286455" w:rsidP="00286455">
      <w:pPr>
        <w:shd w:val="clear" w:color="auto" w:fill="D9D9D9" w:themeFill="background1" w:themeFillShade="D9"/>
      </w:pPr>
      <w:r>
        <w:rPr>
          <w:rFonts w:cs="Arial"/>
        </w:rPr>
        <w:t>8.</w:t>
      </w:r>
      <w:r>
        <w:rPr>
          <w:rFonts w:cs="Arial"/>
        </w:rPr>
        <w:tab/>
        <w:t>De dagen of dagdelen waarop festiviteiten als bedoeld in het zevende lid plaatsvinden worden door het bevoegd gezag bij maatwerkvoorschrift aangewezen, met dien verstande dat het aantal aan te wijzen dagen of dagdelen niet meer dan twaalf per kalenderjaar bedraagt.</w:t>
      </w:r>
    </w:p>
    <w:p w:rsidR="00296032" w:rsidRPr="00296032" w:rsidRDefault="00296032">
      <w:pPr>
        <w:pStyle w:val="paragraaf"/>
      </w:pPr>
      <w:bookmarkStart w:id="159" w:name="_Toc431375651"/>
      <w:r w:rsidRPr="00296032">
        <w:t>§ 3.7.3.</w:t>
      </w:r>
      <w:r w:rsidRPr="00296032">
        <w:tab/>
        <w:t>Bieden van gelegenheid voor het beoefenen van sport in de buitenlucht</w:t>
      </w:r>
      <w:bookmarkEnd w:id="159"/>
    </w:p>
    <w:p w:rsidR="00296032" w:rsidRPr="00296032" w:rsidRDefault="00296032">
      <w:pPr>
        <w:pStyle w:val="artikelkop"/>
      </w:pPr>
      <w:r w:rsidRPr="00296032">
        <w:t>Artikel 3.147</w:t>
      </w:r>
    </w:p>
    <w:p w:rsidR="00296032" w:rsidRPr="00620047" w:rsidRDefault="00296032">
      <w:pPr>
        <w:pStyle w:val="artplat"/>
      </w:pPr>
      <w:r w:rsidRPr="00620047">
        <w:t>Deze paragraaf is van toepassing op het bieden van gelegenheid voor het beoefenen van sport in de buitenlucht waarbij terreinverlichting wordt toegepast.</w:t>
      </w:r>
    </w:p>
    <w:p w:rsidR="00296032" w:rsidRPr="00296032" w:rsidRDefault="00296032">
      <w:pPr>
        <w:pStyle w:val="artikelkop"/>
      </w:pPr>
      <w:r w:rsidRPr="00296032">
        <w:t>Artikel 3.148</w:t>
      </w:r>
    </w:p>
    <w:p w:rsidR="00296032" w:rsidRPr="00620047" w:rsidRDefault="00296032">
      <w:pPr>
        <w:pStyle w:val="art1enivo"/>
      </w:pPr>
      <w:r w:rsidRPr="00620047">
        <w:t>1.</w:t>
      </w:r>
      <w:r w:rsidRPr="00620047">
        <w:tab/>
        <w:t>De verlichting bij een gelegenheid voor sportbeoefening in de buitenlucht is uitgeschakeld:</w:t>
      </w:r>
    </w:p>
    <w:p w:rsidR="00296032" w:rsidRPr="00620047" w:rsidRDefault="00296032">
      <w:pPr>
        <w:pStyle w:val="art2enivo"/>
      </w:pPr>
      <w:r w:rsidRPr="00620047">
        <w:t>a.</w:t>
      </w:r>
      <w:r w:rsidRPr="00620047">
        <w:tab/>
        <w:t>tussen 23.00 uur en 07.00 uur, en</w:t>
      </w:r>
    </w:p>
    <w:p w:rsidR="00296032" w:rsidRPr="00620047" w:rsidRDefault="00296032">
      <w:pPr>
        <w:pStyle w:val="art2enivo"/>
      </w:pPr>
      <w:r w:rsidRPr="00620047">
        <w:t>b.</w:t>
      </w:r>
      <w:r w:rsidRPr="00620047">
        <w:tab/>
        <w:t>indien er geen sport wordt beoefend noch onderhoud plaatsvindt.</w:t>
      </w:r>
    </w:p>
    <w:p w:rsidR="00296032" w:rsidRPr="00620047" w:rsidRDefault="00296032">
      <w:pPr>
        <w:pStyle w:val="art2enivo"/>
      </w:pPr>
      <w:r w:rsidRPr="00620047">
        <w:t>2.</w:t>
      </w:r>
      <w:r w:rsidRPr="00620047">
        <w:tab/>
        <w:t>Het eerste lid is niet van toepassing op dagen of dagdelen in verband met:</w:t>
      </w:r>
    </w:p>
    <w:p w:rsidR="00296032" w:rsidRPr="00620047" w:rsidRDefault="00296032">
      <w:pPr>
        <w:pStyle w:val="art1enivo"/>
      </w:pPr>
      <w:r w:rsidRPr="00620047">
        <w:t>a.</w:t>
      </w:r>
      <w:r w:rsidRPr="00620047">
        <w:tab/>
        <w:t>de viering van festiviteiten die bij of krachtens een gemeentelijke verordening zijn aangewezen, in de gebieden in de gemeente waarvoor de verordening geldt;</w:t>
      </w:r>
    </w:p>
    <w:p w:rsidR="00296032" w:rsidRPr="00620047" w:rsidRDefault="00296032">
      <w:pPr>
        <w:pStyle w:val="art2enivo"/>
      </w:pPr>
      <w:r w:rsidRPr="00620047">
        <w:t>b.</w:t>
      </w:r>
      <w:r w:rsidRPr="00620047">
        <w:tab/>
        <w:t>de viering van andere festiviteiten die plaatsvinden in de inrichting, waarbij het aantal bij of krachtens een gemeentelijke verordening aan te wijzen dagen of dagdelen niet meer mag bedragen dan twaalf per kalenderjaar, of</w:t>
      </w:r>
    </w:p>
    <w:p w:rsidR="00296032" w:rsidRPr="00620047" w:rsidRDefault="00296032">
      <w:pPr>
        <w:pStyle w:val="art2enivo"/>
      </w:pPr>
      <w:r w:rsidRPr="00620047">
        <w:t>c.</w:t>
      </w:r>
      <w:r w:rsidRPr="00620047">
        <w:tab/>
        <w:t>door het bevoegd gezag aangewezen activiteiten in een inrichting, anders dan festiviteiten als bedoeld in onderdeel b, waarbij het aantal aan te wijzen dagen of dagdelen gebaseerd op dit artikel tezamen niet meer bedraagt dan twaalf dagen per kalenderjaar.</w:t>
      </w:r>
    </w:p>
    <w:p w:rsidR="00296032" w:rsidRPr="00620047" w:rsidRDefault="00296032">
      <w:pPr>
        <w:pStyle w:val="art1enivo"/>
      </w:pPr>
      <w:r w:rsidRPr="00620047">
        <w:t>3.</w:t>
      </w:r>
      <w:r w:rsidRPr="00620047">
        <w:tab/>
        <w:t>Een festiviteit of activiteit als bedoeld in het tweede lid die maximaal een etmaal duurt, maar die zowel voor als na 00.00 uur plaatsvindt, wordt hierbij beschouwd als plaatshebbende op één dag.</w:t>
      </w:r>
    </w:p>
    <w:p w:rsidR="00296032" w:rsidRPr="00296032" w:rsidRDefault="00296032">
      <w:pPr>
        <w:pStyle w:val="paragraaf"/>
      </w:pPr>
      <w:bookmarkStart w:id="160" w:name="_Toc431375652"/>
      <w:r w:rsidRPr="00296032">
        <w:t>§ 3.7.4.</w:t>
      </w:r>
      <w:r w:rsidRPr="00296032">
        <w:tab/>
        <w:t>Recreatieve visvijvers</w:t>
      </w:r>
      <w:bookmarkEnd w:id="160"/>
    </w:p>
    <w:p w:rsidR="00296032" w:rsidRPr="00296032" w:rsidRDefault="00296032">
      <w:pPr>
        <w:pStyle w:val="artikelkop"/>
      </w:pPr>
      <w:r w:rsidRPr="00296032">
        <w:t>Artikel 3.149</w:t>
      </w:r>
    </w:p>
    <w:p w:rsidR="00296032" w:rsidRPr="00620047" w:rsidRDefault="00296032">
      <w:pPr>
        <w:pStyle w:val="artplat"/>
      </w:pPr>
      <w:r w:rsidRPr="00620047">
        <w:t>Deze paragraaf is van toepassing op het lozen van spuiwater uit recreatieve visvijvers.</w:t>
      </w:r>
    </w:p>
    <w:p w:rsidR="00296032" w:rsidRPr="00296032" w:rsidRDefault="00296032">
      <w:pPr>
        <w:pStyle w:val="artikelkop"/>
      </w:pPr>
      <w:r w:rsidRPr="00296032">
        <w:t>Artikel 3.150</w:t>
      </w:r>
    </w:p>
    <w:p w:rsidR="00296032" w:rsidRPr="00620047" w:rsidRDefault="00296032">
      <w:pPr>
        <w:pStyle w:val="art1enivo"/>
      </w:pPr>
      <w:r w:rsidRPr="00620047">
        <w:t>1.</w:t>
      </w:r>
      <w:r w:rsidRPr="00620047">
        <w:tab/>
        <w:t>Het lozen van spuiwater uit recreatieve visvijvers in een oppervlaktewaterlichaam, op of in de bodem of in een voorziening voor de inzameling en het transport van afvalwater, niet zijnde een vuilwaterriool, is toegestaan.</w:t>
      </w:r>
    </w:p>
    <w:p w:rsidR="00296032" w:rsidRPr="00620047" w:rsidRDefault="00296032">
      <w:pPr>
        <w:pStyle w:val="art1enivo"/>
      </w:pPr>
      <w:r w:rsidRPr="00620047">
        <w:t>2.</w:t>
      </w:r>
      <w:r w:rsidRPr="00620047">
        <w:tab/>
        <w:t>Het lozen van spuiwater uit recreatieve visvijvers in een vuilwaterriool is verboden.</w:t>
      </w:r>
    </w:p>
    <w:p w:rsidR="00296032" w:rsidRPr="00296032" w:rsidRDefault="00296032">
      <w:pPr>
        <w:pStyle w:val="paragraaf"/>
      </w:pPr>
      <w:bookmarkStart w:id="161" w:name="_Toc431375653"/>
      <w:r w:rsidRPr="00296032">
        <w:t>§ 3.7.5.</w:t>
      </w:r>
      <w:r w:rsidRPr="00296032">
        <w:tab/>
        <w:t>Gebruiken van gewasbeschermingsmiddelen op sport- of recreatieterreinen.</w:t>
      </w:r>
      <w:bookmarkEnd w:id="161"/>
    </w:p>
    <w:p w:rsidR="00296032" w:rsidRPr="00296032" w:rsidRDefault="00296032">
      <w:pPr>
        <w:pStyle w:val="artikelkop"/>
      </w:pPr>
      <w:r w:rsidRPr="00296032">
        <w:t>Artikel 3.151</w:t>
      </w:r>
    </w:p>
    <w:p w:rsidR="00296032" w:rsidRPr="00620047" w:rsidRDefault="00296032">
      <w:pPr>
        <w:pStyle w:val="artplat"/>
      </w:pPr>
      <w:r w:rsidRPr="00620047">
        <w:t>Deze paragraaf is van toepassing op het gebruiken van gewasbeschermingsmiddelen op sport- of recreatieterreinen.</w:t>
      </w:r>
    </w:p>
    <w:p w:rsidR="00296032" w:rsidRPr="00296032" w:rsidRDefault="00296032">
      <w:pPr>
        <w:pStyle w:val="artikelkop"/>
      </w:pPr>
      <w:r w:rsidRPr="00296032">
        <w:t>Artikel 3.152</w:t>
      </w:r>
    </w:p>
    <w:p w:rsidR="00296032" w:rsidRPr="00620047" w:rsidRDefault="00296032">
      <w:pPr>
        <w:pStyle w:val="art1enivo"/>
      </w:pPr>
      <w:r w:rsidRPr="00620047">
        <w:t>1.</w:t>
      </w:r>
      <w:r w:rsidRPr="00620047">
        <w:tab/>
        <w:t>Bij het lozen van gewasbeschermingsmiddelen in een oppervlaktewaterlichaam ten gevolge van het gebruik van gewasbeschermingsmiddelen op een sport- of recreatieterrein in de nabijheid van een oppervlaktewaterlichaam wordt ten minste voldaan aan het tweede tot en met het derde lid.</w:t>
      </w:r>
    </w:p>
    <w:p w:rsidR="00296032" w:rsidRPr="00620047" w:rsidRDefault="00296032">
      <w:pPr>
        <w:pStyle w:val="art1enivo"/>
      </w:pPr>
      <w:r w:rsidRPr="00620047">
        <w:t>2.</w:t>
      </w:r>
      <w:r w:rsidRPr="00620047">
        <w:tab/>
        <w:t>Binnen een afstand van een meter vanaf de insteek van een oppervlaktewaterlichaam worden gewasbeschermingsmiddelen niet gebruikt met apparatuur die bestemd is voor het druppelsgewijs gebruiken van gewasbeschermingsmiddelen, met uitzondering van pleksgewijze onkruidbestrijding met een afgeschermde spuitdop.</w:t>
      </w:r>
    </w:p>
    <w:p w:rsidR="00296032" w:rsidRPr="00620047" w:rsidRDefault="00296032">
      <w:pPr>
        <w:pStyle w:val="art1enivo"/>
      </w:pPr>
      <w:r w:rsidRPr="00620047">
        <w:t>3.</w:t>
      </w:r>
      <w:r w:rsidRPr="00620047">
        <w:tab/>
        <w:t>Binnen een afstand van 14 meter vanaf de insteek van een oppervlaktewaterlichaam:</w:t>
      </w:r>
    </w:p>
    <w:p w:rsidR="00296032" w:rsidRPr="00620047" w:rsidRDefault="00296032">
      <w:pPr>
        <w:pStyle w:val="art2enivo"/>
      </w:pPr>
      <w:r w:rsidRPr="00620047">
        <w:t>a.</w:t>
      </w:r>
      <w:r w:rsidRPr="00620047">
        <w:tab/>
        <w:t>worden gewasbeschermingsmiddelen slechts gebruikt met mechanisch voortbewogen apparatuur, indien deze uitsluitend is voorzien van driftarme doppen, en zodanig is ingesteld dat de spuitdoppen zich niet hoger dan 50 cm boven de grond bevinden;</w:t>
      </w:r>
    </w:p>
    <w:p w:rsidR="00296032" w:rsidRPr="00620047" w:rsidRDefault="00296032">
      <w:pPr>
        <w:pStyle w:val="art2enivo"/>
      </w:pPr>
      <w:r w:rsidRPr="00620047">
        <w:t>b.</w:t>
      </w:r>
      <w:r w:rsidRPr="00620047">
        <w:tab/>
        <w:t>wordt geen gebruik gemaakt van een spuitgeweer dat is voorzien van een werveldop of dat gebruik maakt van een werkdruk van 5 bar of hoger;</w:t>
      </w:r>
    </w:p>
    <w:p w:rsidR="00296032" w:rsidRPr="00620047" w:rsidRDefault="00296032">
      <w:pPr>
        <w:pStyle w:val="art2enivo"/>
      </w:pPr>
      <w:r w:rsidRPr="00620047">
        <w:t>c.</w:t>
      </w:r>
      <w:r w:rsidRPr="00620047">
        <w:tab/>
        <w:t>worden geen gewasbeschermingsmiddelen gebruikt bij een windsnelheid van meer dan 5 meter per seconde gemeten op spuitdophoogte.</w:t>
      </w:r>
    </w:p>
    <w:p w:rsidR="00296032" w:rsidRPr="00620047" w:rsidRDefault="00296032">
      <w:pPr>
        <w:pStyle w:val="afdeling"/>
      </w:pPr>
      <w:bookmarkStart w:id="162" w:name="_Toc431375654"/>
      <w:r w:rsidRPr="00620047">
        <w:t>Afdeling 3.8.</w:t>
      </w:r>
      <w:r w:rsidRPr="00620047">
        <w:tab/>
        <w:t>Overige activiteiten</w:t>
      </w:r>
      <w:bookmarkEnd w:id="162"/>
    </w:p>
    <w:p w:rsidR="00296032" w:rsidRPr="00296032" w:rsidRDefault="00296032">
      <w:pPr>
        <w:pStyle w:val="paragraaf"/>
      </w:pPr>
      <w:bookmarkStart w:id="163" w:name="_Toc431375655"/>
      <w:r w:rsidRPr="00296032">
        <w:t>§ 3.8.1.</w:t>
      </w:r>
      <w:r w:rsidRPr="00296032">
        <w:tab/>
        <w:t>Tandheelkunde</w:t>
      </w:r>
      <w:bookmarkEnd w:id="163"/>
    </w:p>
    <w:p w:rsidR="00296032" w:rsidRPr="00296032" w:rsidRDefault="00296032">
      <w:pPr>
        <w:pStyle w:val="artikelkop"/>
      </w:pPr>
      <w:r w:rsidRPr="00296032">
        <w:t>Artikel 3.153</w:t>
      </w:r>
    </w:p>
    <w:p w:rsidR="00296032" w:rsidRPr="00620047" w:rsidRDefault="00296032">
      <w:pPr>
        <w:pStyle w:val="artplat"/>
      </w:pPr>
      <w:r w:rsidRPr="00620047">
        <w:t>Deze paragraaf is van toepassing op tandheelkundige bewerkingen met amalgaam.</w:t>
      </w:r>
    </w:p>
    <w:p w:rsidR="00296032" w:rsidRPr="00296032" w:rsidRDefault="00296032">
      <w:pPr>
        <w:pStyle w:val="artikelkop"/>
      </w:pPr>
      <w:r w:rsidRPr="00296032">
        <w:t>Artikel 3.154</w:t>
      </w:r>
    </w:p>
    <w:p w:rsidR="00296032" w:rsidRPr="00620047" w:rsidRDefault="00296032">
      <w:pPr>
        <w:pStyle w:val="artplat"/>
      </w:pPr>
      <w:r w:rsidRPr="00620047">
        <w:t>Bij het in het vuilwaterriool lozen van afvalwater afkomstig van tandheelkundige bewerkingen wordt ten behoeve van het verwijderen van amalgaam, het amalgaamhoudend afvalwater geleid door een amalgaamafscheider, die voldoet aan de eisen gesteld in NEN-EN-ISO 11143.</w:t>
      </w:r>
    </w:p>
    <w:p w:rsidR="00296032" w:rsidRPr="00296032" w:rsidRDefault="00296032">
      <w:pPr>
        <w:pStyle w:val="paragraaf"/>
      </w:pPr>
      <w:bookmarkStart w:id="164" w:name="_Toc431375656"/>
      <w:r w:rsidRPr="00296032">
        <w:t>§ 3.8.2.</w:t>
      </w:r>
      <w:r w:rsidRPr="00296032">
        <w:tab/>
        <w:t>Gemeentelijke milieustraat</w:t>
      </w:r>
      <w:bookmarkEnd w:id="164"/>
    </w:p>
    <w:p w:rsidR="00296032" w:rsidRPr="00296032" w:rsidRDefault="00296032">
      <w:pPr>
        <w:pStyle w:val="artikelkop"/>
      </w:pPr>
      <w:r w:rsidRPr="00296032">
        <w:t>Artikel 3.155</w:t>
      </w:r>
    </w:p>
    <w:p w:rsidR="00296032" w:rsidRPr="00620047" w:rsidRDefault="00296032">
      <w:pPr>
        <w:pStyle w:val="artplat"/>
      </w:pPr>
      <w:r w:rsidRPr="00620047">
        <w:t>Deze paragraaf is van toepassing op inrichtingen waar een gemeente ter uitvoering van artikel 10.22, eerste lid, van de wet gelegenheid biedt om grove huishoudelijke afvalstoffen achter te laten.</w:t>
      </w:r>
    </w:p>
    <w:p w:rsidR="00296032" w:rsidRPr="00296032" w:rsidRDefault="00296032">
      <w:pPr>
        <w:pStyle w:val="artikelkop"/>
      </w:pPr>
      <w:r w:rsidRPr="00296032">
        <w:t>Artikel 3.156</w:t>
      </w:r>
    </w:p>
    <w:p w:rsidR="00296032" w:rsidRPr="00620047" w:rsidRDefault="00296032">
      <w:pPr>
        <w:pStyle w:val="art1enivo"/>
      </w:pPr>
      <w:r w:rsidRPr="00620047">
        <w:t>1.</w:t>
      </w:r>
      <w:r w:rsidRPr="00620047">
        <w:tab/>
        <w:t>Bij een inrichting waar een gemeente gelegenheid biedt om grove huishoudelijke afvalstoffen achter te laten wordt ten behoeve van een doelmatig beheer van afvalstoffen ten minste voldaan aan de bij ministeriële regeling gestelde eisen.</w:t>
      </w:r>
    </w:p>
    <w:p w:rsidR="00296032" w:rsidRDefault="00296032">
      <w:pPr>
        <w:pStyle w:val="art1enivo"/>
      </w:pPr>
      <w:r w:rsidRPr="00620047">
        <w:t>2.</w:t>
      </w:r>
      <w:r w:rsidRPr="00620047">
        <w:tab/>
        <w:t>In afwijking van artikel 2.12 is het bij een inrichting die voldoet aan de krachtens het eerste lid gestelde eisen toegestaan afvalstoffen, zijnde grove huishoudelijke afvalstoffen, te mengen met andere categorieën van afvalstoffen.</w:t>
      </w:r>
    </w:p>
    <w:p w:rsidR="00286455" w:rsidRDefault="00286455" w:rsidP="00286455"/>
    <w:p w:rsidR="00286455" w:rsidRDefault="00286455" w:rsidP="00286455">
      <w:pPr>
        <w:pStyle w:val="paragraaf"/>
        <w:shd w:val="clear" w:color="auto" w:fill="D9D9D9" w:themeFill="background1" w:themeFillShade="D9"/>
      </w:pPr>
      <w:bookmarkStart w:id="165" w:name="_Toc431375657"/>
      <w:r>
        <w:t>§ 3.8.1.</w:t>
      </w:r>
      <w:r>
        <w:tab/>
        <w:t>Gemeentelijke milieustraat</w:t>
      </w:r>
      <w:bookmarkEnd w:id="165"/>
    </w:p>
    <w:p w:rsidR="00286455" w:rsidRDefault="00286455" w:rsidP="00286455">
      <w:pPr>
        <w:pStyle w:val="artikelkop"/>
        <w:shd w:val="clear" w:color="auto" w:fill="D9D9D9" w:themeFill="background1" w:themeFillShade="D9"/>
      </w:pPr>
      <w:r>
        <w:t>Artikel 3.115</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Ten behoeve van een doelmatig beheer van afvalstoffen als bedoeld in artikel 3.156 van het besluit voldoet een inrichting waar een gemeente gelegenheid biedt om grove huishoudelijke afvalstoffen achter te laten ten minste aan het tweede tot en met het vijfde lid.</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Bij een inrichting waar een gemeente gelegenheid biedt om grove huishoudelijke afvalstoffen achter te laten zijn voorzieningen aanwezig voor het gescheiden achterlaten van de volgende grove huishoudelijke afvalstoffen:</w:t>
      </w:r>
    </w:p>
    <w:p w:rsidR="00286455" w:rsidRDefault="00286455" w:rsidP="00286455">
      <w:pPr>
        <w:pStyle w:val="art2enivo"/>
        <w:shd w:val="clear" w:color="auto" w:fill="D9D9D9" w:themeFill="background1" w:themeFillShade="D9"/>
        <w:suppressAutoHyphens/>
        <w:rPr>
          <w:rFonts w:cs="Arial"/>
        </w:rPr>
      </w:pPr>
      <w:r>
        <w:rPr>
          <w:rFonts w:cs="Arial"/>
        </w:rPr>
        <w:t>a.</w:t>
      </w:r>
      <w:r>
        <w:rPr>
          <w:rFonts w:cs="Arial"/>
        </w:rPr>
        <w:tab/>
        <w:t>afgedankte elektrische en elektronische apparatuur;</w:t>
      </w:r>
    </w:p>
    <w:p w:rsidR="00286455" w:rsidRPr="009846F6" w:rsidRDefault="00286455" w:rsidP="00286455">
      <w:pPr>
        <w:pStyle w:val="art2enivo"/>
        <w:shd w:val="clear" w:color="auto" w:fill="D9D9D9" w:themeFill="background1" w:themeFillShade="D9"/>
        <w:suppressAutoHyphens/>
        <w:rPr>
          <w:rFonts w:cs="Arial"/>
        </w:rPr>
      </w:pPr>
      <w:r w:rsidRPr="009846F6">
        <w:rPr>
          <w:rFonts w:cs="Arial"/>
        </w:rPr>
        <w:t>b.</w:t>
      </w:r>
      <w:r w:rsidRPr="009846F6">
        <w:rPr>
          <w:rFonts w:cs="Arial"/>
        </w:rPr>
        <w:tab/>
        <w:t>asbest;</w:t>
      </w:r>
    </w:p>
    <w:p w:rsidR="00286455" w:rsidRPr="009846F6" w:rsidRDefault="00286455" w:rsidP="00286455">
      <w:pPr>
        <w:pStyle w:val="art2enivo"/>
        <w:shd w:val="clear" w:color="auto" w:fill="D9D9D9" w:themeFill="background1" w:themeFillShade="D9"/>
        <w:suppressAutoHyphens/>
        <w:rPr>
          <w:rFonts w:cs="Arial"/>
        </w:rPr>
      </w:pPr>
      <w:r w:rsidRPr="009846F6">
        <w:rPr>
          <w:rFonts w:cs="Arial"/>
        </w:rPr>
        <w:t>c.</w:t>
      </w:r>
      <w:r w:rsidRPr="009846F6">
        <w:rPr>
          <w:rFonts w:cs="Arial"/>
        </w:rPr>
        <w:tab/>
        <w:t>C-hout;</w:t>
      </w:r>
    </w:p>
    <w:p w:rsidR="00286455" w:rsidRDefault="00286455" w:rsidP="00286455">
      <w:pPr>
        <w:pStyle w:val="art2enivo"/>
        <w:shd w:val="clear" w:color="auto" w:fill="D9D9D9" w:themeFill="background1" w:themeFillShade="D9"/>
        <w:suppressAutoHyphens/>
        <w:rPr>
          <w:rFonts w:cs="Arial"/>
        </w:rPr>
      </w:pPr>
      <w:r>
        <w:rPr>
          <w:rFonts w:cs="Arial"/>
        </w:rPr>
        <w:t>d.</w:t>
      </w:r>
      <w:r>
        <w:rPr>
          <w:rFonts w:cs="Arial"/>
        </w:rPr>
        <w:tab/>
        <w:t>gasflessen, brandblussers en overige drukhouders;</w:t>
      </w:r>
    </w:p>
    <w:p w:rsidR="00286455" w:rsidRDefault="00286455" w:rsidP="00286455">
      <w:pPr>
        <w:pStyle w:val="art2enivo"/>
        <w:shd w:val="clear" w:color="auto" w:fill="D9D9D9" w:themeFill="background1" w:themeFillShade="D9"/>
        <w:suppressAutoHyphens/>
        <w:rPr>
          <w:rFonts w:cs="Arial"/>
        </w:rPr>
      </w:pPr>
      <w:r>
        <w:rPr>
          <w:rFonts w:cs="Arial"/>
        </w:rPr>
        <w:t>e.</w:t>
      </w:r>
      <w:r>
        <w:rPr>
          <w:rFonts w:cs="Arial"/>
        </w:rPr>
        <w:tab/>
        <w:t>grond;</w:t>
      </w:r>
    </w:p>
    <w:p w:rsidR="00286455" w:rsidRDefault="00286455" w:rsidP="00286455">
      <w:pPr>
        <w:pStyle w:val="art2enivo"/>
        <w:shd w:val="clear" w:color="auto" w:fill="D9D9D9" w:themeFill="background1" w:themeFillShade="D9"/>
        <w:suppressAutoHyphens/>
        <w:rPr>
          <w:rFonts w:cs="Arial"/>
        </w:rPr>
      </w:pPr>
      <w:r>
        <w:rPr>
          <w:rFonts w:cs="Arial"/>
        </w:rPr>
        <w:t>f.</w:t>
      </w:r>
      <w:r>
        <w:rPr>
          <w:rFonts w:cs="Arial"/>
        </w:rPr>
        <w:tab/>
        <w:t>A-hout en B-hout;</w:t>
      </w:r>
    </w:p>
    <w:p w:rsidR="00286455" w:rsidRDefault="00286455" w:rsidP="00286455">
      <w:pPr>
        <w:pStyle w:val="art2enivo"/>
        <w:shd w:val="clear" w:color="auto" w:fill="D9D9D9" w:themeFill="background1" w:themeFillShade="D9"/>
        <w:suppressAutoHyphens/>
        <w:rPr>
          <w:rFonts w:cs="Arial"/>
        </w:rPr>
      </w:pPr>
      <w:r>
        <w:rPr>
          <w:rFonts w:cs="Arial"/>
        </w:rPr>
        <w:t>g.</w:t>
      </w:r>
      <w:r>
        <w:rPr>
          <w:rFonts w:cs="Arial"/>
        </w:rPr>
        <w:tab/>
        <w:t>banden van voertuigen;</w:t>
      </w:r>
    </w:p>
    <w:p w:rsidR="00286455" w:rsidRDefault="00286455" w:rsidP="00286455">
      <w:pPr>
        <w:pStyle w:val="art2enivo"/>
        <w:shd w:val="clear" w:color="auto" w:fill="D9D9D9" w:themeFill="background1" w:themeFillShade="D9"/>
        <w:suppressAutoHyphens/>
        <w:rPr>
          <w:rFonts w:cs="Arial"/>
        </w:rPr>
      </w:pPr>
      <w:r>
        <w:rPr>
          <w:rFonts w:cs="Arial"/>
        </w:rPr>
        <w:t>h.</w:t>
      </w:r>
      <w:r>
        <w:rPr>
          <w:rFonts w:cs="Arial"/>
        </w:rPr>
        <w:tab/>
        <w:t>dakafval;</w:t>
      </w:r>
    </w:p>
    <w:p w:rsidR="00286455" w:rsidRDefault="00286455" w:rsidP="00286455">
      <w:pPr>
        <w:pStyle w:val="art2enivo"/>
        <w:shd w:val="clear" w:color="auto" w:fill="D9D9D9" w:themeFill="background1" w:themeFillShade="D9"/>
        <w:suppressAutoHyphens/>
        <w:rPr>
          <w:rFonts w:cs="Arial"/>
        </w:rPr>
      </w:pPr>
      <w:r>
        <w:rPr>
          <w:rFonts w:cs="Arial"/>
        </w:rPr>
        <w:t>i.</w:t>
      </w:r>
      <w:r>
        <w:rPr>
          <w:rFonts w:cs="Arial"/>
        </w:rPr>
        <w:tab/>
        <w:t>geëxpandeerd polystyreenschuim;</w:t>
      </w:r>
    </w:p>
    <w:p w:rsidR="00286455" w:rsidRDefault="00286455" w:rsidP="00286455">
      <w:pPr>
        <w:pStyle w:val="art2enivo"/>
        <w:shd w:val="clear" w:color="auto" w:fill="D9D9D9" w:themeFill="background1" w:themeFillShade="D9"/>
        <w:suppressAutoHyphens/>
        <w:rPr>
          <w:rFonts w:cs="Arial"/>
        </w:rPr>
      </w:pPr>
      <w:r>
        <w:rPr>
          <w:rFonts w:cs="Arial"/>
        </w:rPr>
        <w:t>j.</w:t>
      </w:r>
      <w:r>
        <w:rPr>
          <w:rFonts w:cs="Arial"/>
        </w:rPr>
        <w:tab/>
        <w:t>gemengd steenachtig materiaal, niet zijnde asfalt en niet zijnde gips;</w:t>
      </w:r>
    </w:p>
    <w:p w:rsidR="00286455" w:rsidRDefault="00286455" w:rsidP="00286455">
      <w:pPr>
        <w:pStyle w:val="art2enivo"/>
        <w:shd w:val="clear" w:color="auto" w:fill="D9D9D9" w:themeFill="background1" w:themeFillShade="D9"/>
        <w:suppressAutoHyphens/>
        <w:rPr>
          <w:rFonts w:cs="Arial"/>
        </w:rPr>
      </w:pPr>
      <w:r>
        <w:rPr>
          <w:rFonts w:cs="Arial"/>
        </w:rPr>
        <w:t>k.</w:t>
      </w:r>
      <w:r>
        <w:rPr>
          <w:rFonts w:cs="Arial"/>
        </w:rPr>
        <w:tab/>
        <w:t>gips;</w:t>
      </w:r>
    </w:p>
    <w:p w:rsidR="00286455" w:rsidRDefault="00286455" w:rsidP="00286455">
      <w:pPr>
        <w:pStyle w:val="art2enivo"/>
        <w:shd w:val="clear" w:color="auto" w:fill="D9D9D9" w:themeFill="background1" w:themeFillShade="D9"/>
        <w:suppressAutoHyphens/>
        <w:rPr>
          <w:rFonts w:cs="Arial"/>
        </w:rPr>
      </w:pPr>
      <w:r>
        <w:rPr>
          <w:rFonts w:cs="Arial"/>
        </w:rPr>
        <w:t>l.</w:t>
      </w:r>
      <w:r>
        <w:rPr>
          <w:rFonts w:cs="Arial"/>
        </w:rPr>
        <w:tab/>
        <w:t>grof tuinafval;</w:t>
      </w:r>
    </w:p>
    <w:p w:rsidR="00286455" w:rsidRDefault="00286455" w:rsidP="00286455">
      <w:pPr>
        <w:pStyle w:val="art2enivo"/>
        <w:shd w:val="clear" w:color="auto" w:fill="D9D9D9" w:themeFill="background1" w:themeFillShade="D9"/>
        <w:suppressAutoHyphens/>
        <w:rPr>
          <w:rFonts w:cs="Arial"/>
        </w:rPr>
      </w:pPr>
      <w:r>
        <w:rPr>
          <w:rFonts w:cs="Arial"/>
        </w:rPr>
        <w:t>m.</w:t>
      </w:r>
      <w:r>
        <w:rPr>
          <w:rFonts w:cs="Arial"/>
        </w:rPr>
        <w:tab/>
        <w:t>harde kunststoffen;</w:t>
      </w:r>
    </w:p>
    <w:p w:rsidR="00286455" w:rsidRDefault="00286455" w:rsidP="00286455">
      <w:pPr>
        <w:pStyle w:val="art2enivo"/>
        <w:shd w:val="clear" w:color="auto" w:fill="D9D9D9" w:themeFill="background1" w:themeFillShade="D9"/>
        <w:suppressAutoHyphens/>
        <w:rPr>
          <w:rFonts w:cs="Arial"/>
        </w:rPr>
      </w:pPr>
      <w:r>
        <w:rPr>
          <w:rFonts w:cs="Arial"/>
        </w:rPr>
        <w:t>n.</w:t>
      </w:r>
      <w:r>
        <w:rPr>
          <w:rFonts w:cs="Arial"/>
        </w:rPr>
        <w:tab/>
        <w:t>matrassen;</w:t>
      </w:r>
    </w:p>
    <w:p w:rsidR="00286455" w:rsidRDefault="00286455" w:rsidP="00286455">
      <w:pPr>
        <w:pStyle w:val="art2enivo"/>
        <w:shd w:val="clear" w:color="auto" w:fill="D9D9D9" w:themeFill="background1" w:themeFillShade="D9"/>
        <w:suppressAutoHyphens/>
        <w:rPr>
          <w:rFonts w:cs="Arial"/>
        </w:rPr>
      </w:pPr>
      <w:r>
        <w:rPr>
          <w:rFonts w:cs="Arial"/>
        </w:rPr>
        <w:t>o.</w:t>
      </w:r>
      <w:r>
        <w:rPr>
          <w:rFonts w:cs="Arial"/>
        </w:rPr>
        <w:tab/>
        <w:t>metalen;</w:t>
      </w:r>
    </w:p>
    <w:p w:rsidR="00286455" w:rsidRDefault="00286455" w:rsidP="00286455">
      <w:pPr>
        <w:pStyle w:val="art2enivo"/>
        <w:shd w:val="clear" w:color="auto" w:fill="D9D9D9" w:themeFill="background1" w:themeFillShade="D9"/>
        <w:suppressAutoHyphens/>
        <w:rPr>
          <w:rFonts w:cs="Arial"/>
        </w:rPr>
      </w:pPr>
      <w:r>
        <w:rPr>
          <w:rFonts w:cs="Arial"/>
        </w:rPr>
        <w:t>p.</w:t>
      </w:r>
      <w:r>
        <w:rPr>
          <w:rFonts w:cs="Arial"/>
        </w:rPr>
        <w:tab/>
        <w:t>papier en karton;</w:t>
      </w:r>
    </w:p>
    <w:p w:rsidR="00286455" w:rsidRDefault="00286455" w:rsidP="00286455">
      <w:pPr>
        <w:pStyle w:val="art2enivo"/>
        <w:shd w:val="clear" w:color="auto" w:fill="D9D9D9" w:themeFill="background1" w:themeFillShade="D9"/>
        <w:suppressAutoHyphens/>
        <w:rPr>
          <w:rFonts w:cs="Arial"/>
        </w:rPr>
      </w:pPr>
      <w:r>
        <w:rPr>
          <w:rFonts w:cs="Arial"/>
        </w:rPr>
        <w:t>q.</w:t>
      </w:r>
      <w:r>
        <w:rPr>
          <w:rFonts w:cs="Arial"/>
        </w:rPr>
        <w:tab/>
        <w:t>textiel, niet zijnde tapijt; en</w:t>
      </w:r>
    </w:p>
    <w:p w:rsidR="00286455" w:rsidRDefault="00286455" w:rsidP="00286455">
      <w:pPr>
        <w:pStyle w:val="art2enivo"/>
        <w:shd w:val="clear" w:color="auto" w:fill="D9D9D9" w:themeFill="background1" w:themeFillShade="D9"/>
        <w:suppressAutoHyphens/>
        <w:rPr>
          <w:rFonts w:cs="Arial"/>
        </w:rPr>
      </w:pPr>
      <w:r>
        <w:rPr>
          <w:rFonts w:cs="Arial"/>
        </w:rPr>
        <w:t>r.</w:t>
      </w:r>
      <w:r>
        <w:rPr>
          <w:rFonts w:cs="Arial"/>
        </w:rPr>
        <w:tab/>
        <w:t>vlakglas.</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Het tweede lid is niet van toepassing op grove huishoudelijke afvalstoffen die de inrichting niet inneemt. De inrichtinghouder zorgt er in dat geval voor dat bij de inrichting duidelijk is aangegeven waar de inwoners van de gemeente deze afvalstoffen wel kunnen aanbieden. Verder neemt de inrichtinghouder in dat geval in de procedures van acceptatie en controle bedoeld in artikel 2.14b van het besluit op hoe ervoor gezorgd wordt dat deze afvalstoffen niet worden ingenomen.</w:t>
      </w:r>
    </w:p>
    <w:p w:rsidR="00286455" w:rsidRDefault="00286455" w:rsidP="00286455">
      <w:pPr>
        <w:pStyle w:val="art1enivo"/>
        <w:shd w:val="clear" w:color="auto" w:fill="D9D9D9" w:themeFill="background1" w:themeFillShade="D9"/>
        <w:suppressAutoHyphens/>
        <w:rPr>
          <w:rFonts w:cs="Arial"/>
        </w:rPr>
      </w:pPr>
      <w:r>
        <w:rPr>
          <w:rFonts w:cs="Arial"/>
        </w:rPr>
        <w:t>4.</w:t>
      </w:r>
      <w:r>
        <w:rPr>
          <w:rFonts w:cs="Arial"/>
        </w:rPr>
        <w:tab/>
        <w:t>Onverminderd artikel 2.14b van het besluit draagt de inrichtinghouder er zorg voor dat zoveel mogelijk wordt voorkomen dat afvalstoffen waarvoor specifieke voorzieningen aanwezig zijn in de voorziening voor het restafval worden gedeponeerd. De inrichtinghouder neemt in de procedures van acceptatie en controle bedoeld in artikel 2.14b van het besluit op hoe hier invulling aan gegeven wordt.</w:t>
      </w:r>
    </w:p>
    <w:p w:rsidR="00286455" w:rsidRDefault="00286455" w:rsidP="00286455">
      <w:pPr>
        <w:pStyle w:val="art1enivo"/>
        <w:shd w:val="clear" w:color="auto" w:fill="D9D9D9" w:themeFill="background1" w:themeFillShade="D9"/>
      </w:pPr>
      <w:r>
        <w:t>5.</w:t>
      </w:r>
      <w:r>
        <w:tab/>
        <w:t>De voorziening voor matrassen, bedoeld in het tweede lid, aanhef en onder n, wordt zo uitgevoerd dat de matrassen niet in contact komen met hemelwater.</w:t>
      </w:r>
    </w:p>
    <w:p w:rsidR="00286455" w:rsidRDefault="00286455" w:rsidP="00286455">
      <w:pPr>
        <w:pStyle w:val="art1enivo"/>
        <w:shd w:val="clear" w:color="auto" w:fill="D9D9D9" w:themeFill="background1" w:themeFillShade="D9"/>
        <w:suppressAutoHyphens/>
        <w:rPr>
          <w:rFonts w:cs="Arial"/>
        </w:rPr>
      </w:pPr>
      <w:r>
        <w:rPr>
          <w:rFonts w:cs="Arial"/>
        </w:rPr>
        <w:t>6.</w:t>
      </w:r>
      <w:r>
        <w:rPr>
          <w:rFonts w:cs="Arial"/>
        </w:rPr>
        <w:tab/>
        <w:t>Bij maatwerkvoorschrift kan het bevoegd gezag toestaan dat een of meer van de voorzieningen, bedoeld in het tweede lid, onder f tot en met r, niet aanwezig zijn, op voorwaarde dat de inrichtinghouder op een redelijke in het voorschrift te stellen termijn via nascheiding of op andere wijze een zelfde niveau van afvalscheiding bereikt</w:t>
      </w:r>
      <w:r>
        <w:t xml:space="preserve"> </w:t>
      </w:r>
      <w:r>
        <w:rPr>
          <w:rFonts w:cs="Arial"/>
        </w:rPr>
        <w:t xml:space="preserve">waarmee een zelfde niveau van recycling kan worden bereikt als bij het gescheiden houden conform het tweede lid. </w:t>
      </w:r>
    </w:p>
    <w:p w:rsidR="00286455" w:rsidRDefault="00286455" w:rsidP="00286455">
      <w:pPr>
        <w:pStyle w:val="art1enivo"/>
        <w:shd w:val="clear" w:color="auto" w:fill="D9D9D9" w:themeFill="background1" w:themeFillShade="D9"/>
        <w:suppressAutoHyphens/>
        <w:rPr>
          <w:rFonts w:cs="Arial"/>
        </w:rPr>
      </w:pPr>
      <w:r>
        <w:rPr>
          <w:rFonts w:cs="Arial"/>
        </w:rPr>
        <w:t>7.</w:t>
      </w:r>
      <w:r>
        <w:rPr>
          <w:rFonts w:cs="Arial"/>
        </w:rPr>
        <w:tab/>
        <w:t>Bij maatwerkvoorschrift als bedoeld in het zesde lid kunnen voorwaarden worden gesteld aan de wijze van nascheiding of andere alternatieve verwerking en het overleggen van bescheiden hierover.</w:t>
      </w:r>
    </w:p>
    <w:p w:rsidR="00286455" w:rsidRPr="00286455" w:rsidRDefault="00286455" w:rsidP="00286455"/>
    <w:p w:rsidR="00296032" w:rsidRPr="00296032" w:rsidRDefault="00296032">
      <w:pPr>
        <w:pStyle w:val="paragraaf"/>
      </w:pPr>
      <w:bookmarkStart w:id="166" w:name="_Toc431375658"/>
      <w:r w:rsidRPr="00296032">
        <w:t>§ 3.8.3. Buitenschietbanen</w:t>
      </w:r>
      <w:bookmarkEnd w:id="166"/>
    </w:p>
    <w:p w:rsidR="00296032" w:rsidRPr="00296032" w:rsidRDefault="00296032">
      <w:pPr>
        <w:pStyle w:val="artikelkop"/>
      </w:pPr>
      <w:r w:rsidRPr="00296032">
        <w:t xml:space="preserve">Artikel 3.157 </w:t>
      </w:r>
    </w:p>
    <w:p w:rsidR="00296032" w:rsidRPr="00620047" w:rsidRDefault="00296032">
      <w:pPr>
        <w:pStyle w:val="artplat"/>
      </w:pPr>
      <w:r w:rsidRPr="00620047">
        <w:t>Deze paragraaf is van toepassing op het schieten op:</w:t>
      </w:r>
    </w:p>
    <w:p w:rsidR="00296032" w:rsidRPr="00620047" w:rsidRDefault="00296032">
      <w:pPr>
        <w:pStyle w:val="artplatletter"/>
      </w:pPr>
      <w:r w:rsidRPr="00620047">
        <w:t>a.</w:t>
      </w:r>
      <w:r w:rsidRPr="00620047">
        <w:tab/>
        <w:t>een buitenschietbaan die wordt gebruikt door de Nederlandse of een bondgenootschappelijke krijgsmacht waar minder dan 3 miljoen schoten per jaar worden afgevuurd;</w:t>
      </w:r>
    </w:p>
    <w:p w:rsidR="00296032" w:rsidRPr="00620047" w:rsidRDefault="00296032">
      <w:pPr>
        <w:pStyle w:val="artplatletter"/>
      </w:pPr>
      <w:r w:rsidRPr="00620047">
        <w:t>b.</w:t>
      </w:r>
      <w:r w:rsidRPr="00620047">
        <w:tab/>
        <w:t>een buitenschietbaan, niet zijnde een buitenschietbaan als bedoeld onder a, met beperkte onveilige zone;</w:t>
      </w:r>
    </w:p>
    <w:p w:rsidR="00296032" w:rsidRPr="00620047" w:rsidRDefault="00296032">
      <w:pPr>
        <w:pStyle w:val="artplatletter"/>
      </w:pPr>
      <w:r w:rsidRPr="00620047">
        <w:t>c.</w:t>
      </w:r>
      <w:r w:rsidRPr="00620047">
        <w:tab/>
        <w:t>een kleiduivenbaan.</w:t>
      </w:r>
    </w:p>
    <w:p w:rsidR="00296032" w:rsidRPr="00296032" w:rsidRDefault="00296032">
      <w:pPr>
        <w:pStyle w:val="artikelkop"/>
      </w:pPr>
      <w:r w:rsidRPr="00296032">
        <w:t xml:space="preserve">Artikel 3.158 </w:t>
      </w:r>
    </w:p>
    <w:p w:rsidR="00296032" w:rsidRPr="00620047" w:rsidRDefault="00296032">
      <w:pPr>
        <w:pStyle w:val="artplat"/>
      </w:pPr>
      <w:r w:rsidRPr="00620047">
        <w:t>In afwijking van artikel 2.9, eerste lid, worden bij het schieten op een buitenschietbaan ten behoeve van het voorkomen dan wel voor zover dat niet mogelijk is het zoveel mogelijk beperken van bodemverontreiniging de bij ministeriële regeling voorgeschreven maatregelen getroffen.</w:t>
      </w:r>
    </w:p>
    <w:p w:rsidR="00296032" w:rsidRPr="00296032" w:rsidRDefault="00296032">
      <w:pPr>
        <w:pStyle w:val="artikelkop"/>
      </w:pPr>
      <w:r w:rsidRPr="00296032">
        <w:t xml:space="preserve">Artikel 3.159 </w:t>
      </w:r>
    </w:p>
    <w:p w:rsidR="00296032" w:rsidRPr="00620047" w:rsidRDefault="00296032">
      <w:pPr>
        <w:pStyle w:val="artplat"/>
      </w:pPr>
      <w:r w:rsidRPr="00620047">
        <w:t>De artikelen 2.17 tot en met 2.22 zijn niet van toepassing op een buitenschietbaan.</w:t>
      </w:r>
    </w:p>
    <w:p w:rsidR="00296032" w:rsidRPr="00296032" w:rsidRDefault="00296032">
      <w:pPr>
        <w:pStyle w:val="artikelkop"/>
      </w:pPr>
      <w:r w:rsidRPr="00296032">
        <w:t xml:space="preserve">Artikel 3.160 </w:t>
      </w:r>
    </w:p>
    <w:p w:rsidR="00296032" w:rsidRPr="00620047" w:rsidRDefault="00296032">
      <w:pPr>
        <w:pStyle w:val="art1enivo"/>
      </w:pPr>
      <w:r w:rsidRPr="00620047">
        <w:t>1.</w:t>
      </w:r>
      <w:r w:rsidRPr="00620047">
        <w:tab/>
        <w:t>Een buitenschietbaan voldoet ten behoeve van het voorkomen dan wel voor zover dat niet mogelijk is het tot een aanvaardbaar niveau beperken van geluidhinder aan de norm van ten hoogste 50 dB Bs,dan op de gevel van gevoelige gebouwen en bij gevoelige terreinen op de grens van het terrein.</w:t>
      </w:r>
    </w:p>
    <w:p w:rsidR="00296032" w:rsidRPr="00620047" w:rsidRDefault="00296032">
      <w:pPr>
        <w:pStyle w:val="art1enivo"/>
      </w:pPr>
      <w:r w:rsidRPr="00620047">
        <w:t>2.</w:t>
      </w:r>
      <w:r w:rsidRPr="00620047">
        <w:tab/>
        <w:t>In afwijking van het eerste lid kan het bevoegd gezag in verband met nationale of operationele belangen bij maatwerkvoorschrift normen met een andere waarde vaststellen van ten hoogste 55 dB Bs,dan.</w:t>
      </w:r>
    </w:p>
    <w:p w:rsidR="00296032" w:rsidRPr="00620047" w:rsidRDefault="00296032">
      <w:pPr>
        <w:pStyle w:val="art1enivo"/>
      </w:pPr>
      <w:r w:rsidRPr="00620047">
        <w:t>3.</w:t>
      </w:r>
      <w:r w:rsidRPr="00620047">
        <w:tab/>
        <w:t>De geluidvoorschriften in een omgevingsvergunning op grond van artikel 2.1, eerste lid, aanhef en onder e, van de Wet algemene bepalingen omgevingsrecht, voor een inrichting waarvan een buitenschietbaan deel uitmaakt, die in werking en onherroepelijk was tot het tijdstip van het in werking treden van het eerste lid, blijven van toepassing gedurende ten hoogste vijf jaar na dat tijdstip dan wel tot het tijdstip waarop het gebruik, het wapentype of de constructie van de buitenschietbaan wordt gewijzigd dan wel tot het tijdstip waarop een maatwerkvoorschrift als bedoeld in het tweede lid, wordt opgelegd.</w:t>
      </w:r>
    </w:p>
    <w:p w:rsidR="00296032" w:rsidRPr="00296032" w:rsidRDefault="00296032">
      <w:pPr>
        <w:pStyle w:val="artikelkop"/>
      </w:pPr>
      <w:r w:rsidRPr="00296032">
        <w:t xml:space="preserve">Artikel 3.161 </w:t>
      </w:r>
    </w:p>
    <w:p w:rsidR="00296032" w:rsidRPr="00620047" w:rsidRDefault="00296032">
      <w:pPr>
        <w:pStyle w:val="art1enivo"/>
      </w:pPr>
      <w:r w:rsidRPr="00620047">
        <w:t>1.</w:t>
      </w:r>
      <w:r w:rsidRPr="00620047">
        <w:tab/>
        <w:t>De berekening van de geluidbelasting wordt uitgevoerd overeenkomstig de bij ministeriële regeling gestelde eisen.</w:t>
      </w:r>
    </w:p>
    <w:p w:rsidR="00296032" w:rsidRPr="00620047" w:rsidRDefault="00296032">
      <w:pPr>
        <w:pStyle w:val="art1enivo"/>
      </w:pPr>
      <w:r w:rsidRPr="00620047">
        <w:t>2.</w:t>
      </w:r>
      <w:r w:rsidRPr="00620047">
        <w:tab/>
        <w:t>De drijver van de inrichting registreert de bij ministeriële regeling te bepalen gegevens welke gedurende vijf kalenderjaren na dagtekening worden bewaard en ter inzage gehouden.</w:t>
      </w:r>
    </w:p>
    <w:p w:rsidR="00296032" w:rsidRPr="00296032" w:rsidRDefault="00296032">
      <w:pPr>
        <w:pStyle w:val="artikelkop"/>
      </w:pPr>
      <w:r w:rsidRPr="00296032">
        <w:t xml:space="preserve">Artikel 3.162 </w:t>
      </w:r>
    </w:p>
    <w:p w:rsidR="00296032" w:rsidRDefault="00296032">
      <w:pPr>
        <w:pStyle w:val="artplat"/>
      </w:pPr>
      <w:r w:rsidRPr="00620047">
        <w:t>Bij het schieten op een buitenschietbaan wordt ten behoeve van het voorkomen van risico’s voor de omgeving en ongewone voorvallen, dan wel voor zover dat niet mogelijk is het zoveel mogelijk beperken van de risico’s voor de omgeving en de kans dat ongewone voorvallen zich voordoen en de gevolgen hiervan, voldaan aan de bij ministeriele regeling gestelde eisen.</w:t>
      </w:r>
    </w:p>
    <w:p w:rsidR="00286455" w:rsidRDefault="00286455">
      <w:pPr>
        <w:pStyle w:val="artplat"/>
      </w:pPr>
    </w:p>
    <w:p w:rsidR="00286455" w:rsidRDefault="00286455" w:rsidP="00286455">
      <w:pPr>
        <w:pStyle w:val="paragraaf"/>
        <w:shd w:val="clear" w:color="auto" w:fill="D9D9D9" w:themeFill="background1" w:themeFillShade="D9"/>
        <w:rPr>
          <w:rFonts w:eastAsiaTheme="minorEastAsia"/>
          <w:lang w:eastAsia="nl-NL"/>
        </w:rPr>
      </w:pPr>
      <w:bookmarkStart w:id="167" w:name="_Toc431375659"/>
      <w:r>
        <w:rPr>
          <w:rFonts w:eastAsiaTheme="minorEastAsia"/>
          <w:lang w:eastAsia="nl-NL"/>
        </w:rPr>
        <w:t>§ 3.8.2.</w:t>
      </w:r>
      <w:r>
        <w:rPr>
          <w:rFonts w:eastAsiaTheme="minorEastAsia"/>
          <w:lang w:eastAsia="nl-NL"/>
        </w:rPr>
        <w:tab/>
        <w:t>Buitenschietbanen</w:t>
      </w:r>
      <w:bookmarkEnd w:id="167"/>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3.116 </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Ten behoeve van het voorkomen dan wel voor zover dat niet mogelijk is het zoveel mogelijk beperken van bodemverontreiniging als bedoeld in artikel 3.158 van het besluit is de kogelvanger opgesteld boven een bodembeschermende maatregel tenzij deze is uitgevoerd als zandkogelvanger met overkapping tegen inregenen.</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eerste lid is niet van toepassing op een kleiduivenschietbaan die niet bij besluit op grond van artikel 2, derde lid, van het Besluit kleiduivenschieten milieubeheer is aangewezen.</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Indien een kleiduivenschietbaan bij besluit als bedoeld in het tweede lid is aangewezen, stelt het bevoegd gezag bij maatwerkvoorschrift eisen aan de bescherming van de baanzool, van andere bodemoppervlakken en aan de maatregel, bedoeld in het eerste lid.</w:t>
      </w:r>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3.117 </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3.162 van het besluit, wordt bij het schieten op een buitenschietbaan voldaan aan het tweede tot en met vierde lid.</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constructie van een buitenschietbaan als bedoeld in artikel 3.157, onderdeel a, van het besluit, voldoet ten minste aan de bepalingen 2.1.1 tot en met 2.1.5, 2.2.1 tot en met 2.2.5, 2.3.1 tot en met 2.3.5, 2.4.1 tot en met 2.4.4 2.5.1 tot en met 2.5.3 van de MP 40-30.</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constructie van een buitenschietbaan als bedoeld in artikel 3.157, onderdeel b, van het besluit voldoet ten minste aan tabel 3.117a.</w:t>
      </w:r>
    </w:p>
    <w:p w:rsidR="00286455" w:rsidRDefault="00286455" w:rsidP="00286455">
      <w:pPr>
        <w:pStyle w:val="tabelkop"/>
        <w:shd w:val="clear" w:color="auto" w:fill="D9D9D9" w:themeFill="background1" w:themeFillShade="D9"/>
        <w:rPr>
          <w:rFonts w:eastAsiaTheme="minorEastAsia"/>
          <w:lang w:eastAsia="nl-NL"/>
        </w:rPr>
      </w:pPr>
      <w:r>
        <w:rPr>
          <w:rFonts w:eastAsiaTheme="minorEastAsia"/>
          <w:lang w:eastAsia="nl-NL"/>
        </w:rPr>
        <w:t>Tabel 3.117a</w:t>
      </w:r>
    </w:p>
    <w:p w:rsidR="00286455" w:rsidRDefault="00286455" w:rsidP="00286455">
      <w:pPr>
        <w:shd w:val="clear" w:color="auto" w:fill="D9D9D9" w:themeFill="background1" w:themeFillShade="D9"/>
        <w:rPr>
          <w:rFonts w:eastAsiaTheme="minorEastAsia"/>
          <w:lang w:eastAsia="nl-NL"/>
        </w:rPr>
      </w:pPr>
    </w:p>
    <w:tbl>
      <w:tblPr>
        <w:tblStyle w:val="Tabelraster"/>
        <w:tblW w:w="9921" w:type="dxa"/>
        <w:tblInd w:w="0" w:type="dxa"/>
        <w:tblLook w:val="04A0" w:firstRow="1" w:lastRow="0" w:firstColumn="1" w:lastColumn="0" w:noHBand="0" w:noVBand="1"/>
      </w:tblPr>
      <w:tblGrid>
        <w:gridCol w:w="2086"/>
        <w:gridCol w:w="2250"/>
        <w:gridCol w:w="2409"/>
        <w:gridCol w:w="3176"/>
      </w:tblGrid>
      <w:tr w:rsidR="00286455" w:rsidRPr="00E97B0F" w:rsidTr="00F43C9B">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Pr="00E97B0F"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sidRPr="00E97B0F">
              <w:rPr>
                <w:rFonts w:eastAsiaTheme="minorEastAsia" w:cs="Arial"/>
                <w:kern w:val="3"/>
                <w:szCs w:val="20"/>
                <w:lang w:eastAsia="nl-NL"/>
              </w:rPr>
              <w:t>deel of kenmerk van de schietbaan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Pr="00E97B0F"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sidRPr="00E97B0F">
              <w:rPr>
                <w:rFonts w:eastAsiaTheme="minorEastAsia" w:cs="Arial"/>
                <w:kern w:val="3"/>
                <w:szCs w:val="20"/>
                <w:lang w:eastAsia="nl-NL"/>
              </w:rPr>
              <w:t>wapens met een kaliber tot en met .22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Pr="00E97B0F"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sidRPr="00E97B0F">
              <w:rPr>
                <w:rFonts w:eastAsiaTheme="minorEastAsia" w:cs="Arial"/>
                <w:kern w:val="3"/>
                <w:szCs w:val="20"/>
                <w:lang w:eastAsia="nl-NL"/>
              </w:rPr>
              <w:t>vuistvuurwapens met een kaliber tot .50 en overige vuurwapens voorzien van pistoolmunitie en historische vuistvuurwapens</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Pr="00E97B0F"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sidRPr="00E97B0F">
              <w:rPr>
                <w:rFonts w:eastAsiaTheme="minorEastAsia" w:cs="Arial"/>
                <w:kern w:val="3"/>
                <w:szCs w:val="20"/>
                <w:lang w:eastAsia="nl-NL"/>
              </w:rPr>
              <w:t>schoudervuurwapens met een kaliber tot .50 en historische schoudervuurwapens</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constructie van afscherming om uittreden kogels aan bovenzijde tegen te gaan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50 mm beton of 100 mm gasbeton of 5 mm staalplaat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100 mm beton of 150 mm gasbeton of 8 mm staalplaat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200 mm beton of gasbeton of 12 mm staalplaat indien toegepast op minder dan 100 m van het wapen; op 100 m of meer afstand van het wapen 150 mm beton of gasbeton of 10 mm staalplaat</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plaatsing afscherming om uittreden van kogels aan bovenzijde tegen te gaan</w:t>
            </w:r>
          </w:p>
        </w:tc>
        <w:tc>
          <w:tcPr>
            <w:tcW w:w="0" w:type="auto"/>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schoten afgevuurd in de richting van de baanas onder een hoek met de horizontaal van 45graden voor vuistvuurwapens en 20 graden bij schoudervuurwapens worden door de afscherming opgevangen.</w:t>
            </w:r>
          </w:p>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ricochets onder een hoek tot 21 graden met de bodem worden door de afscherming opgevangen.</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afscherming om uittreden van kogels aan de zijkant van de schietbaan tegen te gaan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100 mm metselwerk of kalkzandsteen of 75 mm beton of aarden wal minimaal 40 graden, aansluitend op de kogelvanger</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200 mm metselwerk of kalkzandsteen of 100 mm beton of aarden wal minimaal 40 graden, aansluitend op kogelvanger</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200 mm metselwerk of kalkzandsteen of 200 mm beton of aarden wal minimaal 40 graden, aansluitend op kogelvanger</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bescherming van stenen, betonnen of stalen afschermingen op minder dan 20 m van de schietpunten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aan schutterszijde vurenhout 20 mm of cementvezelplaat 25 mm op regels 25 mm</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aan schutterszijde vurenhout 25 mm of cementvezelplaat 50 mm op regels 30 mm</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aan schutterszijde vurenhout 25 mm of cementvezelplaat 50 mm op regels 30 mm</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bescherming overige aanschietbare harde delen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vurenhout 20 mm op regels 25 mm</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vurenhout 25 mm op regels 30 mm</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vurenhout 25 mm op regels 30 mm</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baanzool (indien en voor zover onverhard)</w:t>
            </w:r>
          </w:p>
        </w:tc>
        <w:tc>
          <w:tcPr>
            <w:tcW w:w="0" w:type="auto"/>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vlak zand of met gras begroeid vlak, zonder harde bestanddelen met afmetingen groter dan 5 mm</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baanzool (indien en voor zover verhard)</w:t>
            </w:r>
          </w:p>
        </w:tc>
        <w:tc>
          <w:tcPr>
            <w:tcW w:w="0" w:type="auto"/>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harde ondergrond is voorzien van een zachte afwerklaag van hout, zandcement, kunststof of fijn asfalt, dik ten minste 25 mm.</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zandkogelvanger</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Helling minimaal 34 graden met horizontaal; nabij hoogst mogelijke inslag 0,75 m diepte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Helling minimaal 34 graden met horizontaal; nabij hoogst mogelijke inslag 1,0 m diepte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Helling minimaal 34 graden met horizontaal; nabij hoogst mogelijke inslag 1,2 m diepte</w:t>
            </w:r>
          </w:p>
        </w:tc>
      </w:tr>
    </w:tbl>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Een kleiduivenschietbaan heeft een onveilige zone in de vorm van een cirkelsector die voldoet aan tabel 3.117b en waarin tijdens het schieten geen personen aanwezig mogen zijn.</w:t>
      </w:r>
    </w:p>
    <w:p w:rsidR="00286455" w:rsidRDefault="00286455" w:rsidP="00286455">
      <w:pPr>
        <w:shd w:val="clear" w:color="auto" w:fill="D9D9D9" w:themeFill="background1" w:themeFillShade="D9"/>
        <w:rPr>
          <w:rFonts w:eastAsiaTheme="minorEastAsia"/>
          <w:lang w:eastAsia="nl-NL"/>
        </w:rPr>
      </w:pPr>
    </w:p>
    <w:p w:rsidR="00286455" w:rsidRDefault="00286455" w:rsidP="00286455">
      <w:pPr>
        <w:pStyle w:val="tabelkop"/>
        <w:shd w:val="clear" w:color="auto" w:fill="D9D9D9" w:themeFill="background1" w:themeFillShade="D9"/>
        <w:rPr>
          <w:rFonts w:eastAsiaTheme="minorEastAsia"/>
          <w:lang w:eastAsia="nl-NL"/>
        </w:rPr>
      </w:pPr>
      <w:r>
        <w:rPr>
          <w:rFonts w:eastAsiaTheme="minorEastAsia"/>
          <w:lang w:eastAsia="nl-NL"/>
        </w:rPr>
        <w:t>Tabel 3.117b</w:t>
      </w:r>
    </w:p>
    <w:tbl>
      <w:tblPr>
        <w:tblStyle w:val="Tabelraster"/>
        <w:tblW w:w="9921" w:type="dxa"/>
        <w:tblInd w:w="0" w:type="dxa"/>
        <w:tblLook w:val="04A0" w:firstRow="1" w:lastRow="0" w:firstColumn="1" w:lastColumn="0" w:noHBand="0" w:noVBand="1"/>
      </w:tblPr>
      <w:tblGrid>
        <w:gridCol w:w="1442"/>
        <w:gridCol w:w="2085"/>
        <w:gridCol w:w="2154"/>
        <w:gridCol w:w="2227"/>
        <w:gridCol w:w="2013"/>
      </w:tblGrid>
      <w:tr w:rsidR="00286455" w:rsidTr="00F43C9B">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b w:val="0"/>
                <w:kern w:val="3"/>
                <w:szCs w:val="20"/>
                <w:lang w:eastAsia="nl-NL"/>
              </w:rPr>
              <w:t>eigenschap van de onveilige sector</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b w:val="0"/>
                <w:kern w:val="3"/>
                <w:szCs w:val="20"/>
                <w:lang w:eastAsia="nl-NL"/>
              </w:rPr>
              <w:t>baan met meerdere in halve cirkel gelegen schietposten (skeetbaan)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b w:val="0"/>
                <w:kern w:val="3"/>
                <w:szCs w:val="20"/>
                <w:lang w:eastAsia="nl-NL"/>
              </w:rPr>
              <w:t>baan met een of twee rijen naast elkaar gelegen schietposten (trapbaan)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b w:val="0"/>
                <w:kern w:val="3"/>
                <w:szCs w:val="20"/>
                <w:lang w:eastAsia="nl-NL"/>
              </w:rPr>
              <w:t>baan met doelen die onder 1,0 m hoogte blijven (hazenbaan, 'lopend varken')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b w:val="0"/>
                <w:kern w:val="3"/>
                <w:szCs w:val="20"/>
                <w:lang w:eastAsia="nl-NL"/>
              </w:rPr>
              <w:t>baan met overige opstellingen van schietposten en doelen.</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middelpunt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post 8 (middelpunt halve cirkel)</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15 m midden achter voorste rij schietposten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10 m achter middelste schietpost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10 m achter midden van de achterste schietpost(en)</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hoek van de cirkelsector</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158 graden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63 graden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zichthoek op doel vanuit middelpunt tot doelgebied + 20 graden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90 graden</w:t>
            </w:r>
          </w:p>
        </w:tc>
      </w:tr>
      <w:tr w:rsidR="0028645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lengte van de sector</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225 m</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240 m</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200 m</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autoSpaceDN w:val="0"/>
              <w:spacing w:line="240" w:lineRule="auto"/>
              <w:textAlignment w:val="baseline"/>
              <w:rPr>
                <w:rFonts w:eastAsiaTheme="minorEastAsia" w:cs="Arial"/>
                <w:kern w:val="3"/>
                <w:szCs w:val="20"/>
                <w:lang w:eastAsia="nl-NL"/>
              </w:rPr>
            </w:pPr>
            <w:r>
              <w:rPr>
                <w:rFonts w:eastAsiaTheme="minorEastAsia" w:cs="Arial"/>
                <w:kern w:val="3"/>
                <w:szCs w:val="20"/>
                <w:lang w:eastAsia="nl-NL"/>
              </w:rPr>
              <w:t>260 m</w:t>
            </w:r>
          </w:p>
        </w:tc>
      </w:tr>
    </w:tbl>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Het bevoegd gezag kan in het belang van het voorkomen van risico's voor de omgeving en ongewone voorvallen, dan wel voor zover dat niet mogelijk is het zoveel mogelijk beperken van de risico's voor de omgeving en de kans dat ongewone voorvallen zich voordoen en de gevolgen hiervan bij maatwerkvoorschrift eisen stellen aan de uitvoering van de constructie, bedoeld in het tweede en derde lid, aan de afmetingen van de onveilige zone, bedoeld in het vierde lid, en aan het beperken of vrijhouden daarvan.</w:t>
      </w:r>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3.118 </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rapport van een akoestisch onderzoek, bedoeld in artikel 1.11, derde lid, onderdeel g, van het besluit voldoet aan bijlage 9 en bevat de volgende gegevens:</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naam van de opdrachtgever van het onderzoek;</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naam van de instantie die het onderzoek heeft uitgevoerd;</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de datum van het onderzoek;</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de aanleiding en het doel van het onderzoek;</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de gegevens waarmee wordt aangetoond dat de betreffende situatie valt binnen het toepassingsbereik van de gebruikte methode;</w:t>
      </w:r>
    </w:p>
    <w:p w:rsidR="00286455" w:rsidRDefault="00286455" w:rsidP="00286455">
      <w:pPr>
        <w:pStyle w:val="art3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een gedetailleerde beschrijving (naam, type, fabricaat) van de gemeten representatieve wapens en de gebruikte munitie (merk en type);</w:t>
      </w:r>
    </w:p>
    <w:p w:rsidR="00286455" w:rsidRDefault="00286455" w:rsidP="00286455">
      <w:pPr>
        <w:pStyle w:val="art3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totale aantal schoten van de representatieve gebruiksituatie voor de relevante wapencategorieën voor de relevante beoordelingsperioden;</w:t>
      </w:r>
    </w:p>
    <w:p w:rsidR="00286455" w:rsidRDefault="00286455" w:rsidP="00286455">
      <w:pPr>
        <w:pStyle w:val="art3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een plattegrond van de akoestisch relevante dimensies en de aard van de doorgerekende geluidsbeperkende of afschermende maatregelen;</w:t>
      </w:r>
    </w:p>
    <w:p w:rsidR="00286455" w:rsidRDefault="00286455" w:rsidP="00286455">
      <w:pPr>
        <w:pStyle w:val="art3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de meetwaarden voor LA</w:t>
      </w:r>
      <w:r>
        <w:rPr>
          <w:rFonts w:eastAsiaTheme="minorEastAsia"/>
          <w:position w:val="-2"/>
          <w:lang w:eastAsia="nl-NL"/>
        </w:rPr>
        <w:t>E</w:t>
      </w:r>
      <w:r>
        <w:rPr>
          <w:rFonts w:eastAsiaTheme="minorEastAsia"/>
          <w:lang w:eastAsia="nl-NL"/>
        </w:rPr>
        <w:t xml:space="preserve"> en LA</w:t>
      </w:r>
      <w:r>
        <w:rPr>
          <w:rFonts w:eastAsiaTheme="minorEastAsia"/>
          <w:position w:val="-2"/>
          <w:lang w:eastAsia="nl-NL"/>
        </w:rPr>
        <w:t>max</w:t>
      </w:r>
      <w:r>
        <w:rPr>
          <w:rFonts w:eastAsiaTheme="minorEastAsia"/>
          <w:lang w:eastAsia="nl-NL"/>
        </w:rPr>
        <w:t xml:space="preserve"> alsmede de energetische gemiddelde waarden;</w:t>
      </w:r>
    </w:p>
    <w:p w:rsidR="00286455" w:rsidRDefault="00286455" w:rsidP="00286455">
      <w:pPr>
        <w:pStyle w:val="art3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het gemeten achtergrondgeluidniveau per meetlocatie en de beschrijving van de aard van de stoorgeluiden;</w:t>
      </w:r>
    </w:p>
    <w:p w:rsidR="00286455" w:rsidRDefault="00286455" w:rsidP="00286455">
      <w:pPr>
        <w:pStyle w:val="art3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de weersomstandigheden indien metingen buiten zijn uitgevoerd;</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f.</w:t>
      </w:r>
      <w:r>
        <w:rPr>
          <w:rFonts w:eastAsiaTheme="minorEastAsia"/>
          <w:lang w:eastAsia="nl-NL"/>
        </w:rPr>
        <w:tab/>
        <w:t>indien een andere methode dan die is opgenomen in bijlage 9  wordt gebruikt, wordt de noodzaak daarvan aangegeven en wordt de toegepaste methode beschreven en verantwoord;</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g.</w:t>
      </w:r>
      <w:r>
        <w:rPr>
          <w:rFonts w:eastAsiaTheme="minorEastAsia"/>
          <w:lang w:eastAsia="nl-NL"/>
        </w:rPr>
        <w:tab/>
        <w:t>indien een rekenmethode wordt toegepast, alle ingevoerde gegevens en tevens de geraadpleegde windfrequentiegegevens;</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h.</w:t>
      </w:r>
      <w:r>
        <w:rPr>
          <w:rFonts w:eastAsiaTheme="minorEastAsia"/>
          <w:lang w:eastAsia="nl-NL"/>
        </w:rPr>
        <w:tab/>
        <w:t>een of meer kaarten of tekeningen op een zodanige schaal dat een duidelijk beeld wordt gegeven van bestaande of voorgenomen buitenschietbanen en van gevoelige gebouwen of gevoelige terreinen waarop het akoestisch onderzoek betrekking heeft;</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i.</w:t>
      </w:r>
      <w:r>
        <w:rPr>
          <w:rFonts w:eastAsiaTheme="minorEastAsia"/>
          <w:lang w:eastAsia="nl-NL"/>
        </w:rPr>
        <w:tab/>
        <w:t>de waarneempunten;</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j.</w:t>
      </w:r>
      <w:r>
        <w:rPr>
          <w:rFonts w:eastAsiaTheme="minorEastAsia"/>
          <w:lang w:eastAsia="nl-NL"/>
        </w:rPr>
        <w:tab/>
        <w:t>de situering, akoestisch relevante dimensies en de aard van de doorgerekende geluidsbeperkende of afschermende maatregelen, zowel op het oorspronkelijke kaartmateriaal als in de vorm van de geschematiseerde computerinvoer;</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k.</w:t>
      </w:r>
      <w:r>
        <w:rPr>
          <w:rFonts w:eastAsiaTheme="minorEastAsia"/>
          <w:lang w:eastAsia="nl-NL"/>
        </w:rPr>
        <w:tab/>
        <w:t>de situering, akoestisch relevante dimensies en de aard van de overige geluidsreflecterende en -afschermende objecten of constructies;</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l.</w:t>
      </w:r>
      <w:r>
        <w:rPr>
          <w:rFonts w:eastAsiaTheme="minorEastAsia"/>
          <w:lang w:eastAsia="nl-NL"/>
        </w:rPr>
        <w:tab/>
        <w:t>de scheidingslijn of scheidingslijnen tussen akoestisch harde en zachte bodemvlakken, met een aanduiding van de aard van de bodem;</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m.</w:t>
      </w:r>
      <w:r>
        <w:rPr>
          <w:rFonts w:eastAsiaTheme="minorEastAsia"/>
          <w:lang w:eastAsia="nl-NL"/>
        </w:rPr>
        <w:tab/>
        <w:t>in akoestisch gecompliceerde situaties, een grafische weergave van de bij de berekeningen gehanteerde geometrische invoergegevens;</w:t>
      </w:r>
    </w:p>
    <w:p w:rsidR="00286455" w:rsidRDefault="00286455" w:rsidP="00286455">
      <w:pPr>
        <w:shd w:val="clear" w:color="auto" w:fill="D9D9D9" w:themeFill="background1" w:themeFillShade="D9"/>
        <w:autoSpaceDN w:val="0"/>
        <w:spacing w:line="240" w:lineRule="auto"/>
        <w:ind w:left="794" w:hanging="397"/>
        <w:textAlignment w:val="baseline"/>
        <w:rPr>
          <w:rFonts w:ascii="DejaVu Sans" w:eastAsiaTheme="minorEastAsia" w:hAnsi="DejaVu Sans" w:cs="DejaVu Sans"/>
          <w:kern w:val="3"/>
          <w:sz w:val="18"/>
          <w:szCs w:val="20"/>
          <w:lang w:eastAsia="nl-NL"/>
        </w:rPr>
      </w:pPr>
      <w:r>
        <w:rPr>
          <w:rFonts w:ascii="DejaVu Sans" w:eastAsiaTheme="minorEastAsia" w:hAnsi="DejaVu Sans" w:cs="DejaVu Sans"/>
          <w:kern w:val="3"/>
          <w:sz w:val="18"/>
          <w:szCs w:val="20"/>
          <w:lang w:eastAsia="nl-NL"/>
        </w:rPr>
        <w:t>n.</w:t>
      </w:r>
      <w:r>
        <w:rPr>
          <w:rFonts w:ascii="DejaVu Sans" w:eastAsiaTheme="minorEastAsia" w:hAnsi="DejaVu Sans" w:cs="DejaVu Sans"/>
          <w:kern w:val="3"/>
          <w:sz w:val="18"/>
          <w:szCs w:val="20"/>
          <w:lang w:eastAsia="nl-NL"/>
        </w:rPr>
        <w:tab/>
        <w:t>de geluidsbelasting van een buitenschietbaan op de gevel van een gevoelig object of van de grens van een gevoelig terrein uitgedrukt in B</w:t>
      </w:r>
      <w:r>
        <w:rPr>
          <w:rFonts w:ascii="DejaVu Sans" w:eastAsiaTheme="minorEastAsia" w:hAnsi="DejaVu Sans" w:cs="DejaVu Sans"/>
          <w:kern w:val="3"/>
          <w:position w:val="-2"/>
          <w:sz w:val="18"/>
          <w:szCs w:val="20"/>
          <w:lang w:eastAsia="nl-NL"/>
        </w:rPr>
        <w:t>s,dan</w:t>
      </w:r>
      <w:r>
        <w:rPr>
          <w:rFonts w:ascii="DejaVu Sans" w:eastAsiaTheme="minorEastAsia" w:hAnsi="DejaVu Sans" w:cs="DejaVu Sans"/>
          <w:kern w:val="3"/>
          <w:sz w:val="18"/>
          <w:szCs w:val="20"/>
          <w:lang w:eastAsia="nl-NL"/>
        </w:rPr>
        <w:t>.</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 afwijking van het eerste lid, onderdeel e, onder 1°, kan voor militair gebruik worden volstaan met een beschrijving van het aantal wapens per representatieve categorie.</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Ten behoeve van het akoestisch onderzoek, bedoeld in artikel 1.11, derde lid, van het besluit, wordt bij de bepaling van de geluidsbelasting van een buitenschietbaan rekening gehouden met:</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over een kalenderjaar energetisch gemiddelde bronsterkten volgens de methode, bedoeld in paragraaf 4.5 van bijlage 9, en met gebruikmaking van de gegevens uit het register, bedoeld in het achtste lid, en de op grond van bijlage 9 aangeleverde langjarig gemiddelde windprofielen, tenzij wordt aangetoond dat gegevens beschikbaar zijn die een gelijkwaardig of beter beeld geven van de geluidsemissie van de buitenschietbaan;</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invloed van de omgeving en de meteorologische omstandigheden op de geluidsoverdracht van de buitenschietbaan naar het immissiepunt.</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Indien de vaststelling van de geluidsbelasting vanwege een buitenschietbaan plaatsvindt op de gevel van een gevoelig gebouw, bevindt het immissiepunt zich op het punt van de gevel, waar de geluidsbelasting het hoogst is.</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Indien de vaststelling van de geluidsbelasting vanwege een buitenschietbaan plaatsvindt op de grens van een gevoelig terrein, bevindt het immissiepunt zich op het punt van de grens waar de geluidsbelasting het hoogst is.</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Van de methode, bedoeld in hoofdstuk 4 van bijlage 9, kan geheel of gedeeltelijk worden afgeweken indien aannemelijk wordt gemaakt dat de toe te passen afwijking:</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een belangrijke tijdbesparing of kostenbesparing oplevert en in de betreffende situatie nagenoeg even nauwkeurig is;</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in de betreffende situatie belangrijk nauwkeuriger is, of</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voldoende nauwkeurig is en de methode, bedoeld in hoofdstuk 4 van bijlage 9, in de betreffende situatie niet leidt tot een voldoende representatieve geluidsbelasting.</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7.</w:t>
      </w:r>
      <w:r>
        <w:rPr>
          <w:rFonts w:eastAsiaTheme="minorEastAsia"/>
          <w:lang w:eastAsia="nl-NL"/>
        </w:rPr>
        <w:tab/>
        <w:t>Indien de gegevens over het bronvermogen van een wapen- of munitiecombinatie niet of niet volledig beschikbaar zijn, wordt dit bepaald volgens de methode, bedoeld in paragraaf 4.4 van bijlage 9. Indien in het kader van de handhaving wordt beoordeeld of het bronvermogen overeenkomt met de in het akoestisch onderzoek gebruikte waarden, wordt de methode, bedoeld in paragraaf 4.5 van bijlage 9, toegepast.</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8.</w:t>
      </w:r>
      <w:r>
        <w:rPr>
          <w:rFonts w:eastAsiaTheme="minorEastAsia"/>
          <w:lang w:eastAsia="nl-NL"/>
        </w:rPr>
        <w:tab/>
        <w:t>De Minister van Infrastructuur en Milieu draagt zorg voor het in stand houden van een register van brongegevens van wapen- en munitiecombinaties als bedoeld in paragraaf 4.4 van bijlage 9. Het bevoegd gezag heeft op aanvraag inzage in dit register.</w:t>
      </w:r>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3.118a </w:t>
      </w:r>
    </w:p>
    <w:p w:rsidR="00286455" w:rsidRDefault="00286455" w:rsidP="00286455">
      <w:pPr>
        <w:pStyle w:val="artplat"/>
        <w:shd w:val="clear" w:color="auto" w:fill="D9D9D9" w:themeFill="background1" w:themeFillShade="D9"/>
        <w:rPr>
          <w:rFonts w:eastAsiaTheme="minorEastAsia"/>
          <w:lang w:eastAsia="nl-NL"/>
        </w:rPr>
      </w:pPr>
      <w:r>
        <w:rPr>
          <w:rFonts w:eastAsiaTheme="minorEastAsia"/>
          <w:lang w:eastAsia="nl-NL"/>
        </w:rPr>
        <w:t>De drijver van de inrichting registreert de volgende gegevens:</w:t>
      </w:r>
    </w:p>
    <w:p w:rsidR="00286455" w:rsidRDefault="00286455" w:rsidP="00286455">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dagelijks het aantal schoten of ontploffingen per wapentype, per dag-, avond- en nachtperiode, per baan, en</w:t>
      </w:r>
    </w:p>
    <w:p w:rsidR="00286455" w:rsidRDefault="00286455" w:rsidP="00286455">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voor de duur van de handhavingsmeting, bedoeld in paragraaf 4.4.1 van bijlage 9, de op dat tijdstip gebruikte wapens en verschoten munitie.</w:t>
      </w:r>
    </w:p>
    <w:p w:rsidR="00286455" w:rsidRPr="00620047" w:rsidRDefault="00286455">
      <w:pPr>
        <w:pStyle w:val="artplat"/>
      </w:pPr>
    </w:p>
    <w:p w:rsidR="00296032" w:rsidRPr="00296032" w:rsidRDefault="00296032">
      <w:pPr>
        <w:pStyle w:val="paragraaf"/>
      </w:pPr>
      <w:bookmarkStart w:id="168" w:name="_Toc431375660"/>
      <w:r w:rsidRPr="00296032">
        <w:t>§ 3.8.4 Coaten of lijmen van planten of onderdelen van planten</w:t>
      </w:r>
      <w:bookmarkEnd w:id="168"/>
    </w:p>
    <w:p w:rsidR="00296032" w:rsidRPr="00296032" w:rsidRDefault="00296032">
      <w:pPr>
        <w:pStyle w:val="artikelkop"/>
      </w:pPr>
      <w:r w:rsidRPr="00296032">
        <w:t xml:space="preserve">Artikel 3.163 </w:t>
      </w:r>
    </w:p>
    <w:p w:rsidR="00296032" w:rsidRPr="00620047" w:rsidRDefault="00296032">
      <w:pPr>
        <w:pStyle w:val="artplat"/>
      </w:pPr>
      <w:r w:rsidRPr="00620047">
        <w:t>Deze paragraaf is van toepassing op het coaten of lijmen van planten of onderdelen van planten, anders dan hout.</w:t>
      </w:r>
    </w:p>
    <w:p w:rsidR="00296032" w:rsidRPr="00296032" w:rsidRDefault="00296032">
      <w:pPr>
        <w:pStyle w:val="artikelkop"/>
      </w:pPr>
      <w:r w:rsidRPr="00296032">
        <w:t xml:space="preserve">Artikel 3.164 </w:t>
      </w:r>
    </w:p>
    <w:p w:rsidR="00296032" w:rsidRPr="00620047" w:rsidRDefault="00296032">
      <w:pPr>
        <w:pStyle w:val="artplat"/>
      </w:pPr>
      <w:r w:rsidRPr="00620047">
        <w:t>Het is verboden om in de buitenlucht planten of onderdelen van planten met behulp van een nevelspuit te coaten of lijmen.</w:t>
      </w:r>
    </w:p>
    <w:p w:rsidR="00296032" w:rsidRPr="00296032" w:rsidRDefault="00296032">
      <w:pPr>
        <w:pStyle w:val="artikelkop"/>
      </w:pPr>
      <w:r w:rsidRPr="00296032">
        <w:t xml:space="preserve">Artikel 3.165 </w:t>
      </w:r>
    </w:p>
    <w:p w:rsidR="00296032" w:rsidRPr="00620047" w:rsidRDefault="00296032">
      <w:pPr>
        <w:pStyle w:val="artplat"/>
      </w:pPr>
      <w:r w:rsidRPr="00620047">
        <w:t>Onverminderd de artikelen 2.5, eerste, vierde en vijfde lid, en 2.6 is bij het coaten of lijmen van planten of onderdelen van planten de emissieconcentratie van stofklasse S ten hoogste:</w:t>
      </w:r>
    </w:p>
    <w:p w:rsidR="00296032" w:rsidRPr="00620047" w:rsidRDefault="00296032">
      <w:pPr>
        <w:pStyle w:val="artplatletter"/>
      </w:pPr>
      <w:r w:rsidRPr="00620047">
        <w:t>a.</w:t>
      </w:r>
      <w:r w:rsidRPr="00620047">
        <w:tab/>
        <w:t>5 milligram per normaal kubieke meter, indien de massastroom van stofklasse S naar de lucht gelijk is aan of groter is dan 200 gram per uur, en</w:t>
      </w:r>
    </w:p>
    <w:p w:rsidR="00296032" w:rsidRPr="00620047" w:rsidRDefault="00296032">
      <w:pPr>
        <w:pStyle w:val="artplatletter"/>
      </w:pPr>
      <w:r w:rsidRPr="00620047">
        <w:t>b.</w:t>
      </w:r>
      <w:r w:rsidRPr="00620047">
        <w:tab/>
        <w:t>50 milligram per normaal kubieke meter, indien de massastroom van stofklasse S kleiner is dan 200 gram per uur.</w:t>
      </w:r>
    </w:p>
    <w:p w:rsidR="00296032" w:rsidRPr="00296032" w:rsidRDefault="00296032">
      <w:pPr>
        <w:pStyle w:val="artikelkop"/>
      </w:pPr>
      <w:r w:rsidRPr="00296032">
        <w:t xml:space="preserve">Artikel 3.166 </w:t>
      </w:r>
    </w:p>
    <w:p w:rsidR="00296032" w:rsidRPr="00620047" w:rsidRDefault="00296032">
      <w:pPr>
        <w:pStyle w:val="artplat"/>
      </w:pPr>
      <w:r w:rsidRPr="00620047">
        <w:t>Degene die de inrichting drijft, treft bij het coaten of lijmen van planten of onderdelen van planten de emissiereducerende maatregelen met betrekking tot vluchtige organische stoffen die zijn gesteld bij ministeriële regeling tenzij deze niet kosteneffectief of technisch uitvoerbaar zijn.</w:t>
      </w:r>
    </w:p>
    <w:p w:rsidR="00296032" w:rsidRPr="00296032" w:rsidRDefault="00296032">
      <w:pPr>
        <w:pStyle w:val="artikelkop"/>
      </w:pPr>
      <w:r w:rsidRPr="00296032">
        <w:t xml:space="preserve">Artikel 3.167 </w:t>
      </w:r>
    </w:p>
    <w:p w:rsidR="00296032" w:rsidRPr="00620047" w:rsidRDefault="00296032">
      <w:pPr>
        <w:pStyle w:val="artplat"/>
      </w:pPr>
      <w:r w:rsidRPr="00620047">
        <w:t>Bij het coaten of lijmen van planten of onderdelen van planten worden ten behoeve van:</w:t>
      </w:r>
    </w:p>
    <w:p w:rsidR="00296032" w:rsidRPr="00620047" w:rsidRDefault="00296032">
      <w:pPr>
        <w:pStyle w:val="artplatletter"/>
      </w:pPr>
      <w:r w:rsidRPr="00620047">
        <w:t>a.</w:t>
      </w:r>
      <w:r w:rsidRPr="00620047">
        <w:tab/>
        <w:t>het voorkomen dan wel voor zover dat niet mogelijk is het beperken van diffuse emissies;</w:t>
      </w:r>
    </w:p>
    <w:p w:rsidR="00296032" w:rsidRPr="00620047" w:rsidRDefault="00296032">
      <w:pPr>
        <w:pStyle w:val="artplatletter"/>
      </w:pPr>
      <w:r w:rsidRPr="00620047">
        <w:t>b.</w:t>
      </w:r>
      <w:r w:rsidRPr="00620047">
        <w:tab/>
        <w:t>het voorkomen dan wel voor zover dat niet mogelijk is het tot een aanvaardbaar niveau beperken van stofhinder;</w:t>
      </w:r>
    </w:p>
    <w:p w:rsidR="00296032" w:rsidRPr="00620047" w:rsidRDefault="00296032">
      <w:pPr>
        <w:pStyle w:val="artplatletter"/>
      </w:pPr>
      <w:r w:rsidRPr="00620047">
        <w:t>c.</w:t>
      </w:r>
      <w:r w:rsidRPr="00620047">
        <w:tab/>
        <w:t>het doelmatig verspreiden van emissies naar de buitenlucht;</w:t>
      </w:r>
    </w:p>
    <w:p w:rsidR="00296032" w:rsidRPr="00620047" w:rsidRDefault="00296032">
      <w:pPr>
        <w:pStyle w:val="artplatletter"/>
      </w:pPr>
      <w:r w:rsidRPr="00620047">
        <w:t>d.</w:t>
      </w:r>
      <w:r w:rsidRPr="00620047">
        <w:tab/>
        <w:t>het voorkomen dan wel voor zover dat niet mogelijk is het tot een aanvaardbaar niveau beperken van geurhinder, en</w:t>
      </w:r>
    </w:p>
    <w:p w:rsidR="00296032" w:rsidRPr="00620047" w:rsidRDefault="00296032">
      <w:pPr>
        <w:pStyle w:val="artplatletter"/>
      </w:pPr>
      <w:r w:rsidRPr="00620047">
        <w:t>e.</w:t>
      </w:r>
      <w:r w:rsidRPr="00620047">
        <w:tab/>
        <w:t>het realiseren van een verwaarloosbaar bodemrisico,</w:t>
      </w:r>
    </w:p>
    <w:p w:rsidR="00296032" w:rsidRDefault="00296032">
      <w:pPr>
        <w:pStyle w:val="artplat"/>
      </w:pPr>
      <w:r w:rsidRPr="00620047">
        <w:t>de bij ministeriële regeling voorgeschreven maatregelen getroffen.</w:t>
      </w:r>
    </w:p>
    <w:p w:rsidR="00286455" w:rsidRDefault="00286455">
      <w:pPr>
        <w:pStyle w:val="artplat"/>
      </w:pPr>
    </w:p>
    <w:p w:rsidR="00286455" w:rsidRDefault="00286455" w:rsidP="00286455">
      <w:pPr>
        <w:pStyle w:val="paragraaf"/>
        <w:shd w:val="clear" w:color="auto" w:fill="D9D9D9" w:themeFill="background1" w:themeFillShade="D9"/>
        <w:rPr>
          <w:rFonts w:eastAsiaTheme="minorEastAsia"/>
          <w:lang w:eastAsia="nl-NL"/>
        </w:rPr>
      </w:pPr>
      <w:bookmarkStart w:id="169" w:name="_Toc431375661"/>
      <w:r>
        <w:rPr>
          <w:rFonts w:eastAsiaTheme="minorEastAsia"/>
          <w:lang w:eastAsia="nl-NL"/>
        </w:rPr>
        <w:t>§ 3.8.3.</w:t>
      </w:r>
      <w:r>
        <w:rPr>
          <w:rFonts w:eastAsiaTheme="minorEastAsia"/>
          <w:lang w:eastAsia="nl-NL"/>
        </w:rPr>
        <w:tab/>
        <w:t>Coaten of lijmen van planten of onderdelen van planten</w:t>
      </w:r>
      <w:bookmarkEnd w:id="169"/>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3.119 </w:t>
      </w:r>
    </w:p>
    <w:p w:rsidR="00F956AE" w:rsidRPr="00F956AE" w:rsidRDefault="00F956AE" w:rsidP="00F956AE">
      <w:pPr>
        <w:pStyle w:val="artikelkop"/>
        <w:numPr>
          <w:ilvl w:val="0"/>
          <w:numId w:val="36"/>
        </w:numPr>
        <w:shd w:val="clear" w:color="auto" w:fill="D9D9D9" w:themeFill="background1" w:themeFillShade="D9"/>
        <w:rPr>
          <w:rFonts w:eastAsiaTheme="minorEastAsia"/>
          <w:b w:val="0"/>
          <w:lang w:eastAsia="nl-NL"/>
        </w:rPr>
      </w:pPr>
      <w:r w:rsidRPr="00F956AE">
        <w:rPr>
          <w:rFonts w:eastAsiaTheme="minorEastAsia"/>
          <w:b w:val="0"/>
          <w:lang w:eastAsia="nl-NL"/>
        </w:rPr>
        <w:t>Ten behoeve van het voorkomen dan wel zoveel mogelijk beperken van diffuse emissies, bedoeld in artikel 3.167, onderdeel a, van het besluit, worden dampen en gassen die vrijkomen bij:</w:t>
      </w:r>
    </w:p>
    <w:p w:rsidR="00F956AE" w:rsidRPr="00F956AE" w:rsidRDefault="00F956AE" w:rsidP="00F956AE">
      <w:pPr>
        <w:pStyle w:val="artikelkop"/>
        <w:numPr>
          <w:ilvl w:val="0"/>
          <w:numId w:val="37"/>
        </w:numPr>
        <w:shd w:val="clear" w:color="auto" w:fill="D9D9D9" w:themeFill="background1" w:themeFillShade="D9"/>
        <w:rPr>
          <w:rFonts w:eastAsiaTheme="minorEastAsia"/>
          <w:b w:val="0"/>
          <w:lang w:eastAsia="nl-NL"/>
        </w:rPr>
      </w:pPr>
      <w:r w:rsidRPr="00F956AE">
        <w:rPr>
          <w:rFonts w:eastAsiaTheme="minorEastAsia"/>
          <w:b w:val="0"/>
          <w:lang w:eastAsia="nl-NL"/>
        </w:rPr>
        <w:t>het coaten of lijmen van planten of onderdelen van planten door middel van het vernevelen van vluchtige organische stoffen met een nevelspuit, of</w:t>
      </w:r>
    </w:p>
    <w:p w:rsidR="00F956AE" w:rsidRPr="00F956AE" w:rsidRDefault="00F956AE" w:rsidP="00F956AE">
      <w:pPr>
        <w:pStyle w:val="artikelkop"/>
        <w:numPr>
          <w:ilvl w:val="0"/>
          <w:numId w:val="37"/>
        </w:numPr>
        <w:shd w:val="clear" w:color="auto" w:fill="D9D9D9" w:themeFill="background1" w:themeFillShade="D9"/>
        <w:rPr>
          <w:rFonts w:eastAsiaTheme="minorEastAsia"/>
          <w:b w:val="0"/>
          <w:lang w:eastAsia="nl-NL"/>
        </w:rPr>
      </w:pPr>
      <w:r w:rsidRPr="00F956AE">
        <w:rPr>
          <w:rFonts w:eastAsiaTheme="minorEastAsia"/>
          <w:b w:val="0"/>
          <w:lang w:eastAsia="nl-NL"/>
        </w:rPr>
        <w:t>het coaten of lijmen van planten of onderdelen van planten door middel van het opbrengen van poeder,</w:t>
      </w:r>
    </w:p>
    <w:p w:rsidR="00286455" w:rsidRDefault="00F956AE" w:rsidP="00286455">
      <w:pPr>
        <w:pStyle w:val="art2enivo"/>
        <w:shd w:val="clear" w:color="auto" w:fill="D9D9D9" w:themeFill="background1" w:themeFillShade="D9"/>
        <w:rPr>
          <w:rFonts w:eastAsiaTheme="minorEastAsia"/>
          <w:lang w:eastAsia="nl-NL"/>
        </w:rPr>
      </w:pPr>
      <w:r w:rsidRPr="00F956AE">
        <w:rPr>
          <w:rFonts w:eastAsiaTheme="minorEastAsia"/>
          <w:lang w:eastAsia="nl-NL"/>
        </w:rPr>
        <w:t>voor zover dat redelijkerwijs mogelijk is, doelmatig aan de bron afgezogen.</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Ten behoeve van het voorkomen dan wel voor zover dat niet mogelijk is het tot een aanvaardbaar niveau beperken van geurhinder, bedoeld in artikel 3.167, onderdeel d, van het besluit, worden de dampen en gassen die zijn afgezogen overeenkomstig het eerste lid en die in de buitenlucht worden geëmitteerd:</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ten minste twee meter boven de hoogste daklijn van de binnen 25 meter van de uitmonding gelegen gebouwen afgevoerd, of</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geleid door een doelmatige ontgeuringsinstallatie.</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Het tweede lid is niet van toepassing indien het mogelijke effect van de geuremissie van de uittredende lucht van een afzuiginstallatie beperkt blijft tot een gezoneerd industrieterrein of een bedrijventerrein met minder dan één gevoelig gebouw per hectare.</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Het bevoegd gezag kan, indien blijkt dat de geurhinder een aanvaardbaar niveau overschrijdt vanwege het slecht functioneren van de ontgeuringsinstallatie, onvoldoende verspreiding van afgezogen dampen, geuremissies die niet via de afzuiging worden afgevoerd of vanwege incidentele geurpieken, overeenkomstig artikel 2.7a, tweede en derde lid, van het besluit onverminderd het tweede lid bij maatwerkvoorschrift eisen stellen aan:</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uitvoering en het onderhoud van een ontgeuringsinstallatie als bedoeld in het tweede lid, onderdeel b;</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situering van de afvoerpijp;</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het voorkomen dan wel voor zover dat niet mogelijk is het zoveel mogelijk beperken van diffuse geuremissies, of</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het beperken van incidentele geurpieken tot specifieke tijdstippen.</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tweede lid kan het bevoegd gezag indien blijkt dat de geurhinder een aanvaardbaar niveau overschrijdt en de bevoegdheden, bedoeld in het vierde lid, onvoldoende zijn om de overschrijding ongedaan te maken overeenkomstig artikel 2.7a, tweede en derde lid, van het besluit bij maatwerkvoorschrift eisen stellen aan de aanwezigheid van een ontgeuringsinstallatie of een grotere afvoerhoogte van de afgezogen dampen en gassen voorschrijven.</w:t>
      </w:r>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3.120 </w:t>
      </w:r>
    </w:p>
    <w:p w:rsidR="00286455" w:rsidRDefault="00286455" w:rsidP="00286455">
      <w:pPr>
        <w:pStyle w:val="artplat"/>
        <w:shd w:val="clear" w:color="auto" w:fill="D9D9D9" w:themeFill="background1" w:themeFillShade="D9"/>
        <w:rPr>
          <w:rFonts w:eastAsiaTheme="minorEastAsia"/>
          <w:lang w:eastAsia="nl-NL"/>
        </w:rPr>
      </w:pPr>
      <w:r>
        <w:rPr>
          <w:rFonts w:eastAsiaTheme="minorEastAsia"/>
          <w:lang w:eastAsia="nl-NL"/>
        </w:rPr>
        <w:t>Aan artikel 3.165, eerste lid, van het besluit wordt in ieder geval voldaan indien:</w:t>
      </w:r>
    </w:p>
    <w:p w:rsidR="00286455" w:rsidRDefault="00286455" w:rsidP="00286455">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afgezogen stofemissies die vrijkomen bij het coaten van planten of onderdelen van planten door middel van het vernevelen met een nevelspuit en de emissies die vrijkomen bij het coaten door middel van het opbrengen van poeder, worden afgezogen en worden gevoerd door een filtrerende afscheider die geschikt is om aan artikel 3.165, eerste lid, van het besluit te voldoen, en</w:t>
      </w:r>
    </w:p>
    <w:p w:rsidR="00286455" w:rsidRDefault="00286455" w:rsidP="00286455">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die filtrerende afscheider in goede staat van onderhoud verkeert, periodiek gecontroleerd wordt en zo vaak als voor de goede werking nodig is, wordt schoongemaakt en vervangen.</w:t>
      </w:r>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3.121 </w:t>
      </w:r>
    </w:p>
    <w:p w:rsidR="00286455" w:rsidRDefault="00286455" w:rsidP="00286455">
      <w:pPr>
        <w:pStyle w:val="artplat"/>
        <w:shd w:val="clear" w:color="auto" w:fill="D9D9D9" w:themeFill="background1" w:themeFillShade="D9"/>
        <w:rPr>
          <w:rFonts w:eastAsiaTheme="minorEastAsia"/>
          <w:lang w:eastAsia="nl-NL"/>
        </w:rPr>
      </w:pPr>
      <w:r>
        <w:rPr>
          <w:rFonts w:eastAsiaTheme="minorEastAsia"/>
          <w:lang w:eastAsia="nl-NL"/>
        </w:rPr>
        <w:t xml:space="preserve">Ten behoeve van het voorkomen van onnodige emissie van vluchtige organische stoffen als bedoeld in artikel 3.166 van het besluit, past degene die de inrichting drijft bij het coaten </w:t>
      </w:r>
      <w:r w:rsidR="00B92B02">
        <w:rPr>
          <w:rFonts w:eastAsiaTheme="minorEastAsia"/>
          <w:lang w:eastAsia="nl-NL"/>
        </w:rPr>
        <w:t xml:space="preserve">of lijmen </w:t>
      </w:r>
      <w:r>
        <w:rPr>
          <w:rFonts w:eastAsiaTheme="minorEastAsia"/>
          <w:lang w:eastAsia="nl-NL"/>
        </w:rPr>
        <w:t>van planten of onderdelen van planten de volgende maatregelen toe:</w:t>
      </w:r>
    </w:p>
    <w:p w:rsidR="00286455" w:rsidRDefault="00286455" w:rsidP="00286455">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maatregelen ten aanzien van de bedrijfsvoering;</w:t>
      </w:r>
    </w:p>
    <w:p w:rsidR="00286455" w:rsidRDefault="00286455" w:rsidP="00286455">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oplosmiddelarme producten en efficiënte applicatiemethoden:</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coaten van droogbloemen volgens de dompelmethode plaatsvindt met volledig watergedragen verfbaden;</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coaten van snijbloemen volgens de optrekmethode plaatsvindt met volledig watergedragen verfbaden en met kleurstoffen of pigmenten die in Europa zijn toegelaten in de voedingsmiddelenindustrie;</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het coaten van snijbloemen volgens de dompelmethode plaatsvindt met watergedragen verfbaden met maximaal 15 volumeprocent vluchtige organische stoffen, bestaande uit kleurstoffen in vloeibare vorm, voor zover nodig uitvloeimiddelen, bevochtigingsmiddelen en anti-schuimmiddelen.</w:t>
      </w:r>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3.122 </w:t>
      </w:r>
    </w:p>
    <w:p w:rsidR="00286455" w:rsidRDefault="00286455" w:rsidP="00286455">
      <w:pPr>
        <w:shd w:val="clear" w:color="auto" w:fill="D9D9D9" w:themeFill="background1" w:themeFillShade="D9"/>
      </w:pPr>
      <w:r>
        <w:rPr>
          <w:rFonts w:eastAsiaTheme="minorEastAsia"/>
          <w:lang w:eastAsia="nl-NL"/>
        </w:rPr>
        <w:t>Ten behoeve van het realiseren van een verwaarloosbaar bodemrisico, bedoeld in artikel 3.167, onderdeel e, van het besluit vindt het coaten en uitslaan van planten of onderdelen van planten met open verfbaden plaats boven een vloeistofdichte vloer.</w:t>
      </w:r>
    </w:p>
    <w:p w:rsidR="00286455" w:rsidRPr="00620047" w:rsidRDefault="00286455">
      <w:pPr>
        <w:pStyle w:val="artplat"/>
      </w:pPr>
    </w:p>
    <w:p w:rsidR="00296032" w:rsidRPr="00296032" w:rsidRDefault="00296032">
      <w:pPr>
        <w:pStyle w:val="paragraaf"/>
      </w:pPr>
      <w:bookmarkStart w:id="170" w:name="_Toc431375662"/>
      <w:r w:rsidRPr="00296032">
        <w:t>§ 3.8.5 Fokken, houden of trainen van vogels of zoogdieren</w:t>
      </w:r>
      <w:bookmarkEnd w:id="170"/>
    </w:p>
    <w:p w:rsidR="00296032" w:rsidRPr="00296032" w:rsidRDefault="00296032">
      <w:pPr>
        <w:pStyle w:val="artikelkop"/>
      </w:pPr>
      <w:r w:rsidRPr="00296032">
        <w:t xml:space="preserve">Artikel 3.168 </w:t>
      </w:r>
    </w:p>
    <w:p w:rsidR="00296032" w:rsidRPr="00620047" w:rsidRDefault="00296032">
      <w:pPr>
        <w:pStyle w:val="art1enivo"/>
      </w:pPr>
      <w:r w:rsidRPr="00620047">
        <w:t>1.</w:t>
      </w:r>
      <w:r w:rsidRPr="00620047">
        <w:tab/>
        <w:t>Deze paragraaf is van toepassing op het fokken, houden of trainen van meer dan 25 vogels of meer dan 5 zoogdieren.</w:t>
      </w:r>
    </w:p>
    <w:p w:rsidR="00296032" w:rsidRPr="00620047" w:rsidRDefault="00296032">
      <w:pPr>
        <w:pStyle w:val="art1enivo"/>
      </w:pPr>
      <w:r w:rsidRPr="00620047">
        <w:t>2.</w:t>
      </w:r>
      <w:r w:rsidRPr="00620047">
        <w:tab/>
        <w:t>Deze paragraaf is niet van toepassing op het houden van landbouwhuisdieren.</w:t>
      </w:r>
    </w:p>
    <w:p w:rsidR="00296032" w:rsidRPr="00296032" w:rsidRDefault="00296032">
      <w:pPr>
        <w:pStyle w:val="artikelkop"/>
      </w:pPr>
      <w:r w:rsidRPr="00296032">
        <w:t xml:space="preserve">Artikel 3.169 </w:t>
      </w:r>
    </w:p>
    <w:p w:rsidR="00296032" w:rsidRPr="00620047" w:rsidRDefault="00296032">
      <w:pPr>
        <w:pStyle w:val="artplat"/>
      </w:pPr>
      <w:r w:rsidRPr="00620047">
        <w:t>Bij het fokken, houden of trainen van vogels of zoogdieren wordt ten behoeve van:</w:t>
      </w:r>
    </w:p>
    <w:p w:rsidR="00296032" w:rsidRPr="00620047" w:rsidRDefault="00296032">
      <w:pPr>
        <w:pStyle w:val="artplatletter"/>
      </w:pPr>
      <w:r w:rsidRPr="00620047">
        <w:t>a.</w:t>
      </w:r>
      <w:r w:rsidRPr="00620047">
        <w:tab/>
        <w:t>het realiseren van een verwaarloosbaar bodemrisico, en</w:t>
      </w:r>
    </w:p>
    <w:p w:rsidR="00296032" w:rsidRPr="00620047" w:rsidRDefault="00296032">
      <w:pPr>
        <w:pStyle w:val="artplatletter"/>
      </w:pPr>
      <w:r w:rsidRPr="00620047">
        <w:t>b.</w:t>
      </w:r>
      <w:r w:rsidRPr="00620047">
        <w:tab/>
        <w:t>het voorkomen of voor zover dat niet mogelijk is het tot een aanvaardbaar niveau beperken van de geurhinder,</w:t>
      </w:r>
    </w:p>
    <w:p w:rsidR="00296032" w:rsidRDefault="00296032">
      <w:pPr>
        <w:pStyle w:val="artplat"/>
      </w:pPr>
      <w:r w:rsidRPr="00620047">
        <w:t>ten minste voldaan aan de bij ministeriële regeling gestelde eisen.</w:t>
      </w:r>
    </w:p>
    <w:p w:rsidR="00286455" w:rsidRDefault="00286455" w:rsidP="00286455">
      <w:pPr>
        <w:pStyle w:val="paragraaf"/>
        <w:shd w:val="clear" w:color="auto" w:fill="D9D9D9" w:themeFill="background1" w:themeFillShade="D9"/>
        <w:rPr>
          <w:rFonts w:eastAsiaTheme="minorEastAsia"/>
          <w:lang w:eastAsia="nl-NL"/>
        </w:rPr>
      </w:pPr>
      <w:bookmarkStart w:id="171" w:name="_Toc431375663"/>
      <w:r>
        <w:rPr>
          <w:rFonts w:eastAsiaTheme="minorEastAsia"/>
          <w:lang w:eastAsia="nl-NL"/>
        </w:rPr>
        <w:t>§ 3.8.4.</w:t>
      </w:r>
      <w:r>
        <w:rPr>
          <w:rFonts w:eastAsiaTheme="minorEastAsia"/>
          <w:lang w:eastAsia="nl-NL"/>
        </w:rPr>
        <w:tab/>
        <w:t>Fokken, houden of trainen van vogels of zoogdieren</w:t>
      </w:r>
      <w:bookmarkEnd w:id="171"/>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3.123 </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fokken, houden of trainen van vogels of zoogdieren vindt plaats boven een vloeistofkerende voorziening. Artikel 2.3 is daarbij niet van toepassing.</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eerste lid is niet van toepassing op het fokken, houden of trainen van vogels of zoogdieren in de buitenlucht indien uitwerpselen, voedselresten en dierlijke bijproducten regelmatig worden verwijderd.</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Artikel 2.11 van het besluit is niet van toepassing op het fokken, houden en trainen van vogels en zoogdieren.</w:t>
      </w:r>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3.124 </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bevoegd gezag kan, indien blijkt dat de geurhinder een aanvaardbaar niveau overschrijdt of het bodemrisico niet verwaarloosbaar is als bedoeld in artikel 3.169 van het besluit, bij maatwerkvoorschrift eisen dat uitwerpselen, voedselresten en dierlijke bijproducten met een bepaalde frequentie worden verwijderd uit een ruimte voor het fokken, houden of trainen van vogels of zoogdieren die geheel of gedeeltelijk in de open lucht ligt.</w:t>
      </w:r>
    </w:p>
    <w:p w:rsidR="00286455" w:rsidRDefault="00286455" w:rsidP="00286455">
      <w:pPr>
        <w:shd w:val="clear" w:color="auto" w:fill="D9D9D9" w:themeFill="background1" w:themeFillShade="D9"/>
      </w:pPr>
      <w:r>
        <w:rPr>
          <w:rFonts w:eastAsiaTheme="minorEastAsia"/>
          <w:lang w:eastAsia="nl-NL"/>
        </w:rPr>
        <w:t>2.</w:t>
      </w:r>
      <w:r>
        <w:rPr>
          <w:rFonts w:eastAsiaTheme="minorEastAsia"/>
          <w:lang w:eastAsia="nl-NL"/>
        </w:rPr>
        <w:tab/>
        <w:t>Het bevoegd gezag kan, indien blijkt dat de geurhinder een aanvaardbaar niveau overschrijdt, en maatwerk op grond van het eerste lid onvoldoende is om de overschrijding ongedaan te maken, bij maatwerkvoorschrift eisen stellen aan de uitvoering en ligging van een ruimte voor het fokken, houden of trainen van vogels of zoogdieren die geheel of gedeeltelijk in de open lucht ligt.</w:t>
      </w:r>
    </w:p>
    <w:p w:rsidR="00286455" w:rsidRPr="00620047" w:rsidRDefault="00286455">
      <w:pPr>
        <w:pStyle w:val="artplat"/>
      </w:pPr>
    </w:p>
    <w:p w:rsidR="00296032" w:rsidRPr="00620047" w:rsidRDefault="00296032">
      <w:pPr>
        <w:pStyle w:val="hoofdstuk"/>
        <w:rPr>
          <w:rFonts w:cs="Arial"/>
        </w:rPr>
      </w:pPr>
      <w:bookmarkStart w:id="172" w:name="_Toc277243208"/>
      <w:bookmarkStart w:id="173" w:name="_Toc431375664"/>
      <w:r w:rsidRPr="00620047">
        <w:rPr>
          <w:rFonts w:cs="Arial"/>
        </w:rPr>
        <w:t>Hoofdstuk 4. Bepalingen met betrekking tot overige activiteiten geldend voor een inrichting type A of een inrichting type B</w:t>
      </w:r>
      <w:bookmarkEnd w:id="172"/>
      <w:bookmarkEnd w:id="173"/>
    </w:p>
    <w:p w:rsidR="00296032" w:rsidRPr="00620047" w:rsidRDefault="00296032">
      <w:pPr>
        <w:pStyle w:val="afdeling"/>
      </w:pPr>
      <w:bookmarkStart w:id="174" w:name="_Toc431375665"/>
      <w:r w:rsidRPr="00620047">
        <w:t>Afdeling 4.0. Reikwijdte hoofdstuk 4</w:t>
      </w:r>
      <w:bookmarkEnd w:id="174"/>
    </w:p>
    <w:p w:rsidR="00296032" w:rsidRPr="00296032" w:rsidRDefault="00296032">
      <w:pPr>
        <w:pStyle w:val="artikelkop"/>
      </w:pPr>
      <w:r w:rsidRPr="00296032">
        <w:t>Artikel 4</w:t>
      </w:r>
    </w:p>
    <w:p w:rsidR="00296032" w:rsidRPr="00620047" w:rsidRDefault="00296032">
      <w:pPr>
        <w:pStyle w:val="artplat"/>
        <w:rPr>
          <w:i/>
        </w:rPr>
      </w:pPr>
      <w:r w:rsidRPr="00620047">
        <w:t>Dit hoofdstuk is van toepassing op degene die een inrichting type A of een inrichting type B drijft.</w:t>
      </w:r>
    </w:p>
    <w:p w:rsidR="00296032" w:rsidRPr="00620047" w:rsidRDefault="00296032">
      <w:pPr>
        <w:pStyle w:val="afdeling"/>
        <w:rPr>
          <w:rFonts w:cs="Arial"/>
        </w:rPr>
      </w:pPr>
      <w:bookmarkStart w:id="175" w:name="_Toc277243209"/>
      <w:bookmarkStart w:id="176" w:name="_Toc431375666"/>
      <w:r w:rsidRPr="00620047">
        <w:rPr>
          <w:rFonts w:cs="Arial"/>
        </w:rPr>
        <w:t>Afdeling 4.1. Op- en overslaan van gevaarlijke en andere stoffen en gassen en het vullen van gasflessen</w:t>
      </w:r>
      <w:bookmarkEnd w:id="175"/>
      <w:bookmarkEnd w:id="176"/>
    </w:p>
    <w:p w:rsidR="00296032" w:rsidRPr="00296032" w:rsidRDefault="00296032">
      <w:pPr>
        <w:pStyle w:val="paragraaf"/>
      </w:pPr>
      <w:bookmarkStart w:id="177" w:name="_Toc431375667"/>
      <w:bookmarkStart w:id="178" w:name="_Toc277243210"/>
      <w:r w:rsidRPr="00296032">
        <w:t>§ 4.1.1.</w:t>
      </w:r>
      <w:r w:rsidRPr="00296032">
        <w:tab/>
        <w:t>Opslaan van gevaarlijke stoffen, CMR-stoffen of bodembedreigende stoffen in verpakking, niet zijnde vuurwerk, pyrotechnische artikelen voor theatergebruik, andere ontplofbare stoffen, bepaalde organische peroxiden, asbest, gedemonteerde airbags, gordelspanners of vaste kunstmeststoffen.</w:t>
      </w:r>
      <w:bookmarkEnd w:id="177"/>
    </w:p>
    <w:p w:rsidR="00296032" w:rsidRPr="00296032" w:rsidRDefault="00296032">
      <w:pPr>
        <w:pStyle w:val="artikelkop"/>
      </w:pPr>
      <w:r w:rsidRPr="00296032">
        <w:t>Artikel 4a</w:t>
      </w:r>
    </w:p>
    <w:p w:rsidR="00296032" w:rsidRPr="00620047" w:rsidRDefault="00296032">
      <w:pPr>
        <w:pStyle w:val="artplat"/>
      </w:pPr>
      <w:r w:rsidRPr="00620047">
        <w:t>Deze paragraaf is van toepassing op het opslaan van gevaarlijke stoffen, CMR-stoffen of bodembedreigende stoffen in verpakking, met uitzondering van:</w:t>
      </w:r>
    </w:p>
    <w:p w:rsidR="00296032" w:rsidRPr="00620047" w:rsidRDefault="00296032">
      <w:pPr>
        <w:pStyle w:val="artplatletter"/>
      </w:pPr>
      <w:r w:rsidRPr="00620047">
        <w:t>a.</w:t>
      </w:r>
      <w:r w:rsidRPr="00620047">
        <w:tab/>
        <w:t>de opslag van vuurwerk;</w:t>
      </w:r>
    </w:p>
    <w:p w:rsidR="00296032" w:rsidRPr="00620047" w:rsidRDefault="00296032">
      <w:pPr>
        <w:pStyle w:val="artplatletter"/>
      </w:pPr>
      <w:r w:rsidRPr="00620047">
        <w:t>b.</w:t>
      </w:r>
      <w:r w:rsidRPr="00620047">
        <w:tab/>
        <w:t>pyrotechnische artikelen voor theatergebruik;</w:t>
      </w:r>
    </w:p>
    <w:p w:rsidR="00296032" w:rsidRPr="00620047" w:rsidRDefault="00296032">
      <w:pPr>
        <w:pStyle w:val="artplatletter"/>
      </w:pPr>
      <w:r w:rsidRPr="00620047">
        <w:t>c.</w:t>
      </w:r>
      <w:r w:rsidRPr="00620047">
        <w:tab/>
        <w:t>andere ontplofbare stoffen;</w:t>
      </w:r>
    </w:p>
    <w:p w:rsidR="00296032" w:rsidRPr="00620047" w:rsidRDefault="00296032">
      <w:pPr>
        <w:pStyle w:val="artplatletter"/>
      </w:pPr>
      <w:r w:rsidRPr="00620047">
        <w:t>d.</w:t>
      </w:r>
      <w:r w:rsidRPr="00620047">
        <w:tab/>
        <w:t>stoffen van ADR klasse 5.2 type C tot en met F;</w:t>
      </w:r>
    </w:p>
    <w:p w:rsidR="00296032" w:rsidRPr="00620047" w:rsidRDefault="00296032">
      <w:pPr>
        <w:pStyle w:val="artplatletter"/>
      </w:pPr>
      <w:r w:rsidRPr="00620047">
        <w:t>e.</w:t>
      </w:r>
      <w:r w:rsidRPr="00620047">
        <w:tab/>
        <w:t>asbest;</w:t>
      </w:r>
    </w:p>
    <w:p w:rsidR="00296032" w:rsidRPr="00620047" w:rsidRDefault="00296032">
      <w:pPr>
        <w:pStyle w:val="artplatletter"/>
      </w:pPr>
      <w:r w:rsidRPr="00620047">
        <w:t>f.</w:t>
      </w:r>
      <w:r w:rsidRPr="00620047">
        <w:tab/>
        <w:t>gedemonteerde airbags;</w:t>
      </w:r>
    </w:p>
    <w:p w:rsidR="00296032" w:rsidRPr="00620047" w:rsidRDefault="00296032">
      <w:pPr>
        <w:pStyle w:val="artplatletter"/>
      </w:pPr>
      <w:r w:rsidRPr="00620047">
        <w:t>g.</w:t>
      </w:r>
      <w:r w:rsidRPr="00620047">
        <w:tab/>
        <w:t>gordelspanners, of</w:t>
      </w:r>
    </w:p>
    <w:p w:rsidR="00296032" w:rsidRPr="00620047" w:rsidRDefault="00296032">
      <w:pPr>
        <w:pStyle w:val="artplatletter"/>
      </w:pPr>
      <w:r w:rsidRPr="00620047">
        <w:t>h.</w:t>
      </w:r>
      <w:r w:rsidRPr="00620047">
        <w:tab/>
        <w:t>vaste kunstmeststoffen.</w:t>
      </w:r>
    </w:p>
    <w:bookmarkEnd w:id="178"/>
    <w:p w:rsidR="00296032" w:rsidRPr="00296032" w:rsidRDefault="00296032">
      <w:pPr>
        <w:pStyle w:val="artikelkop"/>
        <w:rPr>
          <w:rFonts w:cs="Arial"/>
        </w:rPr>
      </w:pPr>
      <w:r w:rsidRPr="00296032">
        <w:rPr>
          <w:rFonts w:cs="Arial"/>
        </w:rPr>
        <w:t>Artikel 4.1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 verpakking en de opslag van gevaarlijke stoffen en CMR-stoffen in verpakking voldoen ten behoeve van het voorkomen van risico's voor de omgeving en ongewone voorvallen, dan wel voor zover dat niet mogelijk is het zoveel mogelijk beperken van de risico's voor de omgeving en de kans dat ongewone voorvallen zich voordoen en de gevolgen hiervan, ten minste aan de bij ministeriële regeling te stellen eisen.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Indien in een opslagvoorziening bestemd voor de opslag van gevaarlijke stoffen en CMR-stoffen in verpakking meer dan 2.500 kilogram gevaarlijke stoffen, niet zijnde gasflessen behorende tot de ADR klasse 2, aanwezig zijn, bedraagt de afstand tussen de opslagvoorziening en de dichtstbijzijnde woning van derden ten minste 20 meter.</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Indien de opslagvoorziening bestemd voor de opslag van gevaarlijke stoffen en CMR-stoffen in verpakking is uitgevoerd als brandcompartiment of indien tussen de opslagvoorziening en de woning van derden een brandwerende voorziening van voldoende omvang aanwezig is, bedraagt de afstand, bedoeld in het tweede lid, ten minste 8 meter.</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tweede en derde lid zijn niet van toepassing indien in de opslagvoorziening geen brandbare gevaarlijke stoffen aanwezig zijn.</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Indien in een in de buitenlucht gesitueerde opslagvoorziening meer dan 1.000 liter brandbare gassen in gasflessen gemeten naar de totale waterinhoud aanwezig zijn, bedraagt de afstand tussen de opslagvoorziening en de dichtstbijzijnde woning van derden ten minste 15 meter. Indien tussen de opslagvoorziening en de woning van derden een brandwerende voorziening van voldoende omvang aanwezig is, bedraagt de afstand, bedoeld in de eerste zin, ten minste 7,5 meter.</w:t>
      </w:r>
    </w:p>
    <w:p w:rsidR="00296032" w:rsidRPr="00620047" w:rsidRDefault="00296032">
      <w:pPr>
        <w:pStyle w:val="art1enivo"/>
        <w:rPr>
          <w:rFonts w:cs="Arial"/>
        </w:rPr>
      </w:pPr>
      <w:r w:rsidRPr="00620047">
        <w:rPr>
          <w:rFonts w:cs="Arial"/>
          <w:bCs/>
        </w:rPr>
        <w:t>6.</w:t>
      </w:r>
      <w:r w:rsidRPr="00620047">
        <w:rPr>
          <w:rFonts w:cs="Arial"/>
          <w:bCs/>
        </w:rPr>
        <w:tab/>
      </w:r>
      <w:r w:rsidRPr="00620047">
        <w:rPr>
          <w:rFonts w:cs="Arial"/>
        </w:rPr>
        <w:t>Het voorhanden hebben en het gebruik van gasflessen die gevuld zijn met autogas is verboden, met uitzondering van wisselreservoirs ten behoeve van interne transportmiddelen. De eerste volzin is niet van toepassing op gedemonteerde LPG-tanks van motorvoertuigen.</w:t>
      </w:r>
    </w:p>
    <w:p w:rsidR="00296032" w:rsidRPr="00620047" w:rsidRDefault="00296032">
      <w:pPr>
        <w:pStyle w:val="art1enivo"/>
        <w:rPr>
          <w:rFonts w:cs="Arial"/>
        </w:rPr>
      </w:pPr>
      <w:r w:rsidRPr="00620047">
        <w:rPr>
          <w:rFonts w:cs="Arial"/>
          <w:bCs/>
        </w:rPr>
        <w:t>7.</w:t>
      </w:r>
      <w:r w:rsidRPr="00620047">
        <w:rPr>
          <w:rFonts w:cs="Arial"/>
          <w:bCs/>
        </w:rPr>
        <w:tab/>
      </w:r>
      <w:r w:rsidRPr="00620047">
        <w:rPr>
          <w:rFonts w:cs="Arial"/>
        </w:rPr>
        <w:t>De verpakking en de opslag van vloeibare bodembedreigende stoffen in verpakking en afvalstoffen waaruit vloeibaar bodembedreigende stoffen kunnen lekken voldoen ten behoeve van het realiseren van een verwaarloosbaar bodemrisico, aan de bij ministeriële regeling te stellen eisen.</w:t>
      </w:r>
    </w:p>
    <w:p w:rsidR="00296032" w:rsidRPr="00620047" w:rsidRDefault="00296032">
      <w:pPr>
        <w:pStyle w:val="art1enivo"/>
        <w:rPr>
          <w:rFonts w:cs="Arial"/>
        </w:rPr>
      </w:pPr>
      <w:r w:rsidRPr="00620047">
        <w:rPr>
          <w:rFonts w:cs="Arial"/>
          <w:bCs/>
        </w:rPr>
        <w:t>8</w:t>
      </w:r>
      <w:r w:rsidRPr="00620047">
        <w:rPr>
          <w:rFonts w:cs="Arial"/>
        </w:rPr>
        <w:t>.</w:t>
      </w:r>
      <w:r w:rsidRPr="00620047">
        <w:rPr>
          <w:rFonts w:cs="Arial"/>
        </w:rPr>
        <w:tab/>
        <w:t>Ten behoeve van het voorkomen dan wel voor zover dat niet mogelijk is het zoveel mogelijk beperken van verontreiniging van een oppervlaktewaterlichaam is het boven een oppervlaktewaterlichaam opslaan van gevaarlijke stoffen in verpakking, CMR-stoffen in verpakking, bodembedreigende stoffen in verpakking en van lege, ongereinigde verpakkingen van gevaarlijke stoffen, CMR-stoffen en vloeibare bodembedreigende stoffen verboden, met uitzondering van:</w:t>
      </w:r>
    </w:p>
    <w:p w:rsidR="00296032" w:rsidRPr="00620047" w:rsidRDefault="00296032">
      <w:pPr>
        <w:pStyle w:val="art2enivo"/>
        <w:rPr>
          <w:rFonts w:cs="Arial"/>
        </w:rPr>
      </w:pPr>
      <w:r w:rsidRPr="00620047">
        <w:rPr>
          <w:rFonts w:cs="Arial"/>
        </w:rPr>
        <w:t>a.</w:t>
      </w:r>
      <w:r w:rsidRPr="00620047">
        <w:rPr>
          <w:rFonts w:cs="Arial"/>
        </w:rPr>
        <w:tab/>
        <w:t>het opslaan benedendeks op een binnenschip dat beschikt over een certificaat van onderzoek als bedoeld in artikel 6 van het Binnenvaartbesluit, of</w:t>
      </w:r>
    </w:p>
    <w:p w:rsidR="00296032" w:rsidRPr="00620047" w:rsidRDefault="00296032">
      <w:pPr>
        <w:pStyle w:val="art2enivo"/>
        <w:rPr>
          <w:rFonts w:cs="Arial"/>
        </w:rPr>
      </w:pPr>
      <w:r w:rsidRPr="00620047">
        <w:rPr>
          <w:rFonts w:cs="Arial"/>
        </w:rPr>
        <w:t>b.</w:t>
      </w:r>
      <w:r w:rsidRPr="00620047">
        <w:rPr>
          <w:rFonts w:cs="Arial"/>
        </w:rPr>
        <w:tab/>
        <w:t>het opslaan van gasflessen.</w:t>
      </w:r>
    </w:p>
    <w:p w:rsidR="00296032" w:rsidRPr="00620047" w:rsidRDefault="00296032">
      <w:pPr>
        <w:pStyle w:val="art1enivo"/>
        <w:rPr>
          <w:rFonts w:cs="Arial"/>
        </w:rPr>
      </w:pPr>
      <w:r w:rsidRPr="00620047">
        <w:rPr>
          <w:rFonts w:cs="Arial"/>
          <w:bCs/>
        </w:rPr>
        <w:t>9.</w:t>
      </w:r>
      <w:r w:rsidRPr="00620047">
        <w:rPr>
          <w:rFonts w:cs="Arial"/>
          <w:bCs/>
        </w:rPr>
        <w:tab/>
      </w:r>
      <w:r w:rsidRPr="00620047">
        <w:rPr>
          <w:rFonts w:cs="Arial"/>
        </w:rPr>
        <w:t>Indien gevaarlijke stoffen of CMR-stoffen in verpakking of vloeibare bodembedreigende stoffen in verpakking boven een oppervlaktewaterlichaam aanwezig zijn, wordt ten behoeve van het voorkomen dan wel voor zover dat niet mogelijk is het zoveel mogelijk beperken van verontreiniging van een oppervlaktewaterlichaam ten minste voldaan aan de bij ministeriële regeling te stellen eisen.</w:t>
      </w:r>
    </w:p>
    <w:p w:rsidR="00296032" w:rsidRPr="00620047" w:rsidRDefault="00296032">
      <w:pPr>
        <w:pStyle w:val="art1enivo"/>
        <w:rPr>
          <w:rFonts w:cs="Arial"/>
        </w:rPr>
      </w:pPr>
      <w:r w:rsidRPr="00620047">
        <w:rPr>
          <w:rFonts w:cs="Arial"/>
          <w:bCs/>
        </w:rPr>
        <w:t>10.</w:t>
      </w:r>
      <w:r w:rsidRPr="00620047">
        <w:rPr>
          <w:rFonts w:cs="Arial"/>
          <w:bCs/>
        </w:rPr>
        <w:tab/>
      </w:r>
      <w:r w:rsidRPr="00620047">
        <w:rPr>
          <w:rFonts w:cs="Arial"/>
        </w:rPr>
        <w:t>Het tweede tot en met zesde lid en het achtste en negende lid, zijn niet van toepassing op het opslaan van vloeibare kunstmeststoffen in verpakking, indien dat opslaan plaatsvindt in het kader van agrarische activiteiten.</w:t>
      </w:r>
    </w:p>
    <w:p w:rsidR="00286455" w:rsidRDefault="00286455">
      <w:pPr>
        <w:pStyle w:val="paragraaf"/>
        <w:rPr>
          <w:rFonts w:cs="Arial"/>
        </w:rPr>
      </w:pPr>
      <w:bookmarkStart w:id="179" w:name="_Toc277243211"/>
    </w:p>
    <w:p w:rsidR="00286455" w:rsidRDefault="00286455" w:rsidP="00286455">
      <w:pPr>
        <w:pStyle w:val="paragraaf"/>
        <w:shd w:val="clear" w:color="auto" w:fill="D9D9D9" w:themeFill="background1" w:themeFillShade="D9"/>
      </w:pPr>
      <w:bookmarkStart w:id="180" w:name="_Toc431375668"/>
      <w:r>
        <w:t>§ 4.1.1.</w:t>
      </w:r>
      <w:r>
        <w:tab/>
        <w:t>Opslaan van gevaarlijke stoffen, CMR-stoffen of bodembedreigende stoffen in verpakking, niet zijnde vuurwerk, pyrotechnische artikelen voor theatergebruik, andere ontplofbare stoffen, bepaalde organische peroxiden, asbest, gedemonteerde airbags, gordelspanners of vaste kunstmeststoffen</w:t>
      </w:r>
      <w:bookmarkEnd w:id="180"/>
    </w:p>
    <w:p w:rsidR="00286455" w:rsidRDefault="00286455" w:rsidP="00286455">
      <w:pPr>
        <w:pStyle w:val="artikelkop"/>
        <w:shd w:val="clear" w:color="auto" w:fill="D9D9D9" w:themeFill="background1" w:themeFillShade="D9"/>
      </w:pPr>
      <w:r>
        <w:t>Artikel 4.1</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4.1, eerste lid, van het besluit wordt bij de opslag van gevaarlijke stoffen in verpakking en CMR-stoffen in verpakking, niet zijnde vuurwerk, andere ontplofbare stoffen, vaste kunstmeststoffen of organische peroxiden als bedoeld in artikel 4a, onder d, van het besluit, ten minste voldaan aan de artikelen 4.2 tot en met 4.9b en 4.10, vierde lid.</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Ten behoeve van het realiseren van een verwaarloosbaar bodemrisico als bedoeld in artikel 4.1, zevende lid, van het besluit, wordt bij het opslaan van gevaarlijke stoffen in verpakking, vloeibare bodembedreigende stoffen in verpakking, afvalstoffen waaruit vloeibare bodembedreigende stoffen kunnen lekken en CMR-stoffen in verpakking, niet zijnde vuurwerk, andere ontplofbare stoffen, vaste kunstmeststoffen, of organische peroxiden als bedoeld in artikel 4a, onder d, van het besluit, voldaan aan de artikelen 4.2, 4.9, 4.9a, 4.9b en 4.10.</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Ten behoeve van het voorkomen dan wel, voor zover dat niet mogelijk is, het zoveel mogelijk beperken van verontreiniging van het oppervlaktewater als bedoeld in artikel 4.1, negende lid, van het besluit wordt bij het boven oppervlaktewater opslaan van gevaarlijke stoffen in verpakking, vloeibare bodembedreigende stoffen in verpakking en CMR-stoffen in verpakking, niet zijnde vuurwerk, vaste kunstmeststoffen, organische peroxiden als bedoeld in artikel 4a, onder d, van het besluit, asbest, gedemonteerde airbags en gordelspanners en andere ontplofbare stoffen voldaan aan de artikelen 4.2 en 4.10a.</w:t>
      </w:r>
    </w:p>
    <w:p w:rsidR="00286455" w:rsidRDefault="00286455" w:rsidP="00286455">
      <w:pPr>
        <w:pStyle w:val="art1enivo"/>
        <w:shd w:val="clear" w:color="auto" w:fill="D9D9D9" w:themeFill="background1" w:themeFillShade="D9"/>
        <w:suppressAutoHyphens/>
        <w:rPr>
          <w:rFonts w:cs="Arial"/>
        </w:rPr>
      </w:pPr>
      <w:r>
        <w:rPr>
          <w:rFonts w:cs="Arial"/>
        </w:rPr>
        <w:t>4.</w:t>
      </w:r>
      <w:r>
        <w:rPr>
          <w:rFonts w:cs="Arial"/>
        </w:rPr>
        <w:tab/>
        <w:t>Van een voldoende brandwerende voorziening als bedoeld in artikel 4.1, derde en vijfde lid, van het besluit, is in ieder geval sprake indien de wand een brandwerendheid van ten minste 60 minuten heeft, een hoogte heeft van twee meter en aan weerszijden van de opslagvoorziening een lengte heeft van ten minste twee meter, horizontaal gemeten vanaf de opslagvoorziening.</w:t>
      </w:r>
    </w:p>
    <w:p w:rsidR="00286455" w:rsidRDefault="00286455" w:rsidP="00286455">
      <w:pPr>
        <w:pStyle w:val="artikelkop"/>
        <w:shd w:val="clear" w:color="auto" w:fill="D9D9D9" w:themeFill="background1" w:themeFillShade="D9"/>
      </w:pPr>
      <w:r>
        <w:t>Artikel 4.2</w:t>
      </w:r>
    </w:p>
    <w:p w:rsidR="00286455" w:rsidRDefault="00286455" w:rsidP="00286455">
      <w:pPr>
        <w:pStyle w:val="artplat"/>
        <w:shd w:val="clear" w:color="auto" w:fill="D9D9D9" w:themeFill="background1" w:themeFillShade="D9"/>
        <w:suppressAutoHyphens/>
        <w:rPr>
          <w:rFonts w:cs="Arial"/>
        </w:rPr>
      </w:pPr>
      <w:r>
        <w:rPr>
          <w:rFonts w:cs="Arial"/>
        </w:rPr>
        <w:t>De verpakking van gevaarlijke stoffen, gevaarlijke afvalstoffen, vloeibare bodembedreigende stoffen en CMR-stoffen tegen normale behandeling bestand en is zodanig dat niets van de inhoud uit de verpakking onvoorzien kan ontsnappen.</w:t>
      </w:r>
    </w:p>
    <w:p w:rsidR="00286455" w:rsidRDefault="00286455" w:rsidP="00286455">
      <w:pPr>
        <w:pStyle w:val="artikelkop"/>
        <w:shd w:val="clear" w:color="auto" w:fill="D9D9D9" w:themeFill="background1" w:themeFillShade="D9"/>
      </w:pPr>
      <w:r>
        <w:t>Artikel 4.3</w:t>
      </w:r>
    </w:p>
    <w:p w:rsidR="00286455" w:rsidRDefault="00286455" w:rsidP="00286455">
      <w:pPr>
        <w:pStyle w:val="art1enivo"/>
        <w:shd w:val="clear" w:color="auto" w:fill="D9D9D9" w:themeFill="background1" w:themeFillShade="D9"/>
      </w:pPr>
      <w:r>
        <w:t>1.</w:t>
      </w:r>
      <w:r>
        <w:tab/>
        <w:t>Gevaarlijke stoffen in verpakking en CMR-stoffen in verpakking worden opgeslagen in een opslagvoorziening die is uitgevoerd en wordt gebruikt overeenkomstig de volgende onderdelen van PGS 15:</w:t>
      </w:r>
    </w:p>
    <w:p w:rsidR="00286455" w:rsidRDefault="00286455" w:rsidP="00286455">
      <w:pPr>
        <w:pStyle w:val="art2enivo"/>
        <w:shd w:val="clear" w:color="auto" w:fill="D9D9D9" w:themeFill="background1" w:themeFillShade="D9"/>
      </w:pPr>
      <w:r>
        <w:t>a.</w:t>
      </w:r>
      <w:r>
        <w:tab/>
        <w:t>paragraaf 3.1, met uitzondering van voorschrift 3.1.2, paragraaf 3.2, met uitzondering van voorschrift 3.2.12, en paragraaf 3.4;</w:t>
      </w:r>
    </w:p>
    <w:p w:rsidR="00286455" w:rsidRDefault="00286455" w:rsidP="00286455">
      <w:pPr>
        <w:pStyle w:val="art2enivo"/>
        <w:shd w:val="clear" w:color="auto" w:fill="D9D9D9" w:themeFill="background1" w:themeFillShade="D9"/>
      </w:pPr>
      <w:r>
        <w:t>b.</w:t>
      </w:r>
      <w:r>
        <w:tab/>
        <w:t>de paragrafen 3.8 tot en met 3.20, met uitzondering van voorschrift 3.10.5;</w:t>
      </w:r>
    </w:p>
    <w:p w:rsidR="00286455" w:rsidRDefault="00286455" w:rsidP="00286455">
      <w:pPr>
        <w:pStyle w:val="art2enivo"/>
        <w:shd w:val="clear" w:color="auto" w:fill="D9D9D9" w:themeFill="background1" w:themeFillShade="D9"/>
      </w:pPr>
      <w:r>
        <w:t>c.</w:t>
      </w:r>
      <w:r>
        <w:tab/>
        <w:t>voorschrift 3.21.1, eerste alinea, en</w:t>
      </w:r>
    </w:p>
    <w:p w:rsidR="00286455" w:rsidRDefault="00286455" w:rsidP="00286455">
      <w:pPr>
        <w:pStyle w:val="art2enivo"/>
        <w:shd w:val="clear" w:color="auto" w:fill="D9D9D9" w:themeFill="background1" w:themeFillShade="D9"/>
      </w:pPr>
      <w:r>
        <w:t>d.</w:t>
      </w:r>
      <w:r>
        <w:tab/>
        <w:t>paragraaf 3.23.</w:t>
      </w:r>
    </w:p>
    <w:p w:rsidR="00286455" w:rsidRDefault="00286455" w:rsidP="00286455">
      <w:pPr>
        <w:pStyle w:val="art1enivo"/>
        <w:shd w:val="clear" w:color="auto" w:fill="D9D9D9" w:themeFill="background1" w:themeFillShade="D9"/>
      </w:pPr>
      <w:r>
        <w:t>2.</w:t>
      </w:r>
      <w:r>
        <w:tab/>
        <w:t>Het eerste lid is niet van toepassing op:</w:t>
      </w:r>
    </w:p>
    <w:p w:rsidR="00286455" w:rsidRDefault="00286455" w:rsidP="00286455">
      <w:pPr>
        <w:pStyle w:val="art2enivo"/>
        <w:shd w:val="clear" w:color="auto" w:fill="D9D9D9" w:themeFill="background1" w:themeFillShade="D9"/>
      </w:pPr>
      <w:r>
        <w:t>a.</w:t>
      </w:r>
      <w:r>
        <w:tab/>
        <w:t>gevaarlijke stoffen in verpakking van de klassen 1, 4 of 7 van het ADR;</w:t>
      </w:r>
    </w:p>
    <w:p w:rsidR="00286455" w:rsidRDefault="00286455" w:rsidP="00286455">
      <w:pPr>
        <w:pStyle w:val="art2enivo"/>
        <w:shd w:val="clear" w:color="auto" w:fill="D9D9D9" w:themeFill="background1" w:themeFillShade="D9"/>
      </w:pPr>
      <w:r>
        <w:t>b.</w:t>
      </w:r>
      <w:r>
        <w:tab/>
        <w:t>gevaarlijke stoffen in verpakking van de klasse 9 van het ADR, met uitzondering van de stoffen met classificatiecode M6 of M7 die het aquatisch milieu verontreinigen;</w:t>
      </w:r>
    </w:p>
    <w:p w:rsidR="00286455" w:rsidRDefault="00286455" w:rsidP="00286455">
      <w:pPr>
        <w:pStyle w:val="art2enivo"/>
        <w:shd w:val="clear" w:color="auto" w:fill="D9D9D9" w:themeFill="background1" w:themeFillShade="D9"/>
      </w:pPr>
      <w:r>
        <w:t>c.</w:t>
      </w:r>
      <w:r>
        <w:tab/>
        <w:t>gasflessen, spuitbussen, gaspatronen of aanstekers van de klasse 2 van het ADR, en</w:t>
      </w:r>
    </w:p>
    <w:p w:rsidR="00286455" w:rsidRDefault="00286455" w:rsidP="00286455">
      <w:pPr>
        <w:pStyle w:val="art2enivo"/>
        <w:shd w:val="clear" w:color="auto" w:fill="D9D9D9" w:themeFill="background1" w:themeFillShade="D9"/>
      </w:pPr>
      <w:r>
        <w:t>d.</w:t>
      </w:r>
      <w:r>
        <w:tab/>
        <w:t>accu's.</w:t>
      </w:r>
    </w:p>
    <w:p w:rsidR="00286455" w:rsidRDefault="00286455" w:rsidP="00286455">
      <w:pPr>
        <w:pStyle w:val="artikelkop"/>
        <w:shd w:val="clear" w:color="auto" w:fill="D9D9D9" w:themeFill="background1" w:themeFillShade="D9"/>
      </w:pPr>
      <w:r>
        <w:t>Artikel 4.4</w:t>
      </w:r>
    </w:p>
    <w:p w:rsidR="00286455" w:rsidRDefault="00286455" w:rsidP="00286455">
      <w:pPr>
        <w:pStyle w:val="artplat"/>
        <w:shd w:val="clear" w:color="auto" w:fill="D9D9D9" w:themeFill="background1" w:themeFillShade="D9"/>
      </w:pPr>
      <w:r>
        <w:t>Spuitbussen, gaspatronen of aanstekers van de klasse 2 van het ADR worden opgeslagen in een opslagvoorziening die is uitgevoerd en wordt gebruikt overeenkomstig de volgende onderdelen van PGS 15:</w:t>
      </w:r>
    </w:p>
    <w:p w:rsidR="00286455" w:rsidRDefault="00286455" w:rsidP="00286455">
      <w:pPr>
        <w:pStyle w:val="artplatletter"/>
        <w:shd w:val="clear" w:color="auto" w:fill="D9D9D9" w:themeFill="background1" w:themeFillShade="D9"/>
      </w:pPr>
      <w:r>
        <w:t>a.</w:t>
      </w:r>
      <w:r>
        <w:tab/>
        <w:t>de voorschriften 3.1.1 en 3.1.3;</w:t>
      </w:r>
    </w:p>
    <w:p w:rsidR="00286455" w:rsidRDefault="00286455" w:rsidP="00286455">
      <w:pPr>
        <w:pStyle w:val="artplatletter"/>
        <w:shd w:val="clear" w:color="auto" w:fill="D9D9D9" w:themeFill="background1" w:themeFillShade="D9"/>
      </w:pPr>
      <w:r>
        <w:t>b.</w:t>
      </w:r>
      <w:r>
        <w:tab/>
        <w:t>paragraaf 3.2, met uitzondering van voorschrift 3.2.12, en paragraaf 3.4;</w:t>
      </w:r>
    </w:p>
    <w:p w:rsidR="00286455" w:rsidRDefault="00286455" w:rsidP="00286455">
      <w:pPr>
        <w:pStyle w:val="artplatletter"/>
        <w:shd w:val="clear" w:color="auto" w:fill="D9D9D9" w:themeFill="background1" w:themeFillShade="D9"/>
      </w:pPr>
      <w:r>
        <w:t>c.</w:t>
      </w:r>
      <w:r>
        <w:tab/>
        <w:t>de paragrafen 3.10 tot en met 3.20, met uitzondering van de voorschriften 3.10.4 en 3.10.5 en paragraaf 3.14;</w:t>
      </w:r>
    </w:p>
    <w:p w:rsidR="00286455" w:rsidRDefault="00286455" w:rsidP="00286455">
      <w:pPr>
        <w:pStyle w:val="artplatletter"/>
        <w:shd w:val="clear" w:color="auto" w:fill="D9D9D9" w:themeFill="background1" w:themeFillShade="D9"/>
      </w:pPr>
      <w:r>
        <w:t>d.</w:t>
      </w:r>
      <w:r>
        <w:tab/>
        <w:t>voorschrift 3.21.1, eerste alinea;</w:t>
      </w:r>
    </w:p>
    <w:p w:rsidR="00286455" w:rsidRDefault="00286455" w:rsidP="00286455">
      <w:pPr>
        <w:pStyle w:val="artplatletter"/>
        <w:shd w:val="clear" w:color="auto" w:fill="D9D9D9" w:themeFill="background1" w:themeFillShade="D9"/>
      </w:pPr>
      <w:r>
        <w:t>e.</w:t>
      </w:r>
      <w:r>
        <w:tab/>
        <w:t>paragraaf 3.23, en</w:t>
      </w:r>
    </w:p>
    <w:p w:rsidR="00286455" w:rsidRDefault="00286455" w:rsidP="00286455">
      <w:pPr>
        <w:pStyle w:val="artplatletter"/>
        <w:shd w:val="clear" w:color="auto" w:fill="D9D9D9" w:themeFill="background1" w:themeFillShade="D9"/>
      </w:pPr>
      <w:r>
        <w:t>f.</w:t>
      </w:r>
      <w:r>
        <w:tab/>
        <w:t>de voorschriften 7.3.1 tot en met 7.3.5, 7.4.1 en 7.4.2.</w:t>
      </w:r>
    </w:p>
    <w:p w:rsidR="00286455" w:rsidRDefault="00286455" w:rsidP="00286455">
      <w:pPr>
        <w:pStyle w:val="artikelkop"/>
        <w:shd w:val="clear" w:color="auto" w:fill="D9D9D9" w:themeFill="background1" w:themeFillShade="D9"/>
      </w:pPr>
      <w:r>
        <w:t>Artikel 4.4a</w:t>
      </w:r>
    </w:p>
    <w:p w:rsidR="00286455" w:rsidRDefault="00286455" w:rsidP="00286455">
      <w:pPr>
        <w:pStyle w:val="art1enivo"/>
        <w:shd w:val="clear" w:color="auto" w:fill="D9D9D9" w:themeFill="background1" w:themeFillShade="D9"/>
      </w:pPr>
      <w:r>
        <w:t>1.</w:t>
      </w:r>
      <w:r>
        <w:tab/>
        <w:t>Gasflessen van de klasse 2 van het ADR worden opgeslagen in een opslagvoorziening die is uitgevoerd en wordt gebruikt overeenkomstig de volgende onderdelen van PGS 15:</w:t>
      </w:r>
    </w:p>
    <w:p w:rsidR="00286455" w:rsidRDefault="00286455" w:rsidP="00286455">
      <w:pPr>
        <w:pStyle w:val="art2enivo"/>
        <w:shd w:val="clear" w:color="auto" w:fill="D9D9D9" w:themeFill="background1" w:themeFillShade="D9"/>
      </w:pPr>
      <w:r>
        <w:t>a.</w:t>
      </w:r>
      <w:r>
        <w:tab/>
        <w:t>de voorschriften 3.1.1 en 3.1.3;</w:t>
      </w:r>
    </w:p>
    <w:p w:rsidR="00286455" w:rsidRDefault="00286455" w:rsidP="00286455">
      <w:pPr>
        <w:pStyle w:val="art2enivo"/>
        <w:shd w:val="clear" w:color="auto" w:fill="D9D9D9" w:themeFill="background1" w:themeFillShade="D9"/>
      </w:pPr>
      <w:r>
        <w:t>b.</w:t>
      </w:r>
      <w:r>
        <w:tab/>
        <w:t>paragraaf 3.2, met uitzondering van voorschrift 3.2.12, en paragraaf 3.4, met uitzondering van voorschrift 3.4.5;</w:t>
      </w:r>
    </w:p>
    <w:p w:rsidR="00286455" w:rsidRDefault="00286455" w:rsidP="00286455">
      <w:pPr>
        <w:pStyle w:val="art2enivo"/>
        <w:shd w:val="clear" w:color="auto" w:fill="D9D9D9" w:themeFill="background1" w:themeFillShade="D9"/>
      </w:pPr>
      <w:r>
        <w:t>c.</w:t>
      </w:r>
      <w:r>
        <w:tab/>
        <w:t>de paragrafen 3.11 en 3.15 tot en met 3.20;</w:t>
      </w:r>
    </w:p>
    <w:p w:rsidR="00286455" w:rsidRDefault="00286455" w:rsidP="00286455">
      <w:pPr>
        <w:pStyle w:val="art2enivo"/>
        <w:shd w:val="clear" w:color="auto" w:fill="D9D9D9" w:themeFill="background1" w:themeFillShade="D9"/>
      </w:pPr>
      <w:r>
        <w:t>d.</w:t>
      </w:r>
      <w:r>
        <w:tab/>
        <w:t>voorschrift 3.21.1, eerste alinea;</w:t>
      </w:r>
    </w:p>
    <w:p w:rsidR="00286455" w:rsidRDefault="00286455" w:rsidP="00286455">
      <w:pPr>
        <w:pStyle w:val="art2enivo"/>
        <w:shd w:val="clear" w:color="auto" w:fill="D9D9D9" w:themeFill="background1" w:themeFillShade="D9"/>
      </w:pPr>
      <w:r>
        <w:t>e.</w:t>
      </w:r>
      <w:r>
        <w:tab/>
        <w:t>paragraaf 3.23, en</w:t>
      </w:r>
    </w:p>
    <w:p w:rsidR="00286455" w:rsidRDefault="00286455" w:rsidP="00286455">
      <w:pPr>
        <w:pStyle w:val="art2enivo"/>
        <w:shd w:val="clear" w:color="auto" w:fill="D9D9D9" w:themeFill="background1" w:themeFillShade="D9"/>
      </w:pPr>
      <w:r>
        <w:t>f.</w:t>
      </w:r>
      <w:r>
        <w:tab/>
        <w:t>de voorschriften 6.1.2 en 6.1.3.</w:t>
      </w:r>
    </w:p>
    <w:p w:rsidR="00286455" w:rsidRDefault="00286455" w:rsidP="00286455">
      <w:pPr>
        <w:pStyle w:val="art1enivo"/>
        <w:shd w:val="clear" w:color="auto" w:fill="D9D9D9" w:themeFill="background1" w:themeFillShade="D9"/>
      </w:pPr>
      <w:r>
        <w:t>2.</w:t>
      </w:r>
      <w:r>
        <w:tab/>
        <w:t>Gasflessen van de klasse 2 van het ADR in een brandveiligheidsopslagkast worden opgeslagen overeenkomstig de volgende onderdelen van PGS 15:</w:t>
      </w:r>
    </w:p>
    <w:p w:rsidR="00286455" w:rsidRDefault="00286455" w:rsidP="00286455">
      <w:pPr>
        <w:pStyle w:val="art2enivo"/>
        <w:shd w:val="clear" w:color="auto" w:fill="D9D9D9" w:themeFill="background1" w:themeFillShade="D9"/>
      </w:pPr>
      <w:r>
        <w:t>a.</w:t>
      </w:r>
      <w:r>
        <w:tab/>
        <w:t>de voorschriften 6.2.1 tot en met 6.2.3;</w:t>
      </w:r>
    </w:p>
    <w:p w:rsidR="00286455" w:rsidRDefault="00286455" w:rsidP="00286455">
      <w:pPr>
        <w:pStyle w:val="art2enivo"/>
        <w:shd w:val="clear" w:color="auto" w:fill="D9D9D9" w:themeFill="background1" w:themeFillShade="D9"/>
      </w:pPr>
      <w:r>
        <w:t>b.</w:t>
      </w:r>
      <w:r>
        <w:tab/>
        <w:t>de voorschriften 6.2.7 tot en met 6.2.16, en</w:t>
      </w:r>
    </w:p>
    <w:p w:rsidR="00286455" w:rsidRDefault="00286455" w:rsidP="00286455">
      <w:pPr>
        <w:pStyle w:val="art2enivo"/>
        <w:shd w:val="clear" w:color="auto" w:fill="D9D9D9" w:themeFill="background1" w:themeFillShade="D9"/>
      </w:pPr>
      <w:r>
        <w:t>c.</w:t>
      </w:r>
      <w:r>
        <w:tab/>
        <w:t>de voorschriften 6.3.2 tot en met 6.3.5.</w:t>
      </w:r>
    </w:p>
    <w:p w:rsidR="00286455" w:rsidRDefault="00286455" w:rsidP="00286455">
      <w:pPr>
        <w:pStyle w:val="art1enivo"/>
        <w:shd w:val="clear" w:color="auto" w:fill="D9D9D9" w:themeFill="background1" w:themeFillShade="D9"/>
      </w:pPr>
      <w:r>
        <w:t>3.</w:t>
      </w:r>
      <w:r>
        <w:tab/>
        <w:t>Het opslaan van gasflessen anders dan in een brandveiligheidsopslagkast voldoet aan paragraaf 6.2 van PGS 15.</w:t>
      </w:r>
    </w:p>
    <w:p w:rsidR="00286455" w:rsidRDefault="00286455" w:rsidP="00286455">
      <w:pPr>
        <w:pStyle w:val="art1enivo"/>
        <w:shd w:val="clear" w:color="auto" w:fill="D9D9D9" w:themeFill="background1" w:themeFillShade="D9"/>
      </w:pPr>
      <w:r>
        <w:t>4.</w:t>
      </w:r>
      <w:r>
        <w:tab/>
        <w:t>Het eerste, tweede en derde lid zijn niet van toepassing op gasflessen van de klasse 2 van het ADR met:</w:t>
      </w:r>
    </w:p>
    <w:p w:rsidR="00286455" w:rsidRDefault="00286455" w:rsidP="00286455">
      <w:pPr>
        <w:pStyle w:val="art2enivo"/>
        <w:shd w:val="clear" w:color="auto" w:fill="D9D9D9" w:themeFill="background1" w:themeFillShade="D9"/>
      </w:pPr>
      <w:r>
        <w:t>a.</w:t>
      </w:r>
      <w:r>
        <w:tab/>
        <w:t>kooldioxide met een doelmatige drukontlastvoorziening;</w:t>
      </w:r>
    </w:p>
    <w:p w:rsidR="00286455" w:rsidRDefault="00286455" w:rsidP="00286455">
      <w:pPr>
        <w:pStyle w:val="art2enivo"/>
        <w:shd w:val="clear" w:color="auto" w:fill="D9D9D9" w:themeFill="background1" w:themeFillShade="D9"/>
      </w:pPr>
      <w:r>
        <w:t>b.</w:t>
      </w:r>
      <w:r>
        <w:tab/>
        <w:t>kooldioxide bij horecagelegenheden, of</w:t>
      </w:r>
    </w:p>
    <w:p w:rsidR="00286455" w:rsidRDefault="00286455" w:rsidP="00286455">
      <w:pPr>
        <w:pStyle w:val="art2enivo"/>
        <w:shd w:val="clear" w:color="auto" w:fill="D9D9D9" w:themeFill="background1" w:themeFillShade="D9"/>
      </w:pPr>
      <w:r>
        <w:t>c.</w:t>
      </w:r>
      <w:r>
        <w:tab/>
        <w:t>blusgas.</w:t>
      </w:r>
    </w:p>
    <w:p w:rsidR="00286455" w:rsidRDefault="00286455" w:rsidP="00286455">
      <w:pPr>
        <w:pStyle w:val="art1enivo"/>
        <w:shd w:val="clear" w:color="auto" w:fill="D9D9D9" w:themeFill="background1" w:themeFillShade="D9"/>
      </w:pPr>
      <w:r>
        <w:t>5.</w:t>
      </w:r>
      <w:r>
        <w:tab/>
        <w:t>Een opslagplaats voor de gasflessen, bedoeld in het vierde lid, is vanaf de buitenzijde als zodanig herkenbaar, op een duidelijke wijze gemarkeerd en niet voor onbevoegden toegankelijk.</w:t>
      </w:r>
    </w:p>
    <w:p w:rsidR="00286455" w:rsidRDefault="00286455" w:rsidP="00286455">
      <w:pPr>
        <w:pStyle w:val="art1enivo"/>
        <w:shd w:val="clear" w:color="auto" w:fill="D9D9D9" w:themeFill="background1" w:themeFillShade="D9"/>
      </w:pPr>
      <w:r>
        <w:t>6.</w:t>
      </w:r>
      <w:r>
        <w:tab/>
        <w:t>Gasflessen buiten een opslagvoorziening als bedoeld in het eerste lid voldoen aan de voorschriften 6.2.3, 6.2.10 en 6.2.14 van PGS 15.</w:t>
      </w:r>
    </w:p>
    <w:p w:rsidR="00286455" w:rsidRDefault="00286455" w:rsidP="00286455">
      <w:pPr>
        <w:pStyle w:val="artikelkop"/>
        <w:shd w:val="clear" w:color="auto" w:fill="D9D9D9" w:themeFill="background1" w:themeFillShade="D9"/>
      </w:pPr>
      <w:r>
        <w:t>Artikel 4.4b</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Gevaarlijke stoffen in verpakking van de klasse 4 van het ADR worden opgeslagen in een opslagvoorziening die is uitgevoerd en wordt gebruikt overeenkomstig de volgende onderdelen van PGS 15:</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paragraaf 3.1, met uitzondering van voorschrift 3.1.2, paragraaf 3.2, met uitzondering van voorschrift 3.2.12, en paragraaf 3.4;</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paragrafen 3.8 tot en met 3.20, met uitzondering van de voorschriften 3.10.4 en 3.10.5;</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voorschrift 3.21.1, eerste alinea, en</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paragraaf 3.23.</w:t>
      </w:r>
    </w:p>
    <w:p w:rsidR="00286455" w:rsidRDefault="00286455" w:rsidP="00286455">
      <w:pPr>
        <w:pStyle w:val="art1enivo"/>
        <w:shd w:val="clear" w:color="auto" w:fill="D9D9D9" w:themeFill="background1" w:themeFillShade="D9"/>
      </w:pPr>
      <w:r>
        <w:t>2.</w:t>
      </w:r>
      <w:r>
        <w:tab/>
        <w:t>Het opslaan van gevaarlijke stoffen in verpakking van de klasse 4 van het ADR anders dan in een brandveiligheidsopslagkast voldoet aan voorschrift 8.5.1 van PGS 15.</w:t>
      </w:r>
    </w:p>
    <w:p w:rsidR="00286455" w:rsidRDefault="00286455" w:rsidP="00286455">
      <w:pPr>
        <w:pStyle w:val="art1enivo"/>
        <w:shd w:val="clear" w:color="auto" w:fill="D9D9D9" w:themeFill="background1" w:themeFillShade="D9"/>
      </w:pPr>
      <w:r>
        <w:t>3.</w:t>
      </w:r>
      <w:r>
        <w:tab/>
        <w:t>Het opslaan van gevaarlijke stoffen in verpakking van de klasse 4.1 van het ADR anders dan in een brandveiligheidsopslagkast voldoet aan voorschrift 8.5.2 van PGS 15.</w:t>
      </w:r>
    </w:p>
    <w:p w:rsidR="00286455" w:rsidRDefault="00286455" w:rsidP="00286455">
      <w:pPr>
        <w:pStyle w:val="artikelkop"/>
        <w:shd w:val="clear" w:color="auto" w:fill="D9D9D9" w:themeFill="background1" w:themeFillShade="D9"/>
      </w:pPr>
      <w:r>
        <w:t>Artikel 4.4c</w:t>
      </w:r>
    </w:p>
    <w:p w:rsidR="00286455" w:rsidRDefault="00286455" w:rsidP="00286455">
      <w:pPr>
        <w:pStyle w:val="art1enivo"/>
        <w:shd w:val="clear" w:color="auto" w:fill="D9D9D9" w:themeFill="background1" w:themeFillShade="D9"/>
      </w:pPr>
      <w:r>
        <w:t>1.</w:t>
      </w:r>
      <w:r>
        <w:tab/>
        <w:t xml:space="preserve">Gebruikte accu's worden opgeslagen boven een vloeistofdichte vloer, verharding of lekbak. </w:t>
      </w:r>
    </w:p>
    <w:p w:rsidR="00286455" w:rsidRDefault="00286455" w:rsidP="00286455">
      <w:pPr>
        <w:pStyle w:val="art1enivo"/>
        <w:shd w:val="clear" w:color="auto" w:fill="D9D9D9" w:themeFill="background1" w:themeFillShade="D9"/>
      </w:pPr>
      <w:r>
        <w:t>2.</w:t>
      </w:r>
      <w:r>
        <w:tab/>
        <w:t>De vloeistofdichte vloer, verharding of lekbak, bedoeld in het eerste lid:</w:t>
      </w:r>
    </w:p>
    <w:p w:rsidR="00286455" w:rsidRDefault="00286455" w:rsidP="00286455">
      <w:pPr>
        <w:pStyle w:val="art2enivo"/>
        <w:shd w:val="clear" w:color="auto" w:fill="D9D9D9" w:themeFill="background1" w:themeFillShade="D9"/>
      </w:pPr>
      <w:r>
        <w:t>a.</w:t>
      </w:r>
      <w:r>
        <w:tab/>
        <w:t>is voldoende sterk om weerstand te bieden aan optredende vloeistofdruk als gevolg van een lekkage;</w:t>
      </w:r>
    </w:p>
    <w:p w:rsidR="00286455" w:rsidRDefault="00286455" w:rsidP="00286455">
      <w:pPr>
        <w:pStyle w:val="art2enivo"/>
        <w:shd w:val="clear" w:color="auto" w:fill="D9D9D9" w:themeFill="background1" w:themeFillShade="D9"/>
      </w:pPr>
      <w:r>
        <w:t>b.</w:t>
      </w:r>
      <w:r>
        <w:tab/>
        <w:t>heeft een oppervlak dat niet groter is dan 20 vierkante meter, en</w:t>
      </w:r>
    </w:p>
    <w:p w:rsidR="00286455" w:rsidRDefault="00286455" w:rsidP="00286455">
      <w:pPr>
        <w:pStyle w:val="art2enivo"/>
        <w:shd w:val="clear" w:color="auto" w:fill="D9D9D9" w:themeFill="background1" w:themeFillShade="D9"/>
      </w:pPr>
      <w:r>
        <w:t>c.</w:t>
      </w:r>
      <w:r>
        <w:tab/>
        <w:t>heeft een opvangcapaciteit die ten minste gelijk is aan de totale inhoud van de opgeslagen accu's.</w:t>
      </w:r>
    </w:p>
    <w:p w:rsidR="00286455" w:rsidRDefault="00286455" w:rsidP="00286455">
      <w:pPr>
        <w:pStyle w:val="art1enivo"/>
        <w:shd w:val="clear" w:color="auto" w:fill="D9D9D9" w:themeFill="background1" w:themeFillShade="D9"/>
      </w:pPr>
      <w:r>
        <w:t>3.</w:t>
      </w:r>
      <w:r>
        <w:tab/>
        <w:t>Een accu staat rechtop.</w:t>
      </w:r>
    </w:p>
    <w:p w:rsidR="00286455" w:rsidRDefault="00286455" w:rsidP="00286455">
      <w:pPr>
        <w:pStyle w:val="artikelkop"/>
        <w:shd w:val="clear" w:color="auto" w:fill="D9D9D9" w:themeFill="background1" w:themeFillShade="D9"/>
        <w:rPr>
          <w:rFonts w:eastAsiaTheme="minorEastAsia"/>
          <w:lang w:eastAsia="nl-NL"/>
        </w:rPr>
      </w:pPr>
      <w:r>
        <w:rPr>
          <w:rFonts w:eastAsiaTheme="minorEastAsia"/>
          <w:lang w:eastAsia="nl-NL"/>
        </w:rPr>
        <w:t xml:space="preserve">Artikel 4.4d </w:t>
      </w:r>
    </w:p>
    <w:p w:rsidR="00286455" w:rsidRDefault="00286455" w:rsidP="00286455">
      <w:pPr>
        <w:pStyle w:val="artplat"/>
        <w:shd w:val="clear" w:color="auto" w:fill="D9D9D9" w:themeFill="background1" w:themeFillShade="D9"/>
        <w:rPr>
          <w:rFonts w:eastAsiaTheme="minorEastAsia"/>
          <w:lang w:eastAsia="nl-NL"/>
        </w:rPr>
      </w:pPr>
      <w:r>
        <w:rPr>
          <w:rFonts w:eastAsiaTheme="minorEastAsia"/>
          <w:lang w:eastAsia="nl-NL"/>
        </w:rPr>
        <w:t>Onverminderd de artikelen 4.3 tot en met 4.4c kan het bevoegd gezag voor inrichtingen die zijn opgericht</w:t>
      </w:r>
      <w:r w:rsidR="00FB7856">
        <w:rPr>
          <w:rFonts w:eastAsiaTheme="minorEastAsia"/>
          <w:lang w:eastAsia="nl-NL"/>
        </w:rPr>
        <w:t xml:space="preserve"> voor</w:t>
      </w:r>
      <w:r>
        <w:rPr>
          <w:rFonts w:eastAsiaTheme="minorEastAsia"/>
          <w:lang w:eastAsia="nl-NL"/>
        </w:rPr>
        <w:t xml:space="preserve"> 1 januari 2008 en waarvoor tot dat tijdstip een vergunning van kracht was, dan wel voorschriften golden op basis van een van de besluiten, genoemd in artikel 6.43 van </w:t>
      </w:r>
      <w:r>
        <w:rPr>
          <w:rFonts w:eastAsiaTheme="minorEastAsia"/>
        </w:rPr>
        <w:t>het</w:t>
      </w:r>
      <w:r>
        <w:rPr>
          <w:rFonts w:eastAsiaTheme="minorEastAsia"/>
          <w:lang w:eastAsia="nl-NL"/>
        </w:rPr>
        <w:t xml:space="preserve"> besluit, maatwerkvoorschriften stellen ten aanzien van de bouwkundige eisen zoals gesteld in voorschrift 3.2.4 van PGS 15. Het maatwerkvoorschrift kan uitsluitend minder strenge eisen aan de bouwkundige voorzieningen stellen.</w:t>
      </w:r>
    </w:p>
    <w:p w:rsidR="00286455" w:rsidRDefault="00286455" w:rsidP="00286455">
      <w:pPr>
        <w:pStyle w:val="artikelkop"/>
        <w:shd w:val="clear" w:color="auto" w:fill="D9D9D9" w:themeFill="background1" w:themeFillShade="D9"/>
      </w:pPr>
      <w:r>
        <w:t>Artikel 4.5</w:t>
      </w:r>
    </w:p>
    <w:p w:rsidR="00286455" w:rsidRDefault="00286455" w:rsidP="00286455">
      <w:pPr>
        <w:pStyle w:val="art1enivo"/>
        <w:shd w:val="clear" w:color="auto" w:fill="D9D9D9" w:themeFill="background1" w:themeFillShade="D9"/>
      </w:pPr>
      <w:r>
        <w:t>1.</w:t>
      </w:r>
      <w:r>
        <w:tab/>
        <w:t>Het bevoegd gezag kan bij maatwerkvoorschrift eisen stellen aan het opslaan van gevaarlijke stoffen als bedoeld in deze paragraaf, voor zover in deze paragraaf wordt verwezen naar de voorschriften 3.1.1, 3.1.3, 3.1.4, 3.1.5, 3.2.9, 3.2.10, 3.10.3, 3.18.1, 6.2.4 tot en met 6.2.6, 6.3.5 en 8.5.1 van PGS 15 en deze voorschriften van PGS 15 voorzien in de mogelijkheid tot afwijkende voorschriften.</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Indien ten aanzien van voorschrift 3.10.3 van PGS 15 toepassing wordt gegeven aan het eerste lid, neemt het bevoegd gezag voorschrift 3.10.4 in acht.</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Indien ten aanzien van voorschrift 6.3.5 van PGS 15 toepassing wordt gegeven aan het tweede lid, neemt het bevoegd gezag voorschrift 6.3.6 in acht.</w:t>
      </w:r>
    </w:p>
    <w:p w:rsidR="00286455" w:rsidRDefault="00286455" w:rsidP="00286455">
      <w:pPr>
        <w:pStyle w:val="art1enivo"/>
        <w:shd w:val="clear" w:color="auto" w:fill="D9D9D9" w:themeFill="background1" w:themeFillShade="D9"/>
      </w:pPr>
      <w:r>
        <w:t>4.</w:t>
      </w:r>
      <w:r>
        <w:tab/>
        <w:t>Het bevoegd gezag kan bij maatwerkvoorschrift bij het opslaan van gevaarlijke stoffen de aanwezigheid van een deskundige als bedoeld in voorschrift 3.17.1 van PGS 15, voorschrijven, voor zover in deze paragraaf wordt verwezen naar dat voorschrift.</w:t>
      </w:r>
    </w:p>
    <w:p w:rsidR="00286455" w:rsidRDefault="00286455" w:rsidP="00286455">
      <w:pPr>
        <w:pStyle w:val="art1enivo"/>
        <w:shd w:val="clear" w:color="auto" w:fill="D9D9D9" w:themeFill="background1" w:themeFillShade="D9"/>
      </w:pPr>
      <w:r>
        <w:t>5.</w:t>
      </w:r>
      <w:r>
        <w:tab/>
        <w:t>Het vierde lid is eveneens van toepassing op inrichtingen waar minder dan 2</w:t>
      </w:r>
      <w:r w:rsidR="00AF79E6">
        <w:t>.</w:t>
      </w:r>
      <w:r>
        <w:t>500 kilogram verpakte gevaarlijke stoffen of CMR-stoffen worden opgeslagen.</w:t>
      </w:r>
    </w:p>
    <w:p w:rsidR="00286455" w:rsidRDefault="00286455" w:rsidP="00286455">
      <w:pPr>
        <w:pStyle w:val="artikelkop"/>
        <w:shd w:val="clear" w:color="auto" w:fill="D9D9D9" w:themeFill="background1" w:themeFillShade="D9"/>
      </w:pPr>
      <w:r>
        <w:t>Artikel 4.6</w:t>
      </w:r>
    </w:p>
    <w:p w:rsidR="00286455" w:rsidRDefault="00286455" w:rsidP="00286455">
      <w:pPr>
        <w:pStyle w:val="art1enivo"/>
        <w:shd w:val="clear" w:color="auto" w:fill="D9D9D9" w:themeFill="background1" w:themeFillShade="D9"/>
      </w:pPr>
      <w:r>
        <w:t>1.</w:t>
      </w:r>
      <w:r>
        <w:tab/>
        <w:t>Artikel 4.3, eerste lid, is niet van toepassing op de volgende stoffen van klasse 3 van het ADR:</w:t>
      </w:r>
    </w:p>
    <w:p w:rsidR="00286455" w:rsidRDefault="00286455" w:rsidP="00286455">
      <w:pPr>
        <w:pStyle w:val="art2enivo"/>
        <w:shd w:val="clear" w:color="auto" w:fill="D9D9D9" w:themeFill="background1" w:themeFillShade="D9"/>
      </w:pPr>
      <w:r>
        <w:t>a.</w:t>
      </w:r>
      <w:r>
        <w:tab/>
        <w:t>alcoholhoudende dranken in consumentenverpakking;</w:t>
      </w:r>
    </w:p>
    <w:p w:rsidR="00286455" w:rsidRDefault="00286455" w:rsidP="00286455">
      <w:pPr>
        <w:pStyle w:val="art2enivo"/>
        <w:shd w:val="clear" w:color="auto" w:fill="D9D9D9" w:themeFill="background1" w:themeFillShade="D9"/>
      </w:pPr>
      <w:r>
        <w:t>b.</w:t>
      </w:r>
      <w:r>
        <w:tab/>
        <w:t>dieselolie, gasolie of lichte stookolie met een vlampunt tussen 60 graden Celsius en 100 graden Celsius;</w:t>
      </w:r>
    </w:p>
    <w:p w:rsidR="00286455" w:rsidRDefault="00286455" w:rsidP="00286455">
      <w:pPr>
        <w:pStyle w:val="art2enivo"/>
        <w:shd w:val="clear" w:color="auto" w:fill="D9D9D9" w:themeFill="background1" w:themeFillShade="D9"/>
      </w:pPr>
      <w:r>
        <w:t>c.</w:t>
      </w:r>
      <w:r>
        <w:tab/>
        <w:t>verwarmde brandbare vloeistoffen met UN-nummer 3256, of</w:t>
      </w:r>
    </w:p>
    <w:p w:rsidR="00286455" w:rsidRDefault="00286455" w:rsidP="00286455">
      <w:pPr>
        <w:pStyle w:val="art2enivo"/>
        <w:shd w:val="clear" w:color="auto" w:fill="D9D9D9" w:themeFill="background1" w:themeFillShade="D9"/>
      </w:pPr>
      <w:r>
        <w:t>d.</w:t>
      </w:r>
      <w:r>
        <w:tab/>
        <w:t>niet giftige, niet-bijtende en niet-milieugevaarlijke viskeuze oplossingen en homogene mengsels met een vlampunt van 23 graden Celsius en hoger, die niet zijn onderworpen aan de voorschriften van het ADR.</w:t>
      </w:r>
    </w:p>
    <w:p w:rsidR="00286455" w:rsidRDefault="00286455" w:rsidP="00286455">
      <w:pPr>
        <w:pStyle w:val="art1enivo"/>
        <w:shd w:val="clear" w:color="auto" w:fill="D9D9D9" w:themeFill="background1" w:themeFillShade="D9"/>
      </w:pPr>
      <w:r>
        <w:t>2.</w:t>
      </w:r>
      <w:r>
        <w:tab/>
        <w:t>De artikelen 4.3, eerste lid, 4.4, 4.4a, eerste tot en met vijfde lid, 4.4b en 4.4c zijn niet van toepassing op gevaarlijke stoffen in verpakking en CMR-stoffen in verpakking die:</w:t>
      </w:r>
    </w:p>
    <w:p w:rsidR="00286455" w:rsidRDefault="00286455" w:rsidP="00286455">
      <w:pPr>
        <w:pStyle w:val="art2enivo"/>
        <w:shd w:val="clear" w:color="auto" w:fill="D9D9D9" w:themeFill="background1" w:themeFillShade="D9"/>
      </w:pPr>
      <w:r>
        <w:t>a.</w:t>
      </w:r>
      <w:r>
        <w:tab/>
        <w:t>tijdelijk worden opgeslagen overeenkomstig artikel 4.7;</w:t>
      </w:r>
    </w:p>
    <w:p w:rsidR="00286455" w:rsidRDefault="00286455" w:rsidP="00286455">
      <w:pPr>
        <w:pStyle w:val="art2enivo"/>
        <w:shd w:val="clear" w:color="auto" w:fill="D9D9D9" w:themeFill="background1" w:themeFillShade="D9"/>
      </w:pPr>
      <w:r>
        <w:t>b.</w:t>
      </w:r>
      <w:r>
        <w:tab/>
        <w:t>als werkvoorraad aanwezig zijn;</w:t>
      </w:r>
    </w:p>
    <w:p w:rsidR="00286455" w:rsidRDefault="00286455" w:rsidP="00286455">
      <w:pPr>
        <w:pStyle w:val="art2enivo"/>
        <w:shd w:val="clear" w:color="auto" w:fill="D9D9D9" w:themeFill="background1" w:themeFillShade="D9"/>
      </w:pPr>
      <w:r>
        <w:t>c.</w:t>
      </w:r>
      <w:r>
        <w:tab/>
        <w:t>in vervoerseenheden aanwezig zijn;</w:t>
      </w:r>
    </w:p>
    <w:p w:rsidR="00286455" w:rsidRDefault="00286455" w:rsidP="00286455">
      <w:pPr>
        <w:pStyle w:val="art2enivo"/>
        <w:shd w:val="clear" w:color="auto" w:fill="D9D9D9" w:themeFill="background1" w:themeFillShade="D9"/>
      </w:pPr>
      <w:r>
        <w:t>d.</w:t>
      </w:r>
      <w:r>
        <w:tab/>
        <w:t>in een verkoopruimte aanwezig zijn;</w:t>
      </w:r>
    </w:p>
    <w:p w:rsidR="00286455" w:rsidRDefault="00286455" w:rsidP="00286455">
      <w:pPr>
        <w:pStyle w:val="art2enivo"/>
        <w:shd w:val="clear" w:color="auto" w:fill="D9D9D9" w:themeFill="background1" w:themeFillShade="D9"/>
      </w:pPr>
      <w:r>
        <w:t>e.</w:t>
      </w:r>
      <w:r>
        <w:tab/>
        <w:t>via leidingen zijn aangesloten op een installatie, of</w:t>
      </w:r>
    </w:p>
    <w:p w:rsidR="00286455" w:rsidRDefault="00286455" w:rsidP="00286455">
      <w:pPr>
        <w:pStyle w:val="art2enivo"/>
        <w:shd w:val="clear" w:color="auto" w:fill="D9D9D9" w:themeFill="background1" w:themeFillShade="D9"/>
      </w:pPr>
      <w:r>
        <w:t>f.</w:t>
      </w:r>
      <w:r>
        <w:tab/>
        <w:t>aanwezig zijn in hoeveelheden kleiner dan de in tabel 4.6 weergegeven hoeveelheden. Indien sprake is van stoffen uit verschillende klassen in hoeveelheden die kleiner zijn dan de in tabel 4.6 opgenomen ondergrens, wordt naar rato berekend of de ondergrens wordt overschreden.</w:t>
      </w:r>
    </w:p>
    <w:p w:rsidR="00286455" w:rsidRDefault="00286455" w:rsidP="00286455">
      <w:pPr>
        <w:pStyle w:val="tabelkop"/>
        <w:shd w:val="clear" w:color="auto" w:fill="D9D9D9" w:themeFill="background1" w:themeFillShade="D9"/>
      </w:pPr>
      <w:r>
        <w:t>Tabel 4.6</w:t>
      </w:r>
    </w:p>
    <w:tbl>
      <w:tblPr>
        <w:tblStyle w:val="Tabelraster"/>
        <w:tblW w:w="8505" w:type="dxa"/>
        <w:tblInd w:w="483" w:type="dxa"/>
        <w:tblLook w:val="04A0" w:firstRow="1" w:lastRow="0" w:firstColumn="1" w:lastColumn="0" w:noHBand="0" w:noVBand="1"/>
      </w:tblPr>
      <w:tblGrid>
        <w:gridCol w:w="4110"/>
        <w:gridCol w:w="1843"/>
        <w:gridCol w:w="2552"/>
      </w:tblGrid>
      <w:tr w:rsidR="00286455" w:rsidTr="00F43C9B">
        <w:trPr>
          <w:cnfStyle w:val="100000000000" w:firstRow="1" w:lastRow="0" w:firstColumn="0" w:lastColumn="0" w:oddVBand="0" w:evenVBand="0" w:oddHBand="0" w:evenHBand="0" w:firstRowFirstColumn="0" w:firstRowLastColumn="0" w:lastRowFirstColumn="0" w:lastRowLastColumn="0"/>
          <w:tblHeader/>
        </w:trPr>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Klasse van het ADR zonder bijkomend gevaar</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Verpakkingsgroep</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Ondergrens in kilogram of liter</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Alle klassen</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I</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1</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CMR-stoffen</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n.v.t.</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1</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2 (UN-nummer 1950: Spuitbussen en UN-nummer 2037: Houders, klein, gas)</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n.v.t.</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50</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3</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II</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25</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3</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III</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50</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4.1, 4.2, 4.3</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II en III</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50</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5.1</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II en III</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50</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6.1</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II en III</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50</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6.2 categorie I3, I4</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II en III</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50</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Totaal voorgaande klassen</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50</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8</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II en III</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250</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9</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II en III</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250</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2 (Gasflessen)</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n.v.t.</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125 liter waterinhoud</w:t>
            </w:r>
          </w:p>
        </w:tc>
      </w:tr>
      <w:tr w:rsidR="00286455" w:rsidTr="00F43C9B">
        <w:tc>
          <w:tcPr>
            <w:tcW w:w="41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Gewasbeschermingsmiddelen en biociden</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line="240" w:lineRule="auto"/>
              <w:rPr>
                <w:szCs w:val="20"/>
                <w:lang w:eastAsia="nl-NL"/>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rFonts w:eastAsiaTheme="minorEastAsia"/>
              </w:rPr>
            </w:pPr>
            <w:r>
              <w:t>400</w:t>
            </w:r>
          </w:p>
        </w:tc>
      </w:tr>
    </w:tbl>
    <w:p w:rsidR="00286455" w:rsidRDefault="00286455" w:rsidP="00286455">
      <w:pPr>
        <w:shd w:val="clear" w:color="auto" w:fill="D9D9D9" w:themeFill="background1" w:themeFillShade="D9"/>
      </w:pPr>
    </w:p>
    <w:p w:rsidR="00286455" w:rsidRDefault="00286455" w:rsidP="00286455">
      <w:pPr>
        <w:pStyle w:val="art1enivo"/>
        <w:shd w:val="clear" w:color="auto" w:fill="D9D9D9" w:themeFill="background1" w:themeFillShade="D9"/>
      </w:pPr>
      <w:r>
        <w:t>3.</w:t>
      </w:r>
      <w:r>
        <w:tab/>
        <w:t>Onverminderd het tweede lid geldt een vrijstelling tot de dubbele hoeveelheid van de in tabel 4.6 genoemde ondergrenzen voor verpakkingen als LQ. Deze vrijstelling geldt alleen indien de stoffen zijn opgeslagen in een gesloten verpakking die voldoet aan de daartoe in het ADR gestelde eisen.</w:t>
      </w:r>
    </w:p>
    <w:p w:rsidR="00286455" w:rsidRDefault="00286455" w:rsidP="00286455">
      <w:pPr>
        <w:pStyle w:val="art1enivo"/>
        <w:shd w:val="clear" w:color="auto" w:fill="D9D9D9" w:themeFill="background1" w:themeFillShade="D9"/>
      </w:pPr>
      <w:r>
        <w:t>4.</w:t>
      </w:r>
      <w:r>
        <w:tab/>
        <w:t>Voor stoffen met een bijkomend gevaar is de laagste ondergrens bepalend.</w:t>
      </w:r>
    </w:p>
    <w:p w:rsidR="00286455" w:rsidRDefault="00286455" w:rsidP="00286455">
      <w:pPr>
        <w:pStyle w:val="artikelkop"/>
        <w:shd w:val="clear" w:color="auto" w:fill="D9D9D9" w:themeFill="background1" w:themeFillShade="D9"/>
      </w:pPr>
      <w:r>
        <w:t>Artikel 4.7</w:t>
      </w:r>
    </w:p>
    <w:p w:rsidR="00286455" w:rsidRDefault="00286455" w:rsidP="00286455">
      <w:pPr>
        <w:pStyle w:val="art1enivo"/>
        <w:shd w:val="clear" w:color="auto" w:fill="D9D9D9" w:themeFill="background1" w:themeFillShade="D9"/>
      </w:pPr>
      <w:r>
        <w:t>1.</w:t>
      </w:r>
      <w:r>
        <w:tab/>
        <w:t xml:space="preserve">Tijdelijke opslag van gevaarlijke stoffen vindt plaats: </w:t>
      </w:r>
    </w:p>
    <w:p w:rsidR="00286455" w:rsidRDefault="00286455" w:rsidP="00286455">
      <w:pPr>
        <w:pStyle w:val="art2enivo"/>
        <w:shd w:val="clear" w:color="auto" w:fill="D9D9D9" w:themeFill="background1" w:themeFillShade="D9"/>
      </w:pPr>
      <w:r>
        <w:t>a.</w:t>
      </w:r>
      <w:r>
        <w:tab/>
        <w:t>in één of meer speciaal daarvoor bestemde opslagvoorzieningen, of</w:t>
      </w:r>
    </w:p>
    <w:p w:rsidR="00286455" w:rsidRDefault="00286455" w:rsidP="00286455">
      <w:pPr>
        <w:pStyle w:val="art2enivo"/>
        <w:shd w:val="clear" w:color="auto" w:fill="D9D9D9" w:themeFill="background1" w:themeFillShade="D9"/>
      </w:pPr>
      <w:r>
        <w:t>b.</w:t>
      </w:r>
      <w:r>
        <w:tab/>
        <w:t>in één of meer laad- en losgedeelten tijdens de aanwezigheid van een deskundige als bedoeld in voorschrift 3.17.1 van PGS 15.</w:t>
      </w:r>
    </w:p>
    <w:p w:rsidR="00286455" w:rsidRDefault="00286455" w:rsidP="00286455">
      <w:pPr>
        <w:pStyle w:val="art1enivo"/>
        <w:shd w:val="clear" w:color="auto" w:fill="D9D9D9" w:themeFill="background1" w:themeFillShade="D9"/>
      </w:pPr>
      <w:r>
        <w:t>2.</w:t>
      </w:r>
      <w:r>
        <w:tab/>
        <w:t>Tijdelijke opslag van gevaarlijke stoffen als bedoeld in het eerste lid voldoet aan de volgende onderdelen van PGS 15:</w:t>
      </w:r>
    </w:p>
    <w:p w:rsidR="00286455" w:rsidRDefault="00286455" w:rsidP="00286455">
      <w:pPr>
        <w:pStyle w:val="art2enivo"/>
        <w:shd w:val="clear" w:color="auto" w:fill="D9D9D9" w:themeFill="background1" w:themeFillShade="D9"/>
      </w:pPr>
      <w:r>
        <w:t>a.</w:t>
      </w:r>
      <w:r>
        <w:tab/>
        <w:t>de voorschriften 3.2.9 en 3.4.1 tot en met 3.4.4;</w:t>
      </w:r>
    </w:p>
    <w:p w:rsidR="00286455" w:rsidRDefault="00286455" w:rsidP="00286455">
      <w:pPr>
        <w:pStyle w:val="art2enivo"/>
        <w:shd w:val="clear" w:color="auto" w:fill="D9D9D9" w:themeFill="background1" w:themeFillShade="D9"/>
      </w:pPr>
      <w:r>
        <w:t>b.</w:t>
      </w:r>
      <w:r>
        <w:tab/>
        <w:t>de paragrafen 3.8, 3.9, 3.11, 3.13 tot en met 3.18, met uitzondering van voorschrift 3.16.2, en paragraaf 3.20;</w:t>
      </w:r>
    </w:p>
    <w:p w:rsidR="00286455" w:rsidRDefault="00286455" w:rsidP="00286455">
      <w:pPr>
        <w:pStyle w:val="art2enivo"/>
        <w:shd w:val="clear" w:color="auto" w:fill="D9D9D9" w:themeFill="background1" w:themeFillShade="D9"/>
      </w:pPr>
      <w:r>
        <w:t>c.</w:t>
      </w:r>
      <w:r>
        <w:tab/>
        <w:t>voorschrift 3.21.1, eerste alinea;</w:t>
      </w:r>
    </w:p>
    <w:p w:rsidR="00286455" w:rsidRDefault="00286455" w:rsidP="00286455">
      <w:pPr>
        <w:pStyle w:val="art2enivo"/>
        <w:shd w:val="clear" w:color="auto" w:fill="D9D9D9" w:themeFill="background1" w:themeFillShade="D9"/>
      </w:pPr>
      <w:r>
        <w:t>d.</w:t>
      </w:r>
      <w:r>
        <w:tab/>
        <w:t xml:space="preserve">paragraaf 3.23, en </w:t>
      </w:r>
    </w:p>
    <w:p w:rsidR="00286455" w:rsidRDefault="00286455" w:rsidP="00286455">
      <w:pPr>
        <w:pStyle w:val="art2enivo"/>
        <w:shd w:val="clear" w:color="auto" w:fill="D9D9D9" w:themeFill="background1" w:themeFillShade="D9"/>
      </w:pPr>
      <w:r>
        <w:t>e.</w:t>
      </w:r>
      <w:r>
        <w:tab/>
        <w:t>de voorschriften 10.4.1 tot en met 10.4.7, met uitzondering van voorschrift 10.4.4.</w:t>
      </w:r>
    </w:p>
    <w:p w:rsidR="00286455" w:rsidRDefault="00286455" w:rsidP="00286455">
      <w:pPr>
        <w:pStyle w:val="art1enivo"/>
        <w:shd w:val="clear" w:color="auto" w:fill="D9D9D9" w:themeFill="background1" w:themeFillShade="D9"/>
      </w:pPr>
      <w:r>
        <w:t>3.</w:t>
      </w:r>
      <w:r>
        <w:tab/>
        <w:t>In de opslagvoorziening, bedoeld in het eerste lid, onderdeel a, en in het laad- en losgedeelte, bedoeld in het eerste lid, onderdeel b, zijn geen stoffen aanwezig van:</w:t>
      </w:r>
    </w:p>
    <w:p w:rsidR="00286455" w:rsidRDefault="00286455" w:rsidP="00286455">
      <w:pPr>
        <w:pStyle w:val="art2enivo"/>
        <w:shd w:val="clear" w:color="auto" w:fill="D9D9D9" w:themeFill="background1" w:themeFillShade="D9"/>
      </w:pPr>
      <w:r>
        <w:t>a.</w:t>
      </w:r>
      <w:r>
        <w:tab/>
        <w:t>verpakkingsgroep I van het ADR;</w:t>
      </w:r>
    </w:p>
    <w:p w:rsidR="00286455" w:rsidRDefault="00286455" w:rsidP="00286455">
      <w:pPr>
        <w:pStyle w:val="art2enivo"/>
        <w:shd w:val="clear" w:color="auto" w:fill="D9D9D9" w:themeFill="background1" w:themeFillShade="D9"/>
      </w:pPr>
      <w:r>
        <w:t>b.</w:t>
      </w:r>
      <w:r>
        <w:tab/>
        <w:t>de klasse 1, 2 gevaarsetiket 2.3 en 7 van het ADR;</w:t>
      </w:r>
    </w:p>
    <w:p w:rsidR="00286455" w:rsidRDefault="00286455" w:rsidP="00286455">
      <w:pPr>
        <w:pStyle w:val="art2enivo"/>
        <w:shd w:val="clear" w:color="auto" w:fill="D9D9D9" w:themeFill="background1" w:themeFillShade="D9"/>
      </w:pPr>
      <w:r>
        <w:t>c.</w:t>
      </w:r>
      <w:r>
        <w:tab/>
        <w:t>de klasse 5.2 van het ADR, met uitzondering van gelimiteerde hoeveelheden tot 1.000 kg, of</w:t>
      </w:r>
    </w:p>
    <w:p w:rsidR="00286455" w:rsidRDefault="00286455" w:rsidP="00286455">
      <w:pPr>
        <w:pStyle w:val="art2enivo"/>
        <w:shd w:val="clear" w:color="auto" w:fill="D9D9D9" w:themeFill="background1" w:themeFillShade="D9"/>
      </w:pPr>
      <w:r>
        <w:t>d.</w:t>
      </w:r>
      <w:r>
        <w:tab/>
        <w:t>de klasse 6.2 van het ADR, met uitzondering van stoffen UN-nummer 3291 en UN-nummer 3373.</w:t>
      </w:r>
    </w:p>
    <w:p w:rsidR="00286455" w:rsidRDefault="00286455" w:rsidP="00286455">
      <w:pPr>
        <w:pStyle w:val="art1enivo"/>
        <w:shd w:val="clear" w:color="auto" w:fill="D9D9D9" w:themeFill="background1" w:themeFillShade="D9"/>
      </w:pPr>
      <w:r>
        <w:t>4.</w:t>
      </w:r>
      <w:r>
        <w:tab/>
        <w:t xml:space="preserve">Het derde lid is van overeenkomstige toepassing op gasflessen. </w:t>
      </w:r>
    </w:p>
    <w:p w:rsidR="00286455" w:rsidRDefault="00286455" w:rsidP="00286455">
      <w:pPr>
        <w:pStyle w:val="art1enivo"/>
        <w:shd w:val="clear" w:color="auto" w:fill="D9D9D9" w:themeFill="background1" w:themeFillShade="D9"/>
      </w:pPr>
      <w:r>
        <w:t>5.</w:t>
      </w:r>
      <w:r>
        <w:tab/>
        <w:t xml:space="preserve">Onverminderd het tweede tot en met vierde lid geldt voor de opslag, bedoeld in het eerste lid, onderdeel a, dat: </w:t>
      </w:r>
    </w:p>
    <w:p w:rsidR="00286455" w:rsidRDefault="00286455" w:rsidP="00286455">
      <w:pPr>
        <w:pStyle w:val="art2enivo"/>
        <w:shd w:val="clear" w:color="auto" w:fill="D9D9D9" w:themeFill="background1" w:themeFillShade="D9"/>
      </w:pPr>
      <w:r>
        <w:t>a.</w:t>
      </w:r>
      <w:r>
        <w:tab/>
        <w:t xml:space="preserve">deze voldoet aan de voorschriften 10.5.1 tot en met 10.5.4 van PGS 15, en </w:t>
      </w:r>
    </w:p>
    <w:p w:rsidR="00286455" w:rsidRDefault="00286455" w:rsidP="00286455">
      <w:pPr>
        <w:pStyle w:val="art2enivo"/>
        <w:shd w:val="clear" w:color="auto" w:fill="D9D9D9" w:themeFill="background1" w:themeFillShade="D9"/>
      </w:pPr>
      <w:r>
        <w:t>b.</w:t>
      </w:r>
      <w:r>
        <w:tab/>
        <w:t>de gezamenlijke hoeveelheid gevaarlijke stoffen in verpakking en CMR-stoffen in verpakking in een brandcompartiment ten hoogste 10.000 kilogram bedraagt.</w:t>
      </w:r>
    </w:p>
    <w:p w:rsidR="00286455" w:rsidRDefault="00286455" w:rsidP="00286455">
      <w:pPr>
        <w:pStyle w:val="art1enivo"/>
        <w:shd w:val="clear" w:color="auto" w:fill="D9D9D9" w:themeFill="background1" w:themeFillShade="D9"/>
      </w:pPr>
      <w:r>
        <w:t>6.</w:t>
      </w:r>
      <w:r>
        <w:tab/>
        <w:t xml:space="preserve">Onverminderd het tweede tot en met vierde lid geldt voor de opslag, bedoeld in het eerste lid, onderdeel b, dat: </w:t>
      </w:r>
    </w:p>
    <w:p w:rsidR="00286455" w:rsidRDefault="00286455" w:rsidP="00286455">
      <w:pPr>
        <w:pStyle w:val="art2enivo"/>
        <w:shd w:val="clear" w:color="auto" w:fill="D9D9D9" w:themeFill="background1" w:themeFillShade="D9"/>
      </w:pPr>
      <w:r>
        <w:t>a.</w:t>
      </w:r>
      <w:r>
        <w:tab/>
        <w:t xml:space="preserve">deze voldoet aan de voorschriften 10.6.2 tot en met 10.6.4 van PGS 15; </w:t>
      </w:r>
    </w:p>
    <w:p w:rsidR="00286455" w:rsidRDefault="00286455" w:rsidP="00286455">
      <w:pPr>
        <w:pStyle w:val="art2enivo"/>
        <w:shd w:val="clear" w:color="auto" w:fill="D9D9D9" w:themeFill="background1" w:themeFillShade="D9"/>
      </w:pPr>
      <w:r>
        <w:t>b.</w:t>
      </w:r>
      <w:r>
        <w:tab/>
        <w:t xml:space="preserve">de gezamenlijke hoeveelheid gevaarlijke stoffen in verpakking en CMR-stoffen in verpakking in een brandcompartiment ten hoogste 10.000 kilogram bedraagt, en </w:t>
      </w:r>
    </w:p>
    <w:p w:rsidR="00286455" w:rsidRDefault="00286455" w:rsidP="00286455">
      <w:pPr>
        <w:pStyle w:val="art2enivo"/>
        <w:shd w:val="clear" w:color="auto" w:fill="D9D9D9" w:themeFill="background1" w:themeFillShade="D9"/>
      </w:pPr>
      <w:r>
        <w:t>c.</w:t>
      </w:r>
      <w:r>
        <w:tab/>
        <w:t>de gezamenlijke hoeveelheid gevaarlijke stoffen in verpakking en CMR-stoffen in verpakking in de inrichting ten hoogste 10.000 kilogram bedraagt indien de tijdelijke opslagvoorziening niet is gesitueerd in een brandcompartiment met een WBDBO van 60 minuten of hoger.</w:t>
      </w:r>
    </w:p>
    <w:p w:rsidR="00286455" w:rsidRDefault="00286455" w:rsidP="00286455">
      <w:pPr>
        <w:pStyle w:val="art1enivo"/>
        <w:shd w:val="clear" w:color="auto" w:fill="D9D9D9" w:themeFill="background1" w:themeFillShade="D9"/>
        <w:rPr>
          <w:rFonts w:eastAsiaTheme="minorEastAsia"/>
          <w:lang w:eastAsia="nl-NL"/>
        </w:rPr>
      </w:pPr>
      <w:r>
        <w:rPr>
          <w:rFonts w:eastAsiaTheme="minorEastAsia"/>
          <w:lang w:eastAsia="nl-NL"/>
        </w:rPr>
        <w:t>7.</w:t>
      </w:r>
      <w:r>
        <w:rPr>
          <w:rFonts w:eastAsiaTheme="minorEastAsia"/>
          <w:lang w:eastAsia="nl-NL"/>
        </w:rPr>
        <w:tab/>
        <w:t>Het bevoegd gezag kan bij maatwerkvoorschrift:</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eisen stellen aan de tijdelijke opslag van gevaarlijke stoffen in verpakking en CMR-stoffen in verpakking in de buitenlucht, en</w:t>
      </w:r>
    </w:p>
    <w:p w:rsidR="00286455" w:rsidRDefault="00286455" w:rsidP="00286455">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het derde lid niet van toepassing verklaren en toestaan dat een of meer van de stoffen, bedoeld in dat lid, of gasflessen als bedoeld in het vierde lid tijdelijk worden opgeslagen.</w:t>
      </w:r>
    </w:p>
    <w:p w:rsidR="00286455" w:rsidRDefault="00286455" w:rsidP="00286455">
      <w:pPr>
        <w:pStyle w:val="artikelkop"/>
        <w:shd w:val="clear" w:color="auto" w:fill="D9D9D9" w:themeFill="background1" w:themeFillShade="D9"/>
      </w:pPr>
      <w:r>
        <w:t>Artikel 4.8</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De opslag van gevaarlijke stoffen in verpakking en CMR-stoffen in verpakking in een voor het publiek toegankelijke verkoopruimte is brandveilig.</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Aan het eerste lid wordt voldaan indien gevaarlijke stoffen in verpakking en CMR-stoffen in verpakking:</w:t>
      </w:r>
    </w:p>
    <w:p w:rsidR="00286455" w:rsidRDefault="00286455" w:rsidP="00286455">
      <w:pPr>
        <w:pStyle w:val="art2enivo"/>
        <w:shd w:val="clear" w:color="auto" w:fill="D9D9D9" w:themeFill="background1" w:themeFillShade="D9"/>
      </w:pPr>
      <w:r>
        <w:t>a.</w:t>
      </w:r>
      <w:r>
        <w:tab/>
        <w:t>zijn opgeslagen overeenkomstig de artikelen 4.3, 4.4, 4.4a, 4.4b, 4.4c en 4.5, of</w:t>
      </w:r>
    </w:p>
    <w:p w:rsidR="00286455" w:rsidRDefault="00286455" w:rsidP="00286455">
      <w:pPr>
        <w:pStyle w:val="art2enivo"/>
        <w:shd w:val="clear" w:color="auto" w:fill="D9D9D9" w:themeFill="background1" w:themeFillShade="D9"/>
      </w:pPr>
      <w:r>
        <w:t>b.</w:t>
      </w:r>
      <w:r>
        <w:tab/>
        <w:t>niet in grotere hoeveelheden in een verkoopruimte zijn opgeslagen dan is aangegeven in tabel 4.8.</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Dit artikel is niet van toepassing op:</w:t>
      </w:r>
    </w:p>
    <w:p w:rsidR="00286455" w:rsidRDefault="00286455" w:rsidP="00286455">
      <w:pPr>
        <w:pStyle w:val="art2enivo"/>
        <w:shd w:val="clear" w:color="auto" w:fill="D9D9D9" w:themeFill="background1" w:themeFillShade="D9"/>
      </w:pPr>
      <w:r>
        <w:t>a.</w:t>
      </w:r>
      <w:r>
        <w:tab/>
        <w:t xml:space="preserve">verpakkingen met producten bestemd voor de persoonlijke verzorging, waaronder spuitbussen, </w:t>
      </w:r>
    </w:p>
    <w:p w:rsidR="00286455" w:rsidRDefault="00286455" w:rsidP="00286455">
      <w:pPr>
        <w:pStyle w:val="art2enivo"/>
        <w:shd w:val="clear" w:color="auto" w:fill="D9D9D9" w:themeFill="background1" w:themeFillShade="D9"/>
      </w:pPr>
      <w:r>
        <w:t>b.</w:t>
      </w:r>
      <w:r>
        <w:tab/>
        <w:t>alcoholhoudende dranken in consumentenverpakkingen, of</w:t>
      </w:r>
    </w:p>
    <w:p w:rsidR="00286455" w:rsidRDefault="00286455" w:rsidP="00286455">
      <w:pPr>
        <w:pStyle w:val="art2enivo"/>
        <w:shd w:val="clear" w:color="auto" w:fill="D9D9D9" w:themeFill="background1" w:themeFillShade="D9"/>
      </w:pPr>
      <w:r>
        <w:t>c.</w:t>
      </w:r>
      <w:r>
        <w:tab/>
        <w:t>gevaarlijke stoffen in verpakking van de klasse 9 van het ADR, zonder bijkomend gevaar.</w:t>
      </w:r>
    </w:p>
    <w:p w:rsidR="00286455" w:rsidRDefault="00286455" w:rsidP="00286455">
      <w:pPr>
        <w:pStyle w:val="art1enivo"/>
        <w:shd w:val="clear" w:color="auto" w:fill="D9D9D9" w:themeFill="background1" w:themeFillShade="D9"/>
        <w:suppressAutoHyphens/>
        <w:rPr>
          <w:rFonts w:cs="Arial"/>
        </w:rPr>
      </w:pPr>
      <w:r>
        <w:rPr>
          <w:rFonts w:cs="Arial"/>
        </w:rPr>
        <w:t>4.</w:t>
      </w:r>
      <w:r>
        <w:rPr>
          <w:rFonts w:cs="Arial"/>
        </w:rPr>
        <w:tab/>
        <w:t>Het bevoegd gezag kan maatwerkvoorschriften stellen met betrekking tot een andere wijze van opslag dan genoemd in het tweede lid op basis van een door de inrichtinghouder ingediend uitgangspuntendocument met betrekking tot de bouwkundige, installatietechnische en organisatorische maatregelen, waarin is aangetoond dat de opslag van gevaarlijke stoffen in verpakking en CMR-stoffen in verpakking in een voor het publiek toegankelijke verkoopruimte brandveilig is. Voordat de betreffende verkoopruimte in gebruik wordt genomen, is door een inspectie-instelling, die geaccrediteerd is door een accreditatie-instelling volgens NEN-EN-ISO/IEC 17020, door middel van een goedkeurend inspectierapport aangetoond dat de met het oog op de brandveiligheid getroffen voorzieningen en maatregelen zijn uitgevoerd overeenkomstig het uitgangspuntendocument. Dit inspectierapport is binnen de inrichting aanwezig.</w:t>
      </w:r>
    </w:p>
    <w:p w:rsidR="00286455" w:rsidRDefault="00286455" w:rsidP="00286455">
      <w:pPr>
        <w:pStyle w:val="art1enivo"/>
        <w:shd w:val="clear" w:color="auto" w:fill="D9D9D9" w:themeFill="background1" w:themeFillShade="D9"/>
        <w:suppressAutoHyphens/>
        <w:rPr>
          <w:rFonts w:cs="Arial"/>
        </w:rPr>
      </w:pPr>
      <w:r>
        <w:rPr>
          <w:rFonts w:cs="Arial"/>
        </w:rPr>
        <w:t>5.</w:t>
      </w:r>
      <w:r>
        <w:rPr>
          <w:rFonts w:cs="Arial"/>
        </w:rPr>
        <w:tab/>
        <w:t>Een lekbak als bedoeld in tabel 4.8 is onbrandbaar en productbestendig en kan ten minste 100% van de daarboven opgeslagen vloeistoffen bevatten.</w:t>
      </w:r>
    </w:p>
    <w:p w:rsidR="00286455" w:rsidRDefault="00286455" w:rsidP="00286455">
      <w:pPr>
        <w:pStyle w:val="tabelkop"/>
        <w:shd w:val="clear" w:color="auto" w:fill="D9D9D9" w:themeFill="background1" w:themeFillShade="D9"/>
        <w:suppressAutoHyphens/>
        <w:rPr>
          <w:rFonts w:cs="Arial"/>
        </w:rPr>
      </w:pPr>
      <w:r>
        <w:rPr>
          <w:rFonts w:cs="Arial"/>
        </w:rPr>
        <w:t>Tabel 4.8:</w:t>
      </w:r>
    </w:p>
    <w:tbl>
      <w:tblPr>
        <w:tblW w:w="9072" w:type="dxa"/>
        <w:tblInd w:w="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tblCellMar>
          <w:top w:w="70" w:type="dxa"/>
          <w:left w:w="70" w:type="dxa"/>
          <w:bottom w:w="70" w:type="dxa"/>
          <w:right w:w="70" w:type="dxa"/>
        </w:tblCellMar>
        <w:tblLook w:val="04A0" w:firstRow="1" w:lastRow="0" w:firstColumn="1" w:lastColumn="0" w:noHBand="0" w:noVBand="1"/>
      </w:tblPr>
      <w:tblGrid>
        <w:gridCol w:w="426"/>
        <w:gridCol w:w="3064"/>
        <w:gridCol w:w="651"/>
        <w:gridCol w:w="652"/>
        <w:gridCol w:w="27"/>
        <w:gridCol w:w="624"/>
        <w:gridCol w:w="652"/>
        <w:gridCol w:w="1488"/>
        <w:gridCol w:w="1488"/>
      </w:tblGrid>
      <w:tr w:rsidR="00286455">
        <w:trPr>
          <w:tblHeader/>
        </w:trPr>
        <w:tc>
          <w:tcPr>
            <w:tcW w:w="9072"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286455" w:rsidRDefault="00286455" w:rsidP="00286455">
            <w:pPr>
              <w:widowControl w:val="0"/>
              <w:shd w:val="clear" w:color="auto" w:fill="D9D9D9" w:themeFill="background1" w:themeFillShade="D9"/>
              <w:suppressAutoHyphens/>
              <w:autoSpaceDE w:val="0"/>
              <w:autoSpaceDN w:val="0"/>
              <w:adjustRightInd w:val="0"/>
              <w:rPr>
                <w:rFonts w:cs="Arial"/>
                <w:b/>
                <w:sz w:val="16"/>
                <w:szCs w:val="16"/>
              </w:rPr>
            </w:pPr>
            <w:r>
              <w:rPr>
                <w:rFonts w:cs="Arial"/>
                <w:b/>
                <w:sz w:val="16"/>
                <w:szCs w:val="16"/>
              </w:rPr>
              <w:t xml:space="preserve">Maximale hoeveelheid gevaarlijke stoffen en CMR-stoffen in verpakking in de verkoopruimte in liters </w:t>
            </w:r>
          </w:p>
        </w:tc>
      </w:tr>
      <w:tr w:rsidR="00286455">
        <w:trPr>
          <w:tblHeader/>
        </w:trPr>
        <w:tc>
          <w:tcPr>
            <w:tcW w:w="42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bottom"/>
            <w:hideMark/>
          </w:tcPr>
          <w:p w:rsidR="00286455" w:rsidRDefault="00286455" w:rsidP="00286455">
            <w:pPr>
              <w:widowControl w:val="0"/>
              <w:shd w:val="clear" w:color="auto" w:fill="D9D9D9" w:themeFill="background1" w:themeFillShade="D9"/>
              <w:suppressAutoHyphens/>
              <w:autoSpaceDE w:val="0"/>
              <w:autoSpaceDN w:val="0"/>
              <w:adjustRightInd w:val="0"/>
              <w:rPr>
                <w:rFonts w:cs="Arial"/>
                <w:sz w:val="16"/>
                <w:szCs w:val="16"/>
              </w:rPr>
            </w:pPr>
            <w:r>
              <w:rPr>
                <w:rFonts w:cs="Arial"/>
                <w:sz w:val="16"/>
                <w:szCs w:val="16"/>
              </w:rPr>
              <w:t xml:space="preserve">Nr. </w:t>
            </w:r>
          </w:p>
        </w:tc>
        <w:tc>
          <w:tcPr>
            <w:tcW w:w="30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286455" w:rsidRDefault="00286455" w:rsidP="00286455">
            <w:pPr>
              <w:widowControl w:val="0"/>
              <w:shd w:val="clear" w:color="auto" w:fill="D9D9D9" w:themeFill="background1" w:themeFillShade="D9"/>
              <w:suppressAutoHyphens/>
              <w:autoSpaceDE w:val="0"/>
              <w:autoSpaceDN w:val="0"/>
              <w:adjustRightInd w:val="0"/>
              <w:rPr>
                <w:rFonts w:cs="Arial"/>
                <w:sz w:val="16"/>
                <w:szCs w:val="16"/>
              </w:rPr>
            </w:pPr>
            <w:r>
              <w:rPr>
                <w:rFonts w:cs="Arial"/>
                <w:sz w:val="16"/>
                <w:szCs w:val="16"/>
              </w:rPr>
              <w:t xml:space="preserve">Soort verpakte gevaarlijke stoffen en CMR-stoffen </w:t>
            </w:r>
          </w:p>
        </w:tc>
        <w:tc>
          <w:tcPr>
            <w:tcW w:w="2606"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Woon-, bijeenkomst-, onderwijs-, cel-, gezondheidszorg- en/of logiesfunctie(s) (van derden) boven verkoopruimte</w:t>
            </w:r>
          </w:p>
        </w:tc>
        <w:tc>
          <w:tcPr>
            <w:tcW w:w="297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Geen woon-, bijeenkomst-, onderwijs-, cel-, gezondheidszorg- en/of logiesfunctie(s) (van derden) boven verkoopruimte</w:t>
            </w:r>
            <w:r>
              <w:rPr>
                <w:rFonts w:cs="Arial"/>
                <w:sz w:val="16"/>
                <w:szCs w:val="16"/>
                <w:vertAlign w:val="superscript"/>
              </w:rPr>
              <w:t>1</w:t>
            </w:r>
          </w:p>
        </w:tc>
      </w:tr>
      <w:tr w:rsidR="00286455">
        <w:trPr>
          <w:tblHeader/>
        </w:trPr>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86455" w:rsidRDefault="00286455" w:rsidP="00286455">
            <w:pPr>
              <w:shd w:val="clear" w:color="auto" w:fill="D9D9D9" w:themeFill="background1" w:themeFillShade="D9"/>
              <w:spacing w:line="240" w:lineRule="auto"/>
              <w:rPr>
                <w:rFonts w:cs="Arial"/>
                <w:sz w:val="16"/>
                <w:szCs w:val="16"/>
              </w:rPr>
            </w:pPr>
          </w:p>
        </w:tc>
        <w:tc>
          <w:tcPr>
            <w:tcW w:w="30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rsidR="00286455" w:rsidRDefault="00286455" w:rsidP="00286455">
            <w:pPr>
              <w:widowControl w:val="0"/>
              <w:shd w:val="clear" w:color="auto" w:fill="D9D9D9" w:themeFill="background1" w:themeFillShade="D9"/>
              <w:suppressAutoHyphens/>
              <w:autoSpaceDE w:val="0"/>
              <w:autoSpaceDN w:val="0"/>
              <w:adjustRightInd w:val="0"/>
              <w:rPr>
                <w:rFonts w:cs="Arial"/>
                <w:sz w:val="16"/>
                <w:szCs w:val="16"/>
              </w:rPr>
            </w:pPr>
          </w:p>
        </w:tc>
        <w:tc>
          <w:tcPr>
            <w:tcW w:w="133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Opslag ADR klasse 3 zonder lekbak aanwezig</w:t>
            </w:r>
          </w:p>
        </w:tc>
        <w:tc>
          <w:tcPr>
            <w:tcW w:w="127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Overige opslag situaties, waaronder ADR klasse 3 in of boven lekbak</w:t>
            </w:r>
          </w:p>
        </w:tc>
        <w:tc>
          <w:tcPr>
            <w:tcW w:w="14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Opslag ADR klasse 3 zonder lekbak aanwezig</w:t>
            </w:r>
          </w:p>
        </w:tc>
        <w:tc>
          <w:tcPr>
            <w:tcW w:w="14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Overige opslag situaties, waaronder ADR klasse 3 in of boven lekbak</w:t>
            </w:r>
          </w:p>
        </w:tc>
      </w:tr>
      <w:tr w:rsidR="00286455">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rPr>
                <w:rFonts w:cs="Arial"/>
                <w:sz w:val="16"/>
                <w:szCs w:val="16"/>
              </w:rPr>
            </w:pPr>
            <w:r>
              <w:rPr>
                <w:rFonts w:cs="Arial"/>
                <w:sz w:val="16"/>
                <w:szCs w:val="16"/>
              </w:rPr>
              <w:t xml:space="preserve">I </w:t>
            </w:r>
          </w:p>
        </w:tc>
        <w:tc>
          <w:tcPr>
            <w:tcW w:w="30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rPr>
                <w:rFonts w:cs="Arial"/>
                <w:sz w:val="16"/>
                <w:szCs w:val="16"/>
              </w:rPr>
            </w:pPr>
            <w:r>
              <w:rPr>
                <w:rFonts w:cs="Arial"/>
                <w:sz w:val="16"/>
                <w:szCs w:val="16"/>
              </w:rPr>
              <w:t xml:space="preserve">Gevaarlijke stoffen en CMR-stoffen in verpakking, exclusief III, maar inclusief II </w:t>
            </w:r>
          </w:p>
        </w:tc>
        <w:tc>
          <w:tcPr>
            <w:tcW w:w="133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500</w:t>
            </w:r>
          </w:p>
        </w:tc>
        <w:tc>
          <w:tcPr>
            <w:tcW w:w="127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750</w:t>
            </w:r>
          </w:p>
        </w:tc>
        <w:tc>
          <w:tcPr>
            <w:tcW w:w="14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1.000</w:t>
            </w:r>
          </w:p>
        </w:tc>
        <w:tc>
          <w:tcPr>
            <w:tcW w:w="14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1.500</w:t>
            </w:r>
          </w:p>
        </w:tc>
      </w:tr>
      <w:tr w:rsidR="00286455">
        <w:tc>
          <w:tcPr>
            <w:tcW w:w="42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rPr>
                <w:rFonts w:cs="Arial"/>
                <w:sz w:val="16"/>
                <w:szCs w:val="16"/>
              </w:rPr>
            </w:pPr>
            <w:r>
              <w:rPr>
                <w:rFonts w:cs="Arial"/>
                <w:sz w:val="16"/>
                <w:szCs w:val="16"/>
              </w:rPr>
              <w:t>II</w:t>
            </w:r>
          </w:p>
        </w:tc>
        <w:tc>
          <w:tcPr>
            <w:tcW w:w="3064"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rPr>
                <w:rFonts w:cs="Arial"/>
                <w:sz w:val="16"/>
                <w:szCs w:val="16"/>
              </w:rPr>
            </w:pPr>
            <w:r>
              <w:rPr>
                <w:rFonts w:cs="Arial"/>
                <w:sz w:val="16"/>
                <w:szCs w:val="16"/>
              </w:rPr>
              <w:t xml:space="preserve">ADR klasse 2 en 3 m.u.v. gebruiksklare ruitensproeiervloeistof met vlampunt &gt; 40 ºC </w:t>
            </w:r>
          </w:p>
        </w:tc>
        <w:tc>
          <w:tcPr>
            <w:tcW w:w="2606"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Verkoopruimte is brandcompartiment met wbdbo</w:t>
            </w:r>
            <w:r>
              <w:rPr>
                <w:rFonts w:cs="Arial"/>
                <w:sz w:val="16"/>
                <w:szCs w:val="16"/>
                <w:vertAlign w:val="superscript"/>
              </w:rPr>
              <w:t>2</w:t>
            </w:r>
            <w:r>
              <w:rPr>
                <w:rFonts w:cs="Arial"/>
                <w:sz w:val="16"/>
                <w:szCs w:val="16"/>
              </w:rPr>
              <w:t xml:space="preserve"> tussen woon-, bijeenkomst-, onderwijs-, cel-, gezondheidszorg- en/of logiesfunctie(s) (van derden)  </w:t>
            </w:r>
            <w:r w:rsidR="00932046" w:rsidRPr="00932046">
              <w:rPr>
                <w:rFonts w:cs="Arial"/>
                <w:sz w:val="16"/>
                <w:szCs w:val="16"/>
              </w:rPr>
              <w:t>≥</w:t>
            </w:r>
            <w:r>
              <w:rPr>
                <w:rFonts w:cs="Arial"/>
                <w:sz w:val="16"/>
                <w:szCs w:val="16"/>
              </w:rPr>
              <w:t>60 minuten?</w:t>
            </w:r>
          </w:p>
        </w:tc>
        <w:tc>
          <w:tcPr>
            <w:tcW w:w="14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300</w:t>
            </w:r>
          </w:p>
        </w:tc>
        <w:tc>
          <w:tcPr>
            <w:tcW w:w="14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 xml:space="preserve">800 </w:t>
            </w:r>
            <w:r w:rsidRPr="00A85E36">
              <w:rPr>
                <w:rFonts w:cs="Arial"/>
                <w:sz w:val="16"/>
                <w:szCs w:val="16"/>
                <w:vertAlign w:val="superscript"/>
              </w:rPr>
              <w:t>4</w:t>
            </w:r>
          </w:p>
        </w:tc>
      </w:tr>
      <w:tr w:rsidR="00286455">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86455" w:rsidRDefault="00286455" w:rsidP="00286455">
            <w:pPr>
              <w:shd w:val="clear" w:color="auto" w:fill="D9D9D9" w:themeFill="background1" w:themeFillShade="D9"/>
              <w:spacing w:line="240" w:lineRule="auto"/>
              <w:rPr>
                <w:rFonts w:cs="Arial"/>
                <w:sz w:val="16"/>
                <w:szCs w:val="16"/>
              </w:rPr>
            </w:pPr>
          </w:p>
        </w:tc>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86455" w:rsidRDefault="00286455" w:rsidP="00286455">
            <w:pPr>
              <w:shd w:val="clear" w:color="auto" w:fill="D9D9D9" w:themeFill="background1" w:themeFillShade="D9"/>
              <w:spacing w:line="240" w:lineRule="auto"/>
              <w:rPr>
                <w:rFonts w:cs="Arial"/>
                <w:sz w:val="16"/>
                <w:szCs w:val="16"/>
              </w:rPr>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Nee</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Ja</w:t>
            </w:r>
          </w:p>
        </w:tc>
        <w:tc>
          <w:tcPr>
            <w:tcW w:w="6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Nee</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Ja</w:t>
            </w:r>
          </w:p>
        </w:tc>
        <w:tc>
          <w:tcPr>
            <w:tcW w:w="1488"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p>
        </w:tc>
        <w:tc>
          <w:tcPr>
            <w:tcW w:w="1488"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p>
        </w:tc>
      </w:tr>
      <w:tr w:rsidR="00286455">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86455" w:rsidRDefault="00286455" w:rsidP="00286455">
            <w:pPr>
              <w:shd w:val="clear" w:color="auto" w:fill="D9D9D9" w:themeFill="background1" w:themeFillShade="D9"/>
              <w:spacing w:line="240" w:lineRule="auto"/>
              <w:rPr>
                <w:rFonts w:cs="Arial"/>
                <w:sz w:val="16"/>
                <w:szCs w:val="16"/>
              </w:rPr>
            </w:pPr>
          </w:p>
        </w:tc>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86455" w:rsidRDefault="00286455" w:rsidP="00286455">
            <w:pPr>
              <w:shd w:val="clear" w:color="auto" w:fill="D9D9D9" w:themeFill="background1" w:themeFillShade="D9"/>
              <w:spacing w:line="240" w:lineRule="auto"/>
              <w:rPr>
                <w:rFonts w:cs="Arial"/>
                <w:sz w:val="16"/>
                <w:szCs w:val="16"/>
              </w:rPr>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 xml:space="preserve">75 </w:t>
            </w:r>
            <w:r>
              <w:rPr>
                <w:rFonts w:cs="Arial"/>
                <w:sz w:val="16"/>
                <w:szCs w:val="16"/>
                <w:vertAlign w:val="superscript"/>
              </w:rPr>
              <w:t>3</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150</w:t>
            </w:r>
            <w:r w:rsidRPr="00A85E36">
              <w:rPr>
                <w:rFonts w:cs="Arial"/>
                <w:sz w:val="16"/>
                <w:szCs w:val="16"/>
                <w:vertAlign w:val="superscript"/>
              </w:rPr>
              <w:t>4</w:t>
            </w:r>
          </w:p>
        </w:tc>
        <w:tc>
          <w:tcPr>
            <w:tcW w:w="6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150</w:t>
            </w:r>
            <w:r>
              <w:rPr>
                <w:rFonts w:cs="Arial"/>
                <w:sz w:val="16"/>
                <w:szCs w:val="16"/>
                <w:vertAlign w:val="superscript"/>
              </w:rPr>
              <w:t>3</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jc w:val="center"/>
              <w:rPr>
                <w:rFonts w:cs="Arial"/>
                <w:sz w:val="16"/>
                <w:szCs w:val="16"/>
              </w:rPr>
            </w:pPr>
            <w:r>
              <w:rPr>
                <w:rFonts w:cs="Arial"/>
                <w:sz w:val="16"/>
                <w:szCs w:val="16"/>
              </w:rPr>
              <w:t>300</w:t>
            </w:r>
            <w:r w:rsidRPr="00A85E36">
              <w:rPr>
                <w:rFonts w:cs="Arial"/>
                <w:sz w:val="16"/>
                <w:szCs w:val="16"/>
                <w:vertAlign w:val="superscript"/>
              </w:rPr>
              <w:t>4</w:t>
            </w:r>
          </w:p>
        </w:tc>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86455" w:rsidRDefault="00286455" w:rsidP="00286455">
            <w:pPr>
              <w:shd w:val="clear" w:color="auto" w:fill="D9D9D9" w:themeFill="background1" w:themeFillShade="D9"/>
              <w:spacing w:line="240" w:lineRule="auto"/>
              <w:rPr>
                <w:rFonts w:cs="Arial"/>
                <w:sz w:val="16"/>
                <w:szCs w:val="16"/>
              </w:rPr>
            </w:pPr>
          </w:p>
        </w:tc>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86455" w:rsidRDefault="00286455" w:rsidP="00286455">
            <w:pPr>
              <w:shd w:val="clear" w:color="auto" w:fill="D9D9D9" w:themeFill="background1" w:themeFillShade="D9"/>
              <w:spacing w:line="240" w:lineRule="auto"/>
              <w:rPr>
                <w:rFonts w:cs="Arial"/>
                <w:sz w:val="16"/>
                <w:szCs w:val="16"/>
              </w:rPr>
            </w:pPr>
          </w:p>
        </w:tc>
      </w:tr>
      <w:tr w:rsidR="00286455">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rPr>
                <w:rFonts w:cs="Arial"/>
                <w:sz w:val="16"/>
                <w:szCs w:val="16"/>
              </w:rPr>
            </w:pPr>
            <w:r>
              <w:rPr>
                <w:rFonts w:cs="Arial"/>
                <w:sz w:val="16"/>
                <w:szCs w:val="16"/>
              </w:rPr>
              <w:t xml:space="preserve">III </w:t>
            </w:r>
          </w:p>
        </w:tc>
        <w:tc>
          <w:tcPr>
            <w:tcW w:w="30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widowControl w:val="0"/>
              <w:shd w:val="clear" w:color="auto" w:fill="D9D9D9" w:themeFill="background1" w:themeFillShade="D9"/>
              <w:suppressAutoHyphens/>
              <w:autoSpaceDE w:val="0"/>
              <w:autoSpaceDN w:val="0"/>
              <w:adjustRightInd w:val="0"/>
              <w:rPr>
                <w:rFonts w:cs="Arial"/>
                <w:sz w:val="16"/>
                <w:szCs w:val="16"/>
              </w:rPr>
            </w:pPr>
            <w:r>
              <w:rPr>
                <w:rFonts w:cs="Arial"/>
                <w:sz w:val="16"/>
                <w:szCs w:val="16"/>
              </w:rPr>
              <w:t xml:space="preserve">Verfproducten, die als gevaarlijke stoffen volgens het ADR, klasse 3 zijn aangewezen,  in metalen verpakking </w:t>
            </w:r>
          </w:p>
        </w:tc>
        <w:tc>
          <w:tcPr>
            <w:tcW w:w="5582"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86455" w:rsidRDefault="00286455" w:rsidP="00286455">
            <w:pPr>
              <w:widowControl w:val="0"/>
              <w:shd w:val="clear" w:color="auto" w:fill="D9D9D9" w:themeFill="background1" w:themeFillShade="D9"/>
              <w:suppressAutoHyphens/>
              <w:autoSpaceDE w:val="0"/>
              <w:autoSpaceDN w:val="0"/>
              <w:adjustRightInd w:val="0"/>
              <w:spacing w:after="240"/>
              <w:jc w:val="center"/>
              <w:rPr>
                <w:rFonts w:cs="Arial"/>
                <w:sz w:val="16"/>
                <w:szCs w:val="16"/>
              </w:rPr>
            </w:pPr>
            <w:r>
              <w:rPr>
                <w:rFonts w:cs="Arial"/>
                <w:sz w:val="16"/>
                <w:szCs w:val="16"/>
              </w:rPr>
              <w:t>8.000</w:t>
            </w:r>
          </w:p>
        </w:tc>
      </w:tr>
    </w:tbl>
    <w:p w:rsidR="00286455" w:rsidRDefault="00286455" w:rsidP="00286455">
      <w:pPr>
        <w:pStyle w:val="artplat"/>
        <w:shd w:val="clear" w:color="auto" w:fill="D9D9D9" w:themeFill="background1" w:themeFillShade="D9"/>
        <w:suppressAutoHyphens/>
        <w:ind w:left="426" w:hanging="426"/>
        <w:rPr>
          <w:rFonts w:cs="Arial"/>
        </w:rPr>
      </w:pPr>
      <w:r>
        <w:rPr>
          <w:rFonts w:cs="Arial"/>
          <w:vertAlign w:val="superscript"/>
        </w:rPr>
        <w:t>1</w:t>
      </w:r>
      <w:r>
        <w:rPr>
          <w:rFonts w:cs="Arial"/>
        </w:rPr>
        <w:tab/>
        <w:t>Indien de verkoopruimte niet onder woon-, bijeenkomst-, onderwijs-, cel-, gezondheidszorg- en/of logiesfunctie(s) (van derden) is gesitueerd gelden de maximale hoeveelheden per brand</w:t>
      </w:r>
      <w:r w:rsidR="00932046">
        <w:rPr>
          <w:rFonts w:cs="Arial"/>
        </w:rPr>
        <w:t>-</w:t>
      </w:r>
      <w:r>
        <w:rPr>
          <w:rFonts w:cs="Arial"/>
        </w:rPr>
        <w:t>compartiment.</w:t>
      </w:r>
    </w:p>
    <w:p w:rsidR="00286455" w:rsidRDefault="00286455" w:rsidP="00286455">
      <w:pPr>
        <w:pStyle w:val="artplat"/>
        <w:shd w:val="clear" w:color="auto" w:fill="D9D9D9" w:themeFill="background1" w:themeFillShade="D9"/>
        <w:suppressAutoHyphens/>
        <w:rPr>
          <w:rFonts w:cs="Arial"/>
        </w:rPr>
      </w:pPr>
      <w:r>
        <w:rPr>
          <w:rFonts w:cs="Arial"/>
          <w:vertAlign w:val="superscript"/>
        </w:rPr>
        <w:t>2</w:t>
      </w:r>
      <w:r>
        <w:rPr>
          <w:rFonts w:cs="Arial"/>
        </w:rPr>
        <w:tab/>
        <w:t>Weerstand tegen branddoorslag en brandoverslag.</w:t>
      </w:r>
    </w:p>
    <w:p w:rsidR="00286455" w:rsidRDefault="00286455" w:rsidP="00286455">
      <w:pPr>
        <w:pStyle w:val="artplat"/>
        <w:shd w:val="clear" w:color="auto" w:fill="D9D9D9" w:themeFill="background1" w:themeFillShade="D9"/>
        <w:suppressAutoHyphens/>
        <w:ind w:left="426" w:hanging="426"/>
        <w:rPr>
          <w:rFonts w:cs="Arial"/>
        </w:rPr>
      </w:pPr>
      <w:r>
        <w:rPr>
          <w:rFonts w:cs="Arial"/>
          <w:vertAlign w:val="superscript"/>
        </w:rPr>
        <w:t>3</w:t>
      </w:r>
      <w:r>
        <w:rPr>
          <w:rFonts w:cs="Arial"/>
        </w:rPr>
        <w:tab/>
        <w:t>Opslag in een verkoopruimte zonder een weerstand tegen branddoorslag en brandoverslag van minimaal 60 minuten is uitsluitend toegestaan als er sprake is van individuele consumentenver</w:t>
      </w:r>
      <w:r w:rsidR="00932046">
        <w:rPr>
          <w:rFonts w:cs="Arial"/>
        </w:rPr>
        <w:t>-</w:t>
      </w:r>
      <w:r>
        <w:rPr>
          <w:rFonts w:cs="Arial"/>
        </w:rPr>
        <w:t>pakkingseenheden met een inhoud van ten hoogste 5 liter.</w:t>
      </w:r>
    </w:p>
    <w:p w:rsidR="00286455" w:rsidRDefault="00286455" w:rsidP="00286455">
      <w:pPr>
        <w:pStyle w:val="artplat"/>
        <w:shd w:val="clear" w:color="auto" w:fill="D9D9D9" w:themeFill="background1" w:themeFillShade="D9"/>
        <w:suppressAutoHyphens/>
        <w:ind w:left="426" w:hanging="426"/>
        <w:rPr>
          <w:rFonts w:cs="Arial"/>
        </w:rPr>
      </w:pPr>
      <w:r>
        <w:rPr>
          <w:rFonts w:cs="Arial"/>
          <w:vertAlign w:val="superscript"/>
        </w:rPr>
        <w:t>4</w:t>
      </w:r>
      <w:r>
        <w:rPr>
          <w:rFonts w:cs="Arial"/>
        </w:rPr>
        <w:t xml:space="preserve"> </w:t>
      </w:r>
      <w:r>
        <w:rPr>
          <w:rFonts w:cs="Arial"/>
        </w:rPr>
        <w:tab/>
        <w:t>De hoeveelheid gevaarlijke stoffen in verpakking van ADR klasse 3 zoals hier genoemd, wordt in of boven een lekbak geplaatst indien meer dan 5 liter aanwezig is op een stelling. De stelling is maximaal 1.35 meter breed en kan bestaan uit meerdere schappen boven elkaar. Het aantal schappen maakt daarbij niet uit.</w:t>
      </w:r>
    </w:p>
    <w:p w:rsidR="00286455" w:rsidRDefault="00286455" w:rsidP="00286455">
      <w:pPr>
        <w:pStyle w:val="artikelkop"/>
        <w:shd w:val="clear" w:color="auto" w:fill="D9D9D9" w:themeFill="background1" w:themeFillShade="D9"/>
      </w:pPr>
      <w:r>
        <w:t>Artikel 4.9</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Leidingen aangesloten op een verpakking met vloeibare gevaarlijke stoffen of vloeibare bodembedreigende stoffen:</w:t>
      </w:r>
    </w:p>
    <w:p w:rsidR="00286455" w:rsidRDefault="00286455" w:rsidP="00286455">
      <w:pPr>
        <w:pStyle w:val="art2enivo"/>
        <w:shd w:val="clear" w:color="auto" w:fill="D9D9D9" w:themeFill="background1" w:themeFillShade="D9"/>
        <w:suppressAutoHyphens/>
        <w:rPr>
          <w:rFonts w:cs="Arial"/>
        </w:rPr>
      </w:pPr>
      <w:r>
        <w:rPr>
          <w:rFonts w:cs="Arial"/>
        </w:rPr>
        <w:t>a.</w:t>
      </w:r>
      <w:r>
        <w:rPr>
          <w:rFonts w:cs="Arial"/>
        </w:rPr>
        <w:tab/>
        <w:t>zijn bovengronds vast aangelegd of in een daartoe speciaal aangelegde goot vast aangelegd;</w:t>
      </w:r>
    </w:p>
    <w:p w:rsidR="00286455" w:rsidRDefault="00286455" w:rsidP="00286455">
      <w:pPr>
        <w:pStyle w:val="art2enivo"/>
        <w:shd w:val="clear" w:color="auto" w:fill="D9D9D9" w:themeFill="background1" w:themeFillShade="D9"/>
        <w:suppressAutoHyphens/>
        <w:rPr>
          <w:rFonts w:cs="Arial"/>
        </w:rPr>
      </w:pPr>
      <w:r>
        <w:rPr>
          <w:rFonts w:cs="Arial"/>
        </w:rPr>
        <w:t>b.</w:t>
      </w:r>
      <w:r>
        <w:rPr>
          <w:rFonts w:cs="Arial"/>
        </w:rPr>
        <w:tab/>
        <w:t>zijn bestand tegen de daardoor getransporteerde stoffen en zijn vloeistofdicht uitgevoerd;</w:t>
      </w:r>
    </w:p>
    <w:p w:rsidR="00286455" w:rsidRDefault="00286455" w:rsidP="00286455">
      <w:pPr>
        <w:pStyle w:val="art2enivo"/>
        <w:shd w:val="clear" w:color="auto" w:fill="D9D9D9" w:themeFill="background1" w:themeFillShade="D9"/>
        <w:suppressAutoHyphens/>
        <w:rPr>
          <w:rFonts w:cs="Arial"/>
        </w:rPr>
      </w:pPr>
      <w:r>
        <w:rPr>
          <w:rFonts w:cs="Arial"/>
        </w:rPr>
        <w:t>c.</w:t>
      </w:r>
      <w:r>
        <w:rPr>
          <w:rFonts w:cs="Arial"/>
        </w:rPr>
        <w:tab/>
        <w:t>worden periodiek gecontroleerd op vloeistofdichtheid.</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In elke aansluiting op verpakking met een inhoud van meer dan 200 liter gevaarlijke stoffen beneden het hoogste vloeistofniveau, is zo dicht mogelijk bij de wand een afsluiter geplaatst. De afsluiter is zodanig uitgevoerd dat duidelijk is te zien of de afsluiter is geopend dan wel is gesloten.</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Leidingen die beneden het hoogste vloeistofniveau zijn aangesloten en waarin door hevelwerking product uit de tank kan stromen, zijn voorzien van een anti-hevel voorziening.</w:t>
      </w:r>
    </w:p>
    <w:p w:rsidR="00286455" w:rsidRDefault="00286455" w:rsidP="00286455">
      <w:pPr>
        <w:pStyle w:val="artikelkop"/>
        <w:shd w:val="clear" w:color="auto" w:fill="D9D9D9" w:themeFill="background1" w:themeFillShade="D9"/>
      </w:pPr>
      <w:r>
        <w:t>Artikel 4.9a</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 xml:space="preserve">In afwijking van artikel 4.9 zijn stationaire bovengrondse verpakkingen voor het opslaan van afgetapte vloeibare brandstoffen bij een autodemontagebedrijf, met de daarbij behorende leidingen en appendages, met een inhoud van ten hoogste 270 liter per verpakking, uitgevoerd en geïnstalleerd en worden gerepareerd of vervangen en beoordeeld overeenkomstig </w:t>
      </w:r>
      <w:r>
        <w:t xml:space="preserve"> </w:t>
      </w:r>
      <w:r>
        <w:rPr>
          <w:rFonts w:cs="Arial"/>
        </w:rPr>
        <w:t>BRL K903, door een bedrijf dat op grond van die BRL daartoe is gecertificeerd.</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Het opslaan van afgetapte vloeibare brandstoffen bij een autodemontagebedrijf in stationaire bovengrondse verpakkingen met de daarbij behorende leidingen en appendages voldoet aan de volgende onderdelen van PGS 30:</w:t>
      </w:r>
    </w:p>
    <w:p w:rsidR="00286455" w:rsidRDefault="00286455" w:rsidP="00286455">
      <w:pPr>
        <w:pStyle w:val="art2enivo"/>
        <w:shd w:val="clear" w:color="auto" w:fill="D9D9D9" w:themeFill="background1" w:themeFillShade="D9"/>
      </w:pPr>
      <w:r>
        <w:t>a.</w:t>
      </w:r>
      <w:r>
        <w:tab/>
        <w:t>de paragrafen 2.2 en 2.3;</w:t>
      </w:r>
    </w:p>
    <w:p w:rsidR="00286455" w:rsidRDefault="00286455" w:rsidP="00286455">
      <w:pPr>
        <w:pStyle w:val="art2enivo"/>
        <w:shd w:val="clear" w:color="auto" w:fill="D9D9D9" w:themeFill="background1" w:themeFillShade="D9"/>
      </w:pPr>
      <w:r>
        <w:t>b.</w:t>
      </w:r>
      <w:r>
        <w:tab/>
        <w:t>de voorschriften 2.4.3, 2.6.1, 2.6.3 tot en met 2.6.6, 2.6.11 en 2.6.14, en</w:t>
      </w:r>
    </w:p>
    <w:p w:rsidR="00286455" w:rsidRDefault="00286455" w:rsidP="00286455">
      <w:pPr>
        <w:pStyle w:val="art2enivo"/>
        <w:shd w:val="clear" w:color="auto" w:fill="D9D9D9" w:themeFill="background1" w:themeFillShade="D9"/>
      </w:pPr>
      <w:r>
        <w:rPr>
          <w:rFonts w:eastAsiaTheme="minorEastAsia"/>
          <w:lang w:eastAsia="nl-NL"/>
        </w:rPr>
        <w:t xml:space="preserve">c. </w:t>
      </w:r>
      <w:r>
        <w:rPr>
          <w:rFonts w:eastAsiaTheme="minorEastAsia"/>
          <w:lang w:eastAsia="nl-NL"/>
        </w:rPr>
        <w:tab/>
        <w:t>paragraaf 4.2, met uitzondering van voorschrift 4.2.9 indien het betreft inwendig gecoate verpakkingen die in een brandwerende omkasting zijn geplaatst en ten minste eenmaal per jaar volledig worden geledigd.</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Een ruimte waarin verpakkingen als bedoeld in het eerste lid worden opgeslagen, bevindt zich niet op een verdieping.</w:t>
      </w:r>
    </w:p>
    <w:p w:rsidR="00286455" w:rsidRDefault="00286455" w:rsidP="00286455">
      <w:pPr>
        <w:pStyle w:val="art1enivo"/>
        <w:shd w:val="clear" w:color="auto" w:fill="D9D9D9" w:themeFill="background1" w:themeFillShade="D9"/>
        <w:suppressAutoHyphens/>
        <w:rPr>
          <w:rFonts w:cs="Arial"/>
        </w:rPr>
      </w:pPr>
      <w:r>
        <w:rPr>
          <w:rFonts w:cs="Arial"/>
        </w:rPr>
        <w:t>4.</w:t>
      </w:r>
      <w:r>
        <w:rPr>
          <w:rFonts w:cs="Arial"/>
        </w:rPr>
        <w:tab/>
        <w:t>Het gebruik van de verpakkingen waarin het opslaan, vullen en afleveren van afgetapte vloeibare brandstoffen bij een autodemontagebedrijf plaatsvindt in stationaire bovengrondse verpakkingen met de daarbij behorende leidingen en appendages, voldoet aan de volgende onderdelen van PGS 30:</w:t>
      </w:r>
    </w:p>
    <w:p w:rsidR="00286455" w:rsidRDefault="00286455" w:rsidP="00286455">
      <w:pPr>
        <w:pStyle w:val="art2enivo"/>
        <w:shd w:val="clear" w:color="auto" w:fill="D9D9D9" w:themeFill="background1" w:themeFillShade="D9"/>
      </w:pPr>
      <w:r>
        <w:t>a.</w:t>
      </w:r>
      <w:r>
        <w:tab/>
        <w:t>voorschrift 3.2.4;</w:t>
      </w:r>
    </w:p>
    <w:p w:rsidR="00286455" w:rsidRDefault="00286455" w:rsidP="00286455">
      <w:pPr>
        <w:pStyle w:val="art2enivo"/>
        <w:shd w:val="clear" w:color="auto" w:fill="D9D9D9" w:themeFill="background1" w:themeFillShade="D9"/>
      </w:pPr>
      <w:r>
        <w:t>b.</w:t>
      </w:r>
      <w:r>
        <w:tab/>
        <w:t>de paragrafen 3.3, 3.5, 3.6, 5.2 en 5.4, en</w:t>
      </w:r>
    </w:p>
    <w:p w:rsidR="00286455" w:rsidRDefault="00286455" w:rsidP="00286455">
      <w:pPr>
        <w:pStyle w:val="art2enivo"/>
        <w:shd w:val="clear" w:color="auto" w:fill="D9D9D9" w:themeFill="background1" w:themeFillShade="D9"/>
      </w:pPr>
      <w:r>
        <w:t>c.</w:t>
      </w:r>
      <w:r>
        <w:tab/>
        <w:t>de voorschriften 5.5.1, 5.5.2, 5.6.1, 5.6.3 en 5.6.4.</w:t>
      </w:r>
    </w:p>
    <w:p w:rsidR="00286455" w:rsidRDefault="00286455" w:rsidP="00286455">
      <w:pPr>
        <w:pStyle w:val="art1enivo"/>
        <w:shd w:val="clear" w:color="auto" w:fill="D9D9D9" w:themeFill="background1" w:themeFillShade="D9"/>
        <w:suppressAutoHyphens/>
        <w:rPr>
          <w:rFonts w:cs="Arial"/>
        </w:rPr>
      </w:pPr>
      <w:r>
        <w:rPr>
          <w:rFonts w:cs="Arial"/>
        </w:rPr>
        <w:t>5.</w:t>
      </w:r>
      <w:r>
        <w:rPr>
          <w:rFonts w:cs="Arial"/>
        </w:rPr>
        <w:tab/>
        <w:t>Voor stationaire bovengrondse verpakkingen met de daarbij behorende leidingen en appendages gelden de keurings- en herkeuringstermijnen van tabel 4.9a.</w:t>
      </w:r>
    </w:p>
    <w:p w:rsidR="00286455" w:rsidRDefault="00286455" w:rsidP="00286455">
      <w:pPr>
        <w:pStyle w:val="tabelkop"/>
        <w:shd w:val="clear" w:color="auto" w:fill="D9D9D9" w:themeFill="background1" w:themeFillShade="D9"/>
        <w:ind w:left="1701" w:hanging="1275"/>
        <w:rPr>
          <w:b w:val="0"/>
          <w:bCs/>
        </w:rPr>
      </w:pPr>
      <w:r>
        <w:t>Tabel 4.9a</w:t>
      </w:r>
      <w:r>
        <w:tab/>
      </w:r>
      <w:r>
        <w:rPr>
          <w:b w:val="0"/>
          <w:bCs/>
        </w:rPr>
        <w:t>(Her)keuringstermijnen voor bovengrondse verpakkingen met de daarbij behorende leidingen en appendages voor vloeistoffen van PGS-klasse 2 tot en met PGS-klasse 4</w:t>
      </w:r>
    </w:p>
    <w:p w:rsidR="00286455" w:rsidRDefault="00286455" w:rsidP="00286455">
      <w:pPr>
        <w:shd w:val="clear" w:color="auto" w:fill="D9D9D9" w:themeFill="background1" w:themeFillShade="D9"/>
      </w:pPr>
    </w:p>
    <w:tbl>
      <w:tblPr>
        <w:tblStyle w:val="Tabelraster"/>
        <w:tblW w:w="9129" w:type="dxa"/>
        <w:tblInd w:w="0" w:type="dxa"/>
        <w:tblLook w:val="04A0" w:firstRow="1" w:lastRow="0" w:firstColumn="1" w:lastColumn="0" w:noHBand="0" w:noVBand="1"/>
      </w:tblPr>
      <w:tblGrid>
        <w:gridCol w:w="4310"/>
        <w:gridCol w:w="2409"/>
        <w:gridCol w:w="2410"/>
      </w:tblGrid>
      <w:tr w:rsidR="00286455" w:rsidTr="00F43C9B">
        <w:trPr>
          <w:cnfStyle w:val="100000000000" w:firstRow="1" w:lastRow="0" w:firstColumn="0" w:lastColumn="0" w:oddVBand="0" w:evenVBand="0" w:oddHBand="0" w:evenHBand="0" w:firstRowFirstColumn="0" w:firstRowLastColumn="0" w:lastRowFirstColumn="0" w:lastRowLastColumn="0"/>
        </w:trPr>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bCs/>
                <w:sz w:val="24"/>
              </w:rPr>
            </w:pPr>
            <w:r>
              <w:rPr>
                <w:bCs/>
              </w:rPr>
              <w:t>Staal enkelwandig in gecertificeerde opvangbak</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Cs/>
                <w:sz w:val="24"/>
              </w:rPr>
            </w:pPr>
            <w:r>
              <w:rPr>
                <w:bCs/>
              </w:rPr>
              <w:t>Eerste (her)keuring</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Cs/>
                <w:sz w:val="24"/>
              </w:rPr>
            </w:pPr>
            <w:r>
              <w:rPr>
                <w:bCs/>
              </w:rPr>
              <w:t>Volgende herkeuring</w:t>
            </w:r>
          </w:p>
        </w:tc>
      </w:tr>
      <w:tr w:rsidR="0028645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sz w:val="24"/>
              </w:rPr>
            </w:pPr>
            <w:r>
              <w:t>Zonder coating of niet volledig gecoat</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15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15 jaar</w:t>
            </w:r>
          </w:p>
        </w:tc>
      </w:tr>
      <w:tr w:rsidR="0028645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sz w:val="24"/>
              </w:rPr>
            </w:pPr>
            <w:r>
              <w:t>Volledig gecoat niet overeenkomstig BRL K790 of BRL K779</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15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r>
      <w:tr w:rsidR="0028645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sz w:val="24"/>
              </w:rPr>
            </w:pPr>
            <w:r>
              <w:t>Volledig gecoat overeenkomstig BRL K790 of BRL K779</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r>
    </w:tbl>
    <w:p w:rsidR="00286455" w:rsidRDefault="00286455" w:rsidP="00286455">
      <w:pPr>
        <w:shd w:val="clear" w:color="auto" w:fill="D9D9D9" w:themeFill="background1" w:themeFillShade="D9"/>
      </w:pPr>
    </w:p>
    <w:tbl>
      <w:tblPr>
        <w:tblStyle w:val="Tabelraster"/>
        <w:tblW w:w="9129" w:type="dxa"/>
        <w:tblInd w:w="0" w:type="dxa"/>
        <w:tblLook w:val="04A0" w:firstRow="1" w:lastRow="0" w:firstColumn="1" w:lastColumn="0" w:noHBand="0" w:noVBand="1"/>
      </w:tblPr>
      <w:tblGrid>
        <w:gridCol w:w="4310"/>
        <w:gridCol w:w="2409"/>
        <w:gridCol w:w="2410"/>
      </w:tblGrid>
      <w:tr w:rsidR="00286455" w:rsidTr="00F43C9B">
        <w:trPr>
          <w:cnfStyle w:val="100000000000" w:firstRow="1" w:lastRow="0" w:firstColumn="0" w:lastColumn="0" w:oddVBand="0" w:evenVBand="0" w:oddHBand="0" w:evenHBand="0" w:firstRowFirstColumn="0" w:firstRowLastColumn="0" w:lastRowFirstColumn="0" w:lastRowLastColumn="0"/>
        </w:trPr>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bCs/>
                <w:sz w:val="24"/>
              </w:rPr>
            </w:pPr>
            <w:r>
              <w:rPr>
                <w:bCs/>
              </w:rPr>
              <w:t>Staal dubbelwandig met lekdetectiepotsysteem</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Cs/>
                <w:sz w:val="24"/>
              </w:rPr>
            </w:pPr>
            <w:r>
              <w:rPr>
                <w:bCs/>
              </w:rPr>
              <w:t>Eerste (her)keuring</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Cs/>
                <w:sz w:val="24"/>
              </w:rPr>
            </w:pPr>
            <w:r>
              <w:rPr>
                <w:bCs/>
              </w:rPr>
              <w:t>Volgende herkeuring</w:t>
            </w:r>
          </w:p>
        </w:tc>
      </w:tr>
      <w:tr w:rsidR="0028645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sz w:val="24"/>
              </w:rPr>
            </w:pPr>
            <w:r>
              <w:t>Zonder coating of niet volledig gecoat</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15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15 jaar</w:t>
            </w:r>
          </w:p>
        </w:tc>
      </w:tr>
      <w:tr w:rsidR="0028645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sz w:val="24"/>
              </w:rPr>
            </w:pPr>
            <w:r>
              <w:t>Volledig gecoat niet overeenkomstig BRL K790 of BRL K779</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15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r>
      <w:tr w:rsidR="0028645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sz w:val="24"/>
              </w:rPr>
            </w:pPr>
            <w:r>
              <w:t>Volledig gecoat overeenkomstig BRL K790 of BRL K779</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r>
    </w:tbl>
    <w:p w:rsidR="00286455" w:rsidRDefault="00286455" w:rsidP="00286455">
      <w:pPr>
        <w:shd w:val="clear" w:color="auto" w:fill="D9D9D9" w:themeFill="background1" w:themeFillShade="D9"/>
      </w:pPr>
    </w:p>
    <w:tbl>
      <w:tblPr>
        <w:tblStyle w:val="Tabelraster"/>
        <w:tblW w:w="9129" w:type="dxa"/>
        <w:tblInd w:w="0" w:type="dxa"/>
        <w:tblLook w:val="04A0" w:firstRow="1" w:lastRow="0" w:firstColumn="1" w:lastColumn="0" w:noHBand="0" w:noVBand="1"/>
      </w:tblPr>
      <w:tblGrid>
        <w:gridCol w:w="4310"/>
        <w:gridCol w:w="2409"/>
        <w:gridCol w:w="2410"/>
      </w:tblGrid>
      <w:tr w:rsidR="00286455" w:rsidTr="00F43C9B">
        <w:trPr>
          <w:cnfStyle w:val="100000000000" w:firstRow="1" w:lastRow="0" w:firstColumn="0" w:lastColumn="0" w:oddVBand="0" w:evenVBand="0" w:oddHBand="0" w:evenHBand="0" w:firstRowFirstColumn="0" w:firstRowLastColumn="0" w:lastRowFirstColumn="0" w:lastRowLastColumn="0"/>
        </w:trPr>
        <w:tc>
          <w:tcPr>
            <w:tcW w:w="4310"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bCs/>
                <w:sz w:val="24"/>
              </w:rPr>
            </w:pPr>
            <w:r>
              <w:rPr>
                <w:bCs/>
              </w:rPr>
              <w:t>Staal dubbelwandig met lekdetectie overeenkomstig BRL K910</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Cs/>
                <w:sz w:val="24"/>
              </w:rPr>
            </w:pPr>
            <w:r>
              <w:rPr>
                <w:bCs/>
              </w:rPr>
              <w:t>Eerste (her)keuring</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Cs/>
                <w:sz w:val="24"/>
              </w:rPr>
            </w:pPr>
            <w:r>
              <w:rPr>
                <w:bCs/>
              </w:rPr>
              <w:t>Volgende herkeuring</w:t>
            </w:r>
          </w:p>
        </w:tc>
      </w:tr>
      <w:tr w:rsidR="00286455" w:rsidTr="00F43C9B">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86455" w:rsidRDefault="00286455" w:rsidP="00286455">
            <w:pPr>
              <w:shd w:val="clear" w:color="auto" w:fill="D9D9D9" w:themeFill="background1" w:themeFillShade="D9"/>
              <w:spacing w:line="240" w:lineRule="auto"/>
              <w:rPr>
                <w:rFonts w:eastAsiaTheme="minorEastAsia"/>
                <w:b/>
                <w:bCs/>
                <w:sz w:val="24"/>
              </w:rPr>
            </w:pP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
                <w:bCs/>
                <w:sz w:val="24"/>
              </w:rPr>
            </w:pPr>
            <w:r>
              <w:rPr>
                <w:b/>
                <w:bCs/>
              </w:rPr>
              <w:t>jaarlijkse controle van het lekdetectiesysteem</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
                <w:bCs/>
                <w:sz w:val="24"/>
              </w:rPr>
            </w:pPr>
            <w:r>
              <w:rPr>
                <w:b/>
                <w:bCs/>
              </w:rPr>
              <w:t>jaarlijkse controle van het lekdetectiesysteem</w:t>
            </w:r>
          </w:p>
        </w:tc>
      </w:tr>
      <w:tr w:rsidR="0028645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sz w:val="24"/>
              </w:rPr>
            </w:pPr>
            <w:r>
              <w:t>Zonder coating of niet volledig gecoat</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15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r>
      <w:tr w:rsidR="0028645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sz w:val="24"/>
              </w:rPr>
            </w:pPr>
            <w:r>
              <w:t>Volledig gecoat niet overeenkomstig BRL K790 of BRL K779</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r>
      <w:tr w:rsidR="0028645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sz w:val="24"/>
              </w:rPr>
            </w:pPr>
            <w:r>
              <w:t>Volledig gecoat overeenkomstig BRL K790 of BRL K779</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r>
    </w:tbl>
    <w:p w:rsidR="00286455" w:rsidRDefault="00286455" w:rsidP="00286455">
      <w:pPr>
        <w:shd w:val="clear" w:color="auto" w:fill="D9D9D9" w:themeFill="background1" w:themeFillShade="D9"/>
      </w:pPr>
    </w:p>
    <w:tbl>
      <w:tblPr>
        <w:tblStyle w:val="Tabelraster"/>
        <w:tblW w:w="9129" w:type="dxa"/>
        <w:tblInd w:w="0" w:type="dxa"/>
        <w:tblLook w:val="04A0" w:firstRow="1" w:lastRow="0" w:firstColumn="1" w:lastColumn="0" w:noHBand="0" w:noVBand="1"/>
      </w:tblPr>
      <w:tblGrid>
        <w:gridCol w:w="4310"/>
        <w:gridCol w:w="2409"/>
        <w:gridCol w:w="2410"/>
      </w:tblGrid>
      <w:tr w:rsidR="00286455" w:rsidTr="00F43C9B">
        <w:trPr>
          <w:cnfStyle w:val="100000000000" w:firstRow="1" w:lastRow="0" w:firstColumn="0" w:lastColumn="0" w:oddVBand="0" w:evenVBand="0" w:oddHBand="0" w:evenHBand="0" w:firstRowFirstColumn="0" w:firstRowLastColumn="0" w:lastRowFirstColumn="0" w:lastRowLastColumn="0"/>
        </w:trPr>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bCs/>
                <w:sz w:val="24"/>
              </w:rPr>
            </w:pPr>
            <w:r>
              <w:rPr>
                <w:bCs/>
              </w:rPr>
              <w:t>Kunststof enkelwandig in gecertificeerde opvangbak</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Cs/>
                <w:sz w:val="24"/>
              </w:rPr>
            </w:pPr>
            <w:r>
              <w:rPr>
                <w:bCs/>
              </w:rPr>
              <w:t>Eerste (her)keuring</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Cs/>
                <w:sz w:val="24"/>
              </w:rPr>
            </w:pPr>
            <w:r>
              <w:rPr>
                <w:bCs/>
              </w:rPr>
              <w:t>Volgende herkeuring</w:t>
            </w:r>
          </w:p>
        </w:tc>
      </w:tr>
      <w:tr w:rsidR="0028645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sz w:val="24"/>
              </w:rPr>
            </w:pPr>
            <w:r>
              <w:t> </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15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15 jaar</w:t>
            </w:r>
          </w:p>
        </w:tc>
      </w:tr>
    </w:tbl>
    <w:p w:rsidR="00286455" w:rsidRDefault="00286455" w:rsidP="00286455">
      <w:pPr>
        <w:shd w:val="clear" w:color="auto" w:fill="D9D9D9" w:themeFill="background1" w:themeFillShade="D9"/>
      </w:pPr>
    </w:p>
    <w:tbl>
      <w:tblPr>
        <w:tblStyle w:val="Tabelraster"/>
        <w:tblW w:w="9185" w:type="dxa"/>
        <w:tblInd w:w="0" w:type="dxa"/>
        <w:tblLook w:val="04A0" w:firstRow="1" w:lastRow="0" w:firstColumn="1" w:lastColumn="0" w:noHBand="0" w:noVBand="1"/>
      </w:tblPr>
      <w:tblGrid>
        <w:gridCol w:w="4271"/>
        <w:gridCol w:w="2471"/>
        <w:gridCol w:w="2443"/>
      </w:tblGrid>
      <w:tr w:rsidR="00286455" w:rsidTr="00F43C9B">
        <w:trPr>
          <w:cnfStyle w:val="100000000000" w:firstRow="1" w:lastRow="0" w:firstColumn="0" w:lastColumn="0" w:oddVBand="0" w:evenVBand="0" w:oddHBand="0" w:evenHBand="0" w:firstRowFirstColumn="0" w:firstRowLastColumn="0" w:lastRowFirstColumn="0" w:lastRowLastColumn="0"/>
          <w:tblHeader/>
        </w:trPr>
        <w:tc>
          <w:tcPr>
            <w:tcW w:w="42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rPr>
                <w:rFonts w:eastAsiaTheme="minorEastAsia"/>
                <w:bCs/>
                <w:sz w:val="24"/>
              </w:rPr>
            </w:pPr>
            <w:r>
              <w:rPr>
                <w:bCs/>
              </w:rPr>
              <w:t>Kunststof dubbelwandig met lekdetectie overeenkomstig  BRL K910</w:t>
            </w:r>
          </w:p>
        </w:tc>
        <w:tc>
          <w:tcPr>
            <w:tcW w:w="24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Cs/>
                <w:sz w:val="24"/>
              </w:rPr>
            </w:pPr>
            <w:r>
              <w:rPr>
                <w:bCs/>
              </w:rPr>
              <w:t>Eerste (her)keuring</w:t>
            </w:r>
          </w:p>
        </w:tc>
        <w:tc>
          <w:tcPr>
            <w:tcW w:w="24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Cs/>
                <w:sz w:val="24"/>
              </w:rPr>
            </w:pPr>
            <w:r>
              <w:rPr>
                <w:bCs/>
              </w:rPr>
              <w:t>Volgende herkeuring</w:t>
            </w:r>
          </w:p>
        </w:tc>
      </w:tr>
      <w:tr w:rsidR="00286455" w:rsidTr="00F43C9B">
        <w:tc>
          <w:tcPr>
            <w:tcW w:w="42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b/>
                <w:bCs/>
                <w:sz w:val="24"/>
              </w:rPr>
            </w:pPr>
            <w:r>
              <w:rPr>
                <w:b/>
                <w:bCs/>
              </w:rPr>
              <w:t> </w:t>
            </w:r>
          </w:p>
        </w:tc>
        <w:tc>
          <w:tcPr>
            <w:tcW w:w="24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
                <w:bCs/>
                <w:sz w:val="24"/>
              </w:rPr>
            </w:pPr>
            <w:r>
              <w:rPr>
                <w:b/>
                <w:bCs/>
              </w:rPr>
              <w:t>jaarlijkse controle van het lekdetectiesysteem</w:t>
            </w:r>
          </w:p>
        </w:tc>
        <w:tc>
          <w:tcPr>
            <w:tcW w:w="24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b/>
                <w:bCs/>
                <w:sz w:val="24"/>
              </w:rPr>
            </w:pPr>
            <w:r>
              <w:rPr>
                <w:b/>
                <w:bCs/>
              </w:rPr>
              <w:t>jaarlijkse controle van het lekdetectiesysteem</w:t>
            </w:r>
          </w:p>
        </w:tc>
      </w:tr>
      <w:tr w:rsidR="00286455" w:rsidTr="00F43C9B">
        <w:tc>
          <w:tcPr>
            <w:tcW w:w="42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rPr>
                <w:sz w:val="24"/>
              </w:rPr>
            </w:pPr>
            <w:r>
              <w:t> </w:t>
            </w:r>
          </w:p>
        </w:tc>
        <w:tc>
          <w:tcPr>
            <w:tcW w:w="24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c>
          <w:tcPr>
            <w:tcW w:w="24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286455" w:rsidRDefault="00286455" w:rsidP="00286455">
            <w:pPr>
              <w:shd w:val="clear" w:color="auto" w:fill="D9D9D9" w:themeFill="background1" w:themeFillShade="D9"/>
              <w:spacing w:before="100" w:beforeAutospacing="1" w:after="100" w:afterAutospacing="1"/>
              <w:jc w:val="center"/>
              <w:rPr>
                <w:rFonts w:eastAsiaTheme="minorEastAsia"/>
                <w:sz w:val="24"/>
              </w:rPr>
            </w:pPr>
            <w:r>
              <w:t>20 jaar</w:t>
            </w:r>
          </w:p>
        </w:tc>
      </w:tr>
    </w:tbl>
    <w:p w:rsidR="00286455" w:rsidRDefault="00286455" w:rsidP="00286455">
      <w:pPr>
        <w:shd w:val="clear" w:color="auto" w:fill="D9D9D9" w:themeFill="background1" w:themeFillShade="D9"/>
      </w:pPr>
    </w:p>
    <w:p w:rsidR="00286455" w:rsidRDefault="00286455" w:rsidP="00286455">
      <w:pPr>
        <w:pStyle w:val="artikelkop"/>
        <w:shd w:val="clear" w:color="auto" w:fill="D9D9D9" w:themeFill="background1" w:themeFillShade="D9"/>
      </w:pPr>
      <w:r>
        <w:t>Artikel 4.9b</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De ruimte waarin de verpakkingen, bedoeld in het eerste lid van artikel 4.9a, zijn opgesteld voldoet aan het bepaalde bij of krachtens het tweede tot en met het tiende lid.</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De WBDBO van een ruimte waarin de verpakkingen zijn opgesteld naar een andere ruimte en van een andere ruimte naar een ruimte waarin de verpakkingen zijn opgesteld bedraagt ten minste 60 minuten.</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De wanden, het dak en de draagconstructie van de ruimte waarin de verpakkingen, bedoeld in het eerste lid van artikel 4.9a, zijn opgesteld, bezitten een brandwerendheid van ten minste 60 minuten.</w:t>
      </w:r>
    </w:p>
    <w:p w:rsidR="00286455" w:rsidRDefault="00286455" w:rsidP="00286455">
      <w:pPr>
        <w:pStyle w:val="art1enivo"/>
        <w:shd w:val="clear" w:color="auto" w:fill="D9D9D9" w:themeFill="background1" w:themeFillShade="D9"/>
        <w:suppressAutoHyphens/>
        <w:rPr>
          <w:rFonts w:cs="Arial"/>
        </w:rPr>
      </w:pPr>
      <w:r>
        <w:rPr>
          <w:rFonts w:cs="Arial"/>
        </w:rPr>
        <w:t>4.</w:t>
      </w:r>
      <w:r>
        <w:rPr>
          <w:rFonts w:cs="Arial"/>
        </w:rPr>
        <w:tab/>
        <w:t>De ruimte vormt een vloeistofdichte lekbak met een inhoud van ten minste 300 liter.</w:t>
      </w:r>
    </w:p>
    <w:p w:rsidR="00286455" w:rsidRDefault="00286455" w:rsidP="00286455">
      <w:pPr>
        <w:pStyle w:val="art1enivo"/>
        <w:shd w:val="clear" w:color="auto" w:fill="D9D9D9" w:themeFill="background1" w:themeFillShade="D9"/>
        <w:suppressAutoHyphens/>
        <w:rPr>
          <w:rFonts w:cs="Arial"/>
        </w:rPr>
      </w:pPr>
      <w:r>
        <w:rPr>
          <w:rFonts w:cs="Arial"/>
        </w:rPr>
        <w:t>5.</w:t>
      </w:r>
      <w:r>
        <w:rPr>
          <w:rFonts w:cs="Arial"/>
        </w:rPr>
        <w:tab/>
        <w:t>De ruimte mag slechts door deskundig personeel geopend en betreden worden.</w:t>
      </w:r>
    </w:p>
    <w:p w:rsidR="00286455" w:rsidRDefault="00286455" w:rsidP="00286455">
      <w:pPr>
        <w:pStyle w:val="art1enivo"/>
        <w:shd w:val="clear" w:color="auto" w:fill="D9D9D9" w:themeFill="background1" w:themeFillShade="D9"/>
        <w:suppressAutoHyphens/>
        <w:rPr>
          <w:rFonts w:cs="Arial"/>
        </w:rPr>
      </w:pPr>
      <w:r>
        <w:rPr>
          <w:rFonts w:cs="Arial"/>
        </w:rPr>
        <w:t>6.</w:t>
      </w:r>
      <w:r>
        <w:rPr>
          <w:rFonts w:cs="Arial"/>
        </w:rPr>
        <w:tab/>
        <w:t>De ruimte heeft doorvoeringen van de stortleiding, de leegzuigleiding en de ontluchtingsleiding, die aan de bovenzijde van de ruimte worden geprojecteerd.</w:t>
      </w:r>
    </w:p>
    <w:p w:rsidR="00286455" w:rsidRDefault="00286455" w:rsidP="00286455">
      <w:pPr>
        <w:pStyle w:val="art1enivo"/>
        <w:shd w:val="clear" w:color="auto" w:fill="D9D9D9" w:themeFill="background1" w:themeFillShade="D9"/>
        <w:suppressAutoHyphens/>
        <w:rPr>
          <w:rFonts w:cs="Arial"/>
        </w:rPr>
      </w:pPr>
      <w:r>
        <w:rPr>
          <w:rFonts w:cs="Arial"/>
        </w:rPr>
        <w:t>7.</w:t>
      </w:r>
      <w:r>
        <w:rPr>
          <w:rFonts w:cs="Arial"/>
        </w:rPr>
        <w:tab/>
        <w:t>De peilleiding heeft geen doorvoering door de wand.</w:t>
      </w:r>
    </w:p>
    <w:p w:rsidR="00286455" w:rsidRDefault="00286455" w:rsidP="00286455">
      <w:pPr>
        <w:pStyle w:val="art1enivo"/>
        <w:shd w:val="clear" w:color="auto" w:fill="D9D9D9" w:themeFill="background1" w:themeFillShade="D9"/>
        <w:suppressAutoHyphens/>
        <w:rPr>
          <w:rFonts w:cs="Arial"/>
        </w:rPr>
      </w:pPr>
      <w:r>
        <w:rPr>
          <w:rFonts w:cs="Arial"/>
        </w:rPr>
        <w:t>8.</w:t>
      </w:r>
      <w:r>
        <w:rPr>
          <w:rFonts w:cs="Arial"/>
        </w:rPr>
        <w:tab/>
        <w:t>De beveiligingscomponenten zoals brandsmeltkleppen en detonatiebeveiligingen zijn direct aan de buitenzijde van de ruimte bevestigd.</w:t>
      </w:r>
    </w:p>
    <w:p w:rsidR="00286455" w:rsidRDefault="00286455" w:rsidP="00286455">
      <w:pPr>
        <w:pStyle w:val="art1enivo"/>
        <w:shd w:val="clear" w:color="auto" w:fill="D9D9D9" w:themeFill="background1" w:themeFillShade="D9"/>
        <w:suppressAutoHyphens/>
        <w:rPr>
          <w:rFonts w:cs="Arial"/>
        </w:rPr>
      </w:pPr>
      <w:r>
        <w:rPr>
          <w:rFonts w:cs="Arial"/>
        </w:rPr>
        <w:t>9.</w:t>
      </w:r>
      <w:r>
        <w:rPr>
          <w:rFonts w:cs="Arial"/>
        </w:rPr>
        <w:tab/>
        <w:t>De ruimte is met een potentiaal vereffening aangesloten aan de buitenzijde van de ruimte en is doorgelust aan het frame van de verpakkingen met de natuurlijk aanwezige metallische verbinding.</w:t>
      </w:r>
    </w:p>
    <w:p w:rsidR="00286455" w:rsidRDefault="00286455" w:rsidP="00286455">
      <w:pPr>
        <w:pStyle w:val="art1enivo"/>
        <w:shd w:val="clear" w:color="auto" w:fill="D9D9D9" w:themeFill="background1" w:themeFillShade="D9"/>
        <w:suppressAutoHyphens/>
        <w:rPr>
          <w:rFonts w:cs="Arial"/>
        </w:rPr>
      </w:pPr>
      <w:r>
        <w:rPr>
          <w:rFonts w:cs="Arial"/>
        </w:rPr>
        <w:t>10.</w:t>
      </w:r>
      <w:r>
        <w:rPr>
          <w:rFonts w:cs="Arial"/>
        </w:rPr>
        <w:tab/>
        <w:t>Het bevoegd gezag kan maatwerkvoorschriften stellen ten aanzien van de situering van de verpakkingen, bedoeld in artikel 4.9a.</w:t>
      </w:r>
    </w:p>
    <w:p w:rsidR="00286455" w:rsidRDefault="00286455" w:rsidP="00286455">
      <w:pPr>
        <w:pStyle w:val="artikelkop"/>
        <w:shd w:val="clear" w:color="auto" w:fill="D9D9D9" w:themeFill="background1" w:themeFillShade="D9"/>
      </w:pPr>
      <w:r>
        <w:t>Artikel 4.10</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Het opslaan van vloeibare gevaarlijke stoffen in verpakking, vloeibare bodembedreigende stoffen in verpakking en CMR-stoffen in verpakking vindt plaats boven een vloeistofdichte vloer of verharding of een lekbak.</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Indien de opslag, bedoeld in het eerste lid, plaatsvindt in gesloten verpakking, die voldoet aan de daartoe gestelde eisen van de ADR of anderszins deugdelijk is, kan deze activiteit ook plaatsvinden boven een andere bodembeschermende voorziening .</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Het opslaan van vaste gevaarlijke stoffen in verpakking, vaste bodembedreigende stoffen in verpakking en vaste CMR-stoffen in verpakking vindt plaats boven een bodembeschermende voorziening.</w:t>
      </w:r>
    </w:p>
    <w:p w:rsidR="00286455" w:rsidRDefault="00286455" w:rsidP="00286455">
      <w:pPr>
        <w:pStyle w:val="art1enivo"/>
        <w:shd w:val="clear" w:color="auto" w:fill="D9D9D9" w:themeFill="background1" w:themeFillShade="D9"/>
        <w:suppressAutoHyphens/>
        <w:rPr>
          <w:rFonts w:cs="Arial"/>
        </w:rPr>
      </w:pPr>
      <w:r>
        <w:rPr>
          <w:rFonts w:cs="Arial"/>
        </w:rPr>
        <w:t>4.</w:t>
      </w:r>
      <w:r>
        <w:rPr>
          <w:rFonts w:cs="Arial"/>
        </w:rPr>
        <w:tab/>
        <w:t>Het opslaan van een werkvoorraad aan gevaarlijke stoffen als bedoeld in voorschrift 3.1.3 van PGS 15, vindt plaats in deugdelijke en gesloten verpakking die bestand is tegen de desbetreffende gevaarlijke stof. Het opslaan van een werkvoorraad aan brandbare vloeistoffen van meer dan 50 liter vindt plaats boven een lekbak. De eerste volzin is van overeenkomstige toepassing op het opslaan van een werkvoorraad aan bodembedreigende stoffen.</w:t>
      </w:r>
    </w:p>
    <w:p w:rsidR="00286455" w:rsidRDefault="00286455" w:rsidP="00286455">
      <w:pPr>
        <w:pStyle w:val="art1enivo"/>
        <w:shd w:val="clear" w:color="auto" w:fill="D9D9D9" w:themeFill="background1" w:themeFillShade="D9"/>
        <w:suppressAutoHyphens/>
        <w:rPr>
          <w:rFonts w:cs="Arial"/>
        </w:rPr>
      </w:pPr>
      <w:r>
        <w:rPr>
          <w:rFonts w:cs="Arial"/>
        </w:rPr>
        <w:t>5.</w:t>
      </w:r>
      <w:r>
        <w:rPr>
          <w:rFonts w:cs="Arial"/>
        </w:rPr>
        <w:tab/>
        <w:t>In afwijking van het derde lid vindt het opslaan van vaste gevaarlijke afvalstoffen waaruit vloeibare bodembedreigende stoffen kunnen lekken, niet zijnde stukgoederen, plaats in een deugdelijke en gesloten verpakking of boven een lekbak.</w:t>
      </w:r>
    </w:p>
    <w:p w:rsidR="00286455" w:rsidRDefault="00286455" w:rsidP="00286455">
      <w:pPr>
        <w:pStyle w:val="artikelkop"/>
        <w:shd w:val="clear" w:color="auto" w:fill="D9D9D9" w:themeFill="background1" w:themeFillShade="D9"/>
      </w:pPr>
      <w:r>
        <w:t>Artikel 4.10a</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Het boven een oppervlaktewaterlichaam opslaan van gevaarlijke stoffen in verpakking, CMR-stoffen in verpakking en bodembedreigende stoffen in verpakking vindt plaats boven een voorziening die zich rondom of onder de opgeslagen stoffen bevindt en de bij normale bedrijfsvoering gemorste of wegspattende vloeistoffen kan opvangen.</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Op de voorziening, bedoeld in het eerste lid, is artikel 2.4 van overeenkomstige toepassing.</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Lege, ongereinigde verpakkingen van gevaarlijke stoffen, CMR-stoffen en vloeibare bodembedreigende stoffen die boven een oppervlaktewaterlichaam bovendeks aanwezig zijn, zijn aan de buitenkant schoon en goed gesloten of staan opgesteld boven een voorziening die zich rondom of onder de opgeslagen stoffen bevindt en in staat is de bij normale bedrijfsvoering gemorste of wegspattende vloeistoffen op te vangen en zodanig is uitgevoerd dat er geen hemelwater op of in terecht kan komen.</w:t>
      </w:r>
    </w:p>
    <w:p w:rsidR="00286455" w:rsidRDefault="00286455" w:rsidP="00286455">
      <w:pPr>
        <w:pStyle w:val="art1enivo"/>
        <w:shd w:val="clear" w:color="auto" w:fill="D9D9D9" w:themeFill="background1" w:themeFillShade="D9"/>
        <w:suppressAutoHyphens/>
        <w:rPr>
          <w:rFonts w:cs="Arial"/>
        </w:rPr>
      </w:pPr>
      <w:r>
        <w:rPr>
          <w:rFonts w:cs="Arial"/>
        </w:rPr>
        <w:t>4.</w:t>
      </w:r>
      <w:r>
        <w:rPr>
          <w:rFonts w:cs="Arial"/>
        </w:rPr>
        <w:tab/>
        <w:t>Gevaarlijke stoffen in verpakking, CMR-stoffen in verpakking en bodembedreigende stoffen in verpakking die boven een oppervlaktewaterlichaam bovendeks aanwezig zijn, staan opgesteld boven een doelmatig fysieke voorziening die vrijgekomen stoffen keert zolang als nodig is om met daarop afgestemde maatregelen te voorkomen dat deze stoffen in een oppervlaktewaterlichaam kunnen geraken. Artikel 2.3, tweede tot en met het achtste lid, is van overeenkomstige toepassing.</w:t>
      </w:r>
    </w:p>
    <w:p w:rsidR="00286455" w:rsidRDefault="00286455" w:rsidP="00286455">
      <w:pPr>
        <w:pStyle w:val="artikelkop"/>
        <w:shd w:val="clear" w:color="auto" w:fill="D9D9D9" w:themeFill="background1" w:themeFillShade="D9"/>
      </w:pPr>
      <w:r>
        <w:t>Artikel 4.10b</w:t>
      </w:r>
    </w:p>
    <w:p w:rsidR="00286455" w:rsidRDefault="00286455" w:rsidP="00286455">
      <w:pPr>
        <w:pStyle w:val="art1enivo"/>
        <w:shd w:val="clear" w:color="auto" w:fill="D9D9D9" w:themeFill="background1" w:themeFillShade="D9"/>
        <w:suppressAutoHyphens/>
        <w:rPr>
          <w:rFonts w:cs="Arial"/>
        </w:rPr>
      </w:pPr>
      <w:r>
        <w:rPr>
          <w:rFonts w:cs="Arial"/>
        </w:rPr>
        <w:t>1.</w:t>
      </w:r>
      <w:r>
        <w:rPr>
          <w:rFonts w:cs="Arial"/>
        </w:rPr>
        <w:tab/>
        <w:t>De artikelen 4.1 tot en met 4.10a zijn niet van toepassing op het opslaan van vloeibare kunstmeststoffen in verpakking voor zover dat opslaan plaatsvindt voor agrarische activiteiten.</w:t>
      </w:r>
    </w:p>
    <w:p w:rsidR="00286455" w:rsidRDefault="00286455" w:rsidP="00286455">
      <w:pPr>
        <w:pStyle w:val="art1enivo"/>
        <w:shd w:val="clear" w:color="auto" w:fill="D9D9D9" w:themeFill="background1" w:themeFillShade="D9"/>
        <w:suppressAutoHyphens/>
        <w:rPr>
          <w:rFonts w:cs="Arial"/>
        </w:rPr>
      </w:pPr>
      <w:r>
        <w:rPr>
          <w:rFonts w:cs="Arial"/>
        </w:rPr>
        <w:t>2.</w:t>
      </w:r>
      <w:r>
        <w:rPr>
          <w:rFonts w:cs="Arial"/>
        </w:rPr>
        <w:tab/>
        <w:t>Het opslaan van vloeibare kunstmeststoffen in verpakking voor zover dat plaatsvindt voor agrarische activiteiten, voldoet aan het derde tot en met zesde lid.</w:t>
      </w:r>
    </w:p>
    <w:p w:rsidR="00286455" w:rsidRDefault="00286455" w:rsidP="00286455">
      <w:pPr>
        <w:pStyle w:val="art1enivo"/>
        <w:shd w:val="clear" w:color="auto" w:fill="D9D9D9" w:themeFill="background1" w:themeFillShade="D9"/>
        <w:suppressAutoHyphens/>
        <w:rPr>
          <w:rFonts w:cs="Arial"/>
        </w:rPr>
      </w:pPr>
      <w:r>
        <w:rPr>
          <w:rFonts w:cs="Arial"/>
        </w:rPr>
        <w:t>3.</w:t>
      </w:r>
      <w:r>
        <w:rPr>
          <w:rFonts w:cs="Arial"/>
        </w:rPr>
        <w:tab/>
        <w:t>Een verpakking die is gevuld met vloeibare kunstmeststoffen is geplaatst boven een ten minste vloeistofkerende vloer of in een vloeistofdichte lekbak die voldoende sterk is om weerstand te bieden aan de als gevolg van een lekkage optredende vloeistofdruk en bestand is tegen de in de verpakking opgeslagen stoffen.</w:t>
      </w:r>
    </w:p>
    <w:p w:rsidR="00286455" w:rsidRDefault="00286455" w:rsidP="00286455">
      <w:pPr>
        <w:pStyle w:val="art1enivo"/>
        <w:shd w:val="clear" w:color="auto" w:fill="D9D9D9" w:themeFill="background1" w:themeFillShade="D9"/>
        <w:suppressAutoHyphens/>
        <w:rPr>
          <w:rFonts w:cs="Arial"/>
        </w:rPr>
      </w:pPr>
      <w:r>
        <w:rPr>
          <w:rFonts w:cs="Arial"/>
        </w:rPr>
        <w:t>4.</w:t>
      </w:r>
      <w:r>
        <w:rPr>
          <w:rFonts w:cs="Arial"/>
        </w:rPr>
        <w:tab/>
        <w:t>De vloeistofkerende vloer vormt samen met wanden, drempels of opstaande randen een vloeistofkerende opvangvoorziening.</w:t>
      </w:r>
    </w:p>
    <w:p w:rsidR="00286455" w:rsidRDefault="00286455" w:rsidP="00286455">
      <w:pPr>
        <w:pStyle w:val="art1enivo"/>
        <w:shd w:val="clear" w:color="auto" w:fill="D9D9D9" w:themeFill="background1" w:themeFillShade="D9"/>
        <w:suppressAutoHyphens/>
        <w:rPr>
          <w:rFonts w:cs="Arial"/>
        </w:rPr>
      </w:pPr>
      <w:r>
        <w:rPr>
          <w:rFonts w:cs="Arial"/>
        </w:rPr>
        <w:t>5.</w:t>
      </w:r>
      <w:r>
        <w:rPr>
          <w:rFonts w:cs="Arial"/>
        </w:rPr>
        <w:tab/>
        <w:t>De inhoud van de opvangvoorziening, bedoeld in het vierde lid, of de lekbak, bedoeld in het derde lid, is ten minste gelijk aan de inhoud van de grootste opgeslagen verpakking, vermeerderd met 10% van de overige verpakkingen.</w:t>
      </w:r>
    </w:p>
    <w:p w:rsidR="00286455" w:rsidRDefault="00286455" w:rsidP="00286455">
      <w:pPr>
        <w:pStyle w:val="art1enivo"/>
        <w:shd w:val="clear" w:color="auto" w:fill="D9D9D9" w:themeFill="background1" w:themeFillShade="D9"/>
        <w:suppressAutoHyphens/>
        <w:rPr>
          <w:rFonts w:cs="Arial"/>
        </w:rPr>
      </w:pPr>
      <w:r>
        <w:rPr>
          <w:rFonts w:cs="Arial"/>
        </w:rPr>
        <w:t>6.</w:t>
      </w:r>
      <w:r>
        <w:rPr>
          <w:rFonts w:cs="Arial"/>
        </w:rPr>
        <w:tab/>
        <w:t>De verpakking die is gevuld met een zuur is in een andere opvangvoorziening of lekbak geplaatst dan een verpakking die is gevuld met een basische stof.</w:t>
      </w:r>
    </w:p>
    <w:p w:rsidR="00296032" w:rsidRPr="00296032" w:rsidRDefault="00296032">
      <w:pPr>
        <w:pStyle w:val="paragraaf"/>
        <w:rPr>
          <w:rFonts w:cs="Arial"/>
        </w:rPr>
      </w:pPr>
      <w:bookmarkStart w:id="181" w:name="_Toc431375669"/>
      <w:r w:rsidRPr="00296032">
        <w:rPr>
          <w:rFonts w:cs="Arial"/>
        </w:rPr>
        <w:t>§ 4.1.2.</w:t>
      </w:r>
      <w:r w:rsidRPr="00296032">
        <w:rPr>
          <w:rFonts w:cs="Arial"/>
        </w:rPr>
        <w:tab/>
        <w:t>Opslaan van vuurwerk, pyrotechnische artikelen voor theatergebruik of andere ontplofbare stoffen.</w:t>
      </w:r>
      <w:bookmarkEnd w:id="181"/>
      <w:bookmarkEnd w:id="179"/>
    </w:p>
    <w:p w:rsidR="00296032" w:rsidRPr="00296032" w:rsidRDefault="00296032">
      <w:pPr>
        <w:pStyle w:val="artikelkop"/>
        <w:rPr>
          <w:rFonts w:cs="Arial"/>
        </w:rPr>
      </w:pPr>
      <w:r w:rsidRPr="00296032">
        <w:rPr>
          <w:rFonts w:cs="Arial"/>
        </w:rPr>
        <w:t>Artikel 4.1a</w:t>
      </w:r>
    </w:p>
    <w:p w:rsidR="00296032" w:rsidRPr="00620047" w:rsidRDefault="00296032">
      <w:pPr>
        <w:pStyle w:val="art1enivo"/>
      </w:pPr>
      <w:r w:rsidRPr="00620047">
        <w:t>1.</w:t>
      </w:r>
      <w:r w:rsidRPr="00620047">
        <w:tab/>
        <w:t>Deze paragraaf is van toepassing op het opslaan van vuurwerk, pyrotechnische artikelen voor theatergebruik of andere ontplofbare stoffen.</w:t>
      </w:r>
    </w:p>
    <w:p w:rsidR="00296032" w:rsidRPr="00620047" w:rsidRDefault="00296032">
      <w:pPr>
        <w:pStyle w:val="art1enivo"/>
      </w:pPr>
      <w:r w:rsidRPr="00620047">
        <w:t>2.</w:t>
      </w:r>
      <w:r w:rsidRPr="00620047">
        <w:tab/>
        <w:t>Deze paragraaf is niet van toepassing op inrichtingen die in gebruik zijn bij de Nederlandse of een bondgenootschappelijke krijgsmacht.</w:t>
      </w:r>
    </w:p>
    <w:p w:rsidR="00296032" w:rsidRPr="00296032" w:rsidRDefault="00296032">
      <w:pPr>
        <w:pStyle w:val="artikelkop"/>
        <w:rPr>
          <w:rFonts w:cs="Arial"/>
        </w:rPr>
      </w:pPr>
      <w:r w:rsidRPr="00296032">
        <w:rPr>
          <w:rFonts w:cs="Arial"/>
        </w:rPr>
        <w:t>Artikel 4.2</w:t>
      </w:r>
    </w:p>
    <w:p w:rsidR="00296032" w:rsidRPr="00620047" w:rsidRDefault="00296032">
      <w:pPr>
        <w:pStyle w:val="artplat"/>
        <w:rPr>
          <w:rFonts w:cs="Arial"/>
        </w:rPr>
      </w:pPr>
      <w:r w:rsidRPr="00620047">
        <w:rPr>
          <w:rFonts w:cs="Arial"/>
        </w:rPr>
        <w:t>Inbeslaggenomen vuurwerk met aan consumentenvuurwerk vergelijkbare eigenschappen dat wordt opgeslagen in politiebureaus en theatervuurwerk wordt opgeslagen in een brandveiligheidsopslagkast, die voldoet aan de bij ministeriële regeling te stellen eisen ten behoeve van het voorkomen van risico's voor de omgeving en ongewone voorvallen, dan wel voor zover dat niet mogelijk is het zoveel mogelijk beperken van de risico's voor de omgeving en de kans dat ongewone voorvallen zich voordoen en de gevolgen hiervan.</w:t>
      </w:r>
    </w:p>
    <w:p w:rsidR="00296032" w:rsidRPr="00296032" w:rsidRDefault="00296032">
      <w:pPr>
        <w:pStyle w:val="artikelkop"/>
        <w:rPr>
          <w:rFonts w:cs="Arial"/>
        </w:rPr>
      </w:pPr>
      <w:r w:rsidRPr="00296032">
        <w:rPr>
          <w:rFonts w:cs="Arial"/>
        </w:rPr>
        <w:t>Artikel 4.3</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Zwart kruit, rookzwak kruit en noodsignalen worden opgeslagen in een brandcompartiment dat voldoet aan de bij ministeriële regeling te stellen eisen ten behoeve van het voorkomen van risico's voor de omgeving en ongewone voorvallen, dan wel voor zover dat niet mogelijk is het zoveel mogelijk beperken van de risico's voor de omgeving en de kans dat ongewone voorvallen zich voordoen en de gevolgen hiervan.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Een brandcompartiment bestemd voor de opslag van zwart kruit of rookzwak kruit is gelegen op een afstand van ten minste 8 meter van kwetsbare of beperkt kwetsbare objecten.</w:t>
      </w:r>
    </w:p>
    <w:p w:rsidR="00296032" w:rsidRPr="00296032" w:rsidRDefault="00296032">
      <w:pPr>
        <w:pStyle w:val="artikelkop"/>
        <w:rPr>
          <w:rFonts w:cs="Arial"/>
        </w:rPr>
      </w:pPr>
      <w:r w:rsidRPr="00296032">
        <w:rPr>
          <w:rFonts w:cs="Arial"/>
        </w:rPr>
        <w:t>Artikel 4.4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Een voorziening voor de opslag van meer dan 10.000 patronen voor vuurwapens, dan wel onderdelen daarvan, is gelegen op een afstand van ten minste 8 meter van kwetsbare of beperkt kwetsbare objecten.</w:t>
      </w:r>
    </w:p>
    <w:p w:rsidR="00296032"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de voorziening, bedoeld in dat lid, in een brandcompartiment is gesitueerd.</w:t>
      </w:r>
    </w:p>
    <w:p w:rsidR="00286455" w:rsidRDefault="00286455" w:rsidP="00286455"/>
    <w:p w:rsidR="00624A65" w:rsidRDefault="00624A65" w:rsidP="00624A65">
      <w:pPr>
        <w:pStyle w:val="paragraaf"/>
        <w:shd w:val="clear" w:color="auto" w:fill="D9D9D9" w:themeFill="background1" w:themeFillShade="D9"/>
      </w:pPr>
      <w:bookmarkStart w:id="182" w:name="_Toc431375670"/>
      <w:r>
        <w:t>§ 4.1.2.</w:t>
      </w:r>
      <w:r>
        <w:tab/>
        <w:t>Opslaan van vuurwerk, pyrotechnische artikelen voor theatergebruik of andere ontplofbare stoffen</w:t>
      </w:r>
      <w:bookmarkEnd w:id="182"/>
    </w:p>
    <w:p w:rsidR="00624A65" w:rsidRDefault="00624A65" w:rsidP="00624A65">
      <w:pPr>
        <w:pStyle w:val="artikelkop"/>
        <w:shd w:val="clear" w:color="auto" w:fill="D9D9D9" w:themeFill="background1" w:themeFillShade="D9"/>
      </w:pPr>
      <w:r>
        <w:t>Artikel 4.11</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wordt theatervuurwerk opgeslagen in ten minste een brandveiligheidsopslagkast die voldoet aan de voorschriften 3.10.1 tot en met 3.10.3 van PGS 15. De brandwerendheid van de kast bedraagt ten minste 60 minuten. De kast wordt niet afgezogen.</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Inbeslaggenomen vuurwerk met aan consumentenvuurwerk vergelijkbare eigenschappen dat wordt opgeslagen in politiebureaus wordt opgeslagen in ten minste een brandveiligheidsopslagkast die voldoet aan de voorschriften 3.10.1 tot en met 3.10.3 van PGS 15. De brandwerendheid van de kast bedraagt ten minste 60 minuten. De kast wordt niet afgezogen.</w:t>
      </w:r>
    </w:p>
    <w:p w:rsidR="00624A65" w:rsidRDefault="00624A65" w:rsidP="00624A65">
      <w:pPr>
        <w:pStyle w:val="artikelkop"/>
        <w:shd w:val="clear" w:color="auto" w:fill="D9D9D9" w:themeFill="background1" w:themeFillShade="D9"/>
      </w:pPr>
      <w:r>
        <w:t>Artikel 4.12</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wordt rookzwak kruit ten minste opgeslagen in een brandcompartiment. Binnen het brandcompartiment wordt het rookzwak kruit opgeslagen in vakken. De vakken zijn vervaardigd van 105 millimeter metselwerk voor de wanden, en 70 millimeter beton voor de horizontale verdeling. Per vak is maximaal 1 kilogram rookzwak kruit aanwezig in de standaardverpakking . Voor de vakken is minimaal 1 meter vrije ruimte aanwezig. De toegang tot het brandcompartiment bestaat uit een deur die 60 minuten brandwerend is, zelfsluitend is uitgevoerd, naar buiten opent en als drukontlasting kan fungeren.</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Het kruit, bedoeld in het eerste lid, wordt zodanig opgeslagen dat er minimaal 10 centimeter ruimte tussen de voorzijde van het vak en de voorzijde van de fles met rookzwak kruit aanwezig is.</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Het eerste lid en tweede lid, zijn van overeenkomstige toepassing op de opslag van zwart kruit met dien verstande dat van zwart kruit niet meer dan 250 gram per vak aanwezig is.</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Noodsignalen worden opgeslagen in een brandcompartiment dan wel in een brandveiligheidsopslagkast die voldoet aan de voorschriften 3.10.1 tot en met 3.10.3 van PGS 15. De brandwerendheid van de kast bedraagt ten minste 60 minuten. De kast wordt niet afgezogen.</w:t>
      </w:r>
    </w:p>
    <w:p w:rsidR="00624A65" w:rsidRDefault="00624A65" w:rsidP="00624A65">
      <w:pPr>
        <w:pStyle w:val="artikelkop"/>
        <w:shd w:val="clear" w:color="auto" w:fill="D9D9D9" w:themeFill="background1" w:themeFillShade="D9"/>
        <w:rPr>
          <w:rFonts w:eastAsiaTheme="minorEastAsia"/>
          <w:lang w:eastAsia="nl-NL"/>
        </w:rPr>
      </w:pPr>
      <w:r>
        <w:rPr>
          <w:rFonts w:eastAsiaTheme="minorEastAsia"/>
          <w:lang w:eastAsia="nl-NL"/>
        </w:rPr>
        <w:t xml:space="preserve">Artikel 4.12a </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bevoegd gezag kan bij maatwerkvoorschrift eisen stellen aan het opslaan van gevaarlijke stoffen als bedoeld in deze paragraaf, voor zover in deze paragraaf wordt verwezen naar voorschrift 3.10.3 van PGS 15.</w:t>
      </w:r>
    </w:p>
    <w:p w:rsidR="00624A65" w:rsidRDefault="00624A65" w:rsidP="00624A65">
      <w:pPr>
        <w:shd w:val="clear" w:color="auto" w:fill="D9D9D9" w:themeFill="background1" w:themeFillShade="D9"/>
      </w:pPr>
      <w:r>
        <w:rPr>
          <w:rFonts w:eastAsiaTheme="minorEastAsia"/>
          <w:lang w:eastAsia="nl-NL"/>
        </w:rPr>
        <w:t>2.</w:t>
      </w:r>
      <w:r>
        <w:rPr>
          <w:rFonts w:eastAsiaTheme="minorEastAsia"/>
          <w:lang w:eastAsia="nl-NL"/>
        </w:rPr>
        <w:tab/>
        <w:t>Indien toepassing wordt gegeven aan het eerste lid neemt het bevoegd gezag voorschrift 3.10.4</w:t>
      </w:r>
      <w:r w:rsidR="00B92B02">
        <w:rPr>
          <w:rFonts w:eastAsiaTheme="minorEastAsia"/>
          <w:lang w:eastAsia="nl-NL"/>
        </w:rPr>
        <w:t xml:space="preserve"> </w:t>
      </w:r>
      <w:r w:rsidR="00B92B02" w:rsidRPr="00B92B02">
        <w:rPr>
          <w:rFonts w:eastAsiaTheme="minorEastAsia"/>
          <w:lang w:eastAsia="nl-NL"/>
        </w:rPr>
        <w:t>van PGS 15</w:t>
      </w:r>
      <w:r>
        <w:rPr>
          <w:rFonts w:eastAsiaTheme="minorEastAsia"/>
          <w:lang w:eastAsia="nl-NL"/>
        </w:rPr>
        <w:t xml:space="preserve"> in acht.</w:t>
      </w:r>
    </w:p>
    <w:p w:rsidR="00286455" w:rsidRPr="00286455" w:rsidRDefault="00286455" w:rsidP="00286455"/>
    <w:p w:rsidR="00296032" w:rsidRPr="00296032" w:rsidRDefault="00296032">
      <w:pPr>
        <w:pStyle w:val="paragraaf"/>
        <w:rPr>
          <w:rFonts w:cs="Arial"/>
        </w:rPr>
      </w:pPr>
      <w:bookmarkStart w:id="183" w:name="_Toc277243212"/>
      <w:bookmarkStart w:id="184" w:name="_Toc431375671"/>
      <w:r w:rsidRPr="00296032">
        <w:rPr>
          <w:rFonts w:cs="Arial"/>
        </w:rPr>
        <w:t>§ 4.1.3</w:t>
      </w:r>
      <w:r w:rsidRPr="00296032">
        <w:rPr>
          <w:rFonts w:cs="Arial"/>
        </w:rPr>
        <w:tab/>
        <w:t>Opslaan van stoffen in opslagtanks</w:t>
      </w:r>
      <w:bookmarkEnd w:id="183"/>
      <w:bookmarkEnd w:id="184"/>
    </w:p>
    <w:p w:rsidR="00296032" w:rsidRPr="00296032" w:rsidRDefault="00296032">
      <w:pPr>
        <w:pStyle w:val="artikelkop"/>
      </w:pPr>
      <w:r w:rsidRPr="00296032">
        <w:t>Artikel 4.4a</w:t>
      </w:r>
    </w:p>
    <w:p w:rsidR="00296032" w:rsidRPr="00620047" w:rsidRDefault="00296032">
      <w:pPr>
        <w:pStyle w:val="art1enivo"/>
      </w:pPr>
      <w:r w:rsidRPr="00620047">
        <w:t>1.</w:t>
      </w:r>
      <w:r w:rsidRPr="00620047">
        <w:tab/>
        <w:t>Deze paragraaf is van toepassing op het opslaan van stoffen in een bovengrondse opslagtank van:</w:t>
      </w:r>
    </w:p>
    <w:p w:rsidR="00296032" w:rsidRPr="00620047" w:rsidRDefault="00296032">
      <w:pPr>
        <w:pStyle w:val="art2enivo"/>
      </w:pPr>
      <w:r w:rsidRPr="00620047">
        <w:t>a.</w:t>
      </w:r>
      <w:r w:rsidRPr="00620047">
        <w:tab/>
        <w:t>propeen, zuurstof, koolzuur, lucht, argon, helium of stikstof;</w:t>
      </w:r>
    </w:p>
    <w:p w:rsidR="00296032" w:rsidRPr="00620047" w:rsidRDefault="00296032">
      <w:pPr>
        <w:pStyle w:val="art2enivo"/>
      </w:pPr>
      <w:r w:rsidRPr="00620047">
        <w:t>b.</w:t>
      </w:r>
      <w:r w:rsidRPr="00620047">
        <w:tab/>
        <w:t>stoffen van ADR klasse 5.1 of klasse 8, verpakkingsgroepen II en III, zonder bijkomend gevaar;</w:t>
      </w:r>
    </w:p>
    <w:p w:rsidR="00296032" w:rsidRPr="00620047" w:rsidRDefault="00296032">
      <w:pPr>
        <w:pStyle w:val="art2enivo"/>
      </w:pPr>
      <w:r w:rsidRPr="00620047">
        <w:t>c.</w:t>
      </w:r>
      <w:r w:rsidRPr="00620047">
        <w:tab/>
        <w:t>halfzware olie als bedoeld in artikel 26 van de Wet op de accijns bij een inrichting voor agrarische activiteiten;</w:t>
      </w:r>
    </w:p>
    <w:p w:rsidR="00296032" w:rsidRPr="00620047" w:rsidRDefault="00296032">
      <w:pPr>
        <w:pStyle w:val="art2enivo"/>
      </w:pPr>
      <w:r w:rsidRPr="00620047">
        <w:t>d.</w:t>
      </w:r>
      <w:r w:rsidRPr="00620047">
        <w:tab/>
        <w:t>PER bij een inrichting voor de reiniging van textiel;</w:t>
      </w:r>
    </w:p>
    <w:p w:rsidR="00296032" w:rsidRPr="00620047" w:rsidRDefault="00296032">
      <w:pPr>
        <w:pStyle w:val="art2enivo"/>
      </w:pPr>
      <w:r w:rsidRPr="00620047">
        <w:t>e.</w:t>
      </w:r>
      <w:r w:rsidRPr="00620047">
        <w:tab/>
        <w:t>polyesterhars, of</w:t>
      </w:r>
    </w:p>
    <w:p w:rsidR="00296032" w:rsidRPr="00620047" w:rsidRDefault="00296032">
      <w:pPr>
        <w:pStyle w:val="art2enivo"/>
      </w:pPr>
      <w:r w:rsidRPr="00620047">
        <w:t>f.</w:t>
      </w:r>
      <w:r w:rsidRPr="00620047">
        <w:tab/>
        <w:t>andere vloeibare bodembedreigende stoffen, niet zijnde:</w:t>
      </w:r>
    </w:p>
    <w:p w:rsidR="00296032" w:rsidRPr="00620047" w:rsidRDefault="00296032">
      <w:pPr>
        <w:pStyle w:val="art3enivo"/>
      </w:pPr>
      <w:r w:rsidRPr="00620047">
        <w:t>1°. gevaarlijke stoffen;</w:t>
      </w:r>
    </w:p>
    <w:p w:rsidR="00296032" w:rsidRPr="00620047" w:rsidRDefault="00296032">
      <w:pPr>
        <w:pStyle w:val="art3enivo"/>
      </w:pPr>
      <w:r w:rsidRPr="00620047">
        <w:t>2°. CMR-stoffen;</w:t>
      </w:r>
    </w:p>
    <w:p w:rsidR="00296032" w:rsidRPr="00620047" w:rsidRDefault="00296032">
      <w:pPr>
        <w:pStyle w:val="art3enivo"/>
      </w:pPr>
      <w:r w:rsidRPr="00620047">
        <w:t>3°. smeerolie,</w:t>
      </w:r>
    </w:p>
    <w:p w:rsidR="00296032" w:rsidRPr="00620047" w:rsidRDefault="00296032">
      <w:pPr>
        <w:pStyle w:val="art3enivo"/>
      </w:pPr>
      <w:r w:rsidRPr="00620047">
        <w:t>4°. afgewerkte olie, of</w:t>
      </w:r>
    </w:p>
    <w:p w:rsidR="00296032" w:rsidRPr="00620047" w:rsidRDefault="00296032">
      <w:pPr>
        <w:pStyle w:val="art3enivo"/>
      </w:pPr>
      <w:r w:rsidRPr="00620047">
        <w:t>5°. gasolie.</w:t>
      </w:r>
    </w:p>
    <w:p w:rsidR="00296032" w:rsidRPr="00620047" w:rsidRDefault="00296032">
      <w:pPr>
        <w:pStyle w:val="art1enivo"/>
      </w:pPr>
      <w:r w:rsidRPr="00620047">
        <w:t>2.</w:t>
      </w:r>
      <w:r w:rsidRPr="00620047">
        <w:tab/>
        <w:t>Deze paragraaf is niet van toepassing op bovengrondse opslagtanks die ingebouwd zijn in een installatie.</w:t>
      </w:r>
    </w:p>
    <w:p w:rsidR="00296032" w:rsidRPr="00296032" w:rsidRDefault="00296032">
      <w:pPr>
        <w:pStyle w:val="artikelkop"/>
        <w:rPr>
          <w:rFonts w:cs="Arial"/>
        </w:rPr>
      </w:pPr>
      <w:r w:rsidRPr="00296032">
        <w:rPr>
          <w:rFonts w:cs="Arial"/>
        </w:rPr>
        <w:t>Artikel 4.5</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in gebruik hebben en het beëindigen van het gebruik van een bovengrondse opslagtank die wordt dan wel werd gebruikt voor de opslag van zuurstof, koolzuur, lucht, argon, helium of stikstof wordt ten behoeve van het voorkomen van risico's voor de omgeving en ongewone voorvallen, dan wel voor zover dat niet mogelijk is het zoveel mogelijk beperken van de risico's voor de omgeving en de kans dat ongewone voorvallen zich voordoen en de gevolgen hiervan, voldaan aan de bij ministeriële regeling te stellen eisen.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Indien in een inrichting een bovengrondse opslagtank, bestemd voor de opslag van zuurstof, op een afstand van minder dan 10 meter is gelegen van een andere opslagtank, bestemd voor de opslag van propaan, propeen of een gas als bedoeld in het eerste lid, is de opslagtank bestemd voor de opslag van zuurstof gelegen op een afstand van ten minste 20 meter van kwetsbare of beperkt kwetsbare objecten.</w:t>
      </w:r>
    </w:p>
    <w:p w:rsidR="00296032" w:rsidRPr="00296032" w:rsidRDefault="00296032">
      <w:pPr>
        <w:pStyle w:val="artikelkop"/>
        <w:rPr>
          <w:rFonts w:cs="Arial"/>
        </w:rPr>
      </w:pPr>
      <w:r w:rsidRPr="00296032">
        <w:rPr>
          <w:rFonts w:cs="Arial"/>
        </w:rPr>
        <w:t>Artikel 4.5a</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Met betrekking tot de opstelplaats van een opslagtank met propeen, het vulpunt van een opslagtank met propeen en de opstelplaats van de tankwagen worden ten opzichte van buiten de inrichting gelegen kwetsbare en beperkt kwetsbare objecten, de in tabel 4.5a opgenomen afstanden in acht genomen, waarbij de afstanden gelden van het vulpunt en de bovengrondse opslagtank, gerekend vanaf de aansluitpunten van de leidingen alsmede het bovengrondse deel van de leidingen en de pomp bij de opslagtank:</w:t>
      </w:r>
    </w:p>
    <w:p w:rsidR="00296032" w:rsidRPr="00620047" w:rsidRDefault="00296032">
      <w:pPr>
        <w:pStyle w:val="tabelkop"/>
        <w:rPr>
          <w:rFonts w:cs="Arial"/>
        </w:rPr>
      </w:pPr>
      <w:r w:rsidRPr="00620047">
        <w:rPr>
          <w:rFonts w:cs="Arial"/>
        </w:rPr>
        <w:t>Tabel 4.5a veiligheidsafstanden</w:t>
      </w:r>
    </w:p>
    <w:tbl>
      <w:tblPr>
        <w:tblW w:w="8646" w:type="dxa"/>
        <w:tblInd w:w="5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260"/>
        <w:gridCol w:w="2774"/>
        <w:gridCol w:w="2612"/>
      </w:tblGrid>
      <w:tr w:rsidR="00296032" w:rsidRPr="00620047">
        <w:trPr>
          <w:cantSplit/>
          <w:tblHeader/>
        </w:trPr>
        <w:tc>
          <w:tcPr>
            <w:tcW w:w="3260" w:type="dxa"/>
            <w:tcBorders>
              <w:top w:val="single" w:sz="4" w:space="0" w:color="7F7F7F"/>
              <w:left w:val="single" w:sz="4" w:space="0" w:color="7F7F7F"/>
              <w:bottom w:val="single" w:sz="4" w:space="0" w:color="7F7F7F"/>
              <w:right w:val="single" w:sz="4" w:space="0" w:color="7F7F7F"/>
            </w:tcBorders>
          </w:tcPr>
          <w:p w:rsidR="00296032" w:rsidRPr="00620047" w:rsidRDefault="00296032">
            <w:pPr>
              <w:spacing w:before="40" w:after="40"/>
              <w:rPr>
                <w:rFonts w:cs="Arial"/>
                <w:sz w:val="16"/>
                <w:szCs w:val="16"/>
              </w:rPr>
            </w:pPr>
          </w:p>
        </w:tc>
        <w:tc>
          <w:tcPr>
            <w:tcW w:w="277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Bevoorrading tot en met 5 keer per jaar </w:t>
            </w:r>
          </w:p>
        </w:tc>
        <w:tc>
          <w:tcPr>
            <w:tcW w:w="2612"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Bevoorrading meer dan 5 keer per jaar </w:t>
            </w:r>
          </w:p>
        </w:tc>
      </w:tr>
      <w:tr w:rsidR="00296032" w:rsidRPr="00620047">
        <w:trPr>
          <w:cantSplit/>
          <w:tblHeader/>
        </w:trPr>
        <w:tc>
          <w:tcPr>
            <w:tcW w:w="326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Opslagtank met propeen tot en met 5 kubieke meter </w:t>
            </w:r>
          </w:p>
        </w:tc>
        <w:tc>
          <w:tcPr>
            <w:tcW w:w="277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10 meter </w:t>
            </w:r>
          </w:p>
        </w:tc>
        <w:tc>
          <w:tcPr>
            <w:tcW w:w="2612"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 meter </w:t>
            </w:r>
          </w:p>
        </w:tc>
      </w:tr>
      <w:tr w:rsidR="00296032" w:rsidRPr="00620047">
        <w:trPr>
          <w:cantSplit/>
          <w:tblHeader/>
        </w:trPr>
        <w:tc>
          <w:tcPr>
            <w:tcW w:w="326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Opslagtank met propeen groter dan 5 kubieke meter tot en met 13 kubieke meter </w:t>
            </w:r>
          </w:p>
        </w:tc>
        <w:tc>
          <w:tcPr>
            <w:tcW w:w="277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15 meter </w:t>
            </w:r>
          </w:p>
        </w:tc>
        <w:tc>
          <w:tcPr>
            <w:tcW w:w="2612"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25 meter </w:t>
            </w:r>
          </w:p>
        </w:tc>
      </w:tr>
    </w:tbl>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Een opslagtank met propeen, het vulpunt van een opslagtank met propeen en de opstelplaats van de tankwagen is gelegen op ten minste de helft van de afstanden, genoemd in tabel 4.5a, indien het objecten betreft waar ook een opslagtank met propeen of propaan aanwezig is.</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 afwijking van het eerste lid worden met betrekking tot de opstelplaats van een opslagtank met propeen, het vulpunt van een opslagtank met propeen en de opstelplaats van de tankwagen ten opzichte van gebouwen bestemd voor het verblijf, al dan niet gedurende een gedeelte van de dag, van minderjarigen, ouderen, zieken of gehandicapten, dan wel gebouwen waarin doorgaans grote aantallen personen gedurende een groot gedeelte van de dag aanwezig zijn, de volgende afstanden in acht genomen:</w:t>
      </w:r>
    </w:p>
    <w:p w:rsidR="00296032" w:rsidRPr="00620047" w:rsidRDefault="00296032">
      <w:pPr>
        <w:pStyle w:val="art2enivo"/>
        <w:rPr>
          <w:rFonts w:cs="Arial"/>
        </w:rPr>
      </w:pPr>
      <w:r w:rsidRPr="00620047">
        <w:rPr>
          <w:rFonts w:cs="Arial"/>
        </w:rPr>
        <w:t>a.</w:t>
      </w:r>
      <w:r w:rsidRPr="00620047">
        <w:rPr>
          <w:rFonts w:cs="Arial"/>
        </w:rPr>
        <w:tab/>
        <w:t>bij een opslagtank met propeen tot en met 5 kubieke meter: 25 meter;</w:t>
      </w:r>
    </w:p>
    <w:p w:rsidR="00296032" w:rsidRPr="00620047" w:rsidRDefault="00296032">
      <w:pPr>
        <w:pStyle w:val="art2enivo"/>
        <w:rPr>
          <w:rFonts w:cs="Arial"/>
        </w:rPr>
      </w:pPr>
      <w:r w:rsidRPr="00620047">
        <w:rPr>
          <w:rFonts w:cs="Arial"/>
        </w:rPr>
        <w:t>b.</w:t>
      </w:r>
      <w:r w:rsidRPr="00620047">
        <w:rPr>
          <w:rFonts w:cs="Arial"/>
        </w:rPr>
        <w:tab/>
        <w:t>bij een opslagtank met propeen van meer dan 5 kubieke meter tot en met 13 kubieke meter: 50 meter.</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Onverminderd het eerste tot en met derde lid, voldoet een opslagtank met propeen alsmede de bijbehorende leidingen en appendages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te stellen eisen.</w:t>
      </w:r>
    </w:p>
    <w:p w:rsidR="00296032" w:rsidRPr="00296032" w:rsidRDefault="00296032">
      <w:pPr>
        <w:pStyle w:val="artikelkop"/>
      </w:pPr>
      <w:r w:rsidRPr="00296032">
        <w:t>Artikel 4.5b</w:t>
      </w:r>
    </w:p>
    <w:p w:rsidR="00296032" w:rsidRPr="00620047" w:rsidRDefault="00296032">
      <w:pPr>
        <w:pStyle w:val="art1enivo"/>
      </w:pPr>
      <w:r w:rsidRPr="00620047">
        <w:t>1.</w:t>
      </w:r>
      <w:r w:rsidRPr="00620047">
        <w:tab/>
        <w:t>Met betrekking tot de opstelplaats van een bovengrondse opslagtank met polyesterhars, het vulpunt van een bovengrondse opslagtank met polyesterhars of de opstelplaats van de tankwagen, wordt ten opzichte van buiten de inrichting gelegen kwetsbare en beperkt kwetsbare objecten een afstand aangehouden van ten minste 20 meter.</w:t>
      </w:r>
    </w:p>
    <w:p w:rsidR="00296032" w:rsidRPr="00620047" w:rsidRDefault="00296032">
      <w:pPr>
        <w:pStyle w:val="art1enivo"/>
      </w:pPr>
      <w:r w:rsidRPr="00620047">
        <w:t>2.</w:t>
      </w:r>
      <w:r w:rsidRPr="00620047">
        <w:tab/>
        <w:t>Het eerste lid is niet van toepassing op een opslagtank die is geïnstalleerd voor 1 januari 2013.</w:t>
      </w:r>
    </w:p>
    <w:p w:rsidR="00296032" w:rsidRPr="00296032" w:rsidRDefault="00296032">
      <w:pPr>
        <w:pStyle w:val="artikelkop"/>
        <w:rPr>
          <w:rFonts w:cs="Arial"/>
        </w:rPr>
      </w:pPr>
      <w:r w:rsidRPr="00296032">
        <w:rPr>
          <w:rFonts w:cs="Arial"/>
        </w:rPr>
        <w:t>Artikel 4.6</w:t>
      </w:r>
    </w:p>
    <w:p w:rsidR="00296032" w:rsidRPr="00620047" w:rsidRDefault="00296032">
      <w:pPr>
        <w:pStyle w:val="artplat"/>
        <w:rPr>
          <w:rFonts w:cs="Arial"/>
        </w:rPr>
      </w:pPr>
      <w:r w:rsidRPr="00620047">
        <w:rPr>
          <w:rFonts w:cs="Arial"/>
        </w:rPr>
        <w:t>Bij het in gebruik hebben en het beëindigen van het gebruik van een bovengrondse opslagtank die wordt dan wel werd gebruikt voor de opslag van halfzware olie als bedoeld in artikel 26 van de Wet op de accijns, stoffen van ADR klasse 8 verpakkingsgroep II en III zonder bijkomend gevaar, PER, stoffen van ADR klasse 5.1, polyesterhars of andere vloeibare bodembedreigende stoffen wordt ten behoeve van:</w:t>
      </w:r>
    </w:p>
    <w:p w:rsidR="00296032" w:rsidRPr="00620047" w:rsidRDefault="00296032">
      <w:pPr>
        <w:pStyle w:val="artplatletter"/>
        <w:rPr>
          <w:rFonts w:cs="Arial"/>
        </w:rPr>
      </w:pPr>
      <w:r w:rsidRPr="00620047">
        <w:rPr>
          <w:rFonts w:cs="Arial"/>
        </w:rPr>
        <w:t>a.</w:t>
      </w:r>
      <w:r w:rsidRPr="00620047">
        <w:rPr>
          <w:rFonts w:cs="Arial"/>
        </w:rPr>
        <w:tab/>
        <w:t>het realiseren van een verwaarloosbaar bodemrisico;</w:t>
      </w:r>
    </w:p>
    <w:p w:rsidR="00296032" w:rsidRPr="00620047" w:rsidRDefault="00296032">
      <w:pPr>
        <w:pStyle w:val="artplatletter"/>
        <w:rPr>
          <w:rFonts w:cs="Arial"/>
        </w:rPr>
      </w:pPr>
      <w:r w:rsidRPr="00620047">
        <w:rPr>
          <w:rFonts w:cs="Arial"/>
        </w:rPr>
        <w:t>b.</w:t>
      </w:r>
      <w:r w:rsidRPr="00620047">
        <w:rPr>
          <w:rFonts w:cs="Arial"/>
        </w:rPr>
        <w:tab/>
        <w:t>het voorkomen van risico's voor de omgeving en ongewone voorvallen, dan wel voor zover dat niet mogelijk is het zoveel mogelijk beperken van de risico's voor de omgeving en de kans dat ongewone voorvallen zich voordoen en de gevolgen hiervan;</w:t>
      </w:r>
    </w:p>
    <w:p w:rsidR="00296032" w:rsidRPr="00620047" w:rsidRDefault="00296032">
      <w:pPr>
        <w:pStyle w:val="artplatletter"/>
        <w:rPr>
          <w:rFonts w:cs="Arial"/>
        </w:rPr>
      </w:pPr>
      <w:r w:rsidRPr="00620047">
        <w:rPr>
          <w:rFonts w:cs="Arial"/>
        </w:rPr>
        <w:t>c.</w:t>
      </w:r>
      <w:r w:rsidRPr="00620047">
        <w:rPr>
          <w:rFonts w:cs="Arial"/>
        </w:rPr>
        <w:tab/>
        <w:t>het voorkomen dan wel voor zover dat niet mogelijk is het zoveel mogelijk beperken van verontreiniging van een oppervlaktewaterlichaam,</w:t>
      </w:r>
    </w:p>
    <w:p w:rsidR="00296032" w:rsidRDefault="00296032">
      <w:pPr>
        <w:rPr>
          <w:rFonts w:cs="Arial"/>
        </w:rPr>
      </w:pPr>
      <w:r w:rsidRPr="00620047">
        <w:rPr>
          <w:rFonts w:cs="Arial"/>
        </w:rPr>
        <w:t>voldaan aan de bij ministeriële regeling te stellen eisen.</w:t>
      </w:r>
    </w:p>
    <w:p w:rsidR="00624A65" w:rsidRDefault="00624A65" w:rsidP="00624A65">
      <w:pPr>
        <w:pStyle w:val="paragraaf"/>
        <w:shd w:val="clear" w:color="auto" w:fill="D9D9D9" w:themeFill="background1" w:themeFillShade="D9"/>
      </w:pPr>
      <w:bookmarkStart w:id="185" w:name="_Toc431375673"/>
      <w:r>
        <w:t>§ 4.1.3.</w:t>
      </w:r>
      <w:r>
        <w:tab/>
        <w:t>Opslaan van stoffen in opslagtanks</w:t>
      </w:r>
      <w:bookmarkEnd w:id="185"/>
    </w:p>
    <w:p w:rsidR="00624A65" w:rsidRDefault="00624A65" w:rsidP="00624A65">
      <w:pPr>
        <w:pStyle w:val="paragraaf"/>
        <w:shd w:val="clear" w:color="auto" w:fill="D9D9D9" w:themeFill="background1" w:themeFillShade="D9"/>
      </w:pPr>
      <w:bookmarkStart w:id="186" w:name="_Toc431375674"/>
      <w:r>
        <w:t>§ 4.1.3.1.</w:t>
      </w:r>
      <w:r>
        <w:tab/>
        <w:t>Opslaan van stoffen klasse 5.1 van het ADR en stoffen klasse 8 van het ADR verpakkingsgroep II en III zonder bijkomend gevaar, halfzware olie, PER, polyesterhars of andere vloeibare bodembedreigende stoffen, niet zijnde gevaarlijke stoffen, CMR-stoffen, smeerolie of afgewerkte olie, in bovengrondse opslagtanks</w:t>
      </w:r>
      <w:bookmarkEnd w:id="186"/>
    </w:p>
    <w:p w:rsidR="00624A65" w:rsidRDefault="00624A65" w:rsidP="00624A65">
      <w:pPr>
        <w:pStyle w:val="artikelkop"/>
        <w:shd w:val="clear" w:color="auto" w:fill="D9D9D9" w:themeFill="background1" w:themeFillShade="D9"/>
      </w:pPr>
      <w:r>
        <w:t>Artikel 4.13</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en het voorkomen van risico's voor de omgeving en ongewone voorvallen, dan wel, voor zover dat niet mogelijk is, het zoveel mogelijk beperken van de risico's voor de omgeving en de kans dat ongewone voorvallen zich voordoen en de gevolgen hiervan als bedoeld in artikel 4.6 van het besluit, voldoet de opslag van halfzware olie, polyesterhars, stoffen van klasse 8 van het ADR verpakkingsgroep II en III zonder bijkomend gevaar, PER of stoffen van klasse 5.1 van het ADR in bovengrondse opslagtanks aan de artikelen 4.14 tot en met 4.19.</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 xml:space="preserve">Ten behoeve van het realiseren van een verwaarloosbaar bodemrisico als bedoeld in artikel 4.6 van het besluit, voldoet de opslag van vloeibare bodembedreigende stoffen als bedoeld in artikel 4.4a, </w:t>
      </w:r>
      <w:r>
        <w:rPr>
          <w:rFonts w:cs="Arial"/>
          <w:highlight w:val="yellow"/>
        </w:rPr>
        <w:t>onder e</w:t>
      </w:r>
      <w:r>
        <w:rPr>
          <w:rFonts w:cs="Arial"/>
        </w:rPr>
        <w:t xml:space="preserve"> en f, van het besluit, in een bovengrondse opslagtank aan artikel 4.18.</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b/>
        </w:rPr>
        <w:tab/>
      </w:r>
      <w:r>
        <w:rPr>
          <w:rFonts w:cs="Arial"/>
        </w:rPr>
        <w:t>Ten behoeve van:</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het voorkomen dan wel, voor zover dat niet mogelijk, is het zoveel mogelijk beperken van verontreiniging van een oppervlaktewaterlichaam, bedoeld in artikel 4.6 van het besluit; en</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het voorkomen van risico's voor de omgeving en ongewone voorvallen, dan wel voor zover dat niet mogelijk is het zoveel mogelijk beperken van de risico's voor de omgeving en de kans dat ongewone voorvallen zich voordoen en de gevolgen hiervan, bedoeld in artikel 4.6 van het besluit,</w:t>
      </w:r>
    </w:p>
    <w:p w:rsidR="00624A65" w:rsidRDefault="00624A65" w:rsidP="00624A65">
      <w:pPr>
        <w:pStyle w:val="art1enivo"/>
        <w:shd w:val="clear" w:color="auto" w:fill="D9D9D9" w:themeFill="background1" w:themeFillShade="D9"/>
      </w:pPr>
      <w:r>
        <w:tab/>
        <w:t>voldoet de opslag van halfzware olie, stoffen van klasse 8 van het ADR verpakkingsgroep II en III zonder bijkomend gevaar, PER, stoffen van klasse 5.1 van het ADR, polyesterhars of andere vloeibare bodembedreigende stoffen, in een opslagtank boven een oppervlaktewaterlichaam aan artikel 4.18a.</w:t>
      </w:r>
    </w:p>
    <w:p w:rsidR="00624A65" w:rsidRDefault="00624A65" w:rsidP="00624A65">
      <w:pPr>
        <w:pStyle w:val="artikelkop"/>
        <w:shd w:val="clear" w:color="auto" w:fill="D9D9D9" w:themeFill="background1" w:themeFillShade="D9"/>
      </w:pPr>
      <w:r>
        <w:t>Artikel 4.14</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Het opslaan van halfzware olie, polyesterhars, stoffen van klasse 8 van het ADR verpakkingsgroep II en III zonder bijkomend gevaar, PER of stoffen van klasse 5.1 van het ADR in bovengrondse opslagtanks vindt plaats in bovengrondse opslagtanks, die met de daarbij behorende leidingen en appendages naar hun aard en functie geschikt zijn voor de opslag van de desbetreffende stoffen.</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De bovengrondse opslagtanks en de daarbij behorende leidingen en appendages verkeren in goede staat.</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Het opslaan van halfzware olie, polyesterhars, stoffen van klasse 8 van het ADR verpakkingsgroep II en III zonder bijkomend gevaar, PER of stoffen van klasse 5.1 van het ADR in bovengrondse opslagtanks vindt op de vloer plaats.</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Het derde lid is niet van toepassing op een bovengrondse opslagtank met halfzware olie, polyesterhars, stoffen van klasse 8 van het ADR verpakkingsgroep II en III zonder bijkomend gevaar, PER of stoffen van klasse 5.1 van het ADR indien plaatsing op de vloer als gevolg van de constructie van de bijbehorende procesinstallatie niet mogelijk is.</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Het derde lid is niet van toepassing op een bovengrondse opslagtank die is geïnstalleerd voor de datum waarop paragraaf 4.1.3 op de inrichting van toepassing werd en die niet op de vloer staat.</w:t>
      </w:r>
    </w:p>
    <w:p w:rsidR="00624A65" w:rsidRDefault="00624A65" w:rsidP="00624A65">
      <w:pPr>
        <w:pStyle w:val="artikelkop"/>
        <w:shd w:val="clear" w:color="auto" w:fill="D9D9D9" w:themeFill="background1" w:themeFillShade="D9"/>
      </w:pPr>
      <w:r>
        <w:t>Artikel 4.15</w:t>
      </w:r>
    </w:p>
    <w:p w:rsidR="00624A65" w:rsidRDefault="00624A65" w:rsidP="00624A65">
      <w:pPr>
        <w:pStyle w:val="art1enivo"/>
        <w:shd w:val="clear" w:color="auto" w:fill="D9D9D9" w:themeFill="background1" w:themeFillShade="D9"/>
      </w:pPr>
      <w:r>
        <w:t>1.</w:t>
      </w:r>
      <w:r>
        <w:tab/>
        <w:t>Een stationaire bovengrondse opslagtank met de daarbij behorende leidingen en appendages voor het opslaan van halfzware olie, polyesterhars of stoffen van de klasse 8 van het ADR, verpakkingsgroepen II en III zonder bijkomend gevaar, is uitgevoerd en geïnstalleerd en wordt gerepareerd of vervangen en beoordeeld overeenkomstig  BRL K903, door een bedrijf dat op grond van die BRL daartoe is gecertificeerd.</w:t>
      </w:r>
    </w:p>
    <w:p w:rsidR="00624A65" w:rsidRDefault="00624A65" w:rsidP="00624A65">
      <w:pPr>
        <w:pStyle w:val="art1enivo"/>
        <w:shd w:val="clear" w:color="auto" w:fill="D9D9D9" w:themeFill="background1" w:themeFillShade="D9"/>
      </w:pPr>
      <w:r>
        <w:t>2.</w:t>
      </w:r>
      <w:r>
        <w:tab/>
        <w:t>Het opslaan van halfzware olie, polyesterhars of stoffen van de klasse 8 van het ADR, verpakkingsgroepen II en III zonder bijkomend gevaar in een stationaire bovengrondse opslagtank met de daarbij behorende leidingen en appendages voldoet aan de volgende onderdelen van PGS 30:</w:t>
      </w:r>
    </w:p>
    <w:p w:rsidR="00624A65" w:rsidRDefault="00624A65" w:rsidP="00624A65">
      <w:pPr>
        <w:pStyle w:val="art2enivo"/>
        <w:shd w:val="clear" w:color="auto" w:fill="D9D9D9" w:themeFill="background1" w:themeFillShade="D9"/>
      </w:pPr>
      <w:r>
        <w:t>a.</w:t>
      </w:r>
      <w:r>
        <w:tab/>
        <w:t>de paragrafen 2.2 en 2.3;</w:t>
      </w:r>
    </w:p>
    <w:p w:rsidR="00624A65" w:rsidRDefault="00624A65" w:rsidP="00624A65">
      <w:pPr>
        <w:pStyle w:val="art2enivo"/>
        <w:shd w:val="clear" w:color="auto" w:fill="D9D9D9" w:themeFill="background1" w:themeFillShade="D9"/>
      </w:pPr>
      <w:r>
        <w:t>b.</w:t>
      </w:r>
      <w:r>
        <w:tab/>
        <w:t>de voorschriften 2.4.3, 2.6.1, 2.6.3 tot en met 2.6.6 en 2.6.14, en</w:t>
      </w:r>
    </w:p>
    <w:p w:rsidR="00624A65" w:rsidRDefault="00624A65" w:rsidP="00624A65">
      <w:pPr>
        <w:pStyle w:val="art2enivo"/>
        <w:shd w:val="clear" w:color="auto" w:fill="D9D9D9" w:themeFill="background1" w:themeFillShade="D9"/>
      </w:pPr>
      <w:r>
        <w:t>c.</w:t>
      </w:r>
      <w:r>
        <w:tab/>
        <w:t>paragraaf 4.2, met uitzondering van voorschrift 4.2.3 en tabel 4.1.</w:t>
      </w:r>
    </w:p>
    <w:p w:rsidR="00624A65" w:rsidRDefault="00624A65" w:rsidP="00624A65">
      <w:pPr>
        <w:pStyle w:val="art1enivo"/>
        <w:shd w:val="clear" w:color="auto" w:fill="D9D9D9" w:themeFill="background1" w:themeFillShade="D9"/>
      </w:pPr>
      <w:r>
        <w:t>3.</w:t>
      </w:r>
      <w:r>
        <w:tab/>
        <w:t>Een opslagtank als bedoeld in het eerste lid voor het opslaan van halfzware olie of polyesterhars bevindt zich niet op een verdieping.</w:t>
      </w:r>
    </w:p>
    <w:p w:rsidR="00624A65" w:rsidRDefault="00624A65" w:rsidP="00624A65">
      <w:pPr>
        <w:pStyle w:val="art1enivo"/>
        <w:shd w:val="clear" w:color="auto" w:fill="D9D9D9" w:themeFill="background1" w:themeFillShade="D9"/>
      </w:pPr>
      <w:r>
        <w:t>4.</w:t>
      </w:r>
      <w:r>
        <w:tab/>
        <w:t>Het gebruik van de installaties waarin het opslaan, vullen en afleveren van halfzware olie, polyesterhars of stoffen van de klasse 8 van het ADR, verpakkingsgroepen II en III zonder bijkomend gevaar plaatsvindt in een stationaire bovengrondse opslagtank met de daarbij behorende leidingen en appendages, voldoet aan de volgende onderdelen van PGS 30:</w:t>
      </w:r>
    </w:p>
    <w:p w:rsidR="00624A65" w:rsidRDefault="00624A65" w:rsidP="00624A65">
      <w:pPr>
        <w:pStyle w:val="art2enivo"/>
        <w:shd w:val="clear" w:color="auto" w:fill="D9D9D9" w:themeFill="background1" w:themeFillShade="D9"/>
      </w:pPr>
      <w:r>
        <w:t>a.</w:t>
      </w:r>
      <w:r>
        <w:tab/>
        <w:t>voorschrift 3.2.4;</w:t>
      </w:r>
    </w:p>
    <w:p w:rsidR="00624A65" w:rsidRDefault="00624A65" w:rsidP="00624A65">
      <w:pPr>
        <w:pStyle w:val="art2enivo"/>
        <w:shd w:val="clear" w:color="auto" w:fill="D9D9D9" w:themeFill="background1" w:themeFillShade="D9"/>
      </w:pPr>
      <w:r>
        <w:t>b.</w:t>
      </w:r>
      <w:r>
        <w:tab/>
        <w:t>de paragrafen 3.3, 3.5, 3.6, 5.2 en 5.4, en</w:t>
      </w:r>
    </w:p>
    <w:p w:rsidR="00624A65" w:rsidRDefault="00624A65" w:rsidP="00624A65">
      <w:pPr>
        <w:pStyle w:val="art2enivo"/>
        <w:shd w:val="clear" w:color="auto" w:fill="D9D9D9" w:themeFill="background1" w:themeFillShade="D9"/>
      </w:pPr>
      <w:r>
        <w:t>c.</w:t>
      </w:r>
      <w:r>
        <w:tab/>
        <w:t>de voorschriften 5.5.1, 5.5.2, 5.6.1, 5.6.3 en 5.6.4.</w:t>
      </w:r>
    </w:p>
    <w:p w:rsidR="00624A65" w:rsidRDefault="00624A65" w:rsidP="00624A65">
      <w:pPr>
        <w:pStyle w:val="art1enivo"/>
        <w:shd w:val="clear" w:color="auto" w:fill="D9D9D9" w:themeFill="background1" w:themeFillShade="D9"/>
      </w:pPr>
      <w:r>
        <w:t>5.</w:t>
      </w:r>
      <w:r>
        <w:tab/>
        <w:t>Voor een stationaire bovengrondse opslagtank met de daarbij behorende leidingen en appendages gelden de keurings- en herkeuringstermijnen van tabel 4.15.</w:t>
      </w:r>
    </w:p>
    <w:p w:rsidR="00624A65" w:rsidRDefault="00624A65" w:rsidP="00624A65">
      <w:pPr>
        <w:pStyle w:val="tabelkop"/>
        <w:shd w:val="clear" w:color="auto" w:fill="D9D9D9" w:themeFill="background1" w:themeFillShade="D9"/>
        <w:ind w:left="1560" w:hanging="1134"/>
      </w:pPr>
      <w:r>
        <w:t>Tabel 4.15</w:t>
      </w:r>
      <w:r>
        <w:tab/>
      </w:r>
      <w:r>
        <w:rPr>
          <w:bCs/>
        </w:rPr>
        <w:t>(Her)keuringstermijnen voor stationaire bovengrondse opslagtank met de daarbij behorende leidingen en appendages voor halfzware olie, polyesterhars of stoffen van de klasse 8 van het ADR, verpakkingsgroepen II en III</w:t>
      </w:r>
    </w:p>
    <w:tbl>
      <w:tblPr>
        <w:tblStyle w:val="Tabelraster"/>
        <w:tblW w:w="9129" w:type="dxa"/>
        <w:tblInd w:w="0" w:type="dxa"/>
        <w:tblLook w:val="04A0" w:firstRow="1" w:lastRow="0" w:firstColumn="1" w:lastColumn="0" w:noHBand="0" w:noVBand="1"/>
      </w:tblPr>
      <w:tblGrid>
        <w:gridCol w:w="4310"/>
        <w:gridCol w:w="2409"/>
        <w:gridCol w:w="2410"/>
      </w:tblGrid>
      <w:tr w:rsidR="00624A65" w:rsidTr="00F43C9B">
        <w:trPr>
          <w:cnfStyle w:val="100000000000" w:firstRow="1" w:lastRow="0" w:firstColumn="0" w:lastColumn="0" w:oddVBand="0" w:evenVBand="0" w:oddHBand="0" w:evenHBand="0" w:firstRowFirstColumn="0" w:firstRowLastColumn="0" w:lastRowFirstColumn="0" w:lastRowLastColumn="0"/>
        </w:trPr>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Staal enkelwandig in gecertificeerde opvangbak</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Eerste (her)keuring</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Volgende herkeuring</w:t>
            </w:r>
          </w:p>
        </w:tc>
      </w:tr>
      <w:tr w:rsidR="00624A6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Zonder coating of niet volledig gecoat</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15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15 jaar</w:t>
            </w:r>
          </w:p>
        </w:tc>
      </w:tr>
      <w:tr w:rsidR="00624A6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Volledig gecoat niet overeenkomstig BRL K790 of BRL K779</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15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r>
      <w:tr w:rsidR="00624A6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Volledig gecoat overeenkomstig BRL K790 of BRL K779</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r>
    </w:tbl>
    <w:p w:rsidR="00624A65" w:rsidRDefault="00624A65" w:rsidP="00624A65">
      <w:pPr>
        <w:shd w:val="clear" w:color="auto" w:fill="D9D9D9" w:themeFill="background1" w:themeFillShade="D9"/>
      </w:pPr>
    </w:p>
    <w:tbl>
      <w:tblPr>
        <w:tblStyle w:val="Tabelraster"/>
        <w:tblW w:w="9129" w:type="dxa"/>
        <w:tblInd w:w="0" w:type="dxa"/>
        <w:tblLook w:val="04A0" w:firstRow="1" w:lastRow="0" w:firstColumn="1" w:lastColumn="0" w:noHBand="0" w:noVBand="1"/>
      </w:tblPr>
      <w:tblGrid>
        <w:gridCol w:w="4297"/>
        <w:gridCol w:w="2416"/>
        <w:gridCol w:w="2416"/>
      </w:tblGrid>
      <w:tr w:rsidR="00624A65" w:rsidTr="00F43C9B">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Staal dubbelwandig met lekdetectiepotsysteem</w:t>
            </w:r>
          </w:p>
        </w:tc>
        <w:tc>
          <w:tcPr>
            <w:tcW w:w="24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Eerste (her)keuring</w:t>
            </w:r>
          </w:p>
        </w:tc>
        <w:tc>
          <w:tcPr>
            <w:tcW w:w="24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Volgende herkeuring</w:t>
            </w:r>
          </w:p>
        </w:tc>
      </w:tr>
      <w:tr w:rsidR="00624A6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Zonder coating of niet volledig gecoat</w:t>
            </w:r>
          </w:p>
        </w:tc>
        <w:tc>
          <w:tcPr>
            <w:tcW w:w="24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15 jaar</w:t>
            </w:r>
          </w:p>
        </w:tc>
        <w:tc>
          <w:tcPr>
            <w:tcW w:w="24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15 jaar</w:t>
            </w:r>
          </w:p>
        </w:tc>
      </w:tr>
      <w:tr w:rsidR="00624A6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Volledig gecoat niet overeenkomstig BRL K790 of BRL K779</w:t>
            </w:r>
          </w:p>
        </w:tc>
        <w:tc>
          <w:tcPr>
            <w:tcW w:w="24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15 jaar</w:t>
            </w:r>
          </w:p>
        </w:tc>
        <w:tc>
          <w:tcPr>
            <w:tcW w:w="24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r>
      <w:tr w:rsidR="00624A65" w:rsidTr="00F43C9B">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Volledig gecoat overeenkomstig BRL K790 of BRL K779</w:t>
            </w:r>
          </w:p>
        </w:tc>
        <w:tc>
          <w:tcPr>
            <w:tcW w:w="24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c>
          <w:tcPr>
            <w:tcW w:w="24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r>
    </w:tbl>
    <w:p w:rsidR="00624A65" w:rsidRDefault="00624A65" w:rsidP="00624A65">
      <w:pPr>
        <w:shd w:val="clear" w:color="auto" w:fill="D9D9D9" w:themeFill="background1" w:themeFillShade="D9"/>
      </w:pPr>
    </w:p>
    <w:tbl>
      <w:tblPr>
        <w:tblStyle w:val="Tabelraster"/>
        <w:tblW w:w="9185" w:type="dxa"/>
        <w:tblInd w:w="0" w:type="dxa"/>
        <w:tblLook w:val="04A0" w:firstRow="1" w:lastRow="0" w:firstColumn="1" w:lastColumn="0" w:noHBand="0" w:noVBand="1"/>
      </w:tblPr>
      <w:tblGrid>
        <w:gridCol w:w="4310"/>
        <w:gridCol w:w="2437"/>
        <w:gridCol w:w="2438"/>
      </w:tblGrid>
      <w:tr w:rsidR="00624A65" w:rsidTr="00F43C9B">
        <w:trPr>
          <w:cnfStyle w:val="100000000000" w:firstRow="1" w:lastRow="0" w:firstColumn="0" w:lastColumn="0" w:oddVBand="0" w:evenVBand="0" w:oddHBand="0" w:evenHBand="0" w:firstRowFirstColumn="0" w:firstRowLastColumn="0" w:lastRowFirstColumn="0" w:lastRowLastColumn="0"/>
        </w:trPr>
        <w:tc>
          <w:tcPr>
            <w:tcW w:w="4310"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Staal dubbelwandig met lekdetectie overeenkomstig BRL K910</w:t>
            </w:r>
          </w:p>
        </w:tc>
        <w:tc>
          <w:tcPr>
            <w:tcW w:w="24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Eerste (her)keuring</w:t>
            </w:r>
          </w:p>
        </w:tc>
        <w:tc>
          <w:tcPr>
            <w:tcW w:w="24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Volgende herkeuring</w:t>
            </w:r>
          </w:p>
        </w:tc>
      </w:tr>
      <w:tr w:rsidR="00624A65" w:rsidTr="00F43C9B">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624A65" w:rsidRDefault="00624A65" w:rsidP="00624A65">
            <w:pPr>
              <w:shd w:val="clear" w:color="auto" w:fill="D9D9D9" w:themeFill="background1" w:themeFillShade="D9"/>
              <w:spacing w:line="240" w:lineRule="auto"/>
              <w:rPr>
                <w:rFonts w:eastAsiaTheme="minorEastAsia"/>
                <w:b/>
              </w:rPr>
            </w:pPr>
          </w:p>
        </w:tc>
        <w:tc>
          <w:tcPr>
            <w:tcW w:w="24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jaarlijkse controle van het lekdetectiesysteem</w:t>
            </w:r>
          </w:p>
        </w:tc>
        <w:tc>
          <w:tcPr>
            <w:tcW w:w="24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jaarlijkse controle van het lekdetectiesysteem</w:t>
            </w:r>
          </w:p>
        </w:tc>
      </w:tr>
      <w:tr w:rsidR="00624A6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Zonder coating of niet volledig gecoat</w:t>
            </w:r>
          </w:p>
        </w:tc>
        <w:tc>
          <w:tcPr>
            <w:tcW w:w="24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15 jaar</w:t>
            </w:r>
          </w:p>
        </w:tc>
        <w:tc>
          <w:tcPr>
            <w:tcW w:w="24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r>
      <w:tr w:rsidR="00624A6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Volledig gecoat niet overeenkomstig BRL K790 of BRL K779</w:t>
            </w:r>
          </w:p>
        </w:tc>
        <w:tc>
          <w:tcPr>
            <w:tcW w:w="24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c>
          <w:tcPr>
            <w:tcW w:w="24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r>
      <w:tr w:rsidR="00624A6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Volledig gecoat overeenkomstig BRL K790 of BRL K779</w:t>
            </w:r>
          </w:p>
        </w:tc>
        <w:tc>
          <w:tcPr>
            <w:tcW w:w="24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c>
          <w:tcPr>
            <w:tcW w:w="24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r>
    </w:tbl>
    <w:p w:rsidR="00624A65" w:rsidRDefault="00624A65" w:rsidP="00624A65">
      <w:pPr>
        <w:shd w:val="clear" w:color="auto" w:fill="D9D9D9" w:themeFill="background1" w:themeFillShade="D9"/>
      </w:pPr>
    </w:p>
    <w:tbl>
      <w:tblPr>
        <w:tblStyle w:val="Tabelraster"/>
        <w:tblW w:w="9185" w:type="dxa"/>
        <w:tblInd w:w="0" w:type="dxa"/>
        <w:tblLook w:val="04A0" w:firstRow="1" w:lastRow="0" w:firstColumn="1" w:lastColumn="0" w:noHBand="0" w:noVBand="1"/>
      </w:tblPr>
      <w:tblGrid>
        <w:gridCol w:w="4310"/>
        <w:gridCol w:w="2437"/>
        <w:gridCol w:w="2438"/>
      </w:tblGrid>
      <w:tr w:rsidR="00624A65" w:rsidTr="00F43C9B">
        <w:trPr>
          <w:cnfStyle w:val="100000000000" w:firstRow="1" w:lastRow="0" w:firstColumn="0" w:lastColumn="0" w:oddVBand="0" w:evenVBand="0" w:oddHBand="0" w:evenHBand="0" w:firstRowFirstColumn="0" w:firstRowLastColumn="0" w:lastRowFirstColumn="0" w:lastRowLastColumn="0"/>
        </w:trPr>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Kunststof enkelwandig in gecertificeerde opvangbak</w:t>
            </w:r>
          </w:p>
        </w:tc>
        <w:tc>
          <w:tcPr>
            <w:tcW w:w="24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Eerste (her)keuring</w:t>
            </w:r>
          </w:p>
        </w:tc>
        <w:tc>
          <w:tcPr>
            <w:tcW w:w="24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Volgende herkeuring</w:t>
            </w:r>
          </w:p>
        </w:tc>
      </w:tr>
      <w:tr w:rsidR="00624A65" w:rsidTr="00F43C9B">
        <w:tc>
          <w:tcPr>
            <w:tcW w:w="4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pPr>
            <w:r>
              <w:t> </w:t>
            </w:r>
          </w:p>
        </w:tc>
        <w:tc>
          <w:tcPr>
            <w:tcW w:w="24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15 jaar</w:t>
            </w:r>
          </w:p>
        </w:tc>
        <w:tc>
          <w:tcPr>
            <w:tcW w:w="24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15 jaar</w:t>
            </w:r>
          </w:p>
        </w:tc>
      </w:tr>
    </w:tbl>
    <w:p w:rsidR="00624A65" w:rsidRDefault="00624A65" w:rsidP="00624A65">
      <w:pPr>
        <w:shd w:val="clear" w:color="auto" w:fill="D9D9D9" w:themeFill="background1" w:themeFillShade="D9"/>
      </w:pPr>
    </w:p>
    <w:tbl>
      <w:tblPr>
        <w:tblStyle w:val="Tabelraster"/>
        <w:tblW w:w="9185" w:type="dxa"/>
        <w:tblInd w:w="0" w:type="dxa"/>
        <w:tblLook w:val="04A0" w:firstRow="1" w:lastRow="0" w:firstColumn="1" w:lastColumn="0" w:noHBand="0" w:noVBand="1"/>
      </w:tblPr>
      <w:tblGrid>
        <w:gridCol w:w="4139"/>
        <w:gridCol w:w="2469"/>
        <w:gridCol w:w="2577"/>
      </w:tblGrid>
      <w:tr w:rsidR="00624A65" w:rsidTr="00F43C9B">
        <w:trPr>
          <w:cnfStyle w:val="100000000000" w:firstRow="1" w:lastRow="0" w:firstColumn="0" w:lastColumn="0" w:oddVBand="0" w:evenVBand="0" w:oddHBand="0" w:evenHBand="0" w:firstRowFirstColumn="0" w:firstRowLastColumn="0" w:lastRowFirstColumn="0" w:lastRowLastColumn="0"/>
        </w:trPr>
        <w:tc>
          <w:tcPr>
            <w:tcW w:w="41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rPr>
                <w:rFonts w:eastAsiaTheme="minorEastAsia"/>
              </w:rPr>
            </w:pPr>
            <w:r>
              <w:t>Kunststof dubbelwandig met lekdetectie overeenkomstig BRL K910</w:t>
            </w:r>
          </w:p>
        </w:tc>
        <w:tc>
          <w:tcPr>
            <w:tcW w:w="24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Eerste (her)keuring</w:t>
            </w:r>
          </w:p>
        </w:tc>
        <w:tc>
          <w:tcPr>
            <w:tcW w:w="25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Volgende herkeuring</w:t>
            </w:r>
          </w:p>
        </w:tc>
      </w:tr>
      <w:tr w:rsidR="00624A65" w:rsidTr="00F43C9B">
        <w:tc>
          <w:tcPr>
            <w:tcW w:w="41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pPr>
            <w:r>
              <w:t> </w:t>
            </w:r>
          </w:p>
        </w:tc>
        <w:tc>
          <w:tcPr>
            <w:tcW w:w="24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jaarlijkse controle van het lekdetectiesysteem</w:t>
            </w:r>
          </w:p>
        </w:tc>
        <w:tc>
          <w:tcPr>
            <w:tcW w:w="25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jaarlijkse controle van het lekdetectiesysteem</w:t>
            </w:r>
          </w:p>
        </w:tc>
      </w:tr>
      <w:tr w:rsidR="00624A65" w:rsidTr="00F43C9B">
        <w:tc>
          <w:tcPr>
            <w:tcW w:w="41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pPr>
            <w:r>
              <w:t> </w:t>
            </w:r>
          </w:p>
        </w:tc>
        <w:tc>
          <w:tcPr>
            <w:tcW w:w="24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c>
          <w:tcPr>
            <w:tcW w:w="25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624A65" w:rsidRDefault="00624A65" w:rsidP="00624A65">
            <w:pPr>
              <w:shd w:val="clear" w:color="auto" w:fill="D9D9D9" w:themeFill="background1" w:themeFillShade="D9"/>
              <w:jc w:val="center"/>
              <w:rPr>
                <w:rFonts w:eastAsiaTheme="minorEastAsia"/>
              </w:rPr>
            </w:pPr>
            <w:r>
              <w:t>20 jaar</w:t>
            </w:r>
          </w:p>
        </w:tc>
      </w:tr>
    </w:tbl>
    <w:p w:rsidR="00624A65" w:rsidRDefault="00624A65" w:rsidP="00624A65">
      <w:pPr>
        <w:shd w:val="clear" w:color="auto" w:fill="D9D9D9" w:themeFill="background1" w:themeFillShade="D9"/>
      </w:pPr>
    </w:p>
    <w:p w:rsidR="00624A65" w:rsidRDefault="00624A65" w:rsidP="00624A65">
      <w:pPr>
        <w:pStyle w:val="art1enivo"/>
        <w:shd w:val="clear" w:color="auto" w:fill="D9D9D9" w:themeFill="background1" w:themeFillShade="D9"/>
      </w:pPr>
      <w:r>
        <w:t>6.</w:t>
      </w:r>
      <w:r>
        <w:tab/>
        <w:t xml:space="preserve">Het bevoegd gezag kan ten behoeve van het voorkomen van risico's voor de omgeving en ongewone voorvallen, dan wel voor zover dat niet mogelijk is het zoveel mogelijk beperken van de risico's voor de omgeving en de kans dat ongewone voorvallen zich voordoen en de gevolgen hiervan, bij maatwerkvoorschrift het derde lid niet van toepassing verklaren en toestaan dat een opslagtank zich op een verdieping bevindt. </w:t>
      </w:r>
    </w:p>
    <w:p w:rsidR="00624A65" w:rsidRDefault="00624A65" w:rsidP="00624A65">
      <w:pPr>
        <w:pStyle w:val="art1enivo"/>
        <w:shd w:val="clear" w:color="auto" w:fill="D9D9D9" w:themeFill="background1" w:themeFillShade="D9"/>
      </w:pPr>
      <w:r>
        <w:t>7.</w:t>
      </w:r>
      <w:r>
        <w:tab/>
        <w:t xml:space="preserve">Bij maatwerkvoorschrift als bedoeld in het zesde lid kunnen eisen worden gesteld om de toegankelijkheid van de opslagtank voor de brandbestrijding te borgen. </w:t>
      </w:r>
    </w:p>
    <w:p w:rsidR="00624A65" w:rsidRDefault="00624A65" w:rsidP="00624A65">
      <w:pPr>
        <w:pStyle w:val="art1enivo"/>
        <w:shd w:val="clear" w:color="auto" w:fill="D9D9D9" w:themeFill="background1" w:themeFillShade="D9"/>
      </w:pPr>
      <w:r>
        <w:t>8.</w:t>
      </w:r>
      <w:r>
        <w:tab/>
        <w:t>Het inpandig opslaan van halfzware olie als bedoeld in artikel 4.4a, eerste lid, onderdeel c, van het besluit is slechts toegestaan indien de volgende maatregelen zijn getroffen:</w:t>
      </w:r>
    </w:p>
    <w:p w:rsidR="00624A65" w:rsidRDefault="00624A65" w:rsidP="00624A65">
      <w:pPr>
        <w:pStyle w:val="art2enivo"/>
        <w:shd w:val="clear" w:color="auto" w:fill="D9D9D9" w:themeFill="background1" w:themeFillShade="D9"/>
        <w:rPr>
          <w:szCs w:val="18"/>
        </w:rPr>
      </w:pPr>
      <w:r>
        <w:rPr>
          <w:szCs w:val="18"/>
        </w:rPr>
        <w:t>a.</w:t>
      </w:r>
      <w:r>
        <w:rPr>
          <w:szCs w:val="18"/>
        </w:rPr>
        <w:tab/>
        <w:t>de tankinstallatie is geaard en voorzien van potentiaalvereffening;</w:t>
      </w:r>
    </w:p>
    <w:p w:rsidR="00624A65" w:rsidRDefault="00624A65" w:rsidP="00624A65">
      <w:pPr>
        <w:pStyle w:val="art2enivo"/>
        <w:shd w:val="clear" w:color="auto" w:fill="D9D9D9" w:themeFill="background1" w:themeFillShade="D9"/>
        <w:rPr>
          <w:szCs w:val="18"/>
        </w:rPr>
      </w:pPr>
      <w:r>
        <w:rPr>
          <w:szCs w:val="18"/>
        </w:rPr>
        <w:t>b.</w:t>
      </w:r>
      <w:r>
        <w:rPr>
          <w:szCs w:val="18"/>
        </w:rPr>
        <w:tab/>
        <w:t>de ontluchting is naar buiten op ten minste 5 meter hoogte en niet nabij openingen;</w:t>
      </w:r>
    </w:p>
    <w:p w:rsidR="00624A65" w:rsidRDefault="00624A65" w:rsidP="00624A65">
      <w:pPr>
        <w:pStyle w:val="art2enivo"/>
        <w:shd w:val="clear" w:color="auto" w:fill="D9D9D9" w:themeFill="background1" w:themeFillShade="D9"/>
        <w:rPr>
          <w:szCs w:val="18"/>
        </w:rPr>
      </w:pPr>
      <w:r>
        <w:rPr>
          <w:szCs w:val="18"/>
        </w:rPr>
        <w:t>c.</w:t>
      </w:r>
      <w:r>
        <w:rPr>
          <w:szCs w:val="18"/>
        </w:rPr>
        <w:tab/>
        <w:t>een goede ventilatie van de opslagruimte volgens NPR 7910-1 is in werking;</w:t>
      </w:r>
    </w:p>
    <w:p w:rsidR="00624A65" w:rsidRDefault="00624A65" w:rsidP="00624A65">
      <w:pPr>
        <w:pStyle w:val="art2enivo"/>
        <w:shd w:val="clear" w:color="auto" w:fill="D9D9D9" w:themeFill="background1" w:themeFillShade="D9"/>
        <w:rPr>
          <w:szCs w:val="18"/>
        </w:rPr>
      </w:pPr>
      <w:r>
        <w:rPr>
          <w:szCs w:val="18"/>
        </w:rPr>
        <w:t>d.</w:t>
      </w:r>
      <w:r>
        <w:rPr>
          <w:szCs w:val="18"/>
        </w:rPr>
        <w:tab/>
        <w:t>een waarschuwing of alarm treedt in werking indien de temperatuur in de opslagruimte boven het vlampunt van de vloeistof kan komen;</w:t>
      </w:r>
    </w:p>
    <w:p w:rsidR="00624A65" w:rsidRDefault="00624A65" w:rsidP="00624A65">
      <w:pPr>
        <w:pStyle w:val="art2enivo"/>
        <w:shd w:val="clear" w:color="auto" w:fill="D9D9D9" w:themeFill="background1" w:themeFillShade="D9"/>
        <w:rPr>
          <w:szCs w:val="18"/>
        </w:rPr>
      </w:pPr>
      <w:r>
        <w:rPr>
          <w:szCs w:val="18"/>
        </w:rPr>
        <w:t>e.</w:t>
      </w:r>
      <w:r>
        <w:rPr>
          <w:szCs w:val="18"/>
        </w:rPr>
        <w:tab/>
        <w:t xml:space="preserve">een vlamdover met CE-markering is volgens </w:t>
      </w:r>
      <w:r>
        <w:rPr>
          <w:rStyle w:val="apple-style-span"/>
          <w:szCs w:val="18"/>
        </w:rPr>
        <w:t>NEN-EN-ISO 16852 en de ATEX-richtlijnen 137 en 95 geïnstalleerd</w:t>
      </w:r>
      <w:r>
        <w:rPr>
          <w:szCs w:val="18"/>
        </w:rPr>
        <w:t>;</w:t>
      </w:r>
    </w:p>
    <w:p w:rsidR="00624A65" w:rsidRDefault="00624A65" w:rsidP="00624A65">
      <w:pPr>
        <w:pStyle w:val="art2enivo"/>
        <w:shd w:val="clear" w:color="auto" w:fill="D9D9D9" w:themeFill="background1" w:themeFillShade="D9"/>
        <w:rPr>
          <w:szCs w:val="18"/>
        </w:rPr>
      </w:pPr>
      <w:r>
        <w:rPr>
          <w:szCs w:val="18"/>
        </w:rPr>
        <w:t>f.</w:t>
      </w:r>
      <w:r>
        <w:rPr>
          <w:szCs w:val="18"/>
        </w:rPr>
        <w:tab/>
        <w:t>het vulpunt is buiten, en</w:t>
      </w:r>
    </w:p>
    <w:p w:rsidR="00624A65" w:rsidRDefault="00624A65" w:rsidP="00624A65">
      <w:pPr>
        <w:pStyle w:val="art2enivo"/>
        <w:shd w:val="clear" w:color="auto" w:fill="D9D9D9" w:themeFill="background1" w:themeFillShade="D9"/>
        <w:rPr>
          <w:szCs w:val="18"/>
        </w:rPr>
      </w:pPr>
      <w:r>
        <w:rPr>
          <w:szCs w:val="18"/>
        </w:rPr>
        <w:t>g.</w:t>
      </w:r>
      <w:r>
        <w:rPr>
          <w:szCs w:val="18"/>
        </w:rPr>
        <w:tab/>
        <w:t>de opslagtank is voorzien van elektronische peilvoorziening of een handmatige peilvoorziening met een zelfsluitende peildop.</w:t>
      </w:r>
    </w:p>
    <w:p w:rsidR="00624A65" w:rsidRDefault="00624A65" w:rsidP="00624A65">
      <w:pPr>
        <w:pStyle w:val="art1enivo"/>
        <w:shd w:val="clear" w:color="auto" w:fill="D9D9D9" w:themeFill="background1" w:themeFillShade="D9"/>
      </w:pPr>
      <w:r>
        <w:t>9.</w:t>
      </w:r>
      <w:r>
        <w:tab/>
        <w:t>Uitpandige opslag van halfzware olie als bedoeld in artikel 4.4a, eerste lid, onderdeel c, van het besluit is slechts toegestaan indien de volgende maatregelen zijn getroffen:</w:t>
      </w:r>
    </w:p>
    <w:p w:rsidR="00624A65" w:rsidRDefault="00624A65" w:rsidP="00624A65">
      <w:pPr>
        <w:pStyle w:val="art2enivo"/>
        <w:shd w:val="clear" w:color="auto" w:fill="D9D9D9" w:themeFill="background1" w:themeFillShade="D9"/>
      </w:pPr>
      <w:r>
        <w:t>a.</w:t>
      </w:r>
      <w:r>
        <w:tab/>
        <w:t>de opslagtank is van kunststof of staal;</w:t>
      </w:r>
    </w:p>
    <w:p w:rsidR="00624A65" w:rsidRDefault="00624A65" w:rsidP="00624A65">
      <w:pPr>
        <w:pStyle w:val="art2enivo"/>
        <w:shd w:val="clear" w:color="auto" w:fill="D9D9D9" w:themeFill="background1" w:themeFillShade="D9"/>
      </w:pPr>
      <w:r>
        <w:t>b.</w:t>
      </w:r>
      <w:r>
        <w:tab/>
        <w:t>de opslagtank is geplaatst in een niet-brandbare lekbak van staal of beton. Indien een stalen tank dubbelwandig is uitgevoerd is geen lekbak nodig;</w:t>
      </w:r>
    </w:p>
    <w:p w:rsidR="00624A65" w:rsidRDefault="00624A65" w:rsidP="00624A65">
      <w:pPr>
        <w:pStyle w:val="art2enivo"/>
        <w:shd w:val="clear" w:color="auto" w:fill="D9D9D9" w:themeFill="background1" w:themeFillShade="D9"/>
      </w:pPr>
      <w:r>
        <w:t>c.</w:t>
      </w:r>
      <w:r>
        <w:tab/>
        <w:t>de tankinstallatie is geaard en voorzien van potentiaalvereffening;</w:t>
      </w:r>
    </w:p>
    <w:p w:rsidR="00624A65" w:rsidRDefault="00624A65" w:rsidP="00624A65">
      <w:pPr>
        <w:pStyle w:val="art2enivo"/>
        <w:shd w:val="clear" w:color="auto" w:fill="D9D9D9" w:themeFill="background1" w:themeFillShade="D9"/>
      </w:pPr>
      <w:r>
        <w:t>d.</w:t>
      </w:r>
      <w:r>
        <w:tab/>
        <w:t>de ontluchting is op ten minste 5 meter boven maaiveld;</w:t>
      </w:r>
    </w:p>
    <w:p w:rsidR="00624A65" w:rsidRDefault="00624A65" w:rsidP="00624A65">
      <w:pPr>
        <w:pStyle w:val="art2enivo"/>
        <w:shd w:val="clear" w:color="auto" w:fill="D9D9D9" w:themeFill="background1" w:themeFillShade="D9"/>
      </w:pPr>
      <w:r>
        <w:t>e.</w:t>
      </w:r>
      <w:r>
        <w:tab/>
        <w:t>een vlamdover met CE-markering is volgens NEN-EN-ISO 16852 en de ATEX-richtlijn geïnstalleerd;</w:t>
      </w:r>
    </w:p>
    <w:p w:rsidR="00624A65" w:rsidRDefault="00624A65" w:rsidP="00624A65">
      <w:pPr>
        <w:pStyle w:val="art2enivo"/>
        <w:shd w:val="clear" w:color="auto" w:fill="D9D9D9" w:themeFill="background1" w:themeFillShade="D9"/>
      </w:pPr>
      <w:r>
        <w:t>f.</w:t>
      </w:r>
      <w:r>
        <w:tab/>
        <w:t>de vul-, zuig- en persleidingen zijn beveiligd tegen aanrijding;</w:t>
      </w:r>
    </w:p>
    <w:p w:rsidR="00624A65" w:rsidRDefault="00624A65" w:rsidP="00624A65">
      <w:pPr>
        <w:pStyle w:val="art2enivo"/>
        <w:shd w:val="clear" w:color="auto" w:fill="D9D9D9" w:themeFill="background1" w:themeFillShade="D9"/>
      </w:pPr>
      <w:r>
        <w:t>g.</w:t>
      </w:r>
      <w:r>
        <w:tab/>
        <w:t>de opslagtank is voorzien van elektronische peilvoorziening of een handmatige peilvoorziening met een zelfsluitende peildop, en</w:t>
      </w:r>
    </w:p>
    <w:p w:rsidR="00624A65" w:rsidRDefault="00624A65" w:rsidP="00624A65">
      <w:pPr>
        <w:pStyle w:val="art2enivo"/>
        <w:shd w:val="clear" w:color="auto" w:fill="D9D9D9" w:themeFill="background1" w:themeFillShade="D9"/>
      </w:pPr>
      <w:r>
        <w:t>h.</w:t>
      </w:r>
      <w:r>
        <w:tab/>
        <w:t>de tank is voorzien van lichte bekleding of van een verfsysteem.</w:t>
      </w:r>
    </w:p>
    <w:p w:rsidR="00624A65" w:rsidRDefault="00624A65" w:rsidP="00624A65">
      <w:pPr>
        <w:pStyle w:val="art1enivo"/>
        <w:shd w:val="clear" w:color="auto" w:fill="D9D9D9" w:themeFill="background1" w:themeFillShade="D9"/>
      </w:pPr>
      <w:r>
        <w:t>10.</w:t>
      </w:r>
      <w:r>
        <w:tab/>
        <w:t>Indien een bovengrondse opslagtank voor halfzware olie of polyesterhars is geïnstalleerd voor het tijdstip van het van toepassing worden van paragraaf 4.1.3 op de inrichting is het derde lid niet van toepassing tot het moment waarop de eerstvolgende keuring behoort plaats te vinden.</w:t>
      </w:r>
    </w:p>
    <w:p w:rsidR="00624A65" w:rsidRDefault="00624A65" w:rsidP="00624A65">
      <w:pPr>
        <w:pStyle w:val="art1enivo"/>
        <w:shd w:val="clear" w:color="auto" w:fill="D9D9D9" w:themeFill="background1" w:themeFillShade="D9"/>
      </w:pPr>
      <w:r>
        <w:t>11.</w:t>
      </w:r>
      <w:r>
        <w:tab/>
        <w:t>Het bevoegd gezag kan aan een opslagtank als bedoeld in het tiende lid bij maatwerkvoorschrift eisen stellen om de toegankelijkheid van de opslagtank voor de brandbestrijding te borgen.</w:t>
      </w:r>
    </w:p>
    <w:p w:rsidR="00624A65" w:rsidRDefault="00624A65" w:rsidP="00624A65">
      <w:pPr>
        <w:pStyle w:val="artikelkop"/>
        <w:shd w:val="clear" w:color="auto" w:fill="D9D9D9" w:themeFill="background1" w:themeFillShade="D9"/>
        <w:rPr>
          <w:rFonts w:eastAsiaTheme="minorEastAsia"/>
          <w:lang w:eastAsia="nl-NL"/>
        </w:rPr>
      </w:pPr>
      <w:r>
        <w:rPr>
          <w:rFonts w:eastAsiaTheme="minorEastAsia"/>
          <w:lang w:eastAsia="nl-NL"/>
        </w:rPr>
        <w:t xml:space="preserve">Artikel 4.15a </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In afwijking van artikel 1.2, eerste lid, wordt in dit artikel onder 'PGS 30' verstaan: Richtlijn PGS 30, getiteld 'Vloeibare aardolieproducten, Buitenopslag in kleine installaties', zoals gepubliceerd op www.publicatiereeksgevaarlijkestoffen.nl, PGS 30: 1999 versie 0.1 (2-2005).</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Artikel 4.15 is tot 1 januari 2023 niet van toepassing op een bovengrondse opslagtank met stoffen van klasse 8 van de ADR verpakkingsgroep II en III zonder bijkomend gevaar die is geïnstalleerd voor 1 januari 2008.</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Een opslagtank als bedoeld in het tweede lid voldoet tot 1 januari 2023 aan de voorschriften 4.1.3, 4.2.4, 4.2.5, 4.2.7, 4.2.9, 4.2.10, 4.2.14, 4.3.3, 4.3.4, 4.3.6, 4.3.8, 4.3.9, 4.3.11, 4.4.1, 4.4.3, 4.4.4, 4.4.7, 4.4.8, 4.5.1, 4.5.3, 4.5.9, 4.5.12 en de voorschriften in paragraaf 4.6 van PGS 30.</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Het lekdetectiesysteem van een opslagtank als bedoeld in het tweede lid wordt, indien de opslagtank dubbelwandig is, eenmaal per jaar overeenkomstig KC-111 gecontroleerd op de goede werking door een bedrijf dat overeenkomstig die KC-111 is gecertificeerd. Indien een gebrek wordt geconstateerd dat kan leiden tot het optreden van niet gedetecteerde lekken wordt het lekdetectiesysteem binnen een periode van een maand hersteld. Van de controle wordt een aantekening in het logboek gemaakt.</w:t>
      </w:r>
    </w:p>
    <w:p w:rsidR="00624A65" w:rsidRDefault="00624A65" w:rsidP="00624A65">
      <w:pPr>
        <w:pStyle w:val="artikelkop"/>
        <w:shd w:val="clear" w:color="auto" w:fill="D9D9D9" w:themeFill="background1" w:themeFillShade="D9"/>
      </w:pPr>
      <w:r>
        <w:t>Artikel 4.16</w:t>
      </w:r>
    </w:p>
    <w:p w:rsidR="00624A65" w:rsidRDefault="00624A65" w:rsidP="00624A65">
      <w:pPr>
        <w:pStyle w:val="art1enivo"/>
        <w:shd w:val="clear" w:color="auto" w:fill="D9D9D9" w:themeFill="background1" w:themeFillShade="D9"/>
      </w:pPr>
      <w:r>
        <w:t>1.</w:t>
      </w:r>
      <w:r>
        <w:tab/>
        <w:t>In afwijking van artikel 1.2, eerste lid, wordt in dit artikel onder 'PGS 30' verstaan: Richtlijn PGS 30, getiteld 'Vloeibare aardolieproducten, Buitenopslag in kleine installaties', zoals gepubliceerd op www.publicatiereeksgevaarlijkestoffen.nl, PGS 30: 1999 versie 0.1 (2-2005).</w:t>
      </w:r>
    </w:p>
    <w:p w:rsidR="00624A65" w:rsidRDefault="00624A65" w:rsidP="00624A65">
      <w:pPr>
        <w:pStyle w:val="art1enivo"/>
        <w:shd w:val="clear" w:color="auto" w:fill="D9D9D9" w:themeFill="background1" w:themeFillShade="D9"/>
      </w:pPr>
      <w:r>
        <w:t>2.</w:t>
      </w:r>
      <w:r>
        <w:tab/>
        <w:t>Het opslaan van PER en van stoffen van de klasse 5.1 van het ADR in een stationaire bovengrondse opslagtank met de daarbij behorende leidingen en appendages voldoet aan de volgende onderdelen van PGS 30:</w:t>
      </w:r>
    </w:p>
    <w:p w:rsidR="00624A65" w:rsidRDefault="00624A65" w:rsidP="00624A65">
      <w:pPr>
        <w:pStyle w:val="art2enivo"/>
        <w:shd w:val="clear" w:color="auto" w:fill="D9D9D9" w:themeFill="background1" w:themeFillShade="D9"/>
      </w:pPr>
      <w:r>
        <w:t>a.</w:t>
      </w:r>
      <w:r>
        <w:tab/>
        <w:t>voorschrift 4.1.3;</w:t>
      </w:r>
    </w:p>
    <w:p w:rsidR="00624A65" w:rsidRDefault="00624A65" w:rsidP="00624A65">
      <w:pPr>
        <w:pStyle w:val="art2enivo"/>
        <w:shd w:val="clear" w:color="auto" w:fill="D9D9D9" w:themeFill="background1" w:themeFillShade="D9"/>
      </w:pPr>
      <w:r>
        <w:t>b.</w:t>
      </w:r>
      <w:r>
        <w:tab/>
        <w:t>de voorschriften 4.2.4 tot en met 4.2.7, 4.2.9, 4.2.10 en 4.2.14;</w:t>
      </w:r>
    </w:p>
    <w:p w:rsidR="00624A65" w:rsidRDefault="00624A65" w:rsidP="00624A65">
      <w:pPr>
        <w:pStyle w:val="art2enivo"/>
        <w:shd w:val="clear" w:color="auto" w:fill="D9D9D9" w:themeFill="background1" w:themeFillShade="D9"/>
      </w:pPr>
      <w:r>
        <w:t>c.</w:t>
      </w:r>
      <w:r>
        <w:tab/>
        <w:t>de voorschriften 4.3.2 tot en met 4.3.4, 4.3.6, 4.3.8, 4.3.9 en 4.3.11;</w:t>
      </w:r>
    </w:p>
    <w:p w:rsidR="00624A65" w:rsidRDefault="00624A65" w:rsidP="00624A65">
      <w:pPr>
        <w:pStyle w:val="art2enivo"/>
        <w:shd w:val="clear" w:color="auto" w:fill="D9D9D9" w:themeFill="background1" w:themeFillShade="D9"/>
      </w:pPr>
      <w:r>
        <w:t>d.</w:t>
      </w:r>
      <w:r>
        <w:tab/>
        <w:t>de voorschriften 4.4.1, 4.4.3, 4.4.4, 4.4.7 en 4.4.8, en</w:t>
      </w:r>
    </w:p>
    <w:p w:rsidR="00624A65" w:rsidRDefault="00624A65" w:rsidP="00624A65">
      <w:pPr>
        <w:pStyle w:val="art2enivo"/>
        <w:shd w:val="clear" w:color="auto" w:fill="D9D9D9" w:themeFill="background1" w:themeFillShade="D9"/>
      </w:pPr>
      <w:r>
        <w:t>e.</w:t>
      </w:r>
      <w:r>
        <w:tab/>
        <w:t>de voorschriften 4.5.1, 4.5.9 en 4.6.</w:t>
      </w:r>
    </w:p>
    <w:p w:rsidR="00624A65" w:rsidRDefault="00624A65" w:rsidP="00624A65">
      <w:pPr>
        <w:pStyle w:val="art1enivo"/>
        <w:shd w:val="clear" w:color="auto" w:fill="D9D9D9" w:themeFill="background1" w:themeFillShade="D9"/>
      </w:pPr>
      <w:r>
        <w:t>3.</w:t>
      </w:r>
      <w:r>
        <w:tab/>
        <w:t>Indien wordt beoordeeld of een stationaire bovengrondse opslagtank voor het opslaan van PER of stoffen van de klasse 5.1 van het ADR voldoet aan de eisen van PGS 30, zijn het vierde, vijfde en zesde lid van toepassing.</w:t>
      </w:r>
    </w:p>
    <w:p w:rsidR="00624A65" w:rsidRDefault="00624A65" w:rsidP="00624A65">
      <w:pPr>
        <w:pStyle w:val="art1enivo"/>
        <w:shd w:val="clear" w:color="auto" w:fill="D9D9D9" w:themeFill="background1" w:themeFillShade="D9"/>
      </w:pPr>
      <w:r>
        <w:t>4.</w:t>
      </w:r>
      <w:r>
        <w:tab/>
        <w:t>De stationaire bovengrondse opslagtank wordt geïnspecteerd overeenkomstig de voorschriften 4.5.2 en 4.5.3 van PGS 30 en wordt onder druk beproefd overeenkomstig voorschrift 4.5.5 van PGS 30. De inwendige inspectie van een stationaire bovengrondse opslagtank hoeft niet plaats te vinden bij de keuring waarmee voor een bestaande installatie die niet onder certificaat is aangelegd alsnog een installatiecertificaat kan worden afgegeven, indien wordt aangetoond dat de stationaire bovengrondse opslagtank minder dan vijftien jaar voor de inspectie nieuw in gebruik is genomen. In dat geval vindt de inwendige inspectie plaats vijftien jaar na de eerste ingebruikname.</w:t>
      </w:r>
    </w:p>
    <w:p w:rsidR="00624A65" w:rsidRDefault="00624A65" w:rsidP="00624A65">
      <w:pPr>
        <w:pStyle w:val="art1enivo"/>
        <w:shd w:val="clear" w:color="auto" w:fill="D9D9D9" w:themeFill="background1" w:themeFillShade="D9"/>
      </w:pPr>
      <w:r>
        <w:t>5.</w:t>
      </w:r>
      <w:r>
        <w:tab/>
        <w:t>Indien de stationaire bovengrondse opslagtank niet inwendig kan worden geïnspecteerd, wordt deze overeenkomstig voorschrift 4.5.9 van PGS 30 op de keuringsdatum buiten gebruik gesteld.</w:t>
      </w:r>
    </w:p>
    <w:p w:rsidR="00624A65" w:rsidRDefault="00624A65" w:rsidP="00624A65">
      <w:pPr>
        <w:pStyle w:val="art1enivo"/>
        <w:shd w:val="clear" w:color="auto" w:fill="D9D9D9" w:themeFill="background1" w:themeFillShade="D9"/>
      </w:pPr>
      <w:r>
        <w:t>6.</w:t>
      </w:r>
      <w:r>
        <w:tab/>
        <w:t>Van de beoordeling wordt een keuringsrapport opgesteld.</w:t>
      </w:r>
    </w:p>
    <w:p w:rsidR="00624A65" w:rsidRDefault="00624A65" w:rsidP="00624A65">
      <w:pPr>
        <w:pStyle w:val="artikelkop"/>
        <w:shd w:val="clear" w:color="auto" w:fill="D9D9D9" w:themeFill="background1" w:themeFillShade="D9"/>
      </w:pPr>
      <w:r>
        <w:t>Artikel 4.17</w:t>
      </w:r>
    </w:p>
    <w:p w:rsidR="00624A65" w:rsidRDefault="00624A65" w:rsidP="00624A65">
      <w:pPr>
        <w:pStyle w:val="artplat"/>
        <w:shd w:val="clear" w:color="auto" w:fill="D9D9D9" w:themeFill="background1" w:themeFillShade="D9"/>
        <w:suppressAutoHyphens/>
        <w:rPr>
          <w:rFonts w:cs="Arial"/>
        </w:rPr>
      </w:pPr>
      <w:r>
        <w:rPr>
          <w:rFonts w:cs="Arial"/>
        </w:rPr>
        <w:t>De opslag van halfzware olie in mobiele bovengrondse opslagtanks inclusief bijbehorende leidingen en appendages voldoet aan bijlage D van PGS 30.</w:t>
      </w:r>
    </w:p>
    <w:p w:rsidR="00624A65" w:rsidRDefault="00624A65" w:rsidP="00624A65">
      <w:pPr>
        <w:pStyle w:val="artikelkop"/>
        <w:shd w:val="clear" w:color="auto" w:fill="D9D9D9" w:themeFill="background1" w:themeFillShade="D9"/>
      </w:pPr>
      <w:r>
        <w:t>Artikel 4.18</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Het opslaan van vloeibare gevaarlijke stoffen of vloeibare bodembedreigende stoffen in bovengrondse opslagtanks vindt plaats boven een lekbak.</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Het eerste lid is niet van toepassing op een opslagtank, die dubbelwandig is uitgevoerd met een systeem voor lekdetectie in deze wand. Het systeem voor lekdetectie voldoet aan BRL K910 en wordt ten minste eens per jaar beoordeeld en goedgekeurd overeenkomstig</w:t>
      </w:r>
      <w:r>
        <w:t xml:space="preserve"> </w:t>
      </w:r>
      <w:r>
        <w:rPr>
          <w:rFonts w:cs="Arial"/>
        </w:rPr>
        <w:t>BRL K903, door een bedrijf dat op grond van die BRL daartoe is gecertificeerd</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De vulpunten en aftappunten van een bovengrondse opslagtank met vloeibare gevaarlijke stoffen of bodembedreigende stoffen zijn geplaatst boven een vloeistofdichte vloer of verharding of boven of in een lekbak, of zijn uitgevoerd met een vulpunt morsbak.</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De opslagtank is voorzien van een overvulbeveiliging.</w:t>
      </w:r>
    </w:p>
    <w:p w:rsidR="00624A65" w:rsidRDefault="00624A65" w:rsidP="00624A65">
      <w:pPr>
        <w:pStyle w:val="art1enivo"/>
        <w:shd w:val="clear" w:color="auto" w:fill="D9D9D9" w:themeFill="background1" w:themeFillShade="D9"/>
        <w:suppressAutoHyphens/>
        <w:rPr>
          <w:rFonts w:cs="Arial"/>
        </w:rPr>
      </w:pPr>
      <w:r>
        <w:rPr>
          <w:rFonts w:cs="Arial"/>
        </w:rPr>
        <w:t>5.</w:t>
      </w:r>
      <w:r>
        <w:rPr>
          <w:rFonts w:cs="Arial"/>
        </w:rPr>
        <w:tab/>
        <w:t>Boven de lekbak, bedoeld in het eerste lid, vindt geen opslag van andere gevaarlijke stoffen plaats, indien die kunnen reageren met de stoffen in de bovengrondse opslagtank.</w:t>
      </w:r>
    </w:p>
    <w:p w:rsidR="00624A65" w:rsidRDefault="00624A65" w:rsidP="00624A65">
      <w:pPr>
        <w:pStyle w:val="artikelkop"/>
        <w:shd w:val="clear" w:color="auto" w:fill="D9D9D9" w:themeFill="background1" w:themeFillShade="D9"/>
      </w:pPr>
      <w:r>
        <w:t>Artikel 4.18a</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Het opslaan van vloeibare bodembedreigende stoffen in opslagtanks boven een oppervlaktewaterlichaam vindt plaats boven een voorziening die zich rondom of onder de opgeslagen stoffen bevindt en in staat is de bij normale bedrijfsvoering gemorste of wegspattende vloeistoffen op te vangen.</w:t>
      </w:r>
    </w:p>
    <w:p w:rsidR="00624A65" w:rsidRDefault="00624A65" w:rsidP="00624A65">
      <w:pPr>
        <w:pStyle w:val="art1enivo"/>
        <w:shd w:val="clear" w:color="auto" w:fill="D9D9D9" w:themeFill="background1" w:themeFillShade="D9"/>
        <w:suppressAutoHyphens/>
        <w:rPr>
          <w:rFonts w:cs="Arial"/>
        </w:rPr>
      </w:pPr>
      <w:r>
        <w:rPr>
          <w:rFonts w:cs="Arial"/>
          <w:szCs w:val="20"/>
        </w:rPr>
        <w:t>2.</w:t>
      </w:r>
      <w:r>
        <w:rPr>
          <w:rFonts w:cs="Arial"/>
          <w:szCs w:val="20"/>
        </w:rPr>
        <w:tab/>
      </w:r>
      <w:r>
        <w:rPr>
          <w:rFonts w:cs="Arial"/>
        </w:rPr>
        <w:t>Het eerste lid is niet van toepassing op een opslagtank die dubbelwandig is uitgevoerd met een systeem voor lekdetectie dat voldoet aan BRL K910 en dat ten minste eenmaal per jaar wordt beoordeeld en goedgekeurd overeenkomstig BRL K903, door een bedrijf dat op grond van die BRL daartoe is gecertificeerd.</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De vulpunten en aftappunten van een opslagtank met vloeibare bodembedreigende stoffen zijn geplaatst boven of in een voorziening die zich rondom of onder de opgeslagen stoffen bevindt en die de bij normale bedrijfsvoering gemorste of wegspattende vloeistoffen kan op vangen.</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De voorzieningen, bedoeld in het eerste en derde lid, zijn zodanig uitgevoerd dat:</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gemorste of gelekte vloeibare bodembedreigende stoffen effectief worden opgevangen en kunnen worden opgeruimd;</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er geen hemelwater op of in terecht kan komen, tenzij het hemelwater regelmatig van of uit de voorziening wordt verwijderd.</w:t>
      </w:r>
    </w:p>
    <w:p w:rsidR="00624A65" w:rsidRDefault="00624A65" w:rsidP="00624A65">
      <w:pPr>
        <w:pStyle w:val="art1enivo"/>
        <w:shd w:val="clear" w:color="auto" w:fill="D9D9D9" w:themeFill="background1" w:themeFillShade="D9"/>
        <w:suppressAutoHyphens/>
        <w:rPr>
          <w:rFonts w:cs="Arial"/>
        </w:rPr>
      </w:pPr>
      <w:r>
        <w:rPr>
          <w:rFonts w:cs="Arial"/>
        </w:rPr>
        <w:t>5.</w:t>
      </w:r>
      <w:r>
        <w:rPr>
          <w:rFonts w:cs="Arial"/>
        </w:rPr>
        <w:tab/>
        <w:t>De voorzieningen, bedoeld in het eerste en derde lid, zijn bestand tegen de inwerking van de desbetreffende vloeibare bodembedreigende stoffen en de condities waaronder deze stoffen worden gebruikt of opgeslagen.</w:t>
      </w:r>
    </w:p>
    <w:p w:rsidR="00624A65" w:rsidRDefault="00624A65" w:rsidP="00624A65">
      <w:pPr>
        <w:pStyle w:val="art1enivo"/>
        <w:shd w:val="clear" w:color="auto" w:fill="D9D9D9" w:themeFill="background1" w:themeFillShade="D9"/>
        <w:suppressAutoHyphens/>
        <w:rPr>
          <w:rFonts w:cs="Arial"/>
          <w:szCs w:val="20"/>
        </w:rPr>
      </w:pPr>
      <w:r>
        <w:rPr>
          <w:rFonts w:cs="Arial"/>
        </w:rPr>
        <w:t>6.</w:t>
      </w:r>
      <w:r>
        <w:rPr>
          <w:rFonts w:cs="Arial"/>
        </w:rPr>
        <w:tab/>
        <w:t xml:space="preserve">De voorziening, bedoeld in het eerste lid, heeft een opvangcapaciteit van </w:t>
      </w:r>
      <w:r>
        <w:rPr>
          <w:rFonts w:cs="Arial"/>
          <w:szCs w:val="20"/>
        </w:rPr>
        <w:t>ten minste 10% van de inhoud van alle opgeslagen stoffen.</w:t>
      </w:r>
    </w:p>
    <w:p w:rsidR="00624A65" w:rsidRDefault="00624A65" w:rsidP="00624A65">
      <w:pPr>
        <w:pStyle w:val="art1enivo"/>
        <w:shd w:val="clear" w:color="auto" w:fill="D9D9D9" w:themeFill="background1" w:themeFillShade="D9"/>
        <w:suppressAutoHyphens/>
        <w:rPr>
          <w:rFonts w:cs="Arial"/>
        </w:rPr>
      </w:pPr>
      <w:r>
        <w:rPr>
          <w:rFonts w:cs="Arial"/>
        </w:rPr>
        <w:t>7.</w:t>
      </w:r>
      <w:r>
        <w:rPr>
          <w:rFonts w:cs="Arial"/>
        </w:rPr>
        <w:tab/>
        <w:t>De opslagtank is voorzien van een overvulbeveiliging.</w:t>
      </w:r>
    </w:p>
    <w:p w:rsidR="00624A65" w:rsidRDefault="00624A65" w:rsidP="00624A65">
      <w:pPr>
        <w:pStyle w:val="artikelkop"/>
        <w:shd w:val="clear" w:color="auto" w:fill="D9D9D9" w:themeFill="background1" w:themeFillShade="D9"/>
      </w:pPr>
      <w:r>
        <w:t>Artikel 4.19</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De artikelen 4.15, 4.16 en 4.18 zijn niet van toepassing op een bovengrondse opslagtank met vloeibare gevaarlijke stoffen of vloeibare bodembedreigende stoffen die niet op de vloer staat.</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Aan de in het eerste lid bedoelde bovengrondse opslagtanks die niet op de vloer staan, kan het bevoegd gezag maatwerkvoorschriften stellen ten behoeve van het voorkomen van risico's voor de omgeving en ongewone voorvallen, dan wel voor zover dat niet mogelijk is het zoveel mogelijk beperken van de risico's voor de omgeving en de kans dat ongewone voorvallen zich voordoen en de gevolgen hiervan, aan de plaats, de constructie, de keuring, de bodem- en veiligheidsvoorzieningen van de opslagtank.</w:t>
      </w:r>
    </w:p>
    <w:p w:rsidR="00624A65" w:rsidRDefault="00624A65" w:rsidP="00624A65">
      <w:pPr>
        <w:pStyle w:val="artikelkop"/>
        <w:shd w:val="clear" w:color="auto" w:fill="D9D9D9" w:themeFill="background1" w:themeFillShade="D9"/>
      </w:pPr>
      <w:r>
        <w:t xml:space="preserve">Artikel 4.19a </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De artikelen 4.13 tot en met 4.19 zijn niet van toepassing op het opslaan van vloeibare kunstmeststoffen in een bovengrondse opslagtank, dat plaatsvindt voor agrarische activiteiten.</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Het opslaan van vloeibare kunstmeststoffen in een bovengrondse opslagtank dat plaatsvindt voor agrarische activiteiten voldoet aan artikel 4.19b.</w:t>
      </w:r>
    </w:p>
    <w:p w:rsidR="00624A65" w:rsidRDefault="00624A65" w:rsidP="00624A65">
      <w:pPr>
        <w:pStyle w:val="artikelkop"/>
        <w:shd w:val="clear" w:color="auto" w:fill="D9D9D9" w:themeFill="background1" w:themeFillShade="D9"/>
      </w:pPr>
      <w:r>
        <w:t xml:space="preserve">Artikel 4.19b </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Een opslagtank voor vloeibare kunstmeststoffen als bedoeld in artikel 4.19a, tweede lid, is:</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van een voldoende stijfheid en sterkte om het gewicht van de opgeslagen vloeistof te dragen en om schadelijke vervorming als gevolg van overdruk bij vulling of overvulling te voorkomen;</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vloeistofdicht;</w:t>
      </w:r>
    </w:p>
    <w:p w:rsidR="00624A65" w:rsidRDefault="00624A65" w:rsidP="00624A65">
      <w:pPr>
        <w:pStyle w:val="art2enivo"/>
        <w:shd w:val="clear" w:color="auto" w:fill="D9D9D9" w:themeFill="background1" w:themeFillShade="D9"/>
        <w:suppressAutoHyphens/>
        <w:rPr>
          <w:rFonts w:cs="Arial"/>
        </w:rPr>
      </w:pPr>
      <w:r>
        <w:rPr>
          <w:rFonts w:cs="Arial"/>
        </w:rPr>
        <w:t>c.</w:t>
      </w:r>
      <w:r>
        <w:rPr>
          <w:rFonts w:cs="Arial"/>
        </w:rPr>
        <w:tab/>
        <w:t>voorzien van een ondersteunende constructie van onbrandbaar materiaal en van een doelmatige fundering op plaatsen waar een kans op verzakking bestaat;</w:t>
      </w:r>
    </w:p>
    <w:p w:rsidR="00624A65" w:rsidRDefault="00624A65" w:rsidP="00624A65">
      <w:pPr>
        <w:pStyle w:val="art2enivo"/>
        <w:shd w:val="clear" w:color="auto" w:fill="D9D9D9" w:themeFill="background1" w:themeFillShade="D9"/>
        <w:suppressAutoHyphens/>
        <w:rPr>
          <w:rFonts w:cs="Arial"/>
        </w:rPr>
      </w:pPr>
      <w:r>
        <w:rPr>
          <w:rFonts w:cs="Arial"/>
        </w:rPr>
        <w:t>d.</w:t>
      </w:r>
      <w:r>
        <w:rPr>
          <w:rFonts w:cs="Arial"/>
        </w:rPr>
        <w:tab/>
        <w:t>voor zover het het opslaan van zure kunstmeststoffen betreft, voorzien van een ontluchtingsleiding die uitmondt in de buitenlucht en die een open verbinding van de tank met de buitenlucht verzekert en niet in verbinding staat met een ontluchtingsleiding van een tank voor het opslaan van basische kunstmeststoffen;</w:t>
      </w:r>
    </w:p>
    <w:p w:rsidR="00624A65" w:rsidRDefault="00624A65" w:rsidP="00624A65">
      <w:pPr>
        <w:pStyle w:val="art2enivo"/>
        <w:shd w:val="clear" w:color="auto" w:fill="D9D9D9" w:themeFill="background1" w:themeFillShade="D9"/>
        <w:suppressAutoHyphens/>
        <w:rPr>
          <w:rFonts w:cs="Arial"/>
        </w:rPr>
      </w:pPr>
      <w:r>
        <w:rPr>
          <w:rFonts w:cs="Arial"/>
        </w:rPr>
        <w:t>e.</w:t>
      </w:r>
      <w:r>
        <w:rPr>
          <w:rFonts w:cs="Arial"/>
        </w:rPr>
        <w:tab/>
        <w:t>voor zover een niveau-aanwijzing of peilinrichting is aangebracht: zodanig ingericht dat het uitstromen van vloeistof uit de tank onmogelijk is;</w:t>
      </w:r>
    </w:p>
    <w:p w:rsidR="00624A65" w:rsidRDefault="00624A65" w:rsidP="00624A65">
      <w:pPr>
        <w:pStyle w:val="art2enivo"/>
        <w:shd w:val="clear" w:color="auto" w:fill="D9D9D9" w:themeFill="background1" w:themeFillShade="D9"/>
        <w:suppressAutoHyphens/>
        <w:rPr>
          <w:rFonts w:cs="Arial"/>
        </w:rPr>
      </w:pPr>
      <w:r>
        <w:rPr>
          <w:rFonts w:cs="Arial"/>
        </w:rPr>
        <w:t>f.</w:t>
      </w:r>
      <w:r>
        <w:rPr>
          <w:rFonts w:cs="Arial"/>
        </w:rPr>
        <w:tab/>
        <w:t>in elke aansluiting op een tank beneden het hoogste vloeistofniveau en in de toevoerleiding naar het verbruikstoestel, zo dicht mogelijk bij de tankwand, voorzien van een afsluiter, die zodanig is uitgevoerd dat duidelijk zichtbaar is of die geopend of gesloten is;</w:t>
      </w:r>
    </w:p>
    <w:p w:rsidR="00624A65" w:rsidRDefault="00624A65" w:rsidP="00624A65">
      <w:pPr>
        <w:pStyle w:val="art2enivo"/>
        <w:shd w:val="clear" w:color="auto" w:fill="D9D9D9" w:themeFill="background1" w:themeFillShade="D9"/>
        <w:suppressAutoHyphens/>
        <w:rPr>
          <w:rFonts w:cs="Arial"/>
        </w:rPr>
      </w:pPr>
      <w:r>
        <w:rPr>
          <w:rFonts w:cs="Arial"/>
        </w:rPr>
        <w:t>g.</w:t>
      </w:r>
      <w:r>
        <w:rPr>
          <w:rFonts w:cs="Arial"/>
        </w:rPr>
        <w:tab/>
        <w:t>voorzien van een overstortleiding met een diameter van vijftig millimeter, die uitmondt op vijf centimeter boven de bodem van de vloer of voorziening, bedoeld in onderdeel h;</w:t>
      </w:r>
    </w:p>
    <w:p w:rsidR="00624A65" w:rsidRDefault="00624A65" w:rsidP="00624A65">
      <w:pPr>
        <w:pStyle w:val="art2enivo"/>
        <w:shd w:val="clear" w:color="auto" w:fill="D9D9D9" w:themeFill="background1" w:themeFillShade="D9"/>
        <w:suppressAutoHyphens/>
        <w:rPr>
          <w:rFonts w:cs="Arial"/>
        </w:rPr>
      </w:pPr>
      <w:r>
        <w:rPr>
          <w:rFonts w:cs="Arial"/>
        </w:rPr>
        <w:t>h.</w:t>
      </w:r>
      <w:r>
        <w:rPr>
          <w:rFonts w:cs="Arial"/>
        </w:rPr>
        <w:tab/>
        <w:t>geplaatst boven een ten minste vloeistofkerende vloer of een vloeistofdichte lekbak, die voldoende sterk is om weerstand te bieden aan de als gevolg van een lekkage optredende vloeistofdruk en bestand is tegen de in de tanks opgeslagen stoffen;</w:t>
      </w:r>
    </w:p>
    <w:p w:rsidR="00624A65" w:rsidRDefault="00624A65" w:rsidP="00624A65">
      <w:pPr>
        <w:pStyle w:val="art2enivo"/>
        <w:shd w:val="clear" w:color="auto" w:fill="D9D9D9" w:themeFill="background1" w:themeFillShade="D9"/>
        <w:suppressAutoHyphens/>
        <w:rPr>
          <w:rFonts w:cs="Arial"/>
        </w:rPr>
      </w:pPr>
      <w:r>
        <w:rPr>
          <w:rFonts w:cs="Arial"/>
        </w:rPr>
        <w:t>i.</w:t>
      </w:r>
      <w:r>
        <w:rPr>
          <w:rFonts w:cs="Arial"/>
        </w:rPr>
        <w:tab/>
        <w:t>ten hoogste voor 95% gevuld;</w:t>
      </w:r>
    </w:p>
    <w:p w:rsidR="00624A65" w:rsidRDefault="00624A65" w:rsidP="00624A65">
      <w:pPr>
        <w:pStyle w:val="art2enivo"/>
        <w:shd w:val="clear" w:color="auto" w:fill="D9D9D9" w:themeFill="background1" w:themeFillShade="D9"/>
        <w:suppressAutoHyphens/>
        <w:rPr>
          <w:rFonts w:cs="Arial"/>
        </w:rPr>
      </w:pPr>
      <w:r>
        <w:rPr>
          <w:rFonts w:cs="Arial"/>
        </w:rPr>
        <w:t>j.</w:t>
      </w:r>
      <w:r>
        <w:rPr>
          <w:rFonts w:cs="Arial"/>
        </w:rPr>
        <w:tab/>
        <w:t>voorzien van duidelijk leesbare opschriften met de chemische naam en handelsnaam van het product dat in de tank is opgeslagen, de concentratie van dat product en de bijbehorende gevarensymbolen;</w:t>
      </w:r>
    </w:p>
    <w:p w:rsidR="00624A65" w:rsidRDefault="00624A65" w:rsidP="00624A65">
      <w:pPr>
        <w:pStyle w:val="art2enivo"/>
        <w:shd w:val="clear" w:color="auto" w:fill="D9D9D9" w:themeFill="background1" w:themeFillShade="D9"/>
        <w:suppressAutoHyphens/>
        <w:rPr>
          <w:rFonts w:cs="Arial"/>
        </w:rPr>
      </w:pPr>
      <w:r>
        <w:rPr>
          <w:rFonts w:cs="Arial"/>
        </w:rPr>
        <w:t>k.</w:t>
      </w:r>
      <w:r>
        <w:rPr>
          <w:rFonts w:cs="Arial"/>
        </w:rPr>
        <w:tab/>
        <w:t>voorzien van voorzieningen waardoor voorkomen wordt dat bij het vullen van een tank een verkeerde aansluiting wordt gemaakt, waardoor een ander product in de tank kan geraken dan waarvoor de tank bestemd is;</w:t>
      </w:r>
    </w:p>
    <w:p w:rsidR="00624A65" w:rsidRDefault="00624A65" w:rsidP="00624A65">
      <w:pPr>
        <w:pStyle w:val="art2enivo"/>
        <w:shd w:val="clear" w:color="auto" w:fill="D9D9D9" w:themeFill="background1" w:themeFillShade="D9"/>
        <w:suppressAutoHyphens/>
        <w:rPr>
          <w:rFonts w:cs="Arial"/>
        </w:rPr>
      </w:pPr>
      <w:r>
        <w:rPr>
          <w:rFonts w:cs="Arial"/>
        </w:rPr>
        <w:t>l.</w:t>
      </w:r>
      <w:r>
        <w:rPr>
          <w:rFonts w:cs="Arial"/>
        </w:rPr>
        <w:tab/>
        <w:t>voorzien van vulleidingen die op afschot liggen, aflopend naar de tank of die, indien dat om technische redenen niet mogelijk is, na het vullen worden doorgeblazen, die goed met een goed sluitende dop of afsluiter zijn afgesloten, behoudens tijdens het vullen van tanks, die zijn beschermd tegen mechanische beschadigingen en die voldoen aan onderdeel j, en</w:t>
      </w:r>
    </w:p>
    <w:p w:rsidR="00624A65" w:rsidRDefault="00624A65" w:rsidP="00624A65">
      <w:pPr>
        <w:pStyle w:val="art2enivo"/>
        <w:shd w:val="clear" w:color="auto" w:fill="D9D9D9" w:themeFill="background1" w:themeFillShade="D9"/>
        <w:suppressAutoHyphens/>
        <w:rPr>
          <w:rFonts w:cs="Arial"/>
        </w:rPr>
      </w:pPr>
      <w:r>
        <w:rPr>
          <w:rFonts w:cs="Arial"/>
        </w:rPr>
        <w:t>m.</w:t>
      </w:r>
      <w:r>
        <w:rPr>
          <w:rFonts w:cs="Arial"/>
        </w:rPr>
        <w:tab/>
        <w:t>voorzien van leidingen die bovengronds of in een daartoe speciaal aangelegde goot zijn gelegd.</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De vloeistofkerende vloer, bedoeld in het eerste lid, onder h, vormt samen met wanden, drempels of opstaande randen een vloeistofkerende opvangvoorziening.</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De inhoud van de opvangvoorziening, bedoeld in het tweede lid, of de lekbak, bedoeld in het eerste lid, onder h, is ten minste gelijk aan de tankinhoud, indien een tank in die voorziening is opgesteld.</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De inhoud van de opvangvoorziening of de lekbak is ten minste gelijk aan de inhoud van de grootste tank, vermeerderd met 10% van de gezamenlijke inhoud van de overige tanks, voor zover twee of meerdere tanks in die voorziening zijn opgesteld.</w:t>
      </w:r>
    </w:p>
    <w:p w:rsidR="00624A65" w:rsidRDefault="00624A65" w:rsidP="00624A65">
      <w:pPr>
        <w:pStyle w:val="art1enivo"/>
        <w:shd w:val="clear" w:color="auto" w:fill="D9D9D9" w:themeFill="background1" w:themeFillShade="D9"/>
        <w:suppressAutoHyphens/>
        <w:rPr>
          <w:rFonts w:cs="Arial"/>
        </w:rPr>
      </w:pPr>
      <w:r>
        <w:rPr>
          <w:rFonts w:cs="Arial"/>
        </w:rPr>
        <w:t>5.</w:t>
      </w:r>
      <w:r>
        <w:rPr>
          <w:rFonts w:cs="Arial"/>
        </w:rPr>
        <w:tab/>
        <w:t>Een tank voor de bewaring van een zuur is opgesteld in een andere opvangvoorziening of lekbak dan een tank voor bewaring van een basische stof.</w:t>
      </w:r>
    </w:p>
    <w:p w:rsidR="00624A65" w:rsidRDefault="00624A65" w:rsidP="00624A65">
      <w:pPr>
        <w:pStyle w:val="art1enivo"/>
        <w:shd w:val="clear" w:color="auto" w:fill="D9D9D9" w:themeFill="background1" w:themeFillShade="D9"/>
        <w:suppressAutoHyphens/>
        <w:rPr>
          <w:rFonts w:cs="Arial"/>
        </w:rPr>
      </w:pPr>
      <w:r>
        <w:rPr>
          <w:rFonts w:cs="Arial"/>
        </w:rPr>
        <w:t>6.</w:t>
      </w:r>
      <w:r>
        <w:rPr>
          <w:rFonts w:cs="Arial"/>
        </w:rPr>
        <w:tab/>
        <w:t>Bij dosering van kunstmeststoffen in doseervaten, wordt eerst voorgedoseerd met water, voordat de kunstmeststoffen worden toegevoegd.</w:t>
      </w:r>
    </w:p>
    <w:p w:rsidR="00624A65" w:rsidRDefault="00624A65" w:rsidP="00624A65">
      <w:pPr>
        <w:pStyle w:val="paragraaf"/>
        <w:shd w:val="clear" w:color="auto" w:fill="D9D9D9" w:themeFill="background1" w:themeFillShade="D9"/>
      </w:pPr>
      <w:bookmarkStart w:id="187" w:name="_Toc431375675"/>
      <w:r>
        <w:t>§ 4.1.3.2.</w:t>
      </w:r>
      <w:r>
        <w:tab/>
        <w:t>Opslaan van zuurstof, koolzuur, lucht, argon, helium of stikstof in een bovengrondse stationaire opslagtank</w:t>
      </w:r>
      <w:bookmarkEnd w:id="187"/>
    </w:p>
    <w:p w:rsidR="00624A65" w:rsidRDefault="00624A65" w:rsidP="00624A65">
      <w:pPr>
        <w:pStyle w:val="artikelkop"/>
        <w:shd w:val="clear" w:color="auto" w:fill="D9D9D9" w:themeFill="background1" w:themeFillShade="D9"/>
      </w:pPr>
      <w:r>
        <w:t>Artikel 4.20</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wordt bij het opslaan van zuurstof, koolzuur, lucht, argon, helium of stikstof in een bovengrondse stationaire opslagtank een buiten gebruik gestelde stationaire opslagtank druk- en gasvrij gemaakt door een deskundig persoon. Een bewijs van een druk- en gasvrij gemaakte opslagtank wordt aan het bevoegd gezag overlegd.</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Bij het vullen van een opslagtank wordt de maximale vullingsgraad niet overschreden. De maximale vullingsgraad is 90% tenzij op of bij de opslagtank een andere maximale vullingsgraad is aangegeven.</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Met betrekking tot de opstelplaats van een bovengrondse stationaire opslagtank met koolzuur, lucht, argon, helium of stikstof worden ten opzichte van de erfscheiding de volgende afstanden in acht genomen:</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bij een opslagtank tot en met 10 kubieke meter: 1 meter;</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bij een opslagtank van meer dan 10 kubieke meter: 3 meter.</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Een bovengrondse stationaire opslagtank met koolzuur, lucht, argon, helium of stikstof wordt geplaatst op een ondergrond die uit onbrandbaar materiaal bestaat. Op plaatsen waar kans op verzakking bestaat, is een doelmatige fundering aangebracht. Een eventueel aangebrachte fundering of draagconstructie is vervaardigd uit materiaal dat een brand niet onderhoudt.</w:t>
      </w:r>
    </w:p>
    <w:p w:rsidR="00624A65" w:rsidRDefault="00624A65" w:rsidP="00624A65">
      <w:pPr>
        <w:pStyle w:val="art1enivo"/>
        <w:shd w:val="clear" w:color="auto" w:fill="D9D9D9" w:themeFill="background1" w:themeFillShade="D9"/>
        <w:suppressAutoHyphens/>
        <w:rPr>
          <w:rFonts w:cs="Arial"/>
        </w:rPr>
      </w:pPr>
      <w:r>
        <w:rPr>
          <w:rFonts w:cs="Arial"/>
        </w:rPr>
        <w:t>5.</w:t>
      </w:r>
      <w:r>
        <w:rPr>
          <w:rFonts w:cs="Arial"/>
        </w:rPr>
        <w:tab/>
        <w:t>Een bovengrondse stationaire opslagtank met koolzuur, lucht, argon, helium of stikstof, de leidingen en het vulpunt zijn doelmatig tegen aanrijding beschermd.</w:t>
      </w:r>
    </w:p>
    <w:p w:rsidR="00624A65" w:rsidRDefault="00624A65" w:rsidP="00624A65">
      <w:pPr>
        <w:pStyle w:val="art1enivo"/>
        <w:shd w:val="clear" w:color="auto" w:fill="D9D9D9" w:themeFill="background1" w:themeFillShade="D9"/>
        <w:suppressAutoHyphens/>
        <w:rPr>
          <w:rFonts w:cs="Arial"/>
        </w:rPr>
      </w:pPr>
      <w:r>
        <w:rPr>
          <w:rFonts w:cs="Arial"/>
        </w:rPr>
        <w:t>6.</w:t>
      </w:r>
      <w:r>
        <w:rPr>
          <w:rFonts w:cs="Arial"/>
        </w:rPr>
        <w:tab/>
        <w:t>Een bovengrondse stationaire opslagtank met koolzuur, lucht, argon, helium of stikstof, de leidingen en het vulpunt zijn ontoegankelijk opgesteld voor onbevoegden.</w:t>
      </w:r>
    </w:p>
    <w:p w:rsidR="00624A65" w:rsidRDefault="00624A65" w:rsidP="00624A65">
      <w:pPr>
        <w:pStyle w:val="art1enivo"/>
        <w:shd w:val="clear" w:color="auto" w:fill="D9D9D9" w:themeFill="background1" w:themeFillShade="D9"/>
        <w:suppressAutoHyphens/>
        <w:rPr>
          <w:rFonts w:cs="Arial"/>
        </w:rPr>
      </w:pPr>
      <w:r>
        <w:rPr>
          <w:rFonts w:cs="Arial"/>
        </w:rPr>
        <w:t>7.</w:t>
      </w:r>
      <w:r>
        <w:rPr>
          <w:rFonts w:cs="Arial"/>
        </w:rPr>
        <w:tab/>
        <w:t>De opstelling van de bovengrondse stationaire opslagtank met zuurstof voldoet aan hoofdstuk 4 van de PGS 9, met uitzondering van voorschrift 4.3.4.2.</w:t>
      </w:r>
    </w:p>
    <w:p w:rsidR="00624A65" w:rsidRDefault="00624A65" w:rsidP="00624A65">
      <w:pPr>
        <w:pStyle w:val="art1enivo"/>
        <w:shd w:val="clear" w:color="auto" w:fill="D9D9D9" w:themeFill="background1" w:themeFillShade="D9"/>
        <w:suppressAutoHyphens/>
        <w:rPr>
          <w:rFonts w:cs="Arial"/>
        </w:rPr>
      </w:pPr>
      <w:r>
        <w:rPr>
          <w:rFonts w:cs="Arial"/>
        </w:rPr>
        <w:t>8.</w:t>
      </w:r>
      <w:r>
        <w:rPr>
          <w:rFonts w:cs="Arial"/>
        </w:rPr>
        <w:tab/>
        <w:t>Het eerste tot en met zevende lid zijn niet van toepassing op stationaire opslagtanks met een inhoud van maximaal 300 liter.</w:t>
      </w:r>
    </w:p>
    <w:p w:rsidR="00624A65" w:rsidRDefault="00624A65" w:rsidP="00624A65">
      <w:pPr>
        <w:pStyle w:val="art1enivo"/>
        <w:shd w:val="clear" w:color="auto" w:fill="D9D9D9" w:themeFill="background1" w:themeFillShade="D9"/>
        <w:suppressAutoHyphens/>
        <w:rPr>
          <w:rFonts w:cs="Arial"/>
        </w:rPr>
      </w:pPr>
      <w:r>
        <w:rPr>
          <w:rFonts w:cs="Arial"/>
        </w:rPr>
        <w:t>9.</w:t>
      </w:r>
      <w:r>
        <w:rPr>
          <w:rFonts w:cs="Arial"/>
        </w:rPr>
        <w:tab/>
        <w:t>In afwijking van het derde lid, onder b, kan het bevoegd gezag voor een bovengrondse stationaire opslagtank met koolzuur, lucht, argon, helium of stikstof van meer dan 10 kubieke meter bij maatwerkvoorschrift een kleinere afstand ten opzichte van de erfscheiding voorschrijven.</w:t>
      </w:r>
    </w:p>
    <w:p w:rsidR="00624A65" w:rsidRDefault="00624A65" w:rsidP="00624A65">
      <w:pPr>
        <w:pStyle w:val="paragraaf"/>
        <w:shd w:val="clear" w:color="auto" w:fill="D9D9D9" w:themeFill="background1" w:themeFillShade="D9"/>
      </w:pPr>
      <w:bookmarkStart w:id="188" w:name="_Toc431375676"/>
      <w:r>
        <w:t>§ 4.1.3.3.</w:t>
      </w:r>
      <w:r>
        <w:tab/>
        <w:t>Opslaan van propeen</w:t>
      </w:r>
      <w:bookmarkEnd w:id="188"/>
    </w:p>
    <w:p w:rsidR="00624A65" w:rsidRDefault="00624A65" w:rsidP="00624A65">
      <w:pPr>
        <w:pStyle w:val="artikelkop"/>
        <w:shd w:val="clear" w:color="auto" w:fill="D9D9D9" w:themeFill="background1" w:themeFillShade="D9"/>
      </w:pPr>
      <w:r>
        <w:t>Artikel 4.20a</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voldoet de opslag van propeen aan het tweede tot en met het zevende lid.</w:t>
      </w:r>
    </w:p>
    <w:p w:rsidR="00624A65" w:rsidRDefault="00624A65" w:rsidP="00624A65">
      <w:pPr>
        <w:pStyle w:val="art1enivo"/>
        <w:shd w:val="clear" w:color="auto" w:fill="D9D9D9" w:themeFill="background1" w:themeFillShade="D9"/>
        <w:suppressAutoHyphens/>
        <w:rPr>
          <w:rFonts w:cs="Arial"/>
        </w:rPr>
      </w:pPr>
      <w:r>
        <w:rPr>
          <w:rFonts w:cs="Arial"/>
        </w:rPr>
        <w:t xml:space="preserve">2. </w:t>
      </w:r>
      <w:r>
        <w:rPr>
          <w:rFonts w:cs="Arial"/>
        </w:rPr>
        <w:tab/>
        <w:t>Een opslagtank met propeen is, voor zover van toepassing, in overeenstemming met het Warenwetbesluit drukapparatuur en voldoet aan de hoofdstukken 2 en 4, met uitzondering van de paragrafen 4.3 en 4.4 en aan de hoofdstukken 5 en 6 van PGS 19, met dien verstande dat een brandmuur niet is toegestaan.</w:t>
      </w:r>
    </w:p>
    <w:p w:rsidR="00624A65" w:rsidRDefault="00624A65" w:rsidP="00624A65">
      <w:pPr>
        <w:pStyle w:val="art1enivo"/>
        <w:shd w:val="clear" w:color="auto" w:fill="D9D9D9" w:themeFill="background1" w:themeFillShade="D9"/>
        <w:suppressAutoHyphens/>
        <w:rPr>
          <w:rFonts w:cs="Arial"/>
        </w:rPr>
      </w:pPr>
      <w:r>
        <w:rPr>
          <w:rFonts w:cs="Arial"/>
        </w:rPr>
        <w:t xml:space="preserve">3. </w:t>
      </w:r>
      <w:r>
        <w:rPr>
          <w:rFonts w:cs="Arial"/>
        </w:rPr>
        <w:tab/>
        <w:t>Het bevoegd gezag kan bij maatwerkvoorschrift bepalen dat een brandmuur is toegestaan indien redelijkerwijs niet kan worden voldaan aan de interne veiligheidsafstanden uit de PGS 19. De brandmuur voldoet aan de paragrafen 4.2.4 tot en met 4.2.7 en de voorschriften 4.8.5, 4.8.7 van de PGS 19.</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Een opslagtank met propeen met toebehoren, leidingen en andere installatieonderdelen wordt gekeurd, herkeurd en onderhouden overeenkomstig NEN-EN 12817 en NPR 2578.</w:t>
      </w:r>
    </w:p>
    <w:p w:rsidR="00624A65" w:rsidRDefault="00624A65" w:rsidP="00624A65">
      <w:pPr>
        <w:pStyle w:val="art1enivo"/>
        <w:shd w:val="clear" w:color="auto" w:fill="D9D9D9" w:themeFill="background1" w:themeFillShade="D9"/>
        <w:suppressAutoHyphens/>
        <w:rPr>
          <w:rFonts w:cs="Arial"/>
        </w:rPr>
      </w:pPr>
      <w:r>
        <w:rPr>
          <w:rFonts w:cs="Arial"/>
        </w:rPr>
        <w:t>5.</w:t>
      </w:r>
      <w:r>
        <w:rPr>
          <w:rFonts w:cs="Arial"/>
        </w:rPr>
        <w:tab/>
        <w:t>Van de bevindingen van de keuringen en herkeuringen, bedoeld in het derde lid, zijn binnen de inrichting gedagtekende verklaringen aanwezig of op een door het bevoegd gezag te stellen termijn beschikbaar gesteld, die zijn afgegeven door of namens degene die de keuringen of herkeuringen heeft uitgevoerd. Deze verklaringen zijn, evenals alle relevante informatie voor een juist gebruik van de installatie en rapportages van uitgevoerd onderhoud en uitgevoerde werkzaamheden, opgenomen of samengevat in een installatieboek.</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 xml:space="preserve">In afwijking van het tweede lid is voor een opslagtank met propeen die is geïnstalleerd voor </w:t>
      </w:r>
      <w:r w:rsidR="004F562B">
        <w:rPr>
          <w:rFonts w:eastAsiaTheme="minorEastAsia"/>
          <w:lang w:eastAsia="nl-NL"/>
        </w:rPr>
        <w:t>1 januari 2016</w:t>
      </w:r>
      <w:r>
        <w:rPr>
          <w:rFonts w:eastAsiaTheme="minorEastAsia"/>
          <w:lang w:eastAsia="nl-NL"/>
        </w:rPr>
        <w:t xml:space="preserve"> de interne veiligheidsafstand die gold tot die datum van toepassing indien die afstand kleiner is dan de afstand die volgt uit de PGS 19.</w:t>
      </w:r>
    </w:p>
    <w:p w:rsidR="00624A65" w:rsidRDefault="00624A65" w:rsidP="00932046">
      <w:pPr>
        <w:shd w:val="clear" w:color="auto" w:fill="D9D9D9" w:themeFill="background1" w:themeFillShade="D9"/>
        <w:ind w:left="425" w:hanging="425"/>
      </w:pPr>
      <w:r>
        <w:rPr>
          <w:rFonts w:eastAsiaTheme="minorEastAsia"/>
          <w:lang w:eastAsia="nl-NL"/>
        </w:rPr>
        <w:t>7.</w:t>
      </w:r>
      <w:r>
        <w:rPr>
          <w:rFonts w:eastAsiaTheme="minorEastAsia"/>
          <w:lang w:eastAsia="nl-NL"/>
        </w:rPr>
        <w:tab/>
        <w:t xml:space="preserve">In afwijking van het tweede en derde lid mag de afstand worden verkleind tot 3 meter voor opslagtanks die zijn geïnstalleerd voor </w:t>
      </w:r>
      <w:r w:rsidR="004F562B">
        <w:rPr>
          <w:rFonts w:eastAsiaTheme="minorEastAsia"/>
          <w:lang w:eastAsia="nl-NL"/>
        </w:rPr>
        <w:t>1 januari 2016,</w:t>
      </w:r>
      <w:r>
        <w:rPr>
          <w:rFonts w:eastAsiaTheme="minorEastAsia"/>
          <w:lang w:eastAsia="nl-NL"/>
        </w:rPr>
        <w:t xml:space="preserve"> als er een brandmuur is geplaatst conform CPR 11-2 voorschrift 8.1.5 of als voor die datum met een berekening is aangetoond dat de warmtestraling op de opslagtank ten hoogste 10 kW per vierkante meter bedraagt.</w:t>
      </w:r>
    </w:p>
    <w:p w:rsidR="00624A65" w:rsidRPr="00620047" w:rsidRDefault="00624A65">
      <w:pPr>
        <w:rPr>
          <w:rFonts w:cs="Arial"/>
        </w:rPr>
      </w:pPr>
    </w:p>
    <w:p w:rsidR="00296032" w:rsidRPr="00296032" w:rsidRDefault="00296032">
      <w:pPr>
        <w:pStyle w:val="paragraaf"/>
        <w:rPr>
          <w:rFonts w:cs="Arial"/>
        </w:rPr>
      </w:pPr>
      <w:bookmarkStart w:id="189" w:name="_Toc277243213"/>
      <w:bookmarkStart w:id="190" w:name="_Toc431375677"/>
      <w:r w:rsidRPr="00296032">
        <w:rPr>
          <w:rFonts w:cs="Arial"/>
        </w:rPr>
        <w:t>§ 4.1.4</w:t>
      </w:r>
      <w:r w:rsidRPr="00296032">
        <w:rPr>
          <w:rFonts w:cs="Arial"/>
        </w:rPr>
        <w:tab/>
        <w:t>Parkeren van vervoerseenheden met gevaarlijke stoffen</w:t>
      </w:r>
      <w:bookmarkEnd w:id="189"/>
      <w:bookmarkEnd w:id="190"/>
    </w:p>
    <w:p w:rsidR="00296032" w:rsidRPr="00296032" w:rsidRDefault="00296032">
      <w:pPr>
        <w:pStyle w:val="artikelkop"/>
      </w:pPr>
      <w:r w:rsidRPr="00296032">
        <w:t>Artikel 4.6a</w:t>
      </w:r>
    </w:p>
    <w:p w:rsidR="00296032" w:rsidRPr="00620047" w:rsidRDefault="00296032">
      <w:pPr>
        <w:pStyle w:val="artplat"/>
      </w:pPr>
      <w:r w:rsidRPr="00620047">
        <w:t>Deze paragraaf is van toepassing op het parkeren van vervoerseenheden met stoffen of voorwerpen, waarvan het vervoer volgens het ADR is verboden of slechts onder daarin opgenomen voorwaarden is toegestaan, dan wel stoffen, materialen en voorwerpen aangeduid in de International Maritime Dangerous Goods Code.</w:t>
      </w:r>
    </w:p>
    <w:p w:rsidR="00296032" w:rsidRPr="00296032" w:rsidRDefault="00296032">
      <w:pPr>
        <w:pStyle w:val="artikelkop"/>
        <w:rPr>
          <w:rFonts w:cs="Arial"/>
        </w:rPr>
      </w:pPr>
      <w:r w:rsidRPr="00296032">
        <w:rPr>
          <w:rFonts w:cs="Arial"/>
        </w:rPr>
        <w:t>Artikel 4.7</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 afstand tussen een geparkeerde vervoerseenheid met gevaarlijke stoffen en een woning van derden bedraagt ten minste 20 meter. Deze afstand wordt gemeten vanaf de rand van de vervoerseenheid tot de gevel van de woning.</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 een geparkeerde vervoerseenheid met gevaarlijke stoffen zijn gevaarlijke stoffen van verpakkingsgroep I en gevaarlijke stoffen van de klasse ADR 1 of 6.2, met uitzondering van categorie I3 en I4 niet aanwezig.</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eerste en het tweede lid zijn niet van toepassing op het opstellen van vervoerseenheden met gevaarlijke stoffen in verband met aanmelden of andere formaliteiten, of op het opstellen van vervoerseenheden met gevaarlijke stoffen voor het verrichten van laad- of loshandelingen.</w:t>
      </w:r>
    </w:p>
    <w:p w:rsidR="00296032" w:rsidRDefault="00296032">
      <w:pPr>
        <w:pStyle w:val="art1enivo"/>
        <w:rPr>
          <w:rFonts w:cs="Arial"/>
        </w:rPr>
      </w:pPr>
      <w:r w:rsidRPr="00620047">
        <w:rPr>
          <w:rFonts w:cs="Arial"/>
          <w:bCs/>
        </w:rPr>
        <w:t>4.</w:t>
      </w:r>
      <w:r w:rsidRPr="00620047">
        <w:rPr>
          <w:rFonts w:cs="Arial"/>
          <w:bCs/>
        </w:rPr>
        <w:tab/>
      </w:r>
      <w:r w:rsidRPr="00620047">
        <w:rPr>
          <w:rFonts w:cs="Arial"/>
        </w:rPr>
        <w:t>Met betrekking tot het parkeren van vervoerseenheden met gevaarlijke stoffen wordt ten behoeve van het voorkomen van risico's voor de omgeving en ongewone voorvallen, dan wel voor zover dat niet mogelijk is het zoveel mogelijk beperken van de risico's voor de omgeving en de kans dat ongewone voorvallen zich voordoen en de gevolgen hiervan, ten minste voldaan aan de bij ministeriële regeling te stellen eisen</w:t>
      </w:r>
    </w:p>
    <w:p w:rsidR="00624A65" w:rsidRDefault="00624A65" w:rsidP="00624A65"/>
    <w:p w:rsidR="00624A65" w:rsidRDefault="00624A65" w:rsidP="00624A65">
      <w:pPr>
        <w:pStyle w:val="paragraaf"/>
        <w:shd w:val="clear" w:color="auto" w:fill="D9D9D9" w:themeFill="background1" w:themeFillShade="D9"/>
      </w:pPr>
      <w:bookmarkStart w:id="191" w:name="_Toc431375678"/>
      <w:r>
        <w:t>§ 4.1.4.</w:t>
      </w:r>
      <w:r>
        <w:tab/>
        <w:t>Parkeren van vervoerseenheden met gevaarlijke stoffen</w:t>
      </w:r>
      <w:bookmarkEnd w:id="191"/>
    </w:p>
    <w:p w:rsidR="00624A65" w:rsidRDefault="00624A65" w:rsidP="00624A65">
      <w:pPr>
        <w:pStyle w:val="artikelkop"/>
        <w:shd w:val="clear" w:color="auto" w:fill="D9D9D9" w:themeFill="background1" w:themeFillShade="D9"/>
      </w:pPr>
      <w:r>
        <w:t>Artikel 4.21</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zijn bij het parkeren van vervoerseenheden met gevaarlijke stoffen ten minste de binnen de inrichting geparkeerde vervoerseenheden met gevaarlijke stoffen niet toegankelijk voor onbevoegden.</w:t>
      </w:r>
    </w:p>
    <w:p w:rsidR="00624A65" w:rsidRP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Het eerste lid is niet van toepassing op het opstellen van vervoerseenheden met gevaarlijke stoffen in verband met aanmelden of andere formaliteiten, of op het opstellen van vervoerseenheden met gevaarlijke stoffen voor het verrichten van laad- of loshandelingen.</w:t>
      </w:r>
    </w:p>
    <w:p w:rsidR="00296032" w:rsidRPr="00296032" w:rsidRDefault="00296032">
      <w:pPr>
        <w:pStyle w:val="paragraaf"/>
      </w:pPr>
      <w:bookmarkStart w:id="192" w:name="_Toc431375679"/>
      <w:bookmarkStart w:id="193" w:name="_Toc277243214"/>
      <w:r w:rsidRPr="00296032">
        <w:t>§ 4.1.5.</w:t>
      </w:r>
      <w:r w:rsidRPr="00296032">
        <w:tab/>
        <w:t>Gebruik of opslag van bepaalde organische peroxiden</w:t>
      </w:r>
      <w:bookmarkEnd w:id="192"/>
    </w:p>
    <w:p w:rsidR="00296032" w:rsidRPr="00296032" w:rsidRDefault="00296032">
      <w:pPr>
        <w:pStyle w:val="artikelkop"/>
      </w:pPr>
      <w:r w:rsidRPr="00296032">
        <w:t>Artikel 4.8</w:t>
      </w:r>
    </w:p>
    <w:p w:rsidR="00296032" w:rsidRPr="00620047" w:rsidRDefault="00296032">
      <w:pPr>
        <w:pStyle w:val="artplat"/>
      </w:pPr>
      <w:r w:rsidRPr="00620047">
        <w:t>Deze paragraaf is van toepassing op het gebruik of de opslag in verpakking van stoffen van:</w:t>
      </w:r>
    </w:p>
    <w:p w:rsidR="00296032" w:rsidRPr="00620047" w:rsidRDefault="00296032">
      <w:pPr>
        <w:pStyle w:val="artplatletter"/>
      </w:pPr>
      <w:r w:rsidRPr="00620047">
        <w:t>a.</w:t>
      </w:r>
      <w:r w:rsidRPr="00620047">
        <w:tab/>
        <w:t>het opslaan van stoffen van ADR klasse 5.2 behorend tot type C, D, E of F, waarvoor volgens het ADR temperatuurbeheersing niet vereist is, in een hoeveelheid van ten hoogste 1.000 kilogram per opslagvoorziening en in LQ-verpakking;</w:t>
      </w:r>
    </w:p>
    <w:p w:rsidR="00296032" w:rsidRPr="00620047" w:rsidRDefault="00296032">
      <w:pPr>
        <w:pStyle w:val="artplatletter"/>
      </w:pPr>
      <w:r w:rsidRPr="00620047">
        <w:t>b.</w:t>
      </w:r>
      <w:r w:rsidRPr="00620047">
        <w:tab/>
        <w:t>het opslaan van stoffen van ADR klasse 5.2 behorend tot type D, E of F, voor zover de opslag plaatsvindt bij een inrichting waar rubber of kunststof wordt verwerkt en waarvoor volgens het ADR temperatuurbeheersing niet is vereist, in een hoeveelheid van ten hoogste 1.000 kilogram per opslagvoorziening en in een verpakking niet zijnde LQ, en</w:t>
      </w:r>
    </w:p>
    <w:p w:rsidR="00296032" w:rsidRPr="00620047" w:rsidRDefault="00296032">
      <w:pPr>
        <w:pStyle w:val="artplatletter"/>
      </w:pPr>
      <w:r w:rsidRPr="00620047">
        <w:t>c.</w:t>
      </w:r>
      <w:r w:rsidRPr="00620047">
        <w:tab/>
        <w:t>het gebruik van stoffen van ADR klasse 5.2 behorend tot type D, E of F, bij een inrichting waar rubber of kunststof wordt verwerkt en waarvoor volgens het ADR temperatuurbeheersing niet is vereist.</w:t>
      </w:r>
    </w:p>
    <w:p w:rsidR="00296032" w:rsidRPr="00296032" w:rsidRDefault="00296032">
      <w:pPr>
        <w:pStyle w:val="artikelkop"/>
      </w:pPr>
      <w:r w:rsidRPr="00296032">
        <w:t>Artikel 4.9</w:t>
      </w:r>
    </w:p>
    <w:p w:rsidR="00296032" w:rsidRPr="00620047" w:rsidRDefault="00296032">
      <w:pPr>
        <w:pStyle w:val="artplat"/>
      </w:pPr>
      <w:r w:rsidRPr="00620047">
        <w:t>Het gebruik of de opslag in verpakking van stoffen van ADR klasse 5.2 type C tot en met F als bedoeld in artikel 4.8 voldoet ten behoeve van:</w:t>
      </w:r>
    </w:p>
    <w:p w:rsidR="00296032" w:rsidRPr="00620047" w:rsidRDefault="00296032">
      <w:pPr>
        <w:pStyle w:val="artplatletter"/>
      </w:pPr>
      <w:r w:rsidRPr="00620047">
        <w:t>a.</w:t>
      </w:r>
      <w:r w:rsidRPr="00620047">
        <w:tab/>
        <w:t>het voorkomen van risico's voor de omgeving en ongewone voorvallen, dan wel voor zover dat niet mogelijk is het zoveel mogelijk beperken van de risico's voor de omgeving en de kans dat ongewone voorvallen zich voordoen en de gevolgen hiervan, en</w:t>
      </w:r>
    </w:p>
    <w:p w:rsidR="00296032" w:rsidRPr="00620047" w:rsidRDefault="00296032">
      <w:pPr>
        <w:pStyle w:val="artplatletter"/>
      </w:pPr>
      <w:r w:rsidRPr="00620047">
        <w:t>b.</w:t>
      </w:r>
      <w:r w:rsidRPr="00620047">
        <w:tab/>
        <w:t>het realiseren van een verwaarloosbaar bodemrisico,</w:t>
      </w:r>
    </w:p>
    <w:p w:rsidR="00296032" w:rsidRDefault="00296032">
      <w:pPr>
        <w:pStyle w:val="artplat"/>
      </w:pPr>
      <w:r w:rsidRPr="00620047">
        <w:t>aan de bij ministeriële regeling gestelde eisen.</w:t>
      </w:r>
    </w:p>
    <w:p w:rsidR="00DC4A01" w:rsidRDefault="00DC4A01">
      <w:pPr>
        <w:pStyle w:val="artplat"/>
      </w:pPr>
    </w:p>
    <w:p w:rsidR="00DC4A01" w:rsidRDefault="007A2724" w:rsidP="00DC4A01">
      <w:pPr>
        <w:pStyle w:val="artplat"/>
      </w:pPr>
      <w:r>
        <w:t xml:space="preserve">Artikel </w:t>
      </w:r>
      <w:r w:rsidR="00DC4A01">
        <w:t>4.10  [Vervallen per 01-01-2011]</w:t>
      </w:r>
    </w:p>
    <w:p w:rsidR="00DC4A01" w:rsidRDefault="00DC4A01" w:rsidP="00DC4A01">
      <w:pPr>
        <w:pStyle w:val="artplat"/>
      </w:pPr>
    </w:p>
    <w:p w:rsidR="00DC4A01" w:rsidRDefault="00DC4A01" w:rsidP="00DC4A01">
      <w:pPr>
        <w:pStyle w:val="artplat"/>
      </w:pPr>
      <w:r>
        <w:t>Artikel 4.11  [Vervallen per 01-01-2011]</w:t>
      </w:r>
    </w:p>
    <w:p w:rsidR="00DC4A01" w:rsidRDefault="00DC4A01" w:rsidP="00DC4A01">
      <w:pPr>
        <w:pStyle w:val="artplat"/>
      </w:pPr>
    </w:p>
    <w:p w:rsidR="00DC4A01" w:rsidRDefault="00DC4A01" w:rsidP="00DC4A01">
      <w:pPr>
        <w:pStyle w:val="artplat"/>
      </w:pPr>
      <w:r>
        <w:t>Artikel 4.12  [Vervallen per 01-01-2011]</w:t>
      </w:r>
    </w:p>
    <w:p w:rsidR="00DC4A01" w:rsidRDefault="00DC4A01" w:rsidP="00DC4A01">
      <w:pPr>
        <w:pStyle w:val="artplat"/>
      </w:pPr>
    </w:p>
    <w:p w:rsidR="00DC4A01" w:rsidRDefault="00DC4A01" w:rsidP="00DC4A01">
      <w:pPr>
        <w:pStyle w:val="artplat"/>
      </w:pPr>
      <w:r>
        <w:t>Artikel 4.13  [Vervallen per 01-01-2011]</w:t>
      </w:r>
    </w:p>
    <w:p w:rsidR="00DC4A01" w:rsidRDefault="00DC4A01" w:rsidP="00DC4A01">
      <w:pPr>
        <w:pStyle w:val="artplat"/>
      </w:pPr>
    </w:p>
    <w:p w:rsidR="00DC4A01" w:rsidRDefault="00DC4A01" w:rsidP="00DC4A01">
      <w:pPr>
        <w:pStyle w:val="artplat"/>
      </w:pPr>
      <w:r>
        <w:t>Artikel 4.14  [Vervallen per 01-01-2011]</w:t>
      </w:r>
    </w:p>
    <w:p w:rsidR="00DC4A01" w:rsidRDefault="00DC4A01" w:rsidP="00DC4A01">
      <w:pPr>
        <w:pStyle w:val="artplat"/>
      </w:pPr>
    </w:p>
    <w:p w:rsidR="00DC4A01" w:rsidRDefault="00DC4A01" w:rsidP="00DC4A01">
      <w:pPr>
        <w:pStyle w:val="artplat"/>
      </w:pPr>
      <w:r>
        <w:t>Artikel 4.15  [Vervallen per 01-01-2011]</w:t>
      </w:r>
    </w:p>
    <w:p w:rsidR="00DC4A01" w:rsidRDefault="00DC4A01" w:rsidP="00DC4A01">
      <w:pPr>
        <w:pStyle w:val="artplat"/>
      </w:pPr>
    </w:p>
    <w:p w:rsidR="00DC4A01" w:rsidRDefault="00DC4A01" w:rsidP="00DC4A01">
      <w:pPr>
        <w:pStyle w:val="artplat"/>
      </w:pPr>
      <w:r>
        <w:t>§ 4.1.6  [Vervallen per 01-01-2013]</w:t>
      </w:r>
    </w:p>
    <w:p w:rsidR="00624A65" w:rsidRDefault="00624A65" w:rsidP="00624A65">
      <w:pPr>
        <w:pStyle w:val="paragraaf"/>
        <w:shd w:val="clear" w:color="auto" w:fill="D9D9D9" w:themeFill="background1" w:themeFillShade="D9"/>
      </w:pPr>
      <w:bookmarkStart w:id="194" w:name="_Toc431375680"/>
      <w:r>
        <w:t>§ 4.1.5.</w:t>
      </w:r>
      <w:r>
        <w:tab/>
        <w:t>Gebruik of opslag van bepaalde organische peroxiden.</w:t>
      </w:r>
      <w:bookmarkEnd w:id="194"/>
    </w:p>
    <w:p w:rsidR="00624A65" w:rsidRDefault="00624A65" w:rsidP="00624A65">
      <w:pPr>
        <w:pStyle w:val="artikelkop"/>
        <w:shd w:val="clear" w:color="auto" w:fill="D9D9D9" w:themeFill="background1" w:themeFillShade="D9"/>
      </w:pPr>
      <w:r>
        <w:t xml:space="preserve">Artikel 4.22 </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bedoeld in artikel 4.9 van het besluit, voldoet de opslag in verpakking van stoffen van ADR klasse 5.2 type C of het gebruik of de opslag in verpakking van stoffen van ADR klasse 5.2, type D tot en met F, bedoeld in artikel 4.8 van het besluit, aan de artikelen 4.23 tot en met 4.27.</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Ten behoeve van het realiseren van een verwaarloosbaar bodemrisico als bedoeld in artikel 4.9 van het besluit, voldoet de opslag in verpakking van stoffen van ADR klasse 5.2 type C of het gebruik of de opslag in verpakking van stoffen van ADR klasse 5.2 type D tot en met F als bedoeld in artikel 4.8 van het besluit, aan de artikelen 4.23, 4.26 en 4.27.</w:t>
      </w:r>
    </w:p>
    <w:p w:rsidR="00624A65" w:rsidRDefault="00624A65" w:rsidP="00624A65">
      <w:pPr>
        <w:pStyle w:val="artikelkop"/>
        <w:shd w:val="clear" w:color="auto" w:fill="D9D9D9" w:themeFill="background1" w:themeFillShade="D9"/>
      </w:pPr>
      <w:r>
        <w:t xml:space="preserve">Artikel 4.23 </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Opslag van stoffen van ADR klasse 5.2 type D tot en met F in verpakking voldoet in elk geval aan de voorschriften van de hoofdstukken 4, 7 en 10 en de voorschriften 8.1.3 tot en met 8.1.7, 8.1.9 tot en met 8.1.19 en 8.2.5 van PGS 8.</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Onverminderd het eerste lid worden stoffen van ADR klasse 5.2 type D tot en met F in verpakking in een hoeveelheid kleiner dan 30 kilogram opgeslagen in een opslagvoorziening die ten minste voldoet aan de voorschriften 5.4.1, 5.4.3 tot en met 5.4.6, 5.4.8 tot en met 5.4.10 en 5.4.12 van PGS 8.</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Onverminderd het eerste lid worden stoffen van ADR klasse 5.2 type D tot en met F in verpakking in een hoeveelheid vanaf 30 kilogram en kleiner dan 150 kilogram opgeslagen in een opslagvoorziening die ten minste voldoet aan de voorschriften 5.5.1 tot en met 5.5.8 en 5.5.11 tot en met 5.5.13 van PGS 8.</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Onverminderd het eerste lid worden stoffen van ADR klasse 5.2 type D tot en met F in verpakking in een hoeveelheid vanaf 150 kilogram en kleiner dan 1.000 kilogram opgeslagen in een opslagvoorziening die ten minste voldoet aan voorschriften 5.6.1 tot en met 5.6.11 en 5.6.15 tot en met 5.6.19 van PGS 8.</w:t>
      </w:r>
    </w:p>
    <w:p w:rsidR="00624A65" w:rsidRDefault="00624A65" w:rsidP="00624A65">
      <w:pPr>
        <w:pStyle w:val="art1enivo"/>
        <w:shd w:val="clear" w:color="auto" w:fill="D9D9D9" w:themeFill="background1" w:themeFillShade="D9"/>
        <w:suppressAutoHyphens/>
        <w:rPr>
          <w:rFonts w:cs="Arial"/>
        </w:rPr>
      </w:pPr>
      <w:r>
        <w:rPr>
          <w:rFonts w:cs="Arial"/>
        </w:rPr>
        <w:t>5.</w:t>
      </w:r>
      <w:r>
        <w:rPr>
          <w:rFonts w:cs="Arial"/>
        </w:rPr>
        <w:tab/>
        <w:t>In afwijking van het tweede tot en met het vierde lid voldoet een dagvoorraad- of aftapruimte waar stoffen van ADR klasse 5.2 maximaal 72 uur voorhanden zijn aan de voorschriften 5.8.2 tot en met 5.8.11 en 5.8.14 tot en met 5.8.16 van PGS 8.</w:t>
      </w:r>
    </w:p>
    <w:p w:rsidR="00624A65" w:rsidRDefault="00624A65" w:rsidP="00624A65">
      <w:pPr>
        <w:pStyle w:val="artikelkop"/>
        <w:shd w:val="clear" w:color="auto" w:fill="D9D9D9" w:themeFill="background1" w:themeFillShade="D9"/>
      </w:pPr>
      <w:r>
        <w:t xml:space="preserve">Artikel 4.24 </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Een dagvoorraad- of aftapruimte waar stoffen van ADR klasse 5.2 maximaal 72 uur voor handen zijn en de opslag van stoffen van ADR klasse 5.2 type D tot en met F in verpakking in een hoeveelheid vanaf 150 kilogram is overeenkomstig hoofdstuk 7 van PGS 8 zo uitgevoerd, dat de kans op brandoverslag zo klein mogelijk is.</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Aan het eerste lid wordt in elk geval voldaan als:</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 xml:space="preserve">de afstand van de opslagvoorziening tot interne objecten waar zich mensen bevinden ten minste tien meter bedraagt; en </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de afstand tot interne objecten waar zich over het algemeen geen mensen bevinden ten minste vijf meter bedraagt.</w:t>
      </w:r>
    </w:p>
    <w:p w:rsidR="00624A65" w:rsidRDefault="00624A65" w:rsidP="00624A65">
      <w:pPr>
        <w:pStyle w:val="artikelkop"/>
        <w:shd w:val="clear" w:color="auto" w:fill="D9D9D9" w:themeFill="background1" w:themeFillShade="D9"/>
        <w:rPr>
          <w:rFonts w:eastAsiaTheme="minorEastAsia"/>
          <w:lang w:eastAsia="nl-NL"/>
        </w:rPr>
      </w:pPr>
      <w:r>
        <w:rPr>
          <w:rFonts w:eastAsiaTheme="minorEastAsia"/>
          <w:lang w:eastAsia="nl-NL"/>
        </w:rPr>
        <w:t xml:space="preserve">Artikel 4.25 </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Artikel 4.23 is niet van toepassing op stoffen van ADR klasse 5.2 type D, E en F, waarvoor volgens het ADR temperatuurbeheersing niet is vereist, indien deze stoffen worden opgeslagen in een hoeveelheid van ten hoogste 1.000 kilogram per opslagvoorziening, in verpakking als LQ en in een opslagvoorziening die is uitgevoerd en wordt gebruikt overeenkomstig de volgende onderdelen van PGS 15:</w:t>
      </w:r>
    </w:p>
    <w:p w:rsidR="00624A65" w:rsidRDefault="00624A65" w:rsidP="00624A65">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paragraaf 3.1, met uitzondering van voorschrift 3.1.2, paragraaf 3.2, met uitzondering van voorschrift 3.2.12, en paragraaf 3.4;</w:t>
      </w:r>
    </w:p>
    <w:p w:rsidR="00624A65" w:rsidRDefault="00624A65" w:rsidP="00624A65">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paragrafen 3.8 tot en met 3.20, met uitzondering van de voorschriften 3.10.4 en 3.10.5;</w:t>
      </w:r>
    </w:p>
    <w:p w:rsidR="00624A65" w:rsidRDefault="00624A65" w:rsidP="00624A65">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voorschrift 3.21.1, eerste alinea;</w:t>
      </w:r>
    </w:p>
    <w:p w:rsidR="00624A65" w:rsidRDefault="00624A65" w:rsidP="00624A65">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paragraaf 3.23, en</w:t>
      </w:r>
    </w:p>
    <w:p w:rsidR="00624A65" w:rsidRDefault="00624A65" w:rsidP="00624A65">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voorschriften 9.2.2 en 9.2.3.</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Stoffen van ADR klasse 5.2, type C, waarvoor volgens het ADR temperatuurbeheersing niet is vereist, worden opgeslagen in een hoeveelheid van ten hoogste 1.000 kilogram per opslagvoorziening, in verpakking als LQ en in een opslagvoorziening die is uitgevoerd en wordt gebruikt overeenkomstig de volgende onderdelen van PGS 15:</w:t>
      </w:r>
    </w:p>
    <w:p w:rsidR="00624A65" w:rsidRDefault="00624A65" w:rsidP="00624A65">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paragraaf 3.1, met uitzondering van voorschrift 3.1.2, paragraaf 3.2, met uitzondering van voorschrift 3.2.12, en paragraaf 3.4;</w:t>
      </w:r>
    </w:p>
    <w:p w:rsidR="00624A65" w:rsidRDefault="00624A65" w:rsidP="00624A65">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paragrafen 3.8 tot en met 3.20, met uitzondering van de voorschriften 3.10.4 en 3.10.5;</w:t>
      </w:r>
    </w:p>
    <w:p w:rsidR="00624A65" w:rsidRDefault="00624A65" w:rsidP="00624A65">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voorschrift 3.21.1, eerste alinea;</w:t>
      </w:r>
    </w:p>
    <w:p w:rsidR="00624A65" w:rsidRDefault="00624A65" w:rsidP="00624A65">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paragraaf 3.23, en</w:t>
      </w:r>
    </w:p>
    <w:p w:rsidR="00624A65" w:rsidRDefault="00624A65" w:rsidP="00624A65">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voorschriften 9.2.2 en 9.2.3.</w:t>
      </w:r>
    </w:p>
    <w:p w:rsidR="00624A65" w:rsidRDefault="00624A65" w:rsidP="00624A65">
      <w:pPr>
        <w:pStyle w:val="artikelkop"/>
        <w:shd w:val="clear" w:color="auto" w:fill="D9D9D9" w:themeFill="background1" w:themeFillShade="D9"/>
        <w:rPr>
          <w:rFonts w:eastAsiaTheme="minorEastAsia"/>
          <w:lang w:eastAsia="nl-NL"/>
        </w:rPr>
      </w:pPr>
      <w:r>
        <w:rPr>
          <w:rFonts w:eastAsiaTheme="minorEastAsia"/>
          <w:lang w:eastAsia="nl-NL"/>
        </w:rPr>
        <w:t xml:space="preserve">Artikel 4.25a </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bevoegd gezag kan bij maatwerkvoorschrift eisen stellen aan het opslaan van gevaarlijke stoffen als bedoeld in deze paragraaf, voor zover in deze paragraaf wordt verwezen naar de voorschriften 3.1.1, 3.1.3, 3.1.4, 3.1.5, 3.2.9, 3.2.10, 3.10.3 en 3.18.1 van PGS 15 en deze voorschriften van PGS 15 voorzien in de mogelijkheid tot afwijkende voorschriften.</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Indien ten aanzien van voorschrift 3.10.3 van PGS 15 toepassing wordt gegeven aan het eerste lid, neemt het bevoegd gezag voorschrift 3.10.4 in acht.</w:t>
      </w:r>
    </w:p>
    <w:p w:rsidR="00624A65" w:rsidRDefault="00624A65" w:rsidP="00624A65">
      <w:pPr>
        <w:pStyle w:val="art2enivo"/>
        <w:shd w:val="clear" w:color="auto" w:fill="D9D9D9" w:themeFill="background1" w:themeFillShade="D9"/>
        <w:rPr>
          <w:rFonts w:eastAsiaTheme="minorEastAsia"/>
          <w:lang w:eastAsia="nl-NL"/>
        </w:rPr>
      </w:pPr>
    </w:p>
    <w:p w:rsidR="00624A65" w:rsidRDefault="00624A65" w:rsidP="00624A65">
      <w:pPr>
        <w:pStyle w:val="artikelkop"/>
        <w:shd w:val="clear" w:color="auto" w:fill="D9D9D9" w:themeFill="background1" w:themeFillShade="D9"/>
      </w:pPr>
      <w:r>
        <w:t xml:space="preserve">Artikel 4.26 </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Het gebruik van stoffen van ADR klasse 5.2 type D tot en met F voldoet aan de voorschriften 8.1.4, 8.1.16 tot en met 8.1.19 en 8.2.5 van PGS 8.</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Het gebruik van vloeibare stoffen van ADR klasse 5.2 type D tot en met F vindt plaats boven een vloeistofdichte vloer of verharding.</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Het gebruik van vast stoffen van ADR klasse 5.2 type D tot en met F vindt plaats boven een bodembeschermende voorziening.</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Indien de werkvoorraad bestaat uit meer dan 25 liter vloeibare en tevens brandbare stoffen van ADR klasse 5.2 type D tot en met F, staat de werkvoorraad opgesteld boven een lekbak.</w:t>
      </w:r>
    </w:p>
    <w:p w:rsidR="00624A65" w:rsidRDefault="00624A65" w:rsidP="00624A65">
      <w:pPr>
        <w:pStyle w:val="artikelkop"/>
        <w:shd w:val="clear" w:color="auto" w:fill="D9D9D9" w:themeFill="background1" w:themeFillShade="D9"/>
      </w:pPr>
      <w:r>
        <w:t xml:space="preserve">Artikel 4.27 </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De verpakking van stoffen van ADR klasse 5.2 is tegen normale behandeling bestand en is zodanig dat niets van de inhoud uit de verpakking onvoorzien kan ontsnappen.</w:t>
      </w:r>
    </w:p>
    <w:p w:rsidR="00624A65" w:rsidRP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Het opslaan van stoffen van ADR klasse 5.2 type C tot en met F in verpakking vindt plaats boven een bodembeschermende voorziening.</w:t>
      </w:r>
    </w:p>
    <w:p w:rsidR="00296032" w:rsidRPr="00296032" w:rsidRDefault="00296032">
      <w:pPr>
        <w:pStyle w:val="paragraaf"/>
        <w:rPr>
          <w:rFonts w:cs="Arial"/>
        </w:rPr>
      </w:pPr>
      <w:bookmarkStart w:id="195" w:name="_Toc277243216"/>
      <w:bookmarkStart w:id="196" w:name="_Toc431375681"/>
      <w:bookmarkEnd w:id="193"/>
      <w:r w:rsidRPr="00296032">
        <w:rPr>
          <w:rFonts w:cs="Arial"/>
        </w:rPr>
        <w:t>§ 4.1.7</w:t>
      </w:r>
      <w:r w:rsidRPr="00296032">
        <w:rPr>
          <w:rFonts w:cs="Arial"/>
        </w:rPr>
        <w:tab/>
        <w:t>Opslaan van vaste kunstmeststoffen</w:t>
      </w:r>
      <w:bookmarkEnd w:id="195"/>
      <w:bookmarkEnd w:id="196"/>
    </w:p>
    <w:p w:rsidR="00296032" w:rsidRPr="00296032" w:rsidRDefault="00296032">
      <w:pPr>
        <w:pStyle w:val="artikelkop"/>
      </w:pPr>
      <w:r w:rsidRPr="00296032">
        <w:t>Artikel 4.16</w:t>
      </w:r>
    </w:p>
    <w:p w:rsidR="00296032" w:rsidRPr="00620047" w:rsidRDefault="00296032">
      <w:pPr>
        <w:pStyle w:val="artplat"/>
        <w:rPr>
          <w:rFonts w:cs="Arial"/>
        </w:rPr>
      </w:pPr>
      <w:r w:rsidRPr="00620047">
        <w:t>Deze paragraaf is van toepassing op het opslaan van vaste kunstmeststoffen.</w:t>
      </w:r>
    </w:p>
    <w:p w:rsidR="00296032" w:rsidRPr="00296032" w:rsidRDefault="00296032">
      <w:pPr>
        <w:pStyle w:val="artikelkop"/>
        <w:rPr>
          <w:rFonts w:cs="Arial"/>
        </w:rPr>
      </w:pPr>
      <w:r w:rsidRPr="00296032">
        <w:rPr>
          <w:rFonts w:cs="Arial"/>
        </w:rPr>
        <w:t>Artikel 4.17</w:t>
      </w:r>
    </w:p>
    <w:p w:rsidR="00296032" w:rsidRDefault="00296032">
      <w:pPr>
        <w:rPr>
          <w:rFonts w:cs="Arial"/>
        </w:rPr>
      </w:pPr>
      <w:r w:rsidRPr="00620047">
        <w:rPr>
          <w:rFonts w:cs="Arial"/>
        </w:rPr>
        <w:t>Onverminderd paragraaf 3.4.3 wordt bij het opslaan van vaste kunstmeststoffen ten behoeve van het voorkomen van risico's voor de omgeving en ongewone voorvallen, dan wel voor zover dat niet mogelijk is het zoveel mogelijk beperken van de risico's voor de omgeving en de kans dat ongewone voorvallen zich voordoen en de gevolgen hiervan, ten minste voldaan aan de bij ministeriële regeling te stellen eisen.</w:t>
      </w:r>
    </w:p>
    <w:p w:rsidR="007A2724" w:rsidRDefault="007A2724">
      <w:pPr>
        <w:rPr>
          <w:rFonts w:cs="Arial"/>
        </w:rPr>
      </w:pPr>
    </w:p>
    <w:p w:rsidR="007A2724" w:rsidRPr="007A2724" w:rsidRDefault="007A2724" w:rsidP="007A2724">
      <w:pPr>
        <w:rPr>
          <w:rFonts w:cs="Arial"/>
        </w:rPr>
      </w:pPr>
      <w:r w:rsidRPr="007A2724">
        <w:rPr>
          <w:rFonts w:cs="Arial"/>
        </w:rPr>
        <w:t>§ 4.2.1  [Vervallen per 01-01-2013]</w:t>
      </w:r>
    </w:p>
    <w:p w:rsidR="007A2724" w:rsidRPr="007A2724" w:rsidRDefault="007A2724" w:rsidP="007A2724">
      <w:pPr>
        <w:rPr>
          <w:rFonts w:cs="Arial"/>
        </w:rPr>
      </w:pPr>
    </w:p>
    <w:p w:rsidR="007A2724" w:rsidRPr="007A2724" w:rsidRDefault="007A2724" w:rsidP="007A2724">
      <w:pPr>
        <w:rPr>
          <w:rFonts w:cs="Arial"/>
        </w:rPr>
      </w:pPr>
      <w:r w:rsidRPr="007A2724">
        <w:rPr>
          <w:rFonts w:cs="Arial"/>
        </w:rPr>
        <w:t>Artikel 4.18  [Vervallen per 01-01-2013]</w:t>
      </w:r>
    </w:p>
    <w:p w:rsidR="007A2724" w:rsidRPr="007A2724" w:rsidRDefault="007A2724" w:rsidP="007A2724">
      <w:pPr>
        <w:rPr>
          <w:rFonts w:cs="Arial"/>
        </w:rPr>
      </w:pPr>
    </w:p>
    <w:p w:rsidR="007A2724" w:rsidRPr="007A2724" w:rsidRDefault="007A2724" w:rsidP="007A2724">
      <w:pPr>
        <w:rPr>
          <w:rFonts w:cs="Arial"/>
        </w:rPr>
      </w:pPr>
      <w:r w:rsidRPr="007A2724">
        <w:rPr>
          <w:rFonts w:cs="Arial"/>
        </w:rPr>
        <w:t>Artikel 4.19  [Vervallen per 01-01-2013]</w:t>
      </w:r>
    </w:p>
    <w:p w:rsidR="007A2724" w:rsidRPr="007A2724" w:rsidRDefault="007A2724" w:rsidP="007A2724">
      <w:pPr>
        <w:rPr>
          <w:rFonts w:cs="Arial"/>
        </w:rPr>
      </w:pPr>
    </w:p>
    <w:p w:rsidR="007A2724" w:rsidRPr="007A2724" w:rsidRDefault="007A2724" w:rsidP="007A2724">
      <w:pPr>
        <w:rPr>
          <w:rFonts w:cs="Arial"/>
        </w:rPr>
      </w:pPr>
      <w:r w:rsidRPr="007A2724">
        <w:rPr>
          <w:rFonts w:cs="Arial"/>
        </w:rPr>
        <w:t>§ 4.2.2  [Vervallen per 01-01-2013]</w:t>
      </w:r>
    </w:p>
    <w:p w:rsidR="007A2724" w:rsidRDefault="007A2724">
      <w:pPr>
        <w:rPr>
          <w:rFonts w:cs="Arial"/>
        </w:rPr>
      </w:pPr>
    </w:p>
    <w:p w:rsidR="00624A65" w:rsidRDefault="00624A65">
      <w:pPr>
        <w:rPr>
          <w:rFonts w:cs="Arial"/>
        </w:rPr>
      </w:pPr>
    </w:p>
    <w:p w:rsidR="00624A65" w:rsidRDefault="00624A65" w:rsidP="00624A65">
      <w:pPr>
        <w:pStyle w:val="paragraaf"/>
        <w:shd w:val="clear" w:color="auto" w:fill="D9D9D9" w:themeFill="background1" w:themeFillShade="D9"/>
      </w:pPr>
      <w:bookmarkStart w:id="197" w:name="_Toc431375682"/>
      <w:r>
        <w:t>§ 4.1.7.</w:t>
      </w:r>
      <w:r>
        <w:tab/>
        <w:t>Opslaan van vaste kunstmeststoffen</w:t>
      </w:r>
      <w:bookmarkEnd w:id="197"/>
    </w:p>
    <w:p w:rsidR="00624A65" w:rsidRDefault="00624A65" w:rsidP="00624A65">
      <w:pPr>
        <w:pStyle w:val="artikelkop"/>
        <w:shd w:val="clear" w:color="auto" w:fill="D9D9D9" w:themeFill="background1" w:themeFillShade="D9"/>
      </w:pPr>
      <w:r>
        <w:t>Artikel 4.34</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voldoet de opslag van vaste kunstmeststoffen ten minste aan het tweede tot en met vijfde lid.</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Indien in een inrichting meer dan 250 ton vaste kunstmeststoffen behorende tot de meststoffengroep 1.1, 1.2 of 1.3 als bedoeld in PGS 7 wordt opgeslagen, is de opslagvoorziening bestemd voor de opslag van deze kunstmeststoffen uitgevoerd overeenkomstig:</w:t>
      </w:r>
    </w:p>
    <w:p w:rsidR="00624A65" w:rsidRDefault="00624A65" w:rsidP="00624A65">
      <w:pPr>
        <w:pStyle w:val="art2enivo"/>
        <w:shd w:val="clear" w:color="auto" w:fill="D9D9D9" w:themeFill="background1" w:themeFillShade="D9"/>
        <w:suppressAutoHyphens/>
        <w:rPr>
          <w:rFonts w:cs="Arial"/>
        </w:rPr>
      </w:pPr>
      <w:r>
        <w:rPr>
          <w:rFonts w:cs="Arial"/>
        </w:rPr>
        <w:t>1°.</w:t>
      </w:r>
      <w:r>
        <w:rPr>
          <w:rFonts w:cs="Arial"/>
        </w:rPr>
        <w:tab/>
        <w:t>de voorschriften genoemd in paragraaf 4.2 met uitzondering van de voorschriften 4.2.13 en 4.2.17;</w:t>
      </w:r>
    </w:p>
    <w:p w:rsidR="00624A65" w:rsidRDefault="00624A65" w:rsidP="00624A65">
      <w:pPr>
        <w:pStyle w:val="art2enivo"/>
        <w:shd w:val="clear" w:color="auto" w:fill="D9D9D9" w:themeFill="background1" w:themeFillShade="D9"/>
        <w:suppressAutoHyphens/>
        <w:rPr>
          <w:rFonts w:cs="Arial"/>
        </w:rPr>
      </w:pPr>
      <w:r>
        <w:rPr>
          <w:rFonts w:cs="Arial"/>
        </w:rPr>
        <w:t>2°.</w:t>
      </w:r>
      <w:r>
        <w:rPr>
          <w:rFonts w:cs="Arial"/>
        </w:rPr>
        <w:tab/>
        <w:t>de voorschriften genoemd in de paragrafen 5.2 en 6.1;</w:t>
      </w:r>
    </w:p>
    <w:p w:rsidR="00624A65" w:rsidRDefault="00624A65" w:rsidP="00624A65">
      <w:pPr>
        <w:pStyle w:val="art2enivo"/>
        <w:shd w:val="clear" w:color="auto" w:fill="D9D9D9" w:themeFill="background1" w:themeFillShade="D9"/>
        <w:suppressAutoHyphens/>
        <w:rPr>
          <w:rFonts w:cs="Arial"/>
        </w:rPr>
      </w:pPr>
      <w:r>
        <w:rPr>
          <w:rFonts w:cs="Arial"/>
        </w:rPr>
        <w:t>3°.</w:t>
      </w:r>
      <w:r>
        <w:rPr>
          <w:rFonts w:cs="Arial"/>
        </w:rPr>
        <w:tab/>
        <w:t>de voorschriften in paragraaf 7.2.2 met uitzondering van voorschrift 7.2.9;</w:t>
      </w:r>
    </w:p>
    <w:p w:rsidR="00624A65" w:rsidRDefault="00624A65" w:rsidP="00624A65">
      <w:pPr>
        <w:pStyle w:val="art2enivo"/>
        <w:shd w:val="clear" w:color="auto" w:fill="D9D9D9" w:themeFill="background1" w:themeFillShade="D9"/>
        <w:suppressAutoHyphens/>
        <w:rPr>
          <w:rFonts w:cs="Arial"/>
        </w:rPr>
      </w:pPr>
      <w:r>
        <w:rPr>
          <w:rFonts w:cs="Arial"/>
        </w:rPr>
        <w:t>4°.</w:t>
      </w:r>
      <w:r>
        <w:rPr>
          <w:rFonts w:cs="Arial"/>
        </w:rPr>
        <w:tab/>
        <w:t>de voorschriften van de paragrafen 8.1 en 9.1 tot en met 9.3 van de PGS 7.</w:t>
      </w:r>
    </w:p>
    <w:p w:rsidR="00624A65" w:rsidRDefault="00624A65" w:rsidP="00624A65">
      <w:pPr>
        <w:pStyle w:val="artplat"/>
        <w:shd w:val="clear" w:color="auto" w:fill="D9D9D9" w:themeFill="background1" w:themeFillShade="D9"/>
        <w:suppressAutoHyphens/>
        <w:ind w:left="426" w:hanging="426"/>
        <w:rPr>
          <w:rFonts w:cs="Arial"/>
        </w:rPr>
      </w:pPr>
      <w:r>
        <w:rPr>
          <w:rFonts w:cs="Arial"/>
        </w:rPr>
        <w:tab/>
        <w:t>De opslagvoorziening bestemd voor de opslag van vaste kunstmeststoffen behorende tot de meststoffengroep 1.2 of 1.3 voldoet tevens aan de voorschriften genoemd in de paragrafen 4.3 en 8.2 van PGS 7.</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De opslag van nitraathoudende kunstmeststoffen in de buitenlucht is niet ongecontroleerd toegankelijk voor onbevoegden.</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Aan het derde lid is voldaan indien nitraathoudende kunstmeststoffen in een afsluitbare ruimte zijn opgeslagen. Deze ruimte is bij afwezigheid van toezicht met slot of sleutel of op een andere vergelijkbare wijze afgesloten.</w:t>
      </w:r>
    </w:p>
    <w:p w:rsidR="00624A65" w:rsidRDefault="00624A65" w:rsidP="00624A65">
      <w:pPr>
        <w:pStyle w:val="art1enivo"/>
        <w:shd w:val="clear" w:color="auto" w:fill="D9D9D9" w:themeFill="background1" w:themeFillShade="D9"/>
        <w:suppressAutoHyphens/>
        <w:rPr>
          <w:rFonts w:cs="Arial"/>
        </w:rPr>
      </w:pPr>
      <w:r>
        <w:rPr>
          <w:rFonts w:cs="Arial"/>
        </w:rPr>
        <w:t>5.</w:t>
      </w:r>
      <w:r>
        <w:rPr>
          <w:rFonts w:cs="Arial"/>
        </w:rPr>
        <w:tab/>
        <w:t>Bij diefstal van nitraathoudende kunstmeststoffen doet de drijver van de inrichting zo spoedig mogelijk aangifte bij de politie.</w:t>
      </w:r>
    </w:p>
    <w:p w:rsidR="00624A65" w:rsidRPr="00624A65" w:rsidRDefault="00624A65" w:rsidP="00624A65">
      <w:pPr>
        <w:shd w:val="clear" w:color="auto" w:fill="D9D9D9" w:themeFill="background1" w:themeFillShade="D9"/>
      </w:pPr>
    </w:p>
    <w:p w:rsidR="00624A65" w:rsidRPr="00624A65" w:rsidRDefault="00624A65" w:rsidP="00624A65">
      <w:pPr>
        <w:shd w:val="clear" w:color="auto" w:fill="D9D9D9" w:themeFill="background1" w:themeFillShade="D9"/>
      </w:pPr>
      <w:r>
        <w:t>Artikel 4.35  [Vervallen per 01-01-2010</w:t>
      </w:r>
    </w:p>
    <w:p w:rsidR="00296032" w:rsidRPr="00620047" w:rsidRDefault="00296032">
      <w:pPr>
        <w:pStyle w:val="afdeling"/>
        <w:rPr>
          <w:rFonts w:cs="Arial"/>
        </w:rPr>
      </w:pPr>
      <w:bookmarkStart w:id="198" w:name="_Toc277243220"/>
      <w:bookmarkStart w:id="199" w:name="_Toc431375683"/>
      <w:r w:rsidRPr="00620047">
        <w:rPr>
          <w:rFonts w:cs="Arial"/>
        </w:rPr>
        <w:t>Afdeling 4.3. Activiteiten met betrekking tot hout of kurk</w:t>
      </w:r>
      <w:bookmarkEnd w:id="198"/>
      <w:bookmarkEnd w:id="199"/>
    </w:p>
    <w:p w:rsidR="00296032" w:rsidRPr="00296032" w:rsidRDefault="00296032">
      <w:pPr>
        <w:pStyle w:val="paragraaf"/>
        <w:rPr>
          <w:rFonts w:cs="Arial"/>
        </w:rPr>
      </w:pPr>
      <w:bookmarkStart w:id="200" w:name="_Toc277243221"/>
      <w:bookmarkStart w:id="201" w:name="_Toc431375684"/>
      <w:r w:rsidRPr="00296032">
        <w:rPr>
          <w:rFonts w:cs="Arial"/>
        </w:rPr>
        <w:t>§ 4.3.1</w:t>
      </w:r>
      <w:r w:rsidRPr="00296032">
        <w:rPr>
          <w:rFonts w:cs="Arial"/>
        </w:rPr>
        <w:tab/>
        <w:t>Mechanische bewerkingen van hout of kurk dan wel van houten, kurken of houtachtige voorwerpen</w:t>
      </w:r>
      <w:bookmarkEnd w:id="200"/>
      <w:bookmarkEnd w:id="201"/>
    </w:p>
    <w:p w:rsidR="00296032" w:rsidRPr="00296032" w:rsidRDefault="00296032">
      <w:pPr>
        <w:pStyle w:val="artikelkop"/>
      </w:pPr>
      <w:r w:rsidRPr="00296032">
        <w:t>Artikel 4.20</w:t>
      </w:r>
    </w:p>
    <w:p w:rsidR="00296032" w:rsidRPr="00620047" w:rsidRDefault="00296032">
      <w:pPr>
        <w:pStyle w:val="artplat"/>
      </w:pPr>
      <w:r w:rsidRPr="00620047">
        <w:t>Deze paragraaf is van toepassing op mechanische bewerkingen van hout of kurk dan wel van houten, kurken of houtachtige voorwerpen.</w:t>
      </w:r>
    </w:p>
    <w:p w:rsidR="00296032" w:rsidRPr="00296032" w:rsidRDefault="00296032">
      <w:pPr>
        <w:pStyle w:val="artikelkop"/>
        <w:rPr>
          <w:rFonts w:cs="Arial"/>
        </w:rPr>
      </w:pPr>
      <w:r w:rsidRPr="00296032">
        <w:rPr>
          <w:rFonts w:cs="Arial"/>
        </w:rPr>
        <w:t>Artikel 4.21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mechanische bewerkingen van hout of kurk dan wel van houten, kurken of houtachtige voorwerpen, de emissieconcentratie van stofklasse S niet meer dan:</w:t>
      </w:r>
    </w:p>
    <w:p w:rsidR="00296032" w:rsidRPr="00620047" w:rsidRDefault="00296032">
      <w:pPr>
        <w:pStyle w:val="art2enivo"/>
        <w:rPr>
          <w:rFonts w:cs="Arial"/>
        </w:rPr>
      </w:pPr>
      <w:r w:rsidRPr="00620047">
        <w:rPr>
          <w:rFonts w:cs="Arial"/>
        </w:rPr>
        <w:t>a.</w:t>
      </w:r>
      <w:r w:rsidRPr="00620047">
        <w:rPr>
          <w:rFonts w:cs="Arial"/>
        </w:rPr>
        <w:tab/>
        <w:t>5 milligram per normaal kubieke meter indien de massastroom van stofklasse S gelijk is aan of groter is dan 200 gram per uur;</w:t>
      </w:r>
    </w:p>
    <w:p w:rsidR="00296032" w:rsidRPr="00620047" w:rsidRDefault="00296032">
      <w:pPr>
        <w:pStyle w:val="art2enivo"/>
        <w:rPr>
          <w:rFonts w:cs="Arial"/>
        </w:rPr>
      </w:pPr>
      <w:r w:rsidRPr="00620047">
        <w:rPr>
          <w:rFonts w:cs="Arial"/>
        </w:rPr>
        <w:t>b.</w:t>
      </w:r>
      <w:r w:rsidRPr="00620047">
        <w:rPr>
          <w:rFonts w:cs="Arial"/>
        </w:rPr>
        <w:tab/>
        <w:t>50 milligram per normaal kubieke meter indien de massastroom kleiner is dan 200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de mechanische bewerkingen van hout of kurk, dan wel van houten, kurken of houtachtige voorwerpen worden ten behoeve van het voorkomen dan wel beperken van diffuse emissies en het doelmatig verspreiden van emissies naar de buitenlucht, de bij ministeriële regeling te bepalen maatregelen toegepast.</w:t>
      </w:r>
    </w:p>
    <w:p w:rsidR="00296032" w:rsidRPr="00620047" w:rsidRDefault="00296032">
      <w:pPr>
        <w:pStyle w:val="art1enivo"/>
        <w:rPr>
          <w:rFonts w:cs="Arial"/>
        </w:rPr>
      </w:pPr>
      <w:r w:rsidRPr="00620047">
        <w:rPr>
          <w:rFonts w:cs="Arial"/>
          <w:bCs/>
        </w:rPr>
        <w:t>3.</w:t>
      </w:r>
      <w:r w:rsidRPr="00620047">
        <w:rPr>
          <w:rFonts w:cs="Arial"/>
          <w:bCs/>
        </w:rPr>
        <w:tab/>
        <w:t>Het eerste en tweede lid zijn niet van toepassing op het niet beroepsmatig onderhouden en repareren van pleziervaartuigen in de buitenlucht op de winterberging bij een jachthaven.</w:t>
      </w:r>
    </w:p>
    <w:p w:rsidR="00296032" w:rsidRPr="00620047" w:rsidRDefault="00296032">
      <w:pPr>
        <w:pStyle w:val="art1enivo"/>
        <w:rPr>
          <w:rFonts w:cs="Arial"/>
        </w:rPr>
      </w:pPr>
      <w:r w:rsidRPr="00620047">
        <w:rPr>
          <w:rFonts w:cs="Arial"/>
        </w:rPr>
        <w:t>4.</w:t>
      </w:r>
      <w:r w:rsidRPr="00620047">
        <w:rPr>
          <w:rFonts w:cs="Arial"/>
        </w:rPr>
        <w:tab/>
        <w:t>Het eerste en tweede lid zijn niet van toepassing, indien bij de mechanische bewerkingen van hout of kurk in de inrichting niet meer dan 3 kubieke meter hout of kurk per jaar wordt bewerkt.</w:t>
      </w:r>
    </w:p>
    <w:p w:rsidR="00296032" w:rsidRPr="00296032" w:rsidRDefault="00296032">
      <w:pPr>
        <w:pStyle w:val="artikelkop"/>
        <w:rPr>
          <w:rFonts w:cs="Arial"/>
        </w:rPr>
      </w:pPr>
      <w:r w:rsidRPr="00296032">
        <w:rPr>
          <w:rFonts w:cs="Arial"/>
        </w:rPr>
        <w:t>Artikel 4.21a</w:t>
      </w:r>
    </w:p>
    <w:p w:rsidR="00296032" w:rsidRDefault="00296032">
      <w:pPr>
        <w:rPr>
          <w:rFonts w:cs="Arial"/>
        </w:rPr>
      </w:pPr>
      <w:r w:rsidRPr="00620047">
        <w:rPr>
          <w:rFonts w:cs="Arial"/>
        </w:rPr>
        <w:t>Bij het verkleinen van hout of kurk dan wel van houten, kurken of houtachtige voorwerpen wordt ten behoeve van het realiseren van een verwaarloosbaar bodemrisico voldaan aan de bij ministeriële regeling te stellen eisen.</w:t>
      </w:r>
    </w:p>
    <w:p w:rsidR="00624A65" w:rsidRDefault="00624A65">
      <w:pPr>
        <w:rPr>
          <w:rFonts w:cs="Arial"/>
        </w:rPr>
      </w:pPr>
    </w:p>
    <w:p w:rsidR="00624A65" w:rsidRDefault="00624A65" w:rsidP="00624A65">
      <w:pPr>
        <w:pStyle w:val="paragraaf"/>
        <w:shd w:val="clear" w:color="auto" w:fill="D9D9D9" w:themeFill="background1" w:themeFillShade="D9"/>
      </w:pPr>
      <w:bookmarkStart w:id="202" w:name="_Toc431375685"/>
      <w:r>
        <w:t>§ 4.3.1.</w:t>
      </w:r>
      <w:r>
        <w:tab/>
        <w:t>Mechanische bewerking van hout, kurk dan wel houten, kurken of houtachtige voorwerpen</w:t>
      </w:r>
      <w:bookmarkEnd w:id="202"/>
    </w:p>
    <w:p w:rsidR="00624A65" w:rsidRDefault="00624A65" w:rsidP="00624A65">
      <w:pPr>
        <w:pStyle w:val="artikelkop"/>
        <w:shd w:val="clear" w:color="auto" w:fill="D9D9D9" w:themeFill="background1" w:themeFillShade="D9"/>
      </w:pPr>
      <w:r>
        <w:t>Artikel 4.38</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dan wel het zoveel mogelijk beperken van diffuse emissies, wordt stofklasse S dat vrijkomt bij mechanische bewerking van hout, kurk, dan wel van houten, kurken of houtachtige voorwerpen, voor zover dat redelijkerwijs mogelijk is, doelmatig aan de bron afgezogen.</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de afgezogen emissies die vrijkomen bij mechanische bewerking van hout, kurk, dan wel van houten, kurken of houtachtige voorwerpen en die naar de buitenlucht worden afgevoerd, bovendaks en omhoog gericht afgevoerd, indien binnen 50 meter van een emissiepunt een gevoelig gebouw is gelegen, niet zijnde een gevoelig gebouw op een gezoneerd industrieterrein, dan wel op een bedrijventerrein met minder dan één gevoelig gebouw per hectare.</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en  maatwerkvoorschriften stellen aan de ligging en uitvoering van het afvoerpunt van emissies naar de buitenlucht, bedoeld in het tweede lid.</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624A65" w:rsidRDefault="00624A65" w:rsidP="00624A65">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kan het bevoegd gezag maatwerkvoorschriften als bedoeld in het derde lid stellen.</w:t>
      </w:r>
    </w:p>
    <w:p w:rsidR="00624A65" w:rsidRDefault="00624A65" w:rsidP="00624A65">
      <w:pPr>
        <w:pStyle w:val="artikelkop"/>
        <w:shd w:val="clear" w:color="auto" w:fill="D9D9D9" w:themeFill="background1" w:themeFillShade="D9"/>
      </w:pPr>
      <w:r>
        <w:t>Artikel 4.39</w:t>
      </w:r>
    </w:p>
    <w:p w:rsidR="00624A65" w:rsidRDefault="00624A65" w:rsidP="00624A65">
      <w:pPr>
        <w:pStyle w:val="artplat"/>
        <w:shd w:val="clear" w:color="auto" w:fill="D9D9D9" w:themeFill="background1" w:themeFillShade="D9"/>
        <w:suppressAutoHyphens/>
        <w:rPr>
          <w:rFonts w:cs="Arial"/>
        </w:rPr>
      </w:pPr>
      <w:r>
        <w:rPr>
          <w:rFonts w:cs="Arial"/>
        </w:rPr>
        <w:t>Aan artikel 4.21, eerste lid, van het besluit wordt in ieder geval voldaan indien:</w:t>
      </w:r>
    </w:p>
    <w:p w:rsidR="00624A65" w:rsidRDefault="00624A65" w:rsidP="00624A65">
      <w:pPr>
        <w:pStyle w:val="art1enivo"/>
        <w:shd w:val="clear" w:color="auto" w:fill="D9D9D9" w:themeFill="background1" w:themeFillShade="D9"/>
      </w:pPr>
      <w:r>
        <w:t>a.</w:t>
      </w:r>
      <w:r>
        <w:tab/>
        <w:t>de afgezogen stofemissies die vrijkomen bij mechanische bewerking van hout, kurk, dan wel van houten, kurken of houtachtige voorwerpen worden gevoerd door een filtrerende afscheider, die geschikt is om aan artikel 4.21, eerste lid van het besluit te voldoen; en</w:t>
      </w:r>
    </w:p>
    <w:p w:rsidR="00624A65" w:rsidRDefault="00624A65" w:rsidP="00624A65">
      <w:pPr>
        <w:pStyle w:val="art1enivo"/>
        <w:shd w:val="clear" w:color="auto" w:fill="D9D9D9" w:themeFill="background1" w:themeFillShade="D9"/>
      </w:pPr>
      <w:r>
        <w:t>b.</w:t>
      </w:r>
      <w:r>
        <w:tab/>
        <w:t>de filtrerende afscheider in goede staat van onderhoud verkeert, periodiek gecontroleerd wordt en zo vaak als voor de goede werking nodig is, wordt schoongemaakt en vervangen.</w:t>
      </w:r>
    </w:p>
    <w:p w:rsidR="00624A65" w:rsidRDefault="00624A65" w:rsidP="00624A65">
      <w:pPr>
        <w:pStyle w:val="artikelkop"/>
        <w:shd w:val="clear" w:color="auto" w:fill="D9D9D9" w:themeFill="background1" w:themeFillShade="D9"/>
      </w:pPr>
      <w:r>
        <w:t>Artikel 4.39a</w:t>
      </w:r>
    </w:p>
    <w:p w:rsidR="00624A65" w:rsidRPr="00620047" w:rsidRDefault="00624A65" w:rsidP="00624A65">
      <w:pPr>
        <w:pStyle w:val="artplat"/>
        <w:shd w:val="clear" w:color="auto" w:fill="D9D9D9" w:themeFill="background1" w:themeFillShade="D9"/>
        <w:suppressAutoHyphens/>
        <w:rPr>
          <w:rFonts w:cs="Arial"/>
        </w:rPr>
      </w:pPr>
      <w:r>
        <w:rPr>
          <w:rFonts w:cs="Arial"/>
        </w:rPr>
        <w:t>Ten behoeve van het realiseren van een verwaarloosbaar bodemrisico vindt het verkleinen van hout, kurk, dan wel van houten, kurken of houtachtige voorwerpen waarbij gebruik wordt gemaakt van een installatie met een oliecircuit plaats boven een bodembeschermende voorziening.</w:t>
      </w:r>
    </w:p>
    <w:p w:rsidR="00296032" w:rsidRPr="00296032" w:rsidRDefault="00296032">
      <w:pPr>
        <w:pStyle w:val="paragraaf"/>
        <w:rPr>
          <w:rFonts w:cs="Arial"/>
        </w:rPr>
      </w:pPr>
      <w:bookmarkStart w:id="203" w:name="_Toc277243222"/>
      <w:bookmarkStart w:id="204" w:name="_Toc431375686"/>
      <w:r w:rsidRPr="00296032">
        <w:rPr>
          <w:rFonts w:cs="Arial"/>
        </w:rPr>
        <w:t>§ 4.3.2</w:t>
      </w:r>
      <w:r w:rsidRPr="00296032">
        <w:rPr>
          <w:rFonts w:cs="Arial"/>
        </w:rPr>
        <w:tab/>
        <w:t>Reinigen, coaten of lijmen van hout of kurk dan wel van houten, kurken of houtachtige voorwerpen</w:t>
      </w:r>
      <w:bookmarkEnd w:id="203"/>
      <w:bookmarkEnd w:id="204"/>
    </w:p>
    <w:p w:rsidR="00296032" w:rsidRPr="00296032" w:rsidRDefault="00296032">
      <w:pPr>
        <w:pStyle w:val="artikelkop"/>
      </w:pPr>
      <w:r w:rsidRPr="00296032">
        <w:t>Artikel 4.21b</w:t>
      </w:r>
    </w:p>
    <w:p w:rsidR="00296032" w:rsidRPr="00620047" w:rsidRDefault="00296032">
      <w:pPr>
        <w:pStyle w:val="artplat"/>
      </w:pPr>
      <w:r w:rsidRPr="00620047">
        <w:t>Deze paragraaf is van toepassing op het reinigen, coaten of lijmen van hout of kurk dan wel van houten, kurken of houtachtige voorwerpen.</w:t>
      </w:r>
    </w:p>
    <w:p w:rsidR="00296032" w:rsidRPr="00296032" w:rsidRDefault="00296032">
      <w:pPr>
        <w:pStyle w:val="artikelkop"/>
        <w:rPr>
          <w:rFonts w:cs="Arial"/>
        </w:rPr>
      </w:pPr>
      <w:r w:rsidRPr="00296032">
        <w:rPr>
          <w:rFonts w:cs="Arial"/>
        </w:rPr>
        <w:t>Artikel 4.22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is verboden om in de buitenlucht hout, kurk dan wel houten, kurken of houtachtige voorwerpen met behulp van een nevelspuit te coaten of te lijmen dan wel met behulp van een nevelspuit te reinigen met vluchtige organische stoffen houdende producten.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het niet mogelijk is om deze activiteiten in het inpandige deel van de inrichting te verrichten vanwege de omvang van het te bewerken object.</w:t>
      </w:r>
    </w:p>
    <w:p w:rsidR="00296032" w:rsidRPr="00296032" w:rsidRDefault="00296032">
      <w:pPr>
        <w:pStyle w:val="artikelkop"/>
        <w:rPr>
          <w:rFonts w:cs="Arial"/>
        </w:rPr>
      </w:pPr>
      <w:r w:rsidRPr="00296032">
        <w:rPr>
          <w:rFonts w:cs="Arial"/>
        </w:rPr>
        <w:t>Artikel 4.23</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het aanbrengen van coating of lijmlagen de emissieconcentratie van stofklasse S niet meer dan:</w:t>
      </w:r>
    </w:p>
    <w:p w:rsidR="00296032" w:rsidRPr="00620047" w:rsidRDefault="00296032">
      <w:pPr>
        <w:pStyle w:val="art2enivo"/>
        <w:rPr>
          <w:rFonts w:cs="Arial"/>
        </w:rPr>
      </w:pPr>
      <w:r w:rsidRPr="00620047">
        <w:rPr>
          <w:rFonts w:cs="Arial"/>
        </w:rPr>
        <w:t>a.</w:t>
      </w:r>
      <w:r w:rsidRPr="00620047">
        <w:rPr>
          <w:rFonts w:cs="Arial"/>
        </w:rPr>
        <w:tab/>
        <w:t>5 milligram per normaal kubieke meter indien de massastroom van stofklasse S naar de lucht gelijk is aan of groter is dan 200 gram per uur; en</w:t>
      </w:r>
    </w:p>
    <w:p w:rsidR="00296032" w:rsidRPr="00620047" w:rsidRDefault="00296032">
      <w:pPr>
        <w:pStyle w:val="art2enivo"/>
        <w:rPr>
          <w:rFonts w:cs="Arial"/>
        </w:rPr>
      </w:pPr>
      <w:r w:rsidRPr="00620047">
        <w:rPr>
          <w:rFonts w:cs="Arial"/>
        </w:rPr>
        <w:t>b.</w:t>
      </w:r>
      <w:r w:rsidRPr="00620047">
        <w:rPr>
          <w:rFonts w:cs="Arial"/>
        </w:rPr>
        <w:tab/>
        <w:t>50 milligram per normaal kubieke meter indien de massastroom naar de lucht van stofklasse S kleiner is dan 200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het coaten op grond van artikelen 4.22, tweede lid, in de buitenlucht plaatsvindt.</w:t>
      </w:r>
    </w:p>
    <w:p w:rsidR="00296032" w:rsidRPr="00296032" w:rsidRDefault="00296032">
      <w:pPr>
        <w:pStyle w:val="artikelkop"/>
        <w:rPr>
          <w:rFonts w:cs="Arial"/>
        </w:rPr>
      </w:pPr>
      <w:r w:rsidRPr="00296032">
        <w:rPr>
          <w:rFonts w:cs="Arial"/>
        </w:rPr>
        <w:t>Artikel 4.24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de inrichting drijft neemt bij het reinigen, coaten of lijmen van hout of kurk dan wel van houten, kurken of houtachtige voorwerpen de bij ministeriële regeling gestelde emissiereducerende maatregelen met betrekking tot vluchtige organische stoffen tenzij deze niet kosteneffectief of technisch uitvoerbaar zijn.</w:t>
      </w:r>
    </w:p>
    <w:p w:rsidR="00296032" w:rsidRPr="00620047" w:rsidRDefault="00296032">
      <w:pPr>
        <w:pStyle w:val="art1enivo"/>
        <w:rPr>
          <w:rFonts w:cs="Arial"/>
          <w:bCs/>
        </w:rPr>
      </w:pPr>
      <w:r w:rsidRPr="00620047">
        <w:rPr>
          <w:rFonts w:cs="Arial"/>
          <w:bCs/>
        </w:rPr>
        <w:t>2.</w:t>
      </w:r>
      <w:r w:rsidRPr="00620047">
        <w:rPr>
          <w:rFonts w:cs="Arial"/>
          <w:bCs/>
        </w:rPr>
        <w:tab/>
      </w:r>
      <w:r w:rsidRPr="00620047">
        <w:rPr>
          <w:rFonts w:cs="Arial"/>
        </w:rPr>
        <w:t>Het eerste lid is niet van toepassing indien het totaal verbruik van vluchtige organische stoffen bij de in het eerste lid genoemde activiteiten minder bedraagt dan 1.000 kilogram per jaar.</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eerste lid is niet van toepassing op het verbruik van vluchtige organische stoffen waarvan het in de handel brengen is gereguleerd door het Besluit organische oplosmiddelen in verven en vernissen milieubeheer.</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Indien de drempelwaarden, genoemd in tabel 2.28a worden overschreden, zijn het eerste tot en met derde lid niet van toepassing en is afdeling 2.11 van toepassing..</w:t>
      </w:r>
    </w:p>
    <w:p w:rsidR="00296032" w:rsidRPr="00296032" w:rsidRDefault="00296032">
      <w:pPr>
        <w:pStyle w:val="artikelkop"/>
        <w:rPr>
          <w:rFonts w:cs="Arial"/>
        </w:rPr>
      </w:pPr>
      <w:r w:rsidRPr="00296032">
        <w:rPr>
          <w:rFonts w:cs="Arial"/>
        </w:rPr>
        <w:t>Artikel 4.25</w:t>
      </w:r>
    </w:p>
    <w:p w:rsidR="00296032" w:rsidRPr="00620047" w:rsidRDefault="00296032">
      <w:pPr>
        <w:rPr>
          <w:rFonts w:cs="Arial"/>
        </w:rPr>
      </w:pPr>
      <w:r w:rsidRPr="00620047">
        <w:rPr>
          <w:rFonts w:cs="Arial"/>
        </w:rPr>
        <w:t>Bij het reinigen, coaten of lijmen van hout, kurk dan wel houten, kurken of houtachtige voorwerpen worden ten behoeve van:</w:t>
      </w:r>
    </w:p>
    <w:p w:rsidR="00296032" w:rsidRPr="00620047" w:rsidRDefault="00296032">
      <w:pPr>
        <w:pStyle w:val="artplatletter"/>
        <w:rPr>
          <w:rFonts w:cs="Arial"/>
        </w:rPr>
      </w:pPr>
      <w:r w:rsidRPr="00620047">
        <w:rPr>
          <w:rFonts w:cs="Arial"/>
        </w:rPr>
        <w:t>a.</w:t>
      </w:r>
      <w:r w:rsidRPr="00620047">
        <w:rPr>
          <w:rFonts w:cs="Arial"/>
        </w:rPr>
        <w:tab/>
        <w:t>het voorkomen dan wel beperken van diffuse emissies;</w:t>
      </w:r>
    </w:p>
    <w:p w:rsidR="00296032" w:rsidRPr="00620047" w:rsidRDefault="00296032">
      <w:pPr>
        <w:pStyle w:val="artplatletter"/>
        <w:rPr>
          <w:rFonts w:cs="Arial"/>
        </w:rPr>
      </w:pPr>
      <w:r w:rsidRPr="00620047">
        <w:rPr>
          <w:rFonts w:cs="Arial"/>
        </w:rPr>
        <w:t>b.</w:t>
      </w:r>
      <w:r w:rsidRPr="00620047">
        <w:rPr>
          <w:rFonts w:cs="Arial"/>
        </w:rPr>
        <w:tab/>
        <w:t>het voorkomen dan wel beperken van stofhinder;</w:t>
      </w:r>
    </w:p>
    <w:p w:rsidR="00296032" w:rsidRPr="00620047" w:rsidRDefault="00296032">
      <w:pPr>
        <w:pStyle w:val="artplatletter"/>
        <w:rPr>
          <w:rFonts w:cs="Arial"/>
        </w:rPr>
      </w:pPr>
      <w:r w:rsidRPr="00620047">
        <w:rPr>
          <w:rFonts w:cs="Arial"/>
        </w:rPr>
        <w:t>c.</w:t>
      </w:r>
      <w:r w:rsidRPr="00620047">
        <w:rPr>
          <w:rFonts w:cs="Arial"/>
        </w:rPr>
        <w:tab/>
        <w:t>het doelmatig verspreiden van emissies naar de buitenlucht;</w:t>
      </w:r>
    </w:p>
    <w:p w:rsidR="00296032" w:rsidRPr="00620047" w:rsidRDefault="00296032">
      <w:pPr>
        <w:pStyle w:val="artplatletter"/>
        <w:rPr>
          <w:rFonts w:cs="Arial"/>
        </w:rPr>
      </w:pPr>
      <w:r w:rsidRPr="00620047">
        <w:rPr>
          <w:rFonts w:cs="Arial"/>
        </w:rPr>
        <w:t>d.</w:t>
      </w:r>
      <w:r w:rsidRPr="00620047">
        <w:rPr>
          <w:rFonts w:cs="Arial"/>
        </w:rPr>
        <w:tab/>
        <w:t>het voorkomen dan wel beperken van geurhinder;</w:t>
      </w:r>
    </w:p>
    <w:p w:rsidR="00296032" w:rsidRPr="00620047" w:rsidRDefault="00296032">
      <w:pPr>
        <w:pStyle w:val="artplatletter"/>
        <w:rPr>
          <w:rFonts w:cs="Arial"/>
        </w:rPr>
      </w:pPr>
      <w:r w:rsidRPr="00620047">
        <w:rPr>
          <w:rFonts w:cs="Arial"/>
        </w:rPr>
        <w:t>e.</w:t>
      </w:r>
      <w:r w:rsidRPr="00620047">
        <w:rPr>
          <w:rFonts w:cs="Arial"/>
        </w:rPr>
        <w:tab/>
        <w:t>het realiseren van een verwaarloosbaar bodemrisico,</w:t>
      </w:r>
    </w:p>
    <w:p w:rsidR="00296032" w:rsidRPr="00620047" w:rsidRDefault="00296032">
      <w:pPr>
        <w:rPr>
          <w:rFonts w:cs="Arial"/>
        </w:rPr>
      </w:pPr>
      <w:r w:rsidRPr="00620047">
        <w:rPr>
          <w:rFonts w:cs="Arial"/>
        </w:rPr>
        <w:t>de bij ministeriële regeling te bepalen maatregelen toegepast.</w:t>
      </w:r>
    </w:p>
    <w:p w:rsidR="00296032" w:rsidRPr="00296032" w:rsidRDefault="00296032">
      <w:pPr>
        <w:pStyle w:val="artikelkop"/>
        <w:rPr>
          <w:rFonts w:cs="Arial"/>
        </w:rPr>
      </w:pPr>
      <w:r w:rsidRPr="00296032">
        <w:rPr>
          <w:rFonts w:cs="Arial"/>
        </w:rPr>
        <w:t>Artikel 4.26</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lozen van afvalwater afkomstig van het reinigen, coaten of lijmen van hout of kurk dan wel houten, kurken of houtachtige voorwerpen in een vuilwaterriool wordt ten minste voldaan aan het tweede tot en met vijfde lid.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lozen van afvalwater, bedoeld in het eerste lid, is toegestaan indien het afvalwater niet meer bevat dan 2 milligram lood per liter en 2 milligram zink per liter.</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De in eerste lid genoemde waarden gelden voor representatieve etmaalmonsters. Voor steekmonsters gelden een factor drie hogere waarden.</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In afwijking van het tweede lid wordt afvalwater dat meer dan 3 milligram vluchtige organohalogeenverbindingen uitgedrukt als chloor per liter in enig steekmonster bevat, niet geloosd.</w:t>
      </w:r>
    </w:p>
    <w:p w:rsidR="00296032" w:rsidRDefault="00296032">
      <w:pPr>
        <w:pStyle w:val="art1enivo"/>
        <w:rPr>
          <w:rFonts w:cs="Arial"/>
        </w:rPr>
      </w:pPr>
      <w:r w:rsidRPr="00620047">
        <w:rPr>
          <w:rFonts w:cs="Arial"/>
          <w:bCs/>
        </w:rPr>
        <w:t>5.</w:t>
      </w:r>
      <w:r w:rsidRPr="00620047">
        <w:rPr>
          <w:rFonts w:cs="Arial"/>
          <w:bCs/>
        </w:rPr>
        <w:tab/>
      </w:r>
      <w:r w:rsidRPr="00620047">
        <w:rPr>
          <w:rFonts w:cs="Arial"/>
        </w:rPr>
        <w:t>Het te lozen afvalwater, bedoeld in het tweede lid, kan op een doelmatige wijze worden bemonsterd.</w:t>
      </w:r>
    </w:p>
    <w:p w:rsidR="00624A65" w:rsidRDefault="00624A65" w:rsidP="00624A65"/>
    <w:p w:rsidR="00624A65" w:rsidRDefault="00624A65" w:rsidP="00624A65">
      <w:pPr>
        <w:pStyle w:val="paragraaf"/>
        <w:shd w:val="clear" w:color="auto" w:fill="D9D9D9" w:themeFill="background1" w:themeFillShade="D9"/>
      </w:pPr>
      <w:bookmarkStart w:id="205" w:name="_Toc431375687"/>
      <w:r>
        <w:t>§ 4.3.2.</w:t>
      </w:r>
      <w:r>
        <w:tab/>
        <w:t>Reinigen, coaten of lijmen van hout  of kurk dan wel van houten, kurken of houtachtige voorwerpen</w:t>
      </w:r>
      <w:bookmarkEnd w:id="205"/>
    </w:p>
    <w:p w:rsidR="00624A65" w:rsidRDefault="00624A65" w:rsidP="00624A65">
      <w:pPr>
        <w:pStyle w:val="artikelkop"/>
        <w:shd w:val="clear" w:color="auto" w:fill="D9D9D9" w:themeFill="background1" w:themeFillShade="D9"/>
      </w:pPr>
      <w:r>
        <w:t>Artikel 4.40</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worden dampen en gassen die vrijkomen bij:</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het reinigen, coaten of lijmen van hout, kurk dan wel houten, kurken of houtachtige voorwerpen door middel van vernevelen van vluchtige organische stoffen met een nevelspuit;</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het coaten van hout, kurk dan wel houten, kurken of houtachtige voorwerpen door middel van het opbrengen van poeder;</w:t>
      </w:r>
    </w:p>
    <w:p w:rsidR="00624A65" w:rsidRDefault="00624A65" w:rsidP="00624A65">
      <w:pPr>
        <w:pStyle w:val="art2enivo"/>
        <w:shd w:val="clear" w:color="auto" w:fill="D9D9D9" w:themeFill="background1" w:themeFillShade="D9"/>
        <w:suppressAutoHyphens/>
        <w:rPr>
          <w:rFonts w:cs="Arial"/>
        </w:rPr>
      </w:pPr>
      <w:r>
        <w:rPr>
          <w:rFonts w:cs="Arial"/>
        </w:rPr>
        <w:t>c.</w:t>
      </w:r>
      <w:r>
        <w:rPr>
          <w:rFonts w:cs="Arial"/>
        </w:rPr>
        <w:tab/>
        <w:t>het reinigen, coaten of lijmen van hout, kurk dan wel houten, kurken of houtachtige voorwerpen met vluchtige organische stoffen door middel van dompeling in open of halfgesloten baden, uitgezonderd de toepassing van hoogkokende stoffen;</w:t>
      </w:r>
    </w:p>
    <w:p w:rsidR="00624A65" w:rsidRDefault="00624A65" w:rsidP="00624A65">
      <w:pPr>
        <w:pStyle w:val="art2enivo"/>
        <w:shd w:val="clear" w:color="auto" w:fill="D9D9D9" w:themeFill="background1" w:themeFillShade="D9"/>
        <w:suppressAutoHyphens/>
        <w:rPr>
          <w:rFonts w:cs="Arial"/>
        </w:rPr>
      </w:pPr>
      <w:r>
        <w:rPr>
          <w:rFonts w:cs="Arial"/>
        </w:rPr>
        <w:t>d.</w:t>
      </w:r>
      <w:r>
        <w:rPr>
          <w:rFonts w:cs="Arial"/>
        </w:rPr>
        <w:tab/>
        <w:t>het aansluitend aan voornoemde activiteiten, drogen dan wel uitharden van met vluchtige organische stoffen behandelde materialen dan wel het moffelen van materialen die zijn voorzien van een poedercoating, voor zover dat redelijkerwijs mogelijk is, doelmatig aan de bron afgezogen.</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Ten behoeve van het voorkomen dan wel tot een aanvaardbaar niveau beperken van stofhinder, worden emissies van stofklasse S, waaronder coating-, lijm- of poederdeeltjes, die vrijkomen bij het uitpandig coaten of lijmen van hout, kurk dan wel houten, kurken of houtachtige voorwerpen door middel van vernevelen met een nevelspuit, voorkomen, dan wel beperkt door het treffen van doelmatige afschermingen.</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Ten behoeve van het doelmatig verspreiden van emissies naar de buitenlucht, worden de overeenkomstig het eerste lid, onderdeel b, afgezogen dampen en gassen,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Ten behoeve van het voorkomen dan wel tot een aanvaardbaar niveau beperken van geurhinder worden de overeenkomstig het eerste lid, onderdelen a, c en d, afgezogen dampen en gassen, indien deze op de buitenlucht worden geëmitteerd:</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ten minste 2 meter boven de hoogste daklijn van de binnen 25 meter van de uitmonding gelegen gebouwen afgevoerd; of,</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geleid door een doelmatige ontgeuringsinstallatie.</w:t>
      </w:r>
    </w:p>
    <w:p w:rsidR="00624A65" w:rsidRDefault="00624A65" w:rsidP="00624A65">
      <w:pPr>
        <w:pStyle w:val="art1enivo"/>
        <w:shd w:val="clear" w:color="auto" w:fill="D9D9D9" w:themeFill="background1" w:themeFillShade="D9"/>
        <w:suppressAutoHyphens/>
        <w:rPr>
          <w:rFonts w:cs="Arial"/>
        </w:rPr>
      </w:pPr>
      <w:r>
        <w:rPr>
          <w:rFonts w:cs="Arial"/>
        </w:rPr>
        <w:t>5.</w:t>
      </w:r>
      <w:r>
        <w:rPr>
          <w:rFonts w:cs="Arial"/>
        </w:rPr>
        <w:tab/>
        <w:t>Het bevoegd gezag kan in het belang van de luchtkwaliteit en  maatwerkvoorschriften stellen aan de ligging en uitvoering van het afvoerpunt van de emissies naar de buitenlucht bedoeld in het derde lid.</w:t>
      </w:r>
    </w:p>
    <w:p w:rsidR="00624A65" w:rsidRDefault="00624A65" w:rsidP="00624A65">
      <w:pPr>
        <w:pStyle w:val="art1enivo"/>
        <w:shd w:val="clear" w:color="auto" w:fill="D9D9D9" w:themeFill="background1" w:themeFillShade="D9"/>
        <w:suppressAutoHyphens/>
        <w:rPr>
          <w:rFonts w:cs="Arial"/>
        </w:rPr>
      </w:pPr>
      <w:r>
        <w:rPr>
          <w:rFonts w:cs="Arial"/>
        </w:rPr>
        <w:t>6.</w:t>
      </w:r>
      <w:r>
        <w:rPr>
          <w:rFonts w:cs="Arial"/>
        </w:rPr>
        <w:tab/>
        <w:t>Het vierde lid is niet van toepassing indien het mogelijke effect van de geuremissie van de uittredende lucht van een afzuiginstallatie beperkt blijft tot een gezoneerd industrieterrein of een bedrijventerrein met minder dan één gevoelig gebouw per hectare.</w:t>
      </w:r>
    </w:p>
    <w:p w:rsidR="00624A65" w:rsidRDefault="00624A65" w:rsidP="00624A65">
      <w:pPr>
        <w:pStyle w:val="art1enivo"/>
        <w:shd w:val="clear" w:color="auto" w:fill="D9D9D9" w:themeFill="background1" w:themeFillShade="D9"/>
        <w:suppressAutoHyphens/>
        <w:rPr>
          <w:rFonts w:cs="Arial"/>
        </w:rPr>
      </w:pPr>
      <w:r>
        <w:rPr>
          <w:rFonts w:cs="Arial"/>
        </w:rPr>
        <w:t>7.</w:t>
      </w:r>
      <w:r>
        <w:rPr>
          <w:rFonts w:cs="Arial"/>
        </w:rPr>
        <w:tab/>
        <w:t>Het bevoegd gezag kan indien blijkt dat de geurhinder een aanvaardbaar niveau overschrijdt vanwege het slecht functioneren van de ontgeuringsinstallatie, onvoldoende verspreiding van afgezogen dampen, geuremissies die niet via de afzuiging worden afgevoerd of vanwege incidentele geurpieken in aanvulling op het vierde lid en overeenkomstig artikel 2.7a, derde lid, van het besluit maatwerkvoorschriften stellen met betrekking tot:</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de uitvoering en het onderhoud van een ontgeuringsinstallatie als bedoeld in het vierde lid;</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de situering van de afvoerpijp;</w:t>
      </w:r>
    </w:p>
    <w:p w:rsidR="00624A65" w:rsidRDefault="00624A65" w:rsidP="00624A65">
      <w:pPr>
        <w:pStyle w:val="art2enivo"/>
        <w:shd w:val="clear" w:color="auto" w:fill="D9D9D9" w:themeFill="background1" w:themeFillShade="D9"/>
        <w:suppressAutoHyphens/>
        <w:rPr>
          <w:rFonts w:cs="Arial"/>
        </w:rPr>
      </w:pPr>
      <w:r>
        <w:rPr>
          <w:rFonts w:cs="Arial"/>
        </w:rPr>
        <w:t>c.</w:t>
      </w:r>
      <w:r>
        <w:rPr>
          <w:rFonts w:cs="Arial"/>
        </w:rPr>
        <w:tab/>
        <w:t>het voorkomen of beperken van diffuse geuremissies; of</w:t>
      </w:r>
    </w:p>
    <w:p w:rsidR="00624A65" w:rsidRDefault="00624A65" w:rsidP="00624A65">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624A65" w:rsidRDefault="00624A65" w:rsidP="00624A65">
      <w:pPr>
        <w:pStyle w:val="art1enivo"/>
        <w:shd w:val="clear" w:color="auto" w:fill="D9D9D9" w:themeFill="background1" w:themeFillShade="D9"/>
        <w:suppressAutoHyphens/>
        <w:rPr>
          <w:rFonts w:cs="Arial"/>
        </w:rPr>
      </w:pPr>
      <w:r>
        <w:rPr>
          <w:rFonts w:cs="Arial"/>
        </w:rPr>
        <w:t>8.</w:t>
      </w:r>
      <w:r>
        <w:rPr>
          <w:rFonts w:cs="Arial"/>
        </w:rPr>
        <w:tab/>
        <w:t>In afwijking van het vierde lid kan het bevoegd gezag indien blijkt dat de geurhinder een aanvaardbaar niveau overschrijdt en de bevoegdheden in het zevende lid onvoldoende zijn om de overschrijding ongedaan te maken, overeenkomstig artikel 2.7a, derde lid, van het besluit maatwerkvoorschriften stellen met betrekking tot de aanwezigheid van een ontgeuringsinstallatie of een grotere afvoerhoogte van de afgezogen dampen en gassen.</w:t>
      </w:r>
    </w:p>
    <w:p w:rsidR="00624A65" w:rsidRDefault="00624A65" w:rsidP="00624A65">
      <w:pPr>
        <w:pStyle w:val="art1enivo"/>
        <w:shd w:val="clear" w:color="auto" w:fill="D9D9D9" w:themeFill="background1" w:themeFillShade="D9"/>
      </w:pPr>
      <w:r>
        <w:t>9.</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derde lid niet van toepassing voor zover er geen verandering van de inrichting plaatsvindt waarvoor een melding krachtens artikel 1.10 van het besluit nodig is en voor zover de emissies als bedoeld in het derde lid niet toenemen en de wijze van afvoer van die emissies naar de buitenlucht niet verandert.</w:t>
      </w:r>
    </w:p>
    <w:p w:rsidR="00624A65" w:rsidRDefault="00624A65" w:rsidP="00624A65">
      <w:pPr>
        <w:pStyle w:val="art1enivo"/>
        <w:shd w:val="clear" w:color="auto" w:fill="D9D9D9" w:themeFill="background1" w:themeFillShade="D9"/>
      </w:pPr>
      <w:r>
        <w:t>10.</w:t>
      </w:r>
      <w:r>
        <w:tab/>
        <w:t>In afwijking van het negende lid kan het bevoegd gezag maatwerkvoorschriften als bedoeld in het vijfde lid stellen.</w:t>
      </w:r>
    </w:p>
    <w:p w:rsidR="00624A65" w:rsidRDefault="00624A65" w:rsidP="00624A65">
      <w:pPr>
        <w:pStyle w:val="art1enivo"/>
        <w:shd w:val="clear" w:color="auto" w:fill="D9D9D9" w:themeFill="background1" w:themeFillShade="D9"/>
      </w:pPr>
      <w:r>
        <w:t>11.</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vierde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624A65" w:rsidRDefault="00624A65" w:rsidP="00624A65">
      <w:pPr>
        <w:pStyle w:val="art1enivo"/>
        <w:shd w:val="clear" w:color="auto" w:fill="D9D9D9" w:themeFill="background1" w:themeFillShade="D9"/>
      </w:pPr>
      <w:r>
        <w:t>12.</w:t>
      </w:r>
      <w:r>
        <w:tab/>
        <w:t>In afwijking van het elfde lid kan het bevoegd gezag maatwerkvoorschriften als bedoeld in het zevende en achtste lid stellen.</w:t>
      </w:r>
    </w:p>
    <w:p w:rsidR="00624A65" w:rsidRDefault="00624A65" w:rsidP="00624A65">
      <w:pPr>
        <w:pStyle w:val="artikelkop"/>
        <w:shd w:val="clear" w:color="auto" w:fill="D9D9D9" w:themeFill="background1" w:themeFillShade="D9"/>
      </w:pPr>
      <w:r>
        <w:t>Artikel 4.41</w:t>
      </w:r>
    </w:p>
    <w:p w:rsidR="00624A65" w:rsidRDefault="00624A65" w:rsidP="00624A65">
      <w:pPr>
        <w:pStyle w:val="artplat"/>
        <w:shd w:val="clear" w:color="auto" w:fill="D9D9D9" w:themeFill="background1" w:themeFillShade="D9"/>
        <w:suppressAutoHyphens/>
        <w:rPr>
          <w:rFonts w:cs="Arial"/>
        </w:rPr>
      </w:pPr>
      <w:r>
        <w:rPr>
          <w:rFonts w:cs="Arial"/>
        </w:rPr>
        <w:t>Aan artikel 4.23, eerste lid, van het besluit wordt in ieder geval voldaan indien:</w:t>
      </w:r>
    </w:p>
    <w:p w:rsidR="00624A65" w:rsidRDefault="00624A65" w:rsidP="00624A65">
      <w:pPr>
        <w:pStyle w:val="art1enivo"/>
        <w:shd w:val="clear" w:color="auto" w:fill="D9D9D9" w:themeFill="background1" w:themeFillShade="D9"/>
      </w:pPr>
      <w:r>
        <w:t>a.</w:t>
      </w:r>
      <w:r>
        <w:tab/>
        <w:t>de afgezogen stofemissies die vrijkomen bij het coaten of lijmen van hout, kurk dan wel houten, kurken of houtachtige voorwerpen door middel van vernevelen met een nevelspuit en emissies die vrijkomen bij het coaten door middel van het opbrengen van poeder, worden gevoerd door een filtrerende afscheider die geschikt is om aan artikel 4.23, eerste lid, van het besluit te voldoen; en</w:t>
      </w:r>
    </w:p>
    <w:p w:rsidR="00624A65" w:rsidRDefault="00624A65" w:rsidP="00624A65">
      <w:pPr>
        <w:pStyle w:val="art1enivo"/>
        <w:shd w:val="clear" w:color="auto" w:fill="D9D9D9" w:themeFill="background1" w:themeFillShade="D9"/>
      </w:pPr>
      <w:r>
        <w:t>b.</w:t>
      </w:r>
      <w:r>
        <w:tab/>
        <w:t>die filtrerende afscheider in goede staat van onderhoud verkeert, periodiek gecontroleerd wordt en zo vaak als voor de goede werking nodig is, wordt schoongemaakt en vervangen.</w:t>
      </w:r>
    </w:p>
    <w:p w:rsidR="00624A65" w:rsidRDefault="00624A65" w:rsidP="00624A65">
      <w:pPr>
        <w:pStyle w:val="artikelkop"/>
        <w:shd w:val="clear" w:color="auto" w:fill="D9D9D9" w:themeFill="background1" w:themeFillShade="D9"/>
      </w:pPr>
      <w:r>
        <w:t>Artikel 4.42</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Ter uitvoering van artikel 4.24, eerste lid van het besluit, past degene die de inrichting drijft:</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bij het coaten of lijmen van hout, kurk dan wel houten, kurken of houtachtige voorwerpen:</w:t>
      </w:r>
    </w:p>
    <w:p w:rsidR="00624A65" w:rsidRDefault="00624A65" w:rsidP="00624A65">
      <w:pPr>
        <w:pStyle w:val="art3enivo"/>
        <w:shd w:val="clear" w:color="auto" w:fill="D9D9D9" w:themeFill="background1" w:themeFillShade="D9"/>
        <w:suppressAutoHyphens/>
      </w:pPr>
      <w:r>
        <w:t>1°.</w:t>
      </w:r>
      <w:r>
        <w:tab/>
        <w:t>maatregelen ten aanzien van de bedrijfsvoering ter voorkoming van onnodige emissie van vluchtige organische stoffen;</w:t>
      </w:r>
    </w:p>
    <w:p w:rsidR="00624A65" w:rsidRDefault="00624A65" w:rsidP="00624A65">
      <w:pPr>
        <w:pStyle w:val="art3enivo"/>
        <w:shd w:val="clear" w:color="auto" w:fill="D9D9D9" w:themeFill="background1" w:themeFillShade="D9"/>
        <w:suppressAutoHyphens/>
      </w:pPr>
      <w:r>
        <w:t>2°.</w:t>
      </w:r>
      <w:r>
        <w:tab/>
        <w:t>oplosmiddelarme producten en efficiënte applicatiemethoden toe.</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bij het reinigen van hout, kurk dan wel houten, kurken of houtachtige voorwerpen:</w:t>
      </w:r>
    </w:p>
    <w:p w:rsidR="00624A65" w:rsidRDefault="00624A65" w:rsidP="00624A65">
      <w:pPr>
        <w:pStyle w:val="art3enivo"/>
        <w:shd w:val="clear" w:color="auto" w:fill="D9D9D9" w:themeFill="background1" w:themeFillShade="D9"/>
        <w:suppressAutoHyphens/>
      </w:pPr>
      <w:r>
        <w:t>1°.</w:t>
      </w:r>
      <w:r>
        <w:tab/>
        <w:t>maatregelen ten aanzien van de bedrijfsvoering ter voorkoming van onnodige emissie van vluchtige organische stoffen;</w:t>
      </w:r>
    </w:p>
    <w:p w:rsidR="00624A65" w:rsidRDefault="00624A65" w:rsidP="00624A65">
      <w:pPr>
        <w:pStyle w:val="art3enivo"/>
        <w:shd w:val="clear" w:color="auto" w:fill="D9D9D9" w:themeFill="background1" w:themeFillShade="D9"/>
        <w:suppressAutoHyphens/>
      </w:pPr>
      <w:r>
        <w:t>2°.</w:t>
      </w:r>
      <w:r>
        <w:tab/>
        <w:t>de volgende maatregelen in volgorde van opsomming toe:</w:t>
      </w:r>
    </w:p>
    <w:p w:rsidR="00624A65" w:rsidRPr="00624A65" w:rsidRDefault="00624A65" w:rsidP="00624A65">
      <w:pPr>
        <w:pStyle w:val="art4enivo"/>
        <w:shd w:val="clear" w:color="auto" w:fill="D9D9D9" w:themeFill="background1" w:themeFillShade="D9"/>
        <w:suppressAutoHyphens/>
        <w:rPr>
          <w:lang w:val="nl-NL"/>
        </w:rPr>
      </w:pPr>
      <w:r w:rsidRPr="00624A65">
        <w:rPr>
          <w:lang w:val="nl-NL"/>
        </w:rPr>
        <w:t>i.</w:t>
      </w:r>
      <w:r w:rsidRPr="00624A65">
        <w:rPr>
          <w:lang w:val="nl-NL"/>
        </w:rPr>
        <w:tab/>
        <w:t>zoveel mogelijk droog reinigen;</w:t>
      </w:r>
    </w:p>
    <w:p w:rsidR="00624A65" w:rsidRPr="00624A65" w:rsidRDefault="00624A65" w:rsidP="00624A65">
      <w:pPr>
        <w:pStyle w:val="art4enivo"/>
        <w:shd w:val="clear" w:color="auto" w:fill="D9D9D9" w:themeFill="background1" w:themeFillShade="D9"/>
        <w:suppressAutoHyphens/>
        <w:rPr>
          <w:lang w:val="nl-NL"/>
        </w:rPr>
      </w:pPr>
      <w:r w:rsidRPr="00624A65">
        <w:rPr>
          <w:lang w:val="nl-NL"/>
        </w:rPr>
        <w:t>ii.</w:t>
      </w:r>
      <w:r w:rsidRPr="00624A65">
        <w:rPr>
          <w:lang w:val="nl-NL"/>
        </w:rPr>
        <w:tab/>
        <w:t>indien reiniging niet op een droge manier kan plaatsvinden, wordt gebruik gemaakt van waterige middelen;</w:t>
      </w:r>
    </w:p>
    <w:p w:rsidR="00624A65" w:rsidRPr="00624A65" w:rsidRDefault="00624A65" w:rsidP="00624A65">
      <w:pPr>
        <w:pStyle w:val="art4enivo"/>
        <w:shd w:val="clear" w:color="auto" w:fill="D9D9D9" w:themeFill="background1" w:themeFillShade="D9"/>
        <w:suppressAutoHyphens/>
        <w:rPr>
          <w:lang w:val="nl-NL"/>
        </w:rPr>
      </w:pPr>
      <w:r w:rsidRPr="00624A65">
        <w:rPr>
          <w:lang w:val="nl-NL"/>
        </w:rPr>
        <w:t>iii.</w:t>
      </w:r>
      <w:r w:rsidRPr="00624A65">
        <w:rPr>
          <w:lang w:val="nl-NL"/>
        </w:rPr>
        <w:tab/>
        <w:t>indien reiniging met waterige middelen technisch niet uitvoerbaar is, of niet kosteneffectief is, vindt het reinigen met organische oplosmiddelen plaats in procesbaden, die zijn uitgevoerd als een gesloten systeem. Indien gesloten systemen worden toegepast, wordt de in- en uitneemzone ten minste één minuut gesloten gehouden na beëindiging van het gebruik van de pomp- of persluchtinstallatie, ter beperking van de emissie naar de lucht;</w:t>
      </w:r>
    </w:p>
    <w:p w:rsidR="00624A65" w:rsidRPr="00624A65" w:rsidRDefault="00624A65" w:rsidP="00624A65">
      <w:pPr>
        <w:pStyle w:val="art4enivo"/>
        <w:shd w:val="clear" w:color="auto" w:fill="D9D9D9" w:themeFill="background1" w:themeFillShade="D9"/>
        <w:suppressAutoHyphens/>
        <w:rPr>
          <w:lang w:val="nl-NL"/>
        </w:rPr>
      </w:pPr>
      <w:r w:rsidRPr="00624A65">
        <w:rPr>
          <w:lang w:val="nl-NL"/>
        </w:rPr>
        <w:t>iv.</w:t>
      </w:r>
      <w:r w:rsidRPr="00624A65">
        <w:rPr>
          <w:lang w:val="nl-NL"/>
        </w:rPr>
        <w:tab/>
        <w:t>indien reiniging niet mogelijk is in een gesloten systeem vanwege van technische onuitvoerbaarheid of omdat het niet kosteneffectief is, wordt gebruik gemaakt van hoogkokende niet-gehalogeneerde oplosmiddelen.</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 xml:space="preserve">Indien de emissiereducerende maatregelen als bedoeld in het eerste lid niet of in onvoldoende mate zijn getroffen, kan het bevoegd gezag verzoeken om een motivering waarom de maatregelen niet zijn </w:t>
      </w:r>
      <w:r>
        <w:rPr>
          <w:rFonts w:cs="Arial"/>
          <w:szCs w:val="20"/>
        </w:rPr>
        <w:t>getroffen</w:t>
      </w:r>
      <w:r>
        <w:rPr>
          <w:rFonts w:cs="Arial"/>
        </w:rPr>
        <w:t>. Bij de motivering wordt betrokken de kosteneffectiviteit en de technische uitvoerbaarheid van de maatregelen.</w:t>
      </w:r>
    </w:p>
    <w:p w:rsidR="00624A65" w:rsidRDefault="00624A65" w:rsidP="00624A65">
      <w:pPr>
        <w:pStyle w:val="artikelkop"/>
        <w:shd w:val="clear" w:color="auto" w:fill="D9D9D9" w:themeFill="background1" w:themeFillShade="D9"/>
      </w:pPr>
      <w:r>
        <w:t>Artikel 4.43</w:t>
      </w:r>
    </w:p>
    <w:p w:rsidR="00624A65" w:rsidRDefault="00624A65" w:rsidP="00624A65">
      <w:pPr>
        <w:shd w:val="clear" w:color="auto" w:fill="D9D9D9" w:themeFill="background1" w:themeFillShade="D9"/>
      </w:pPr>
      <w:r>
        <w:rPr>
          <w:rFonts w:cs="Arial"/>
        </w:rPr>
        <w:t>Ten behoeve van het realiseren van een verwaarloosbaar bodemrisico vindt bij het reinigen, coaten of lijmen van hout, kurk dan wel houten, kurken of houtachtige voorwerpen het verwerken van lakken, verdunners en lijmen alsmede het reinigen, het chemisch ontlakken en het logen van hout, kurk of houtachtige voorwerpen plaats boven een bodembeschermende voorziening.</w:t>
      </w:r>
    </w:p>
    <w:p w:rsidR="00624A65" w:rsidRPr="00624A65" w:rsidRDefault="00624A65" w:rsidP="00624A65"/>
    <w:p w:rsidR="00296032" w:rsidRPr="00620047" w:rsidRDefault="00296032">
      <w:pPr>
        <w:pStyle w:val="afdeling"/>
        <w:rPr>
          <w:rFonts w:cs="Arial"/>
        </w:rPr>
      </w:pPr>
      <w:bookmarkStart w:id="206" w:name="_Toc277243223"/>
      <w:bookmarkStart w:id="207" w:name="_Toc431375688"/>
      <w:r w:rsidRPr="00620047">
        <w:rPr>
          <w:rFonts w:cs="Arial"/>
        </w:rPr>
        <w:t>Afdeling 4.4. Activiteiten met betrekking tot rubber of kunststof</w:t>
      </w:r>
      <w:bookmarkEnd w:id="206"/>
      <w:bookmarkEnd w:id="207"/>
    </w:p>
    <w:p w:rsidR="00296032" w:rsidRPr="00296032" w:rsidRDefault="00296032">
      <w:pPr>
        <w:pStyle w:val="paragraaf"/>
      </w:pPr>
      <w:bookmarkStart w:id="208" w:name="_Toc431375689"/>
      <w:bookmarkStart w:id="209" w:name="_Toc277243224"/>
      <w:r w:rsidRPr="00296032">
        <w:t>§ 4.4.1.</w:t>
      </w:r>
      <w:r w:rsidRPr="00296032">
        <w:tab/>
        <w:t>Mechanische bewerkingen van rubber, kunststof of rubber- of kunststofproducten</w:t>
      </w:r>
      <w:bookmarkEnd w:id="208"/>
    </w:p>
    <w:p w:rsidR="00296032" w:rsidRPr="00296032" w:rsidRDefault="00296032">
      <w:pPr>
        <w:pStyle w:val="artikelkop"/>
      </w:pPr>
      <w:r w:rsidRPr="00296032">
        <w:t>Artikel 4.27</w:t>
      </w:r>
    </w:p>
    <w:p w:rsidR="00296032" w:rsidRPr="00620047" w:rsidRDefault="00296032">
      <w:pPr>
        <w:pStyle w:val="artplat"/>
      </w:pPr>
      <w:r w:rsidRPr="00620047">
        <w:t>Deze paragraaf is van toepassing op de mechanische bewerking van rubber, kunststof of van rubber- of kunststofproducten.</w:t>
      </w:r>
    </w:p>
    <w:p w:rsidR="00296032" w:rsidRPr="00296032" w:rsidRDefault="00296032">
      <w:pPr>
        <w:pStyle w:val="artikelkop"/>
      </w:pPr>
      <w:r w:rsidRPr="00296032">
        <w:t>Artikel 4.27a</w:t>
      </w:r>
    </w:p>
    <w:p w:rsidR="00296032" w:rsidRPr="00620047" w:rsidRDefault="00296032">
      <w:pPr>
        <w:pStyle w:val="art1enivo"/>
      </w:pPr>
      <w:r w:rsidRPr="00620047">
        <w:t>1.</w:t>
      </w:r>
      <w:r w:rsidRPr="00620047">
        <w:tab/>
        <w:t>Onverminderd artikel 2.5, eerste, vierde en vijfde lid, en artikel 2.6 is bij de mechanische bewerking van rubber, kunststof of van rubber- of kunststofproducten de emissieconcentratie van stofklasse S niet meer dan:</w:t>
      </w:r>
    </w:p>
    <w:p w:rsidR="00296032" w:rsidRPr="00620047" w:rsidRDefault="00296032">
      <w:pPr>
        <w:pStyle w:val="art2enivo"/>
      </w:pPr>
      <w:r w:rsidRPr="00620047">
        <w:t>a.</w:t>
      </w:r>
      <w:r w:rsidRPr="00620047">
        <w:tab/>
        <w:t>5 milligram per normaal kubieke meter, indien de massastroom van stofklasse S naar de lucht gelijk is aan of groter is dan 200 gram per uur, en</w:t>
      </w:r>
    </w:p>
    <w:p w:rsidR="00296032" w:rsidRPr="00620047" w:rsidRDefault="00296032">
      <w:pPr>
        <w:pStyle w:val="art2enivo"/>
      </w:pPr>
      <w:r w:rsidRPr="00620047">
        <w:t>b.</w:t>
      </w:r>
      <w:r w:rsidRPr="00620047">
        <w:tab/>
        <w:t>50 milligram per normaal kubieke meter, indien de massastroom van stofklasse S kleiner is dan 200 gram per uur.</w:t>
      </w:r>
    </w:p>
    <w:p w:rsidR="00296032" w:rsidRPr="00620047" w:rsidRDefault="00296032">
      <w:pPr>
        <w:pStyle w:val="art1enivo"/>
      </w:pPr>
      <w:r w:rsidRPr="00620047">
        <w:t>2.</w:t>
      </w:r>
      <w:r w:rsidRPr="00620047">
        <w:tab/>
        <w:t>Bij mechanische bewerking van rubber, kunststof of van rubber- of kunststofproducten wordt ten behoeve van het voorkomen dan wel voor zover dat niet mogelijk is het beperken van diffuse emissies en het doelmatig verspreiden van emissies naar de buitenlucht voldaan aan de bij ministeriële regeling gestelde eisen.</w:t>
      </w:r>
    </w:p>
    <w:p w:rsidR="00296032" w:rsidRPr="00620047" w:rsidRDefault="00296032">
      <w:pPr>
        <w:pStyle w:val="art1enivo"/>
      </w:pPr>
      <w:r w:rsidRPr="00620047">
        <w:t>3.</w:t>
      </w:r>
      <w:r w:rsidRPr="00620047">
        <w:tab/>
        <w:t>Het eerste en tweede lid zijn niet van toepassing op het niet beroepsmatig onderhouden en repareren van pleziervaartuigen in de buitenlucht bij een jachthaven.</w:t>
      </w:r>
    </w:p>
    <w:p w:rsidR="00296032" w:rsidRPr="00620047" w:rsidRDefault="00296032">
      <w:pPr>
        <w:pStyle w:val="art1enivo"/>
      </w:pPr>
      <w:r w:rsidRPr="00620047">
        <w:t>4.</w:t>
      </w:r>
      <w:r w:rsidRPr="00620047">
        <w:tab/>
        <w:t>Het eerste en tweede lid zijn niet van toepassing indien bij de mechanische bewerkingen van rubber, kunststof, rubber- of kunststofproducten in de inrichting niet meer dan 3 kubieke meter rubber, kunststof, rubber- of kunststofproducten per jaar wordt bewerkt.</w:t>
      </w:r>
    </w:p>
    <w:p w:rsidR="00296032" w:rsidRPr="00296032" w:rsidRDefault="00296032">
      <w:pPr>
        <w:pStyle w:val="artikelkop"/>
      </w:pPr>
      <w:r w:rsidRPr="00296032">
        <w:t>Artikel 4.27b</w:t>
      </w:r>
    </w:p>
    <w:p w:rsidR="00296032" w:rsidRPr="00620047" w:rsidRDefault="00296032">
      <w:pPr>
        <w:pStyle w:val="artplat"/>
      </w:pPr>
      <w:r w:rsidRPr="00620047">
        <w:t>Bij het verkleinen van rubber, kunststof of rubber- of kunststofproducten wordt ten behoeve van het realiseren van een verwaarloosbaar bodemrisico voldaan aan de bij ministeriële regeling gestelde eisen.</w:t>
      </w:r>
      <w:bookmarkEnd w:id="209"/>
    </w:p>
    <w:p w:rsidR="00624A65" w:rsidRDefault="00624A65" w:rsidP="00624A65">
      <w:pPr>
        <w:pStyle w:val="paragraaf"/>
        <w:shd w:val="clear" w:color="auto" w:fill="D9D9D9" w:themeFill="background1" w:themeFillShade="D9"/>
      </w:pPr>
      <w:bookmarkStart w:id="210" w:name="_Toc431375690"/>
      <w:bookmarkStart w:id="211" w:name="_Toc277243225"/>
      <w:r>
        <w:t>§ 4.4.1.</w:t>
      </w:r>
      <w:r>
        <w:tab/>
        <w:t>Mechanische bewerkingen van rubber, kunststof of rubber- of kunststofproducten</w:t>
      </w:r>
      <w:bookmarkEnd w:id="210"/>
    </w:p>
    <w:p w:rsidR="00624A65" w:rsidRDefault="00624A65" w:rsidP="00624A65">
      <w:pPr>
        <w:pStyle w:val="artikelkop"/>
        <w:shd w:val="clear" w:color="auto" w:fill="D9D9D9" w:themeFill="background1" w:themeFillShade="D9"/>
      </w:pPr>
      <w:r>
        <w:t>Artikel 4.44</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als bedoeld in artikel 4.27a, tweede lid, van het besluit wordt stofklasse S dat vrijkomt bij mechanische bewerking van rubber, kunststof of rubber- of kunststofproducten, voor zover dat redelijkerwijs mogelijk is, doelmatig aan de bron afgezogen.</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als bedoeld in artikel 4.27a, tweede lid, van het besluit, worden de afgezogen emissies die vrijkomen bij mechanische bewerking van rubber, kunststof of rubber- of kunststofproducten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en  maatwerkvoorschriften stellen aan de ligging en uitvoering van het afvoerpunt van de emissies naar de buitenlucht, als bedoeld in het tweede lid.</w:t>
      </w:r>
    </w:p>
    <w:p w:rsidR="00624A65" w:rsidRDefault="00624A65" w:rsidP="00624A65">
      <w:pPr>
        <w:pStyle w:val="art1enivo"/>
        <w:shd w:val="clear" w:color="auto" w:fill="D9D9D9" w:themeFill="background1" w:themeFillShade="D9"/>
      </w:pPr>
      <w:r>
        <w:t>4.</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624A65" w:rsidRDefault="00624A65" w:rsidP="00624A65">
      <w:pPr>
        <w:pStyle w:val="art1enivo"/>
        <w:shd w:val="clear" w:color="auto" w:fill="D9D9D9" w:themeFill="background1" w:themeFillShade="D9"/>
      </w:pPr>
      <w:r>
        <w:t>5.</w:t>
      </w:r>
      <w:r>
        <w:tab/>
        <w:t>In afwijking van het vierde lid kan het bevoegd gezag maatwerkvoorschriften als bedoeld in het derde lid stellen.</w:t>
      </w:r>
    </w:p>
    <w:p w:rsidR="00624A65" w:rsidRDefault="00624A65" w:rsidP="00624A65">
      <w:pPr>
        <w:pStyle w:val="artikelkop"/>
        <w:shd w:val="clear" w:color="auto" w:fill="D9D9D9" w:themeFill="background1" w:themeFillShade="D9"/>
      </w:pPr>
      <w:r>
        <w:t>Artikel 4.45</w:t>
      </w:r>
    </w:p>
    <w:p w:rsidR="00624A65" w:rsidRDefault="00624A65" w:rsidP="00624A65">
      <w:pPr>
        <w:pStyle w:val="art1enivo"/>
        <w:shd w:val="clear" w:color="auto" w:fill="D9D9D9" w:themeFill="background1" w:themeFillShade="D9"/>
        <w:suppressAutoHyphens/>
        <w:rPr>
          <w:rFonts w:cs="Arial"/>
        </w:rPr>
      </w:pPr>
      <w:r>
        <w:rPr>
          <w:rFonts w:cs="Arial"/>
        </w:rPr>
        <w:t>Aan artikel 4.27a, eerste lid, van het besluit wordt in ieder geval voldaan indien:</w:t>
      </w:r>
    </w:p>
    <w:p w:rsidR="00624A65" w:rsidRDefault="00624A65" w:rsidP="00624A65">
      <w:pPr>
        <w:pStyle w:val="artplatletter"/>
        <w:shd w:val="clear" w:color="auto" w:fill="D9D9D9" w:themeFill="background1" w:themeFillShade="D9"/>
        <w:suppressAutoHyphens/>
        <w:rPr>
          <w:rFonts w:cs="Arial"/>
        </w:rPr>
      </w:pPr>
      <w:r>
        <w:rPr>
          <w:rFonts w:cs="Arial"/>
        </w:rPr>
        <w:t>a.</w:t>
      </w:r>
      <w:r>
        <w:rPr>
          <w:rFonts w:cs="Arial"/>
        </w:rPr>
        <w:tab/>
        <w:t>de afgezogen stofemissies die vrijkomen bij mechanische bewerking van rubber, kunststof of rubber- of kunststofproducten worden gevoerd door een filtrerende afscheider die geschikt is om aan artikel 4.27a, eerste lid, van het besluit te voldoen, en</w:t>
      </w:r>
    </w:p>
    <w:p w:rsidR="00624A65" w:rsidRDefault="00624A65" w:rsidP="00624A65">
      <w:pPr>
        <w:pStyle w:val="artplatletter"/>
        <w:shd w:val="clear" w:color="auto" w:fill="D9D9D9" w:themeFill="background1" w:themeFillShade="D9"/>
        <w:suppressAutoHyphens/>
        <w:rPr>
          <w:rFonts w:cs="Arial"/>
        </w:rPr>
      </w:pPr>
      <w:r>
        <w:rPr>
          <w:rFonts w:cs="Arial"/>
        </w:rPr>
        <w:t>b.</w:t>
      </w:r>
      <w:r>
        <w:rPr>
          <w:rFonts w:cs="Arial"/>
        </w:rPr>
        <w:tab/>
        <w:t>die filtrerende afscheider in goede staat van onderhoud verkeert, periodiek gecontroleerd wordt en zo vaak als voor de goede werking nodig is, wordt schoongemaakt en vervangen.</w:t>
      </w:r>
    </w:p>
    <w:p w:rsidR="00624A65" w:rsidRDefault="00624A65" w:rsidP="00624A65">
      <w:pPr>
        <w:pStyle w:val="artikelkop"/>
        <w:shd w:val="clear" w:color="auto" w:fill="D9D9D9" w:themeFill="background1" w:themeFillShade="D9"/>
      </w:pPr>
      <w:r>
        <w:t>Artikel 4.45a</w:t>
      </w:r>
    </w:p>
    <w:p w:rsidR="00624A65" w:rsidRDefault="00624A65" w:rsidP="00624A65">
      <w:pPr>
        <w:pStyle w:val="artplat"/>
        <w:shd w:val="clear" w:color="auto" w:fill="D9D9D9" w:themeFill="background1" w:themeFillShade="D9"/>
        <w:suppressAutoHyphens/>
        <w:rPr>
          <w:rFonts w:cs="Arial"/>
        </w:rPr>
      </w:pPr>
      <w:r>
        <w:rPr>
          <w:rFonts w:cs="Arial"/>
        </w:rPr>
        <w:t>Ten behoeve van het realiseren van een verwaarloosbaar bodemrisico als bedoeld in artikel 4.27b, van het besluit, vindt het shredderen van rubber, kunststof of  rubber- of kunststofproducten waarbij gebruik wordt gemaakt van een installatie met een olie- of koelvloeistofcircuit plaats boven een bodembeschermende voorziening.</w:t>
      </w:r>
    </w:p>
    <w:p w:rsidR="00296032" w:rsidRPr="00296032" w:rsidRDefault="00296032">
      <w:pPr>
        <w:pStyle w:val="paragraaf"/>
        <w:rPr>
          <w:rFonts w:cs="Arial"/>
        </w:rPr>
      </w:pPr>
      <w:bookmarkStart w:id="212" w:name="_Toc431375691"/>
      <w:r w:rsidRPr="00296032">
        <w:rPr>
          <w:rFonts w:cs="Arial"/>
        </w:rPr>
        <w:t>§ 4.4.2.</w:t>
      </w:r>
      <w:r w:rsidRPr="00296032">
        <w:rPr>
          <w:rFonts w:cs="Arial"/>
        </w:rPr>
        <w:tab/>
        <w:t>Reinigen, coaten of lijmen van rubber, kunststof of rubber- of kunststofproducten.</w:t>
      </w:r>
      <w:bookmarkEnd w:id="212"/>
      <w:bookmarkEnd w:id="211"/>
    </w:p>
    <w:p w:rsidR="00296032" w:rsidRPr="00296032" w:rsidRDefault="00296032">
      <w:pPr>
        <w:pStyle w:val="artikelkop"/>
        <w:rPr>
          <w:rFonts w:cs="Arial"/>
        </w:rPr>
      </w:pPr>
      <w:r w:rsidRPr="00296032">
        <w:rPr>
          <w:rFonts w:cs="Arial"/>
        </w:rPr>
        <w:t>Artikel 4.27c</w:t>
      </w:r>
    </w:p>
    <w:p w:rsidR="00296032" w:rsidRPr="00620047" w:rsidRDefault="00296032">
      <w:pPr>
        <w:pStyle w:val="artplat"/>
      </w:pPr>
      <w:r w:rsidRPr="00620047">
        <w:t>Deze paragraaf is van toepassing op het reinigen, coaten of lijmen van rubber, kunststof of rubber- of kunststofproducten.</w:t>
      </w:r>
    </w:p>
    <w:p w:rsidR="00296032" w:rsidRPr="00296032" w:rsidRDefault="00296032">
      <w:pPr>
        <w:pStyle w:val="artikelkop"/>
        <w:rPr>
          <w:rFonts w:cs="Arial"/>
        </w:rPr>
      </w:pPr>
      <w:r w:rsidRPr="00296032">
        <w:rPr>
          <w:rFonts w:cs="Arial"/>
        </w:rPr>
        <w:t>Artikel 4.28</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is verboden om in de buitenlucht rubber, kunststof of rubber- of kunststofproducten met behulp van een nevelspuit te coaten of te lijmen dan wel met behulp van een nevelspuit te reinigen met vluchtige organische stoffen houdende producten.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het niet mogelijk is om deze activiteiten in het inpandige deel van de inrichting te verrichten vanwege de omvang van het te bewerken object.</w:t>
      </w:r>
    </w:p>
    <w:p w:rsidR="00296032" w:rsidRPr="00296032" w:rsidRDefault="00296032">
      <w:pPr>
        <w:pStyle w:val="artikelkop"/>
        <w:rPr>
          <w:rFonts w:cs="Arial"/>
        </w:rPr>
      </w:pPr>
      <w:r w:rsidRPr="00296032">
        <w:rPr>
          <w:rFonts w:cs="Arial"/>
        </w:rPr>
        <w:t>Artikel 4.29</w:t>
      </w:r>
    </w:p>
    <w:p w:rsidR="00296032" w:rsidRPr="00620047" w:rsidRDefault="00296032">
      <w:pPr>
        <w:pStyle w:val="art1enivo"/>
        <w:rPr>
          <w:rFonts w:cs="Arial"/>
          <w:bCs/>
        </w:rPr>
      </w:pPr>
      <w:r w:rsidRPr="00620047">
        <w:rPr>
          <w:rFonts w:cs="Arial"/>
          <w:bCs/>
        </w:rPr>
        <w:t>1.</w:t>
      </w:r>
      <w:r w:rsidRPr="00620047">
        <w:rPr>
          <w:rFonts w:cs="Arial"/>
          <w:bCs/>
        </w:rPr>
        <w:tab/>
      </w:r>
      <w:r w:rsidRPr="00620047">
        <w:t>Onverminderd artikel 2.5, eerste, vierde en vijfde lid, en artikel 2.6 is bij het aanbrengen van coating of lijmlagen de emissieconcentratie van stofklasse</w:t>
      </w:r>
      <w:r w:rsidRPr="00620047">
        <w:rPr>
          <w:rFonts w:cs="Arial"/>
          <w:bCs/>
        </w:rPr>
        <w:t xml:space="preserve"> S niet meer dan:</w:t>
      </w:r>
    </w:p>
    <w:p w:rsidR="00296032" w:rsidRPr="00620047" w:rsidRDefault="00296032">
      <w:pPr>
        <w:pStyle w:val="art2enivo"/>
      </w:pPr>
      <w:r w:rsidRPr="00620047">
        <w:t>a.</w:t>
      </w:r>
      <w:r w:rsidRPr="00620047">
        <w:tab/>
        <w:t>5 milligram per normaal kubieke meter, indien de massastroom van stofklasse S naar de lucht gelijk is aan of groter is dan 200 gram per uur, en</w:t>
      </w:r>
    </w:p>
    <w:p w:rsidR="00296032" w:rsidRPr="00620047" w:rsidRDefault="00296032">
      <w:pPr>
        <w:pStyle w:val="art2enivo"/>
      </w:pPr>
      <w:r w:rsidRPr="00620047">
        <w:t>b.</w:t>
      </w:r>
      <w:r w:rsidRPr="00620047">
        <w:tab/>
        <w:t>50 milligram per normaal kubieke meter, indien de massastroom van stofklasse S kleiner is dan 200 gram per uur.</w:t>
      </w:r>
    </w:p>
    <w:p w:rsidR="00296032" w:rsidRPr="00620047" w:rsidRDefault="00296032">
      <w:pPr>
        <w:pStyle w:val="art1enivo"/>
      </w:pPr>
      <w:r w:rsidRPr="00620047">
        <w:t xml:space="preserve">2. </w:t>
      </w:r>
      <w:r w:rsidRPr="00620047">
        <w:tab/>
        <w:t>Het eerste lid is niet van toepassing indien het coaten op grond van artikel 4.28, tweede lid, in de buitenlucht plaatsvindt.</w:t>
      </w:r>
    </w:p>
    <w:p w:rsidR="00296032" w:rsidRPr="00296032" w:rsidRDefault="00296032">
      <w:pPr>
        <w:pStyle w:val="artikelkop"/>
        <w:rPr>
          <w:rFonts w:cs="Arial"/>
        </w:rPr>
      </w:pPr>
      <w:r w:rsidRPr="00296032">
        <w:rPr>
          <w:rFonts w:cs="Arial"/>
        </w:rPr>
        <w:t>Artikel 4.30</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de inrichting drijft neemt bij het reinigen, coaten of lijmen van rubber, kunststof of rubber- of kunststofproducten de bij ministeriële regeling gestelde emissiereducerende maatregelen met betrekking tot vluchtige organische stoffen tenzij deze niet kosteneffectief of technisch uitvoerbaar zijn.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het totaal verbruik van vluchtige organische stoffen bij de in het eerste lid genoemde activiteiten minder bedraagt dan 1.000 kilogram per jaar.</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eerste lid is niet van toepassing op het verbruik van vluchtige organische stoffen waarvan het in de handel brengen is gereguleerd door het Besluit organische oplosmiddelen in verven en vernissen milieubeheer.</w:t>
      </w:r>
    </w:p>
    <w:p w:rsidR="00296032" w:rsidRPr="00620047" w:rsidRDefault="00296032">
      <w:pPr>
        <w:pStyle w:val="art1enivo"/>
        <w:rPr>
          <w:rFonts w:cs="Arial"/>
        </w:rPr>
      </w:pPr>
      <w:r w:rsidRPr="00620047">
        <w:rPr>
          <w:rFonts w:cs="Arial"/>
          <w:bCs/>
        </w:rPr>
        <w:t>4.</w:t>
      </w:r>
      <w:r w:rsidRPr="00620047">
        <w:rPr>
          <w:rFonts w:cs="Arial"/>
          <w:bCs/>
        </w:rPr>
        <w:tab/>
        <w:t>I</w:t>
      </w:r>
      <w:r w:rsidRPr="00620047">
        <w:rPr>
          <w:rFonts w:cs="Arial"/>
        </w:rPr>
        <w:t>ndien de drempelwaarden, genoemd in tabel 2.28a worden overschreden, zijn het eerste tot en met derde lid niet van toepassing en is afdeling 2.11 van toepassing.</w:t>
      </w:r>
    </w:p>
    <w:p w:rsidR="00296032" w:rsidRPr="00296032" w:rsidRDefault="00296032">
      <w:pPr>
        <w:pStyle w:val="artikelkop"/>
        <w:rPr>
          <w:rFonts w:cs="Arial"/>
        </w:rPr>
      </w:pPr>
      <w:r w:rsidRPr="00296032">
        <w:rPr>
          <w:rFonts w:cs="Arial"/>
        </w:rPr>
        <w:t>Artikel 4.31</w:t>
      </w:r>
    </w:p>
    <w:p w:rsidR="00296032" w:rsidRPr="00620047" w:rsidRDefault="00296032">
      <w:pPr>
        <w:rPr>
          <w:rFonts w:cs="Arial"/>
        </w:rPr>
      </w:pPr>
      <w:r w:rsidRPr="00620047">
        <w:rPr>
          <w:rFonts w:cs="Arial"/>
        </w:rPr>
        <w:t>Bij het reinigen, coaten of lijmen van rubber, kunststof of rubber- of kunststofproducten worden ten behoeve van:</w:t>
      </w:r>
    </w:p>
    <w:p w:rsidR="00296032" w:rsidRPr="00620047" w:rsidRDefault="00296032">
      <w:pPr>
        <w:pStyle w:val="artplatletter"/>
        <w:rPr>
          <w:rFonts w:cs="Arial"/>
        </w:rPr>
      </w:pPr>
      <w:r w:rsidRPr="00620047">
        <w:rPr>
          <w:rFonts w:cs="Arial"/>
        </w:rPr>
        <w:t>a.</w:t>
      </w:r>
      <w:r w:rsidRPr="00620047">
        <w:rPr>
          <w:rFonts w:cs="Arial"/>
        </w:rPr>
        <w:tab/>
        <w:t>het voorkomen dan wel beperken van diffuse emissies;</w:t>
      </w:r>
    </w:p>
    <w:p w:rsidR="00296032" w:rsidRPr="00620047" w:rsidRDefault="00296032">
      <w:pPr>
        <w:pStyle w:val="artplatletter"/>
        <w:rPr>
          <w:rFonts w:cs="Arial"/>
        </w:rPr>
      </w:pPr>
      <w:r w:rsidRPr="00620047">
        <w:rPr>
          <w:rFonts w:cs="Arial"/>
        </w:rPr>
        <w:t>b.</w:t>
      </w:r>
      <w:r w:rsidRPr="00620047">
        <w:rPr>
          <w:rFonts w:cs="Arial"/>
        </w:rPr>
        <w:tab/>
        <w:t>het voorkomen dan wel beperken van stofhinder;</w:t>
      </w:r>
    </w:p>
    <w:p w:rsidR="00296032" w:rsidRPr="00620047" w:rsidRDefault="00296032">
      <w:pPr>
        <w:pStyle w:val="artplatletter"/>
        <w:rPr>
          <w:rFonts w:cs="Arial"/>
        </w:rPr>
      </w:pPr>
      <w:r w:rsidRPr="00620047">
        <w:rPr>
          <w:rFonts w:cs="Arial"/>
        </w:rPr>
        <w:t>c.</w:t>
      </w:r>
      <w:r w:rsidRPr="00620047">
        <w:rPr>
          <w:rFonts w:cs="Arial"/>
        </w:rPr>
        <w:tab/>
        <w:t>het doelmatig verspreiden van emissies naar de buitenlucht;</w:t>
      </w:r>
    </w:p>
    <w:p w:rsidR="00296032" w:rsidRPr="00620047" w:rsidRDefault="00296032">
      <w:pPr>
        <w:pStyle w:val="artplatletter"/>
        <w:rPr>
          <w:rFonts w:cs="Arial"/>
        </w:rPr>
      </w:pPr>
      <w:r w:rsidRPr="00620047">
        <w:rPr>
          <w:rFonts w:cs="Arial"/>
        </w:rPr>
        <w:t>d.</w:t>
      </w:r>
      <w:r w:rsidRPr="00620047">
        <w:rPr>
          <w:rFonts w:cs="Arial"/>
        </w:rPr>
        <w:tab/>
        <w:t>het voorkomen dan wel beperken van geurhinder;</w:t>
      </w:r>
    </w:p>
    <w:p w:rsidR="00296032" w:rsidRPr="00620047" w:rsidRDefault="00296032">
      <w:pPr>
        <w:pStyle w:val="artplatletter"/>
        <w:rPr>
          <w:rFonts w:cs="Arial"/>
        </w:rPr>
      </w:pPr>
      <w:r w:rsidRPr="00620047">
        <w:rPr>
          <w:rFonts w:cs="Arial"/>
        </w:rPr>
        <w:t>e.</w:t>
      </w:r>
      <w:r w:rsidRPr="00620047">
        <w:rPr>
          <w:rFonts w:cs="Arial"/>
        </w:rPr>
        <w:tab/>
        <w:t>het realiseren van een verwaarloosbaar bodemrisico,</w:t>
      </w:r>
    </w:p>
    <w:p w:rsidR="00296032" w:rsidRDefault="00296032">
      <w:pPr>
        <w:rPr>
          <w:rFonts w:cs="Arial"/>
        </w:rPr>
      </w:pPr>
      <w:r w:rsidRPr="00620047">
        <w:rPr>
          <w:rFonts w:cs="Arial"/>
        </w:rPr>
        <w:t>de bij ministeriële regeling te bepalen maatregelen toegepast.</w:t>
      </w:r>
    </w:p>
    <w:p w:rsidR="00624A65" w:rsidRDefault="00624A65">
      <w:pPr>
        <w:rPr>
          <w:rFonts w:cs="Arial"/>
        </w:rPr>
      </w:pPr>
    </w:p>
    <w:p w:rsidR="00624A65" w:rsidRDefault="00624A65" w:rsidP="00624A65">
      <w:pPr>
        <w:pStyle w:val="paragraaf"/>
        <w:shd w:val="clear" w:color="auto" w:fill="D9D9D9" w:themeFill="background1" w:themeFillShade="D9"/>
      </w:pPr>
      <w:bookmarkStart w:id="213" w:name="_Toc431375692"/>
      <w:r>
        <w:t>§ 4.4.2.</w:t>
      </w:r>
      <w:r>
        <w:tab/>
        <w:t>Reinigen, coaten of lijmen van rubber, kunststof of rubber- of kunststofproducten</w:t>
      </w:r>
      <w:bookmarkEnd w:id="213"/>
    </w:p>
    <w:p w:rsidR="00624A65" w:rsidRDefault="00624A65" w:rsidP="00624A65">
      <w:pPr>
        <w:pStyle w:val="artikelkop"/>
        <w:shd w:val="clear" w:color="auto" w:fill="D9D9D9" w:themeFill="background1" w:themeFillShade="D9"/>
      </w:pPr>
      <w:r>
        <w:t>Artikel 4.46</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als bedoeld in artikel 4.31 van het besluit worden dampen en gassen die vrijkomen bij:</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het reinigen, coaten of lijmen van kunststof en kunststof producten door middel van vernevelen van vluchtige organische stoffen met een nevelspuit;</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het coaten van kunststof en kunststof producten door middel van het opbrengen van poeder;</w:t>
      </w:r>
    </w:p>
    <w:p w:rsidR="00624A65" w:rsidRDefault="00624A65" w:rsidP="00624A65">
      <w:pPr>
        <w:pStyle w:val="art2enivo"/>
        <w:shd w:val="clear" w:color="auto" w:fill="D9D9D9" w:themeFill="background1" w:themeFillShade="D9"/>
        <w:suppressAutoHyphens/>
        <w:rPr>
          <w:rFonts w:cs="Arial"/>
        </w:rPr>
      </w:pPr>
      <w:r>
        <w:rPr>
          <w:rFonts w:cs="Arial"/>
        </w:rPr>
        <w:t>c.</w:t>
      </w:r>
      <w:r>
        <w:rPr>
          <w:rFonts w:cs="Arial"/>
        </w:rPr>
        <w:tab/>
        <w:t>het reinigen, coaten of lijmen van kunststof en kunststof producten met vluchtige organische stoffen door middel van dompeling in open of halfgesloten baden, uitgezonderd de toepassing van hoogkokende stoffen;</w:t>
      </w:r>
    </w:p>
    <w:p w:rsidR="00624A65" w:rsidRDefault="00624A65" w:rsidP="00624A65">
      <w:pPr>
        <w:pStyle w:val="art2enivo"/>
        <w:shd w:val="clear" w:color="auto" w:fill="D9D9D9" w:themeFill="background1" w:themeFillShade="D9"/>
        <w:suppressAutoHyphens/>
        <w:rPr>
          <w:rFonts w:cs="Arial"/>
        </w:rPr>
      </w:pPr>
      <w:r>
        <w:rPr>
          <w:rFonts w:cs="Arial"/>
        </w:rPr>
        <w:t>d.</w:t>
      </w:r>
      <w:r>
        <w:rPr>
          <w:rFonts w:cs="Arial"/>
        </w:rPr>
        <w:tab/>
        <w:t>het aansluitend aan voornoemde activiteiten, drogen dan wel uitharden van met vluchtige organische stoffen behandelde materialen dan wel het moffelen van materialen die zijn van voorzien van een poedercoating, voor zover dat redelijkerwijs mogelijk is, doelmatig aan de bron afgezogen.</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Ten behoeve van het voorkomen, dan wel tot een aanvaardbaar niveau beperken van stofhinder als bedoeld in artikel 4.31 van het besluit, worden emissies van stofklasse S, waaronder coating-, lijm- of poederdeeltjes, die vrijkomen bij het uitpandig coaten en lijmen van kunststof en kunststof producten door middel van vernevelen met een nevelspuit, voorkomen, dan wel beperkt door het treffen van doelmatige afschermingen.</w:t>
      </w:r>
    </w:p>
    <w:p w:rsidR="00624A65" w:rsidRDefault="00624A65" w:rsidP="00624A65">
      <w:pPr>
        <w:pStyle w:val="art1enivo"/>
        <w:shd w:val="clear" w:color="auto" w:fill="D9D9D9" w:themeFill="background1" w:themeFillShade="D9"/>
        <w:suppressAutoHyphens/>
        <w:rPr>
          <w:rFonts w:cs="Arial"/>
        </w:rPr>
      </w:pPr>
      <w:r>
        <w:rPr>
          <w:rFonts w:cs="Arial"/>
        </w:rPr>
        <w:t>3.</w:t>
      </w:r>
      <w:r>
        <w:rPr>
          <w:rFonts w:cs="Arial"/>
        </w:rPr>
        <w:tab/>
        <w:t>Ten behoeve van het doelmatig verspreiden van emissies naar de buitenlucht als bedoeld in artikel 4.31 van het besluit, worden de overeenkomstig het eerste lid, onderdeel b, afgezogen dampen en gassen,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624A65" w:rsidRDefault="00624A65" w:rsidP="00624A65">
      <w:pPr>
        <w:pStyle w:val="art1enivo"/>
        <w:shd w:val="clear" w:color="auto" w:fill="D9D9D9" w:themeFill="background1" w:themeFillShade="D9"/>
        <w:suppressAutoHyphens/>
        <w:rPr>
          <w:rFonts w:cs="Arial"/>
        </w:rPr>
      </w:pPr>
      <w:r>
        <w:rPr>
          <w:rFonts w:cs="Arial"/>
        </w:rPr>
        <w:t>4.</w:t>
      </w:r>
      <w:r>
        <w:rPr>
          <w:rFonts w:cs="Arial"/>
        </w:rPr>
        <w:tab/>
        <w:t>Ten behoeve van het voorkomen dan wel tot een aanvaardbaar niveau beperken van geurhinder als bedoeld in artikel 4.31 van het besluit worden de overeenkomstig het eerste lid onderdelen a, c en d, afgezogen dampen en gassen, die op de buitenlucht worden geëmitteerd:</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ten minste 2 meter boven de hoogste daklijn van de binnen 25 meter van de uitmonding gelegen gebouwen afgevoerd; of</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geleid door een doelmatige ontgeuringsinstallatie.</w:t>
      </w:r>
    </w:p>
    <w:p w:rsidR="00624A65" w:rsidRDefault="00624A65" w:rsidP="00624A65">
      <w:pPr>
        <w:pStyle w:val="art1enivo"/>
        <w:shd w:val="clear" w:color="auto" w:fill="D9D9D9" w:themeFill="background1" w:themeFillShade="D9"/>
        <w:suppressAutoHyphens/>
        <w:rPr>
          <w:rFonts w:cs="Arial"/>
        </w:rPr>
      </w:pPr>
      <w:r>
        <w:rPr>
          <w:rFonts w:cs="Arial"/>
        </w:rPr>
        <w:t>5.</w:t>
      </w:r>
      <w:r>
        <w:rPr>
          <w:rFonts w:cs="Arial"/>
        </w:rPr>
        <w:tab/>
        <w:t>Het bevoegd gezag kan in het belang van de luchtkwaliteit maatwerkvoorschriften stellen aan de ligging en uitvoering van het afvoerpunt van de emissies naar de buitenlucht, bedoeld in het derde lid.</w:t>
      </w:r>
    </w:p>
    <w:p w:rsidR="00624A65" w:rsidRDefault="00624A65" w:rsidP="00624A65">
      <w:pPr>
        <w:pStyle w:val="art1enivo"/>
        <w:shd w:val="clear" w:color="auto" w:fill="D9D9D9" w:themeFill="background1" w:themeFillShade="D9"/>
        <w:suppressAutoHyphens/>
        <w:rPr>
          <w:rFonts w:cs="Arial"/>
        </w:rPr>
      </w:pPr>
      <w:r>
        <w:rPr>
          <w:rFonts w:cs="Arial"/>
        </w:rPr>
        <w:t>6.</w:t>
      </w:r>
      <w:r>
        <w:rPr>
          <w:rFonts w:cs="Arial"/>
        </w:rPr>
        <w:tab/>
        <w:t>Het vierde lid is niet van toepassing indien het mogelijke effect van de geuremissie van de uittredende lucht van een afzuiginstallatie beperkt blijft tot een gezoneerd industrieterrein of een bedrijventerrein met minder dan één gevoelig gebouw per hectare.</w:t>
      </w:r>
    </w:p>
    <w:p w:rsidR="00624A65" w:rsidRDefault="00624A65" w:rsidP="00624A65">
      <w:pPr>
        <w:pStyle w:val="art1enivo"/>
        <w:shd w:val="clear" w:color="auto" w:fill="D9D9D9" w:themeFill="background1" w:themeFillShade="D9"/>
        <w:suppressAutoHyphens/>
        <w:rPr>
          <w:rFonts w:cs="Arial"/>
        </w:rPr>
      </w:pPr>
      <w:r>
        <w:rPr>
          <w:rFonts w:cs="Arial"/>
        </w:rPr>
        <w:t>7.</w:t>
      </w:r>
      <w:r>
        <w:rPr>
          <w:rFonts w:cs="Arial"/>
        </w:rPr>
        <w:tab/>
        <w:t>Het bevoegd gezag kan indien blijkt dat de geurhinder een aanvaardbaar niveau overschrijdt vanwege het slecht functioneren van de ontgeuringsinstallatie, onvoldoende verspreiding van afgezogen dampen, geuremissies die niet via de afzuiging worden afgevoerd of incidentele geurpieken overeenkomstig artikel 2.7a, derde lid, van het besluit in aanvulling op het vierde lid maatwerkvoorschriften stellen met betrekking tot:</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de uitvoering en het onderhoud van een ontgeuringsinstallatie als bedoeld in het vierde lid;</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de situering van de afvoerpijp;</w:t>
      </w:r>
    </w:p>
    <w:p w:rsidR="00624A65" w:rsidRDefault="00624A65" w:rsidP="00624A65">
      <w:pPr>
        <w:pStyle w:val="art2enivo"/>
        <w:shd w:val="clear" w:color="auto" w:fill="D9D9D9" w:themeFill="background1" w:themeFillShade="D9"/>
        <w:suppressAutoHyphens/>
        <w:rPr>
          <w:rFonts w:cs="Arial"/>
        </w:rPr>
      </w:pPr>
      <w:r>
        <w:rPr>
          <w:rFonts w:cs="Arial"/>
        </w:rPr>
        <w:t>c.</w:t>
      </w:r>
      <w:r>
        <w:rPr>
          <w:rFonts w:cs="Arial"/>
        </w:rPr>
        <w:tab/>
        <w:t>het voorkomen of beperken van diffuse geuremissies; of</w:t>
      </w:r>
    </w:p>
    <w:p w:rsidR="00624A65" w:rsidRDefault="00624A65" w:rsidP="00624A65">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624A65" w:rsidRDefault="00624A65" w:rsidP="00624A65">
      <w:pPr>
        <w:pStyle w:val="art1enivo"/>
        <w:shd w:val="clear" w:color="auto" w:fill="D9D9D9" w:themeFill="background1" w:themeFillShade="D9"/>
      </w:pPr>
      <w:r>
        <w:t>8.</w:t>
      </w:r>
      <w:r>
        <w:tab/>
        <w:t>In afwijking van het vierde lid kan het bevoegd gezag indien blijkt dat de geurhinder een aanvaardbaar niveau overschrijdt en de bevoegdheden genoemd in het zevende lid onvoldoende zijn om de overschrijding ongedaan te maken overeenkomstig artikel 2.7a, derde lid, van het besluit maatwerkvoorschriften stellen met betrekking tot de aanwezigheid van een ontgeuringsinstallatie of een grotere afvoerhoogte van de afgezogen dampen en gassen.</w:t>
      </w:r>
    </w:p>
    <w:p w:rsidR="00624A65" w:rsidRDefault="00624A65" w:rsidP="00624A65">
      <w:pPr>
        <w:pStyle w:val="art1enivo"/>
        <w:shd w:val="clear" w:color="auto" w:fill="D9D9D9" w:themeFill="background1" w:themeFillShade="D9"/>
      </w:pPr>
      <w:r>
        <w:t>9.</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derde lid niet van toepassing voor zover er geen verandering van de inrichting plaatsvindt waarvoor een melding krachtens artikel 1.10 van het besluit nodig is en voor zover de emissies als bedoeld in het derde lid niet toenemen en de wijze van afvoer van die emissies naar de buitenlucht niet verandert.</w:t>
      </w:r>
    </w:p>
    <w:p w:rsidR="00624A65" w:rsidRDefault="00624A65" w:rsidP="00624A65">
      <w:pPr>
        <w:pStyle w:val="art1enivo"/>
        <w:shd w:val="clear" w:color="auto" w:fill="D9D9D9" w:themeFill="background1" w:themeFillShade="D9"/>
      </w:pPr>
      <w:r>
        <w:t>10.</w:t>
      </w:r>
      <w:r>
        <w:tab/>
        <w:t>In afwijking van het negende lid kan het bevoegd gezag maatwerkvoorschriften als bedoeld in het vijfde lid stellen.</w:t>
      </w:r>
    </w:p>
    <w:p w:rsidR="00624A65" w:rsidRDefault="00624A65" w:rsidP="00624A65">
      <w:pPr>
        <w:pStyle w:val="art1enivo"/>
        <w:shd w:val="clear" w:color="auto" w:fill="D9D9D9" w:themeFill="background1" w:themeFillShade="D9"/>
      </w:pPr>
      <w:r>
        <w:t>11.</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vierde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624A65" w:rsidRDefault="00624A65" w:rsidP="00624A65">
      <w:pPr>
        <w:pStyle w:val="art1enivo"/>
        <w:shd w:val="clear" w:color="auto" w:fill="D9D9D9" w:themeFill="background1" w:themeFillShade="D9"/>
      </w:pPr>
      <w:r>
        <w:t>12.</w:t>
      </w:r>
      <w:r>
        <w:tab/>
        <w:t>In afwijking van het elfde lid kan het bevoegd gezag maatwerkvoorschriften als bedoeld in het zevende en achtste lid stellen.</w:t>
      </w:r>
    </w:p>
    <w:p w:rsidR="00624A65" w:rsidRDefault="00624A65" w:rsidP="00624A65">
      <w:pPr>
        <w:pStyle w:val="artikelkop"/>
        <w:shd w:val="clear" w:color="auto" w:fill="D9D9D9" w:themeFill="background1" w:themeFillShade="D9"/>
      </w:pPr>
      <w:r>
        <w:t>Artikel 4.47</w:t>
      </w:r>
    </w:p>
    <w:p w:rsidR="00624A65" w:rsidRDefault="00624A65" w:rsidP="00624A65">
      <w:pPr>
        <w:pStyle w:val="artplat"/>
        <w:shd w:val="clear" w:color="auto" w:fill="D9D9D9" w:themeFill="background1" w:themeFillShade="D9"/>
        <w:suppressAutoHyphens/>
        <w:rPr>
          <w:rFonts w:cs="Arial"/>
        </w:rPr>
      </w:pPr>
      <w:r>
        <w:rPr>
          <w:rFonts w:cs="Arial"/>
        </w:rPr>
        <w:t>Aan artikel 4.29, eerste lid, van het besluit wordt in ieder geval voldaan indien:</w:t>
      </w:r>
    </w:p>
    <w:p w:rsidR="00624A65" w:rsidRDefault="00624A65" w:rsidP="00624A65">
      <w:pPr>
        <w:pStyle w:val="art1enivo"/>
        <w:shd w:val="clear" w:color="auto" w:fill="D9D9D9" w:themeFill="background1" w:themeFillShade="D9"/>
      </w:pPr>
      <w:r>
        <w:t>a.</w:t>
      </w:r>
      <w:r>
        <w:tab/>
        <w:t>de afgezogen stofemissies die vrijkomen bij het coaten of lijmen van rubber, kunststof of rubber- of kunststofproducten door middel van vernevelen met een nevelspuit en de emissies die vrijkomen bij het coaten door middel van het opbrengen van poeder, worden afgezogen en worden gevoerd door een filtrerende afscheider die geschikt is om aan artikel 4.29, eerste lid, van het besluit te voldoen; en</w:t>
      </w:r>
    </w:p>
    <w:p w:rsidR="00624A65" w:rsidRDefault="00624A65" w:rsidP="00624A65">
      <w:pPr>
        <w:pStyle w:val="art1enivo"/>
        <w:shd w:val="clear" w:color="auto" w:fill="D9D9D9" w:themeFill="background1" w:themeFillShade="D9"/>
      </w:pPr>
      <w:r>
        <w:t>b.</w:t>
      </w:r>
      <w:r>
        <w:tab/>
        <w:t>die filtrerende afscheider in goede staat van onderhoud verkeert, periodiek gecontroleerd wordt en zo vaak als voor de goede werking nodig is, wordt schoongemaakt en vervangen.</w:t>
      </w:r>
    </w:p>
    <w:p w:rsidR="00624A65" w:rsidRDefault="00624A65" w:rsidP="00624A65">
      <w:pPr>
        <w:pStyle w:val="artikelkop"/>
        <w:shd w:val="clear" w:color="auto" w:fill="D9D9D9" w:themeFill="background1" w:themeFillShade="D9"/>
      </w:pPr>
      <w:r>
        <w:t>Artikel 4.48</w:t>
      </w:r>
    </w:p>
    <w:p w:rsidR="00624A65" w:rsidRDefault="00624A65" w:rsidP="00624A65">
      <w:pPr>
        <w:pStyle w:val="art1enivo"/>
        <w:shd w:val="clear" w:color="auto" w:fill="D9D9D9" w:themeFill="background1" w:themeFillShade="D9"/>
        <w:suppressAutoHyphens/>
        <w:rPr>
          <w:rFonts w:cs="Arial"/>
        </w:rPr>
      </w:pPr>
      <w:r>
        <w:rPr>
          <w:rFonts w:cs="Arial"/>
        </w:rPr>
        <w:t>1.</w:t>
      </w:r>
      <w:r>
        <w:rPr>
          <w:rFonts w:cs="Arial"/>
        </w:rPr>
        <w:tab/>
        <w:t>Ter uitvoering van artikel 4.30, eerste lid, van het besluit, past degene die de inrichting drijft:</w:t>
      </w:r>
    </w:p>
    <w:p w:rsidR="00624A65" w:rsidRDefault="00624A65" w:rsidP="00624A65">
      <w:pPr>
        <w:pStyle w:val="art2enivo"/>
        <w:shd w:val="clear" w:color="auto" w:fill="D9D9D9" w:themeFill="background1" w:themeFillShade="D9"/>
        <w:suppressAutoHyphens/>
        <w:rPr>
          <w:rFonts w:cs="Arial"/>
        </w:rPr>
      </w:pPr>
      <w:r>
        <w:rPr>
          <w:rFonts w:cs="Arial"/>
        </w:rPr>
        <w:t>a.</w:t>
      </w:r>
      <w:r>
        <w:rPr>
          <w:rFonts w:cs="Arial"/>
        </w:rPr>
        <w:tab/>
        <w:t>bij het coaten of lijmen van rubber, kunststof of rubber- of kunststofproducten:</w:t>
      </w:r>
    </w:p>
    <w:p w:rsidR="00624A65" w:rsidRDefault="00624A65" w:rsidP="00624A65">
      <w:pPr>
        <w:pStyle w:val="art3enivo"/>
        <w:shd w:val="clear" w:color="auto" w:fill="D9D9D9" w:themeFill="background1" w:themeFillShade="D9"/>
        <w:suppressAutoHyphens/>
      </w:pPr>
      <w:r>
        <w:t>1°.</w:t>
      </w:r>
      <w:r>
        <w:tab/>
        <w:t>maatregelen ten aanzien van de bedrijfsvoering ter voorkoming van onnodige emissie van vluchtige organische stoffen;</w:t>
      </w:r>
    </w:p>
    <w:p w:rsidR="00624A65" w:rsidRDefault="00624A65" w:rsidP="00624A65">
      <w:pPr>
        <w:pStyle w:val="art3enivo"/>
        <w:shd w:val="clear" w:color="auto" w:fill="D9D9D9" w:themeFill="background1" w:themeFillShade="D9"/>
        <w:suppressAutoHyphens/>
      </w:pPr>
      <w:r>
        <w:t>2°.</w:t>
      </w:r>
      <w:r>
        <w:tab/>
        <w:t>oplosmiddelarme producten en efficiënte applicatiemethoden toe;</w:t>
      </w:r>
    </w:p>
    <w:p w:rsidR="00624A65" w:rsidRDefault="00624A65" w:rsidP="00624A65">
      <w:pPr>
        <w:pStyle w:val="art2enivo"/>
        <w:shd w:val="clear" w:color="auto" w:fill="D9D9D9" w:themeFill="background1" w:themeFillShade="D9"/>
        <w:suppressAutoHyphens/>
        <w:rPr>
          <w:rFonts w:cs="Arial"/>
        </w:rPr>
      </w:pPr>
      <w:r>
        <w:rPr>
          <w:rFonts w:cs="Arial"/>
        </w:rPr>
        <w:t>b.</w:t>
      </w:r>
      <w:r>
        <w:rPr>
          <w:rFonts w:cs="Arial"/>
        </w:rPr>
        <w:tab/>
        <w:t>bij het reinigen van rubber, kunststof of rubber- of kunststofproducten:</w:t>
      </w:r>
    </w:p>
    <w:p w:rsidR="00624A65" w:rsidRDefault="00624A65" w:rsidP="00624A65">
      <w:pPr>
        <w:pStyle w:val="art3enivo"/>
        <w:shd w:val="clear" w:color="auto" w:fill="D9D9D9" w:themeFill="background1" w:themeFillShade="D9"/>
        <w:suppressAutoHyphens/>
      </w:pPr>
      <w:r>
        <w:t>1°.</w:t>
      </w:r>
      <w:r>
        <w:tab/>
        <w:t>maatregelen ten aanzien van de bedrijfsvoering ter voorkoming van onnodige emissie van vluchtige organische stoffen;</w:t>
      </w:r>
    </w:p>
    <w:p w:rsidR="00624A65" w:rsidRDefault="00624A65" w:rsidP="00624A65">
      <w:pPr>
        <w:pStyle w:val="art3enivo"/>
        <w:shd w:val="clear" w:color="auto" w:fill="D9D9D9" w:themeFill="background1" w:themeFillShade="D9"/>
        <w:suppressAutoHyphens/>
      </w:pPr>
      <w:r>
        <w:t>2°.</w:t>
      </w:r>
      <w:r>
        <w:tab/>
        <w:t>de volgende maatregelen in volgorde van opsomming toe:</w:t>
      </w:r>
    </w:p>
    <w:p w:rsidR="00624A65" w:rsidRPr="00624A65" w:rsidRDefault="00624A65" w:rsidP="00624A65">
      <w:pPr>
        <w:pStyle w:val="art4enivo"/>
        <w:shd w:val="clear" w:color="auto" w:fill="D9D9D9" w:themeFill="background1" w:themeFillShade="D9"/>
        <w:suppressAutoHyphens/>
        <w:rPr>
          <w:lang w:val="nl-NL"/>
        </w:rPr>
      </w:pPr>
      <w:r w:rsidRPr="00624A65">
        <w:rPr>
          <w:lang w:val="nl-NL"/>
        </w:rPr>
        <w:t>i.</w:t>
      </w:r>
      <w:r w:rsidRPr="00624A65">
        <w:rPr>
          <w:lang w:val="nl-NL"/>
        </w:rPr>
        <w:tab/>
        <w:t>zoveel mogelijk droog reinigen;</w:t>
      </w:r>
    </w:p>
    <w:p w:rsidR="00624A65" w:rsidRPr="00624A65" w:rsidRDefault="00624A65" w:rsidP="00624A65">
      <w:pPr>
        <w:pStyle w:val="art4enivo"/>
        <w:shd w:val="clear" w:color="auto" w:fill="D9D9D9" w:themeFill="background1" w:themeFillShade="D9"/>
        <w:suppressAutoHyphens/>
        <w:rPr>
          <w:lang w:val="nl-NL"/>
        </w:rPr>
      </w:pPr>
      <w:r w:rsidRPr="00624A65">
        <w:rPr>
          <w:lang w:val="nl-NL"/>
        </w:rPr>
        <w:t>ii.</w:t>
      </w:r>
      <w:r w:rsidRPr="00624A65">
        <w:rPr>
          <w:lang w:val="nl-NL"/>
        </w:rPr>
        <w:tab/>
        <w:t>indien reiniging niet op een droge manier kan plaatsvinden, wordt gebruik gemaakt van waterige middelen;</w:t>
      </w:r>
    </w:p>
    <w:p w:rsidR="00624A65" w:rsidRPr="00624A65" w:rsidRDefault="00624A65" w:rsidP="00624A65">
      <w:pPr>
        <w:pStyle w:val="art4enivo"/>
        <w:shd w:val="clear" w:color="auto" w:fill="D9D9D9" w:themeFill="background1" w:themeFillShade="D9"/>
        <w:suppressAutoHyphens/>
        <w:rPr>
          <w:lang w:val="nl-NL"/>
        </w:rPr>
      </w:pPr>
      <w:r w:rsidRPr="00624A65">
        <w:rPr>
          <w:lang w:val="nl-NL"/>
        </w:rPr>
        <w:t>iii.</w:t>
      </w:r>
      <w:r w:rsidRPr="00624A65">
        <w:rPr>
          <w:lang w:val="nl-NL"/>
        </w:rPr>
        <w:tab/>
        <w:t>indien reiniging met waterige middelen technisch niet uitvoerbaar is, of niet kosteneffectief is, vindt het reinigen met organische oplosmiddelen plaats in procesbaden die zijn uitgevoerd als een zogenaamd gesloten systeem. Indien gesloten systemen worden toegepast, wordt de in- en uitneemzone ten minste één minuut gesloten gehouden na beëindiging van het gebruik van de pomp- of persluchtinstallatie, ter beperking van de emissie naar de lucht;</w:t>
      </w:r>
    </w:p>
    <w:p w:rsidR="00624A65" w:rsidRPr="00624A65" w:rsidRDefault="00624A65" w:rsidP="00624A65">
      <w:pPr>
        <w:pStyle w:val="art4enivo"/>
        <w:shd w:val="clear" w:color="auto" w:fill="D9D9D9" w:themeFill="background1" w:themeFillShade="D9"/>
        <w:suppressAutoHyphens/>
        <w:rPr>
          <w:lang w:val="nl-NL"/>
        </w:rPr>
      </w:pPr>
      <w:r w:rsidRPr="00624A65">
        <w:rPr>
          <w:lang w:val="nl-NL"/>
        </w:rPr>
        <w:t>iv.</w:t>
      </w:r>
      <w:r w:rsidRPr="00624A65">
        <w:rPr>
          <w:lang w:val="nl-NL"/>
        </w:rPr>
        <w:tab/>
        <w:t>indien reiniging niet mogelijk is in een gesloten systeem, om redenen van technische uitvoerbaarheid of kosteneffectiviteit, wordt gebruik gemaakt van hoogkokende niet-gehalogeneerde oplosmiddelen.</w:t>
      </w:r>
    </w:p>
    <w:p w:rsidR="00624A65" w:rsidRDefault="00624A65" w:rsidP="00624A65">
      <w:pPr>
        <w:pStyle w:val="art1enivo"/>
        <w:shd w:val="clear" w:color="auto" w:fill="D9D9D9" w:themeFill="background1" w:themeFillShade="D9"/>
        <w:suppressAutoHyphens/>
        <w:rPr>
          <w:rFonts w:cs="Arial"/>
        </w:rPr>
      </w:pPr>
      <w:r>
        <w:rPr>
          <w:rFonts w:cs="Arial"/>
        </w:rPr>
        <w:t>2.</w:t>
      </w:r>
      <w:r>
        <w:rPr>
          <w:rFonts w:cs="Arial"/>
        </w:rPr>
        <w:tab/>
        <w:t>Indien de emissiereducerende maatregelen als bedoeld in het eerste lid niet of in onvoldoende mate zijn getroffen, kan het bevoegd gezag verzoeken om een motivering waarom de maatregelen niet zijn getroffen. Bij de motivering wordt betrokken de kosteneffectiviteit en de technische uitvoerbaarheid van de maatregelen.</w:t>
      </w:r>
    </w:p>
    <w:p w:rsidR="00624A65" w:rsidRDefault="00624A65" w:rsidP="00624A65">
      <w:pPr>
        <w:pStyle w:val="artikelkop"/>
        <w:shd w:val="clear" w:color="auto" w:fill="D9D9D9" w:themeFill="background1" w:themeFillShade="D9"/>
      </w:pPr>
      <w:r>
        <w:t>Artikel 4.49</w:t>
      </w:r>
    </w:p>
    <w:p w:rsidR="00624A65" w:rsidRDefault="00624A65" w:rsidP="00624A65">
      <w:pPr>
        <w:pStyle w:val="artplat"/>
        <w:shd w:val="clear" w:color="auto" w:fill="D9D9D9" w:themeFill="background1" w:themeFillShade="D9"/>
        <w:suppressAutoHyphens/>
        <w:rPr>
          <w:rFonts w:cs="Arial"/>
        </w:rPr>
      </w:pPr>
      <w:r>
        <w:rPr>
          <w:rFonts w:cs="Arial"/>
        </w:rPr>
        <w:t>Ten behoeve van het realiseren van een verwaarloosbaar bodemrisico als bedoeld in artikel 4.31 van het besluit vindt bij het reinigen, coaten of lijmen van rubber, kunststof of rubber- of kunststofproducten het verwerken van lakken, verdunners en lijmen alsmede het reinigen, het chemisch ontlakken en het logen van rubber, kunststof of rubber- of kunststofproducten plaats boven een bodembeschermende voorziening.</w:t>
      </w:r>
    </w:p>
    <w:p w:rsidR="00624A65" w:rsidRPr="00620047" w:rsidRDefault="00624A65">
      <w:pPr>
        <w:rPr>
          <w:rFonts w:cs="Arial"/>
        </w:rPr>
      </w:pPr>
    </w:p>
    <w:p w:rsidR="00296032" w:rsidRPr="00296032" w:rsidRDefault="00296032">
      <w:pPr>
        <w:pStyle w:val="paragraaf"/>
      </w:pPr>
      <w:bookmarkStart w:id="214" w:name="_Toc431375693"/>
      <w:r w:rsidRPr="00296032">
        <w:t>§ 4.4.3.</w:t>
      </w:r>
      <w:r w:rsidRPr="00296032">
        <w:tab/>
        <w:t>Wegen of mengen van rubbercompounds of het verwerken van rubber, thermoplastisch kunststof of polyesterhars</w:t>
      </w:r>
      <w:bookmarkEnd w:id="214"/>
    </w:p>
    <w:p w:rsidR="00296032" w:rsidRPr="00296032" w:rsidRDefault="00296032">
      <w:pPr>
        <w:pStyle w:val="artikelkop"/>
      </w:pPr>
      <w:r w:rsidRPr="00296032">
        <w:t>Artikel 4.31a</w:t>
      </w:r>
    </w:p>
    <w:p w:rsidR="00296032" w:rsidRPr="00620047" w:rsidRDefault="00296032">
      <w:pPr>
        <w:pStyle w:val="artplat"/>
      </w:pPr>
      <w:r w:rsidRPr="00620047">
        <w:t>Deze paragraaf is van toepassing op het wegen of mengen van rubbercompounds of op het verwerken van rubber, thermoplastisch kunststof of polyesterhars.</w:t>
      </w:r>
    </w:p>
    <w:p w:rsidR="00296032" w:rsidRPr="00296032" w:rsidRDefault="00296032">
      <w:pPr>
        <w:pStyle w:val="artikelkop"/>
      </w:pPr>
      <w:r w:rsidRPr="00296032">
        <w:t>Artikel 4.31b</w:t>
      </w:r>
    </w:p>
    <w:p w:rsidR="00296032" w:rsidRPr="00620047" w:rsidRDefault="00296032">
      <w:pPr>
        <w:pStyle w:val="art1enivo"/>
      </w:pPr>
      <w:r w:rsidRPr="00620047">
        <w:t>1.</w:t>
      </w:r>
      <w:r w:rsidRPr="00620047">
        <w:tab/>
        <w:t>Onverminderd artikel 2.5, eerste, vierde en vijfde lid, en artikel 2.6 is bij het wegen of mengen van rubbercompounds de emissieconcentratie van stofklasse S niet meer dan:</w:t>
      </w:r>
    </w:p>
    <w:p w:rsidR="00296032" w:rsidRPr="00620047" w:rsidRDefault="00296032">
      <w:pPr>
        <w:pStyle w:val="art2enivo"/>
      </w:pPr>
      <w:r w:rsidRPr="00620047">
        <w:t>a.</w:t>
      </w:r>
      <w:r w:rsidRPr="00620047">
        <w:tab/>
        <w:t>5 milligram per normaal kubieke meter, indien de massastroom van stofklasse S naar de lucht gelijk is aan of groter is dan 200 gram per uur, en</w:t>
      </w:r>
    </w:p>
    <w:p w:rsidR="00296032" w:rsidRPr="00620047" w:rsidRDefault="00296032">
      <w:pPr>
        <w:pStyle w:val="art2enivo"/>
      </w:pPr>
      <w:r w:rsidRPr="00620047">
        <w:t>b.</w:t>
      </w:r>
      <w:r w:rsidRPr="00620047">
        <w:tab/>
        <w:t>50 milligram per normaal kubieke meter, indien de massastroom van stofklasse S kleiner is dan 200 gram per uur.</w:t>
      </w:r>
    </w:p>
    <w:p w:rsidR="00296032" w:rsidRPr="00620047" w:rsidRDefault="00296032">
      <w:pPr>
        <w:pStyle w:val="art1enivo"/>
      </w:pPr>
      <w:r w:rsidRPr="00620047">
        <w:t>2.</w:t>
      </w:r>
      <w:r w:rsidRPr="00620047">
        <w:tab/>
        <w:t>Onverminderd artikel 2.5 en 2.6 is bij het wegen of mengen van rubbercompounds of het verwerken van rubber of thermoplastisch kunststof de emissie van stoffen die onder een minimalisatieverplichting vallen, niet meer dan 0,05 milligram per normaal kubieke meter, indien de massastroom van stoffen met een minimalisatieverplichting meer bedraagt dan 0,15 gram per uur.</w:t>
      </w:r>
    </w:p>
    <w:p w:rsidR="00296032" w:rsidRPr="00620047" w:rsidRDefault="00296032">
      <w:pPr>
        <w:pStyle w:val="art1enivo"/>
      </w:pPr>
      <w:r w:rsidRPr="00620047">
        <w:t>3.</w:t>
      </w:r>
      <w:r w:rsidRPr="00620047">
        <w:tab/>
        <w:t>Bij ministeriële regeling worden stoffen als bedoeld in het tweede lid aangewezen.</w:t>
      </w:r>
    </w:p>
    <w:p w:rsidR="00296032" w:rsidRPr="00620047" w:rsidRDefault="00296032">
      <w:pPr>
        <w:pStyle w:val="art1enivo"/>
      </w:pPr>
      <w:r w:rsidRPr="00620047">
        <w:t>4.</w:t>
      </w:r>
      <w:r w:rsidRPr="00620047">
        <w:tab/>
        <w:t>Bij het wegen of mengen van rubbercompounds of het verwerken van rubber, thermoplastisch kunststof of polyesterhars wordt ten behoeve van het voorkomen dan wel voor zover dat niet mogelijk is het beperken van diffuse emissies en het doelmatig verspreiden van emissies naar de buitenlucht voldaan aan de bij ministeriële regeling gestelde eisen.</w:t>
      </w:r>
    </w:p>
    <w:p w:rsidR="00296032" w:rsidRPr="00296032" w:rsidRDefault="00296032">
      <w:pPr>
        <w:pStyle w:val="artikelkop"/>
      </w:pPr>
      <w:r w:rsidRPr="00296032">
        <w:t>Artikel 4.31c</w:t>
      </w:r>
    </w:p>
    <w:p w:rsidR="00296032" w:rsidRPr="00620047" w:rsidRDefault="00296032">
      <w:pPr>
        <w:pStyle w:val="artplat"/>
      </w:pPr>
      <w:r w:rsidRPr="00620047">
        <w:t>Bij het verwerken van polyesterhars wordt ten behoeve van het voorkomen of voor zover dat niet mogelijk is het tot een aanvaardbaar niveau beperken van de geurhinder, voldaan aan de bij ministeriële regeling gestelde eisen.</w:t>
      </w:r>
    </w:p>
    <w:p w:rsidR="00296032" w:rsidRPr="00296032" w:rsidRDefault="00296032">
      <w:pPr>
        <w:pStyle w:val="artikelkop"/>
      </w:pPr>
      <w:r w:rsidRPr="00296032">
        <w:t>Artikel 4.31d</w:t>
      </w:r>
    </w:p>
    <w:p w:rsidR="00296032" w:rsidRDefault="00296032">
      <w:pPr>
        <w:pStyle w:val="artplat"/>
      </w:pPr>
      <w:r w:rsidRPr="00620047">
        <w:t>Bij het mengen van rubbercompounds, het verwerken van rubber of thermoplastisch kunststof of het verwerken van polyesterhars, wordt ten behoeve van het realiseren van een verwaarloosbaar bodemrisico voldaan aan de bij ministeriële regeling gestelde eisen.</w:t>
      </w:r>
    </w:p>
    <w:p w:rsidR="00624A65" w:rsidRDefault="00624A65">
      <w:pPr>
        <w:pStyle w:val="artplat"/>
      </w:pPr>
    </w:p>
    <w:p w:rsidR="00B84590" w:rsidRDefault="00B84590" w:rsidP="00B84590">
      <w:pPr>
        <w:pStyle w:val="paragraaf"/>
        <w:shd w:val="clear" w:color="auto" w:fill="D9D9D9" w:themeFill="background1" w:themeFillShade="D9"/>
      </w:pPr>
      <w:bookmarkStart w:id="215" w:name="_Toc431375694"/>
      <w:r>
        <w:t>§ 4.4.3.</w:t>
      </w:r>
      <w:r>
        <w:tab/>
        <w:t>Wegen of mengen van rubbercompounds of het verwerken van rubber, thermoplastisch kunststof of polyesterhars</w:t>
      </w:r>
      <w:bookmarkEnd w:id="215"/>
    </w:p>
    <w:p w:rsidR="00B84590" w:rsidRDefault="00B84590" w:rsidP="00B84590">
      <w:pPr>
        <w:pStyle w:val="artikelkop"/>
        <w:shd w:val="clear" w:color="auto" w:fill="D9D9D9" w:themeFill="background1" w:themeFillShade="D9"/>
      </w:pPr>
      <w:r>
        <w:t>Artikel 4.49a</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dan wel het zoveel mogelijk beperken van diffuse emissies als bedoeld in artikel 4.31b, vierde lid, van het besluit wordt stofklasse S die vrijkomt bij het wegen of mengen van rubbercompounds, voor zover dat redelijkerwijs mogelijk is,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een doelmatige verspreiding van emissies naar de buitenlucht als bedoeld in artikel 4.31b, vierde lid, van het besluit worden emissies die vrijkomen bij het wegen of mengen van rubbercompounds of het verwerken van rubber, thermoplastische kunststof of polyesterhars, voor zover die worden afgezogen, bovendaks en omhoog gericht naar de buitenlucht afgevoerd, indien binnen 50 meter van een emissiepunt een gevoelig gebouw, niet zijnde een gevoelig gebouw op een gezoneerd industrieterrein of een bedrijventerrein met minder dan één gevoelig gebouw per hectare, is gelegen.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en , maatwerkvoorschriften stellen aan de ligging en uitvoering van het afvoerpunt van emissies naar de buitenlucht, bedoeld in het tweede lid.</w:t>
      </w:r>
    </w:p>
    <w:p w:rsidR="00B84590" w:rsidRDefault="00B84590" w:rsidP="00B84590">
      <w:pPr>
        <w:shd w:val="clear" w:color="auto" w:fill="D9D9D9" w:themeFill="background1" w:themeFillShade="D9"/>
        <w:suppressAutoHyphens/>
        <w:rPr>
          <w:rFonts w:cs="Arial"/>
        </w:rPr>
      </w:pPr>
    </w:p>
    <w:p w:rsidR="00B84590" w:rsidRDefault="00B84590" w:rsidP="00B84590">
      <w:pPr>
        <w:pStyle w:val="artikelkop"/>
        <w:shd w:val="clear" w:color="auto" w:fill="D9D9D9" w:themeFill="background1" w:themeFillShade="D9"/>
      </w:pPr>
      <w:r>
        <w:t>Artikel 4.49b</w:t>
      </w:r>
    </w:p>
    <w:p w:rsidR="00B84590" w:rsidRDefault="00B84590" w:rsidP="00B84590">
      <w:pPr>
        <w:pStyle w:val="artplat"/>
        <w:shd w:val="clear" w:color="auto" w:fill="D9D9D9" w:themeFill="background1" w:themeFillShade="D9"/>
        <w:suppressAutoHyphens/>
        <w:rPr>
          <w:rFonts w:cs="Arial"/>
        </w:rPr>
      </w:pPr>
      <w:r>
        <w:rPr>
          <w:rFonts w:cs="Arial"/>
        </w:rPr>
        <w:t>Aan artikel 4.31b, eerste lid, van het besluit wordt in ieder geval voldaan indien:</w:t>
      </w:r>
    </w:p>
    <w:p w:rsidR="00B84590" w:rsidRDefault="00B84590" w:rsidP="00B84590">
      <w:pPr>
        <w:pStyle w:val="artplatletter"/>
        <w:shd w:val="clear" w:color="auto" w:fill="D9D9D9" w:themeFill="background1" w:themeFillShade="D9"/>
        <w:suppressAutoHyphens/>
        <w:rPr>
          <w:rFonts w:cs="Arial"/>
        </w:rPr>
      </w:pPr>
      <w:r>
        <w:rPr>
          <w:rFonts w:cs="Arial"/>
        </w:rPr>
        <w:t>a.</w:t>
      </w:r>
      <w:r>
        <w:rPr>
          <w:rFonts w:cs="Arial"/>
        </w:rPr>
        <w:tab/>
        <w:t>de afgezogen stofemissies die vrijkomen bij het wegen of mengen van rubbercompounds worden gevoerd door een filtrerende afscheider die geschikt is om aan artikel 4.31b, eerste lid, van het besluit te voldoen, en</w:t>
      </w:r>
    </w:p>
    <w:p w:rsidR="00B84590" w:rsidRDefault="00B84590" w:rsidP="00B84590">
      <w:pPr>
        <w:pStyle w:val="artplatletter"/>
        <w:shd w:val="clear" w:color="auto" w:fill="D9D9D9" w:themeFill="background1" w:themeFillShade="D9"/>
        <w:suppressAutoHyphens/>
        <w:rPr>
          <w:rFonts w:cs="Arial"/>
        </w:rPr>
      </w:pPr>
      <w:r>
        <w:rPr>
          <w:rFonts w:cs="Arial"/>
        </w:rPr>
        <w:t>b.</w:t>
      </w:r>
      <w:r>
        <w:rPr>
          <w:rFonts w:cs="Arial"/>
        </w:rPr>
        <w:tab/>
        <w:t>die filtrerende afscheider in goede staat van onderhoud verkeert, periodiek gecontroleerd wordt en zo vaak als voor de goede werking nodig is, wordt schoongemaakt en vervangen.</w:t>
      </w:r>
    </w:p>
    <w:p w:rsidR="00B84590" w:rsidRDefault="00B84590" w:rsidP="00B84590">
      <w:pPr>
        <w:pStyle w:val="artikelkop"/>
        <w:shd w:val="clear" w:color="auto" w:fill="D9D9D9" w:themeFill="background1" w:themeFillShade="D9"/>
      </w:pPr>
      <w:r>
        <w:t>Artikel 4.49c</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Stoffen als bedoeld in het 4.31b, tweede lid, van het besluit, die bij het mengen van rubbercompounds of het verwerken van rubber of thermoplastische kunststof worden toegepast en in ieder geval onder een minimalisatieverplichting vallen, zijn:</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benzyl butyl ftalaat (BBP);</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dibutyl ftalaat (DBP);</w:t>
      </w:r>
    </w:p>
    <w:p w:rsidR="00B84590" w:rsidRDefault="00B84590" w:rsidP="00B84590">
      <w:pPr>
        <w:pStyle w:val="art2enivo"/>
        <w:shd w:val="clear" w:color="auto" w:fill="D9D9D9" w:themeFill="background1" w:themeFillShade="D9"/>
        <w:suppressAutoHyphens/>
        <w:rPr>
          <w:rFonts w:cs="Arial"/>
        </w:rPr>
      </w:pPr>
      <w:r>
        <w:rPr>
          <w:rFonts w:cs="Arial"/>
        </w:rPr>
        <w:t>c.</w:t>
      </w:r>
      <w:r>
        <w:rPr>
          <w:rFonts w:cs="Arial"/>
        </w:rPr>
        <w:tab/>
        <w:t>di-ethyl hexyl ftalaat (DEHP);</w:t>
      </w:r>
    </w:p>
    <w:p w:rsidR="00B84590" w:rsidRDefault="00B84590" w:rsidP="00B84590">
      <w:pPr>
        <w:pStyle w:val="art2enivo"/>
        <w:shd w:val="clear" w:color="auto" w:fill="D9D9D9" w:themeFill="background1" w:themeFillShade="D9"/>
        <w:suppressAutoHyphens/>
        <w:rPr>
          <w:rFonts w:cs="Arial"/>
        </w:rPr>
      </w:pPr>
      <w:r>
        <w:rPr>
          <w:rFonts w:cs="Arial"/>
        </w:rPr>
        <w:t>d.</w:t>
      </w:r>
      <w:r>
        <w:rPr>
          <w:rFonts w:cs="Arial"/>
        </w:rPr>
        <w:tab/>
        <w:t>di-isobutyl ftalaat (DIBP).</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Op de stoffen, bedoeld in het eerste lid, is het bepaalde in de EG-verordening registratie, evaluatie en autorisatie van chemische stoffen onverminderd van toepassing.</w:t>
      </w:r>
    </w:p>
    <w:p w:rsidR="00B84590" w:rsidRDefault="00B84590" w:rsidP="00B84590">
      <w:pPr>
        <w:pStyle w:val="artikelkop"/>
        <w:shd w:val="clear" w:color="auto" w:fill="D9D9D9" w:themeFill="background1" w:themeFillShade="D9"/>
      </w:pPr>
      <w:r>
        <w:t>Artikel 4.49d</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of, voor zover dat niet mogelijk is, het tot een aanvaardbaar niveau beperken van de geurhinder, bedoeld in artikel 4.31c van het besluit, past degene die de inrichting drijft de volgende emissiereducerende maatregelen met betrekking tot styreen toe, tenzij deze niet kosteneffectief of niet technisch uitvoerbaar zijn:</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toepassen van harsen met additieven die verdamping van styreen bij het uitharden beperken;</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toepassen van harsen met een verlaagd styreengehalte;</w:t>
      </w:r>
    </w:p>
    <w:p w:rsidR="00B84590" w:rsidRDefault="00B84590" w:rsidP="00B84590">
      <w:pPr>
        <w:pStyle w:val="art2enivo"/>
        <w:shd w:val="clear" w:color="auto" w:fill="D9D9D9" w:themeFill="background1" w:themeFillShade="D9"/>
        <w:suppressAutoHyphens/>
        <w:rPr>
          <w:rFonts w:cs="Arial"/>
        </w:rPr>
      </w:pPr>
      <w:r>
        <w:rPr>
          <w:rFonts w:cs="Arial"/>
        </w:rPr>
        <w:t>c.</w:t>
      </w:r>
      <w:r>
        <w:rPr>
          <w:rFonts w:cs="Arial"/>
        </w:rPr>
        <w:tab/>
        <w:t>toepassen van harsen waarin styreen deels is vervangen door dicyclopentadieen;</w:t>
      </w:r>
    </w:p>
    <w:p w:rsidR="00B84590" w:rsidRDefault="00B84590" w:rsidP="00B84590">
      <w:pPr>
        <w:pStyle w:val="art2enivo"/>
        <w:shd w:val="clear" w:color="auto" w:fill="D9D9D9" w:themeFill="background1" w:themeFillShade="D9"/>
        <w:suppressAutoHyphens/>
        <w:rPr>
          <w:rFonts w:cs="Arial"/>
        </w:rPr>
      </w:pPr>
      <w:r>
        <w:rPr>
          <w:rFonts w:cs="Arial"/>
        </w:rPr>
        <w:t>d.</w:t>
      </w:r>
      <w:r>
        <w:rPr>
          <w:rFonts w:cs="Arial"/>
        </w:rPr>
        <w:tab/>
        <w:t>spuittechnieken zonder persluchtondersteuning;</w:t>
      </w:r>
    </w:p>
    <w:p w:rsidR="00B84590" w:rsidRDefault="00B84590" w:rsidP="00B84590">
      <w:pPr>
        <w:pStyle w:val="art2enivo"/>
        <w:shd w:val="clear" w:color="auto" w:fill="D9D9D9" w:themeFill="background1" w:themeFillShade="D9"/>
        <w:suppressAutoHyphens/>
        <w:rPr>
          <w:rFonts w:cs="Arial"/>
        </w:rPr>
      </w:pPr>
      <w:r>
        <w:rPr>
          <w:rFonts w:cs="Arial"/>
        </w:rPr>
        <w:t>e.</w:t>
      </w:r>
      <w:r>
        <w:rPr>
          <w:rFonts w:cs="Arial"/>
        </w:rPr>
        <w:tab/>
        <w:t>toepassen van een lagedruk polyesterharsopbrengsysteem;</w:t>
      </w:r>
    </w:p>
    <w:p w:rsidR="00B84590" w:rsidRDefault="00B84590" w:rsidP="00B84590">
      <w:pPr>
        <w:pStyle w:val="art2enivo"/>
        <w:shd w:val="clear" w:color="auto" w:fill="D9D9D9" w:themeFill="background1" w:themeFillShade="D9"/>
        <w:suppressAutoHyphens/>
        <w:rPr>
          <w:rFonts w:cs="Arial"/>
        </w:rPr>
      </w:pPr>
      <w:r>
        <w:rPr>
          <w:rFonts w:cs="Arial"/>
        </w:rPr>
        <w:t>f.</w:t>
      </w:r>
      <w:r>
        <w:rPr>
          <w:rFonts w:cs="Arial"/>
        </w:rPr>
        <w:tab/>
        <w:t>overschakelen op een gesloten malsysteem;</w:t>
      </w:r>
    </w:p>
    <w:p w:rsidR="00B84590" w:rsidRDefault="00B84590" w:rsidP="00B84590">
      <w:pPr>
        <w:pStyle w:val="art2enivo"/>
        <w:shd w:val="clear" w:color="auto" w:fill="D9D9D9" w:themeFill="background1" w:themeFillShade="D9"/>
        <w:suppressAutoHyphens/>
        <w:rPr>
          <w:rFonts w:cs="Arial"/>
        </w:rPr>
      </w:pPr>
      <w:r>
        <w:rPr>
          <w:rFonts w:cs="Arial"/>
        </w:rPr>
        <w:t>g.</w:t>
      </w:r>
      <w:r>
        <w:rPr>
          <w:rFonts w:cs="Arial"/>
        </w:rPr>
        <w:tab/>
        <w:t>overschakelen op een vacuümfoliesysteem;</w:t>
      </w:r>
    </w:p>
    <w:p w:rsidR="00B84590" w:rsidRDefault="00B84590" w:rsidP="00B84590">
      <w:pPr>
        <w:pStyle w:val="art2enivo"/>
        <w:shd w:val="clear" w:color="auto" w:fill="D9D9D9" w:themeFill="background1" w:themeFillShade="D9"/>
        <w:suppressAutoHyphens/>
        <w:rPr>
          <w:rFonts w:cs="Arial"/>
        </w:rPr>
      </w:pPr>
      <w:r>
        <w:rPr>
          <w:rFonts w:cs="Arial"/>
        </w:rPr>
        <w:t>h.</w:t>
      </w:r>
      <w:r>
        <w:rPr>
          <w:rFonts w:cs="Arial"/>
        </w:rPr>
        <w:tab/>
        <w:t>afdekken van emmers en vaten;</w:t>
      </w:r>
    </w:p>
    <w:p w:rsidR="00B84590" w:rsidRDefault="00B84590" w:rsidP="00B84590">
      <w:pPr>
        <w:pStyle w:val="art2enivo"/>
        <w:shd w:val="clear" w:color="auto" w:fill="D9D9D9" w:themeFill="background1" w:themeFillShade="D9"/>
        <w:suppressAutoHyphens/>
        <w:rPr>
          <w:rFonts w:cs="Arial"/>
        </w:rPr>
      </w:pPr>
      <w:r>
        <w:rPr>
          <w:rFonts w:cs="Arial"/>
        </w:rPr>
        <w:t>i.</w:t>
      </w:r>
      <w:r>
        <w:rPr>
          <w:rFonts w:cs="Arial"/>
        </w:rPr>
        <w:tab/>
        <w:t>toepassen van gesloten leidingssystemen voor oplosmiddelen en hars; en</w:t>
      </w:r>
    </w:p>
    <w:p w:rsidR="00B84590" w:rsidRDefault="00B84590" w:rsidP="00B84590">
      <w:pPr>
        <w:pStyle w:val="art2enivo"/>
        <w:shd w:val="clear" w:color="auto" w:fill="D9D9D9" w:themeFill="background1" w:themeFillShade="D9"/>
        <w:suppressAutoHyphens/>
        <w:rPr>
          <w:rFonts w:cs="Arial"/>
        </w:rPr>
      </w:pPr>
      <w:r>
        <w:rPr>
          <w:rFonts w:cs="Arial"/>
        </w:rPr>
        <w:t>j.</w:t>
      </w:r>
      <w:r>
        <w:rPr>
          <w:rFonts w:cs="Arial"/>
        </w:rPr>
        <w:tab/>
        <w:t>toepassen van een nageschakelde techniek zoals cryocondensatie, thermische of katalytische naverbranding, een bioreactor of een zuurstofradicaalgenerator.</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Het eerste lid is niet van toepassing indien degene die de inrichting drijft aantoont dat de geurhinder beperkt blijft tot een aanvaardbaar niveau of dat het mogelijke effect van de styreenemissie beperkt blijft tot een gezoneerd industrieterrein of een bedrijventerrein met minder dan één geurgevoelig object per hectare.</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Het bevoegd gezag kan, indien blijkt dat bij het verwerken van polyesterhars ondanks de maatregelen, bedoeld in het eerste lid, de geurhinder een aanvaardbaar niveau overschrijdt overeenkomstig artikel 2.7a, derde lid, van het besluit maatwerkvoorschriften stellen met betrekking tot:</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het niet in de buitenlucht verwerken van polyesterhars,</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de situering van de afvoerpijp,</w:t>
      </w:r>
    </w:p>
    <w:p w:rsidR="00B84590" w:rsidRDefault="00B84590" w:rsidP="00B84590">
      <w:pPr>
        <w:pStyle w:val="art2enivo"/>
        <w:shd w:val="clear" w:color="auto" w:fill="D9D9D9" w:themeFill="background1" w:themeFillShade="D9"/>
        <w:suppressAutoHyphens/>
        <w:rPr>
          <w:rFonts w:cs="Arial"/>
        </w:rPr>
      </w:pPr>
      <w:r>
        <w:rPr>
          <w:rFonts w:cs="Arial"/>
        </w:rPr>
        <w:t>c.</w:t>
      </w:r>
      <w:r>
        <w:rPr>
          <w:rFonts w:cs="Arial"/>
        </w:rPr>
        <w:tab/>
        <w:t xml:space="preserve">het voorkomen of beperken van diffuse emissies, of </w:t>
      </w:r>
    </w:p>
    <w:p w:rsidR="00B84590" w:rsidRDefault="00B84590" w:rsidP="00B84590">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B84590" w:rsidRDefault="00B84590" w:rsidP="00B84590">
      <w:pPr>
        <w:pStyle w:val="art1enivo"/>
        <w:shd w:val="clear" w:color="auto" w:fill="D9D9D9" w:themeFill="background1" w:themeFillShade="D9"/>
        <w:suppressAutoHyphens/>
        <w:rPr>
          <w:rFonts w:cs="Arial"/>
        </w:rPr>
      </w:pPr>
      <w:r>
        <w:rPr>
          <w:rFonts w:cs="Arial"/>
        </w:rPr>
        <w:t>4.</w:t>
      </w:r>
      <w:r>
        <w:rPr>
          <w:rFonts w:cs="Arial"/>
        </w:rPr>
        <w:tab/>
        <w:t>Het bevoegd gezag kan, indien blijkt dat bij het verwerken van polyesterhars ondanks de maatregelen bedoeld in het eerste lid, de geurhinder een aanvaardbaar niveau overschrijdt en de uitoefening van bevoegdheden, bedoeld in het derde lid, onvoldoende effect hebben om de overschrijding ongedaan te maken, overeenkomstig artikel 2.7a, derde lid, van het besluit maatwerkvoorschriften stellen met betrekking tot de aanwezigheid van een ontgeuringsinstallatie of een grotere afvoerhoogte van de bij het verwerken van polyesterhars vrijkomende gassen en dampen.</w:t>
      </w:r>
    </w:p>
    <w:p w:rsidR="00B84590" w:rsidRDefault="00B84590" w:rsidP="00B84590">
      <w:pPr>
        <w:pStyle w:val="artikelkop"/>
        <w:shd w:val="clear" w:color="auto" w:fill="D9D9D9" w:themeFill="background1" w:themeFillShade="D9"/>
      </w:pPr>
      <w:r>
        <w:t>Artikel 4.49e</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als bedoeld in artikel 4.31d van het besluit vindt het:</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mengen van rubbercompounds;</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verwerken van rubber of thermoplastisch kunststof waarbij gebruik wordt gemaakt van een installatie met een olie- of koelvloeistofcircuit, of</w:t>
      </w:r>
    </w:p>
    <w:p w:rsidR="00B84590" w:rsidRDefault="00B84590" w:rsidP="00B84590">
      <w:pPr>
        <w:pStyle w:val="art2enivo"/>
        <w:shd w:val="clear" w:color="auto" w:fill="D9D9D9" w:themeFill="background1" w:themeFillShade="D9"/>
        <w:suppressAutoHyphens/>
        <w:rPr>
          <w:rFonts w:cs="Arial"/>
        </w:rPr>
      </w:pPr>
      <w:r>
        <w:rPr>
          <w:rFonts w:cs="Arial"/>
        </w:rPr>
        <w:t>c.</w:t>
      </w:r>
      <w:r>
        <w:rPr>
          <w:rFonts w:cs="Arial"/>
        </w:rPr>
        <w:tab/>
        <w:t>verwerken van polyesterhars, waaronder tevens wordt verstaan het reinigen van de daarbij gebruikte apparatuur,</w:t>
      </w:r>
    </w:p>
    <w:p w:rsidR="00B84590" w:rsidRDefault="00B84590" w:rsidP="00B84590">
      <w:pPr>
        <w:pStyle w:val="artplat"/>
        <w:shd w:val="clear" w:color="auto" w:fill="D9D9D9" w:themeFill="background1" w:themeFillShade="D9"/>
        <w:suppressAutoHyphens/>
        <w:rPr>
          <w:rFonts w:cs="Arial"/>
        </w:rPr>
      </w:pPr>
      <w:r>
        <w:rPr>
          <w:rFonts w:cs="Arial"/>
        </w:rPr>
        <w:tab/>
        <w:t>plaats boven een bodembeschermende voorziening.</w:t>
      </w:r>
    </w:p>
    <w:p w:rsidR="00B84590" w:rsidRDefault="00B84590" w:rsidP="00B84590">
      <w:pPr>
        <w:shd w:val="clear" w:color="auto" w:fill="D9D9D9" w:themeFill="background1" w:themeFillShade="D9"/>
      </w:pPr>
      <w:r>
        <w:rPr>
          <w:rFonts w:cs="Arial"/>
        </w:rPr>
        <w:t>2.</w:t>
      </w:r>
      <w:r>
        <w:rPr>
          <w:rFonts w:cs="Arial"/>
        </w:rPr>
        <w:tab/>
        <w:t>Bij de aanleg van de bodembeschermende voorziening voor het mengen van rubbercompounds, bedoeld in het eerste lid, onder a, wordt bijzondere aandacht besteed aan toevoer- en aftappunten van de menginstallatie.</w:t>
      </w:r>
    </w:p>
    <w:p w:rsidR="00624A65" w:rsidRPr="00620047" w:rsidRDefault="00624A65">
      <w:pPr>
        <w:pStyle w:val="artplat"/>
      </w:pPr>
    </w:p>
    <w:p w:rsidR="00296032" w:rsidRPr="00620047" w:rsidRDefault="00296032">
      <w:pPr>
        <w:pStyle w:val="afdeling"/>
        <w:rPr>
          <w:rFonts w:cs="Arial"/>
        </w:rPr>
      </w:pPr>
      <w:bookmarkStart w:id="216" w:name="_Toc277243226"/>
      <w:bookmarkStart w:id="217" w:name="_Toc431375695"/>
      <w:r w:rsidRPr="00620047">
        <w:rPr>
          <w:rFonts w:cs="Arial"/>
        </w:rPr>
        <w:t>Afdeling 4.5. Activiteiten met betrekking tot metaal</w:t>
      </w:r>
      <w:bookmarkEnd w:id="216"/>
      <w:bookmarkEnd w:id="217"/>
    </w:p>
    <w:p w:rsidR="00296032" w:rsidRPr="00296032" w:rsidRDefault="00296032">
      <w:pPr>
        <w:pStyle w:val="paragraaf"/>
        <w:rPr>
          <w:rFonts w:cs="Arial"/>
        </w:rPr>
      </w:pPr>
      <w:bookmarkStart w:id="218" w:name="_Toc431375696"/>
      <w:bookmarkStart w:id="219" w:name="_Toc277243227"/>
      <w:r w:rsidRPr="00296032">
        <w:rPr>
          <w:rFonts w:cs="Arial"/>
        </w:rPr>
        <w:t>§ 4.5.1.</w:t>
      </w:r>
      <w:r w:rsidRPr="00296032">
        <w:rPr>
          <w:rFonts w:cs="Arial"/>
        </w:rPr>
        <w:tab/>
        <w:t>Spaanloze, verspanende of thermische bewerking of mechanische eindafwerking van metalen.</w:t>
      </w:r>
      <w:bookmarkEnd w:id="218"/>
      <w:bookmarkEnd w:id="219"/>
    </w:p>
    <w:p w:rsidR="00296032" w:rsidRPr="00296032" w:rsidRDefault="00296032">
      <w:pPr>
        <w:pStyle w:val="artikelkop"/>
        <w:rPr>
          <w:rFonts w:cs="Arial"/>
        </w:rPr>
      </w:pPr>
      <w:r w:rsidRPr="00296032">
        <w:rPr>
          <w:rFonts w:cs="Arial"/>
        </w:rPr>
        <w:t>Artikel 4.31e</w:t>
      </w:r>
    </w:p>
    <w:p w:rsidR="00296032" w:rsidRPr="00620047" w:rsidRDefault="00296032">
      <w:pPr>
        <w:pStyle w:val="artplat"/>
      </w:pPr>
      <w:r w:rsidRPr="00620047">
        <w:t>Deze paragraaf is van toepassing op spaanloze, verspanende of thermische bewerking of mechanische eindafwerking van metalen.</w:t>
      </w:r>
    </w:p>
    <w:p w:rsidR="00296032" w:rsidRPr="00296032" w:rsidRDefault="00296032">
      <w:pPr>
        <w:pStyle w:val="artikelkop"/>
        <w:rPr>
          <w:rFonts w:cs="Arial"/>
        </w:rPr>
      </w:pPr>
      <w:r w:rsidRPr="00296032">
        <w:rPr>
          <w:rFonts w:cs="Arial"/>
        </w:rPr>
        <w:t>Artikel 4.32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is verboden om in de buitenlucht verspanende of thermische bewerkingen of mechanische eindafwerking van metalen uit te voeren.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het niet mogelijk is om in het inpandig deel van de inrichting verspanende of thermische bewerkingen of mechanische eindafwerking van metalen uit te voeren vanwege het volume of het gewicht van het te bewerken object.</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Bij het uitvoeren van fijnverspanende bewerkingen aan metalen in de buitenlucht wordt ten behoeve van het voorkomen van stofhinder voldaan aan bij ministeriële regeling te stellen eisen.</w:t>
      </w:r>
    </w:p>
    <w:p w:rsidR="00296032" w:rsidRPr="00296032" w:rsidRDefault="00296032">
      <w:pPr>
        <w:pStyle w:val="artikelkop"/>
        <w:rPr>
          <w:rFonts w:cs="Arial"/>
        </w:rPr>
      </w:pPr>
      <w:r w:rsidRPr="00296032">
        <w:rPr>
          <w:rFonts w:cs="Arial"/>
        </w:rPr>
        <w:t>Artikel 4.33</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smeden, shredderen, droogverspanende bewerkingen, thermische bewerkingen en bij mechanische eindafwerking van metalen, de emissieconcentratie van stofklasse S niet meer dan:</w:t>
      </w:r>
    </w:p>
    <w:p w:rsidR="00296032" w:rsidRPr="00620047" w:rsidRDefault="00296032">
      <w:pPr>
        <w:pStyle w:val="art2enivo"/>
        <w:rPr>
          <w:rFonts w:cs="Arial"/>
        </w:rPr>
      </w:pPr>
      <w:r w:rsidRPr="00620047">
        <w:rPr>
          <w:rFonts w:cs="Arial"/>
        </w:rPr>
        <w:t>a.</w:t>
      </w:r>
      <w:r w:rsidRPr="00620047">
        <w:rPr>
          <w:rFonts w:cs="Arial"/>
        </w:rPr>
        <w:tab/>
        <w:t>5 milligram per normaal kubieke meter, indien de massastroom van stofklasse S naar de lucht gelijk is aan of groter is dan 200 gram per uur; en</w:t>
      </w:r>
    </w:p>
    <w:p w:rsidR="00296032" w:rsidRPr="00620047" w:rsidRDefault="00296032">
      <w:pPr>
        <w:pStyle w:val="art2enivo"/>
        <w:rPr>
          <w:rFonts w:cs="Arial"/>
        </w:rPr>
      </w:pPr>
      <w:r w:rsidRPr="00620047">
        <w:rPr>
          <w:rFonts w:cs="Arial"/>
        </w:rPr>
        <w:t>b.</w:t>
      </w:r>
      <w:r w:rsidRPr="00620047">
        <w:rPr>
          <w:rFonts w:cs="Arial"/>
        </w:rPr>
        <w:tab/>
        <w:t>50 milligram per normaal kubieke meter indien de massastroom kleiner is dan 200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de werkzaamheden op grond van de artikelen 4.32, tweede lid, of 4.86 in de buitenlucht worden verricht.</w:t>
      </w:r>
    </w:p>
    <w:p w:rsidR="00296032" w:rsidRPr="00296032" w:rsidRDefault="00296032">
      <w:pPr>
        <w:pStyle w:val="artikelkop"/>
        <w:rPr>
          <w:rFonts w:cs="Arial"/>
        </w:rPr>
      </w:pPr>
      <w:r w:rsidRPr="00296032">
        <w:rPr>
          <w:rFonts w:cs="Arial"/>
        </w:rPr>
        <w:t>Artikel 4.34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droogverspanende bewerkingen, thermische bewerkingen en bij mechanische eindafwerking van roestvast staal, de emissieconcentratie van chroom VI-verbindingen, berekend als chroom, niet meer dan 0,1 milligram per normaal kubieke meter, indien de massastroom van chroom VI-verbindingen naar de lucht, berekend als chroom, meer bedraagt dan 0,5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de werkzaamheden op grond van de artikelen 4.32, tweede lid, of 4.86 in de buitenlucht worden verricht.</w:t>
      </w:r>
    </w:p>
    <w:p w:rsidR="00296032" w:rsidRPr="00296032" w:rsidRDefault="00296032">
      <w:pPr>
        <w:pStyle w:val="artikelkop"/>
        <w:rPr>
          <w:rFonts w:cs="Arial"/>
        </w:rPr>
      </w:pPr>
      <w:r w:rsidRPr="00296032">
        <w:rPr>
          <w:rFonts w:cs="Arial"/>
        </w:rPr>
        <w:t>Artikel 4.35</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het snijden van koper:</w:t>
      </w:r>
    </w:p>
    <w:p w:rsidR="00296032" w:rsidRPr="00620047" w:rsidRDefault="00296032">
      <w:pPr>
        <w:pStyle w:val="art2enivo"/>
        <w:rPr>
          <w:rFonts w:cs="Arial"/>
        </w:rPr>
      </w:pPr>
      <w:r w:rsidRPr="00620047">
        <w:rPr>
          <w:rFonts w:cs="Arial"/>
        </w:rPr>
        <w:t>a.</w:t>
      </w:r>
      <w:r w:rsidRPr="00620047">
        <w:rPr>
          <w:rFonts w:cs="Arial"/>
        </w:rPr>
        <w:tab/>
        <w:t>de emissieconcentratie van koperverbindingen berekend als koper, niet meer dan 5 milligram per normaal kubieke meter indien de massastroom van koperverbindingen naar de lucht berekend als koper, meer bedraagt dan 10 gram per uur;</w:t>
      </w:r>
    </w:p>
    <w:p w:rsidR="00296032" w:rsidRPr="00620047" w:rsidRDefault="00296032">
      <w:pPr>
        <w:pStyle w:val="art2enivo"/>
        <w:rPr>
          <w:rFonts w:cs="Arial"/>
        </w:rPr>
      </w:pPr>
      <w:r w:rsidRPr="00620047">
        <w:rPr>
          <w:rFonts w:cs="Arial"/>
        </w:rPr>
        <w:t>b.</w:t>
      </w:r>
      <w:r w:rsidRPr="00620047">
        <w:rPr>
          <w:rFonts w:cs="Arial"/>
        </w:rPr>
        <w:tab/>
        <w:t>de emissieconcentratie van koperrook berekend als koper, niet meer dan 0,5 milligram per normaal kubieke meter indien de massastroom van koperrook naar de lucht berekend als koper, meer bedraagt dan 2,5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de werkzaamheden op grond van artikel 4.32, tweede lid, in de buitenlucht worden verricht.</w:t>
      </w:r>
    </w:p>
    <w:p w:rsidR="00296032" w:rsidRPr="00296032" w:rsidRDefault="00296032">
      <w:pPr>
        <w:pStyle w:val="artikelkop"/>
        <w:rPr>
          <w:rFonts w:cs="Arial"/>
        </w:rPr>
      </w:pPr>
      <w:r w:rsidRPr="00296032">
        <w:rPr>
          <w:rFonts w:cs="Arial"/>
        </w:rPr>
        <w:t>Artikel 4.36</w:t>
      </w:r>
    </w:p>
    <w:p w:rsidR="00296032" w:rsidRPr="00620047" w:rsidRDefault="00296032">
      <w:pPr>
        <w:rPr>
          <w:rFonts w:cs="Arial"/>
        </w:rPr>
      </w:pPr>
      <w:r w:rsidRPr="00620047">
        <w:rPr>
          <w:rFonts w:cs="Arial"/>
        </w:rPr>
        <w:t>Bij verspanende bewerkingen waar metaalbewerkingsvloeistoffen worden verneveld of verdampt worden maatregelen getroffen om zichtbare verspreiding van druppels en nevels die vrijkomen bij verspanende bewerkingen waarbij bewerkingsvloeistoffen worden gebruikt, in de buitenlucht te voorkomen.</w:t>
      </w:r>
    </w:p>
    <w:p w:rsidR="00296032" w:rsidRPr="00296032" w:rsidRDefault="00296032">
      <w:pPr>
        <w:pStyle w:val="artikelkop"/>
        <w:rPr>
          <w:rFonts w:cs="Arial"/>
        </w:rPr>
      </w:pPr>
      <w:r w:rsidRPr="00296032">
        <w:rPr>
          <w:rFonts w:cs="Arial"/>
        </w:rPr>
        <w:t>Artikel 4.37</w:t>
      </w:r>
    </w:p>
    <w:p w:rsidR="00296032" w:rsidRPr="00620047" w:rsidRDefault="00296032">
      <w:pPr>
        <w:rPr>
          <w:rFonts w:cs="Arial"/>
        </w:rPr>
      </w:pPr>
      <w:r w:rsidRPr="00620047">
        <w:rPr>
          <w:rFonts w:cs="Arial"/>
        </w:rPr>
        <w:t>Bij het smeden, droogverspanende bewerkingen, thermische bewerking en mechanische eindafwerking van metalen worden ten behoeve van het voorkomen dan wel beperken van diffuse emissies en het doelmatig verspreiden van emissies naar de buitenlucht de bij ministeriële regeling te bepalen maatregelen toegepast.</w:t>
      </w:r>
    </w:p>
    <w:p w:rsidR="00296032" w:rsidRPr="00296032" w:rsidRDefault="00296032">
      <w:pPr>
        <w:pStyle w:val="artikelkop"/>
        <w:rPr>
          <w:rFonts w:cs="Arial"/>
        </w:rPr>
      </w:pPr>
      <w:r w:rsidRPr="00296032">
        <w:rPr>
          <w:rFonts w:cs="Arial"/>
        </w:rPr>
        <w:t>Artikel 4.38</w:t>
      </w:r>
    </w:p>
    <w:p w:rsidR="00296032" w:rsidRDefault="00296032">
      <w:pPr>
        <w:rPr>
          <w:rFonts w:cs="Arial"/>
        </w:rPr>
      </w:pPr>
      <w:r w:rsidRPr="00620047">
        <w:rPr>
          <w:rFonts w:cs="Arial"/>
        </w:rPr>
        <w:t>Bij spaanloze, verspanende of thermische bewerkingen of mechanische eindafwerking van metalen wordt ten behoeve van het realiseren van een verwaarloosbaar bodemrisico, voldaan aan de bij ministeriële regeling te stellen eisen.</w:t>
      </w:r>
    </w:p>
    <w:p w:rsidR="00B84590" w:rsidRDefault="00B84590">
      <w:pPr>
        <w:rPr>
          <w:rFonts w:cs="Arial"/>
        </w:rPr>
      </w:pPr>
    </w:p>
    <w:p w:rsidR="00B84590" w:rsidRDefault="00B84590" w:rsidP="00B84590">
      <w:pPr>
        <w:pStyle w:val="paragraaf"/>
        <w:shd w:val="clear" w:color="auto" w:fill="D9D9D9" w:themeFill="background1" w:themeFillShade="D9"/>
      </w:pPr>
      <w:bookmarkStart w:id="220" w:name="_Toc431375697"/>
      <w:r>
        <w:t>§ 4.5.1.</w:t>
      </w:r>
      <w:r>
        <w:tab/>
        <w:t>Spaanloze, verspanende of thermische bewerking of mechanische eindafwerking van metalen</w:t>
      </w:r>
      <w:bookmarkEnd w:id="220"/>
    </w:p>
    <w:p w:rsidR="00B84590" w:rsidRDefault="00B84590" w:rsidP="00B84590">
      <w:pPr>
        <w:pStyle w:val="artikelkop"/>
        <w:shd w:val="clear" w:color="auto" w:fill="D9D9D9" w:themeFill="background1" w:themeFillShade="D9"/>
      </w:pPr>
      <w:r>
        <w:t>Artikel 4.50</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worden stof en rook die vrijkomen bij smeden, droogverspanende bewerkingen, thermische bewerkingen en mechanische eindafwerking van metalen, voor zover dat redelijkerwijs mogelijk is,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voor zover het afgezogen emissies betreft, die vrijkomen bij smeden, droogverspanende bewerkingen, thermische bewerkingen en mechanische eindafwerking van metalen 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maatwerkvoorschriften stellen aan de ligging en uitvoering van het afvoerpunt van de emissies naar de buitenlucht, bedoeld in het tweede lid.</w:t>
      </w:r>
    </w:p>
    <w:p w:rsidR="00B84590" w:rsidRDefault="00B84590" w:rsidP="00B84590">
      <w:pPr>
        <w:pStyle w:val="art1enivo"/>
        <w:shd w:val="clear" w:color="auto" w:fill="D9D9D9" w:themeFill="background1" w:themeFillShade="D9"/>
        <w:suppressAutoHyphens/>
        <w:rPr>
          <w:rFonts w:cs="Arial"/>
        </w:rPr>
      </w:pPr>
      <w:r>
        <w:rPr>
          <w:rFonts w:cs="Arial"/>
        </w:rPr>
        <w:t>4.</w:t>
      </w:r>
      <w:r>
        <w:rPr>
          <w:rFonts w:cs="Arial"/>
        </w:rPr>
        <w:tab/>
        <w:t>Indien vanwege het volume of het gewicht van het te bewerken object, bedoeld in artikel 4.32, tweede lid, van het besluit, het uitvoeren van fijnverspanende bewerkingen aan metalen in de buitenlucht plaatsvindt, worden emissies die hierbij in de buitenlucht vrijkomen voorkomen, dan wel beperkt door het toepassen van doelmatige stofarme technieken, tenzij dit redelijkerwijs niet mogelijk is.</w:t>
      </w:r>
    </w:p>
    <w:p w:rsidR="00B84590" w:rsidRDefault="00B84590" w:rsidP="00B84590">
      <w:pPr>
        <w:pStyle w:val="art1enivo"/>
        <w:shd w:val="clear" w:color="auto" w:fill="D9D9D9" w:themeFill="background1" w:themeFillShade="D9"/>
        <w:suppressAutoHyphens/>
        <w:rPr>
          <w:rFonts w:cs="Arial"/>
        </w:rPr>
      </w:pPr>
      <w:r>
        <w:rPr>
          <w:rFonts w:cs="Arial"/>
        </w:rPr>
        <w:t>5.</w:t>
      </w:r>
      <w:r>
        <w:rPr>
          <w:rFonts w:cs="Arial"/>
        </w:rPr>
        <w:tab/>
        <w:t>Indien het toepassen van doelmatige stofarme technieken als genoemd in het vierde lid redelijkerwijs niet mogelijk is, worden de emissies van stof die vrijkomen bij het uitvoeren van fijnverspanende bewerkingen aan metalen in de buitenlucht, gereduceerd door het plaatsen van een doelmatige omkapping van geschikt materiaal.</w:t>
      </w:r>
    </w:p>
    <w:p w:rsidR="00B84590" w:rsidRDefault="00B84590" w:rsidP="00B84590">
      <w:pPr>
        <w:pStyle w:val="art1enivo"/>
        <w:shd w:val="clear" w:color="auto" w:fill="D9D9D9" w:themeFill="background1" w:themeFillShade="D9"/>
        <w:suppressAutoHyphens/>
        <w:rPr>
          <w:rFonts w:cs="Arial"/>
        </w:rPr>
      </w:pPr>
      <w:r>
        <w:rPr>
          <w:rFonts w:cs="Arial"/>
        </w:rPr>
        <w:t>6.</w:t>
      </w:r>
      <w:r>
        <w:rPr>
          <w:rFonts w:cs="Arial"/>
        </w:rPr>
        <w:tab/>
        <w:t>Ten aanzien van het zoveel mogelijk voorkomen, dan wel tot een aanvaardbaar niveau beperken van stofhinder bij het uitvoeren van fijnverspanende bewerkingen aan metalen in de buitenlucht, kan het bevoegd gezag maatwerkvoorschriften stellen ter uitwerking van het vierde en vijfde lid.</w:t>
      </w:r>
    </w:p>
    <w:p w:rsidR="00B84590" w:rsidRDefault="00B84590" w:rsidP="00B84590">
      <w:pPr>
        <w:pStyle w:val="art1enivo"/>
        <w:shd w:val="clear" w:color="auto" w:fill="D9D9D9" w:themeFill="background1" w:themeFillShade="D9"/>
      </w:pPr>
      <w:r>
        <w:t>7.</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B84590" w:rsidRDefault="00B84590" w:rsidP="00B84590">
      <w:pPr>
        <w:pStyle w:val="art1enivo"/>
        <w:shd w:val="clear" w:color="auto" w:fill="D9D9D9" w:themeFill="background1" w:themeFillShade="D9"/>
      </w:pPr>
      <w:r>
        <w:t>8.</w:t>
      </w:r>
      <w:r>
        <w:tab/>
        <w:t>In afwijking van het zevende lid kan het bevoegd gezag maatwerkvoorschriften als bedoeld in het derde lid stellen.</w:t>
      </w:r>
    </w:p>
    <w:p w:rsidR="00B84590" w:rsidRDefault="00B84590" w:rsidP="00B84590">
      <w:pPr>
        <w:pStyle w:val="artikelkop"/>
        <w:shd w:val="clear" w:color="auto" w:fill="D9D9D9" w:themeFill="background1" w:themeFillShade="D9"/>
      </w:pPr>
      <w:r>
        <w:t>Artikel 4.51</w:t>
      </w:r>
    </w:p>
    <w:p w:rsidR="00B84590" w:rsidRDefault="00B84590" w:rsidP="00B84590">
      <w:pPr>
        <w:pStyle w:val="artplat"/>
        <w:shd w:val="clear" w:color="auto" w:fill="D9D9D9" w:themeFill="background1" w:themeFillShade="D9"/>
        <w:suppressAutoHyphens/>
        <w:rPr>
          <w:rFonts w:cs="Arial"/>
        </w:rPr>
      </w:pPr>
      <w:r>
        <w:rPr>
          <w:rFonts w:cs="Arial"/>
        </w:rPr>
        <w:t>Aan artikel 4.33, eerste lid, van het besluit wordt in ieder geval voldaan indien:</w:t>
      </w:r>
    </w:p>
    <w:p w:rsidR="00B84590" w:rsidRDefault="00B84590" w:rsidP="00B84590">
      <w:pPr>
        <w:pStyle w:val="art1enivo"/>
        <w:shd w:val="clear" w:color="auto" w:fill="D9D9D9" w:themeFill="background1" w:themeFillShade="D9"/>
      </w:pPr>
      <w:r>
        <w:t>a.</w:t>
      </w:r>
      <w:r>
        <w:tab/>
        <w:t>de afgezogen emissies die vrijkomen bij het smeden, droogverspanende bewerkingen, thermische bewerkingen en mechanische eindafwerking van metalen, worden gevoerd door een filtrerende afscheider die geschikt is om aan artikel 4.33, eerste lid, van het besluit te voldoen; en</w:t>
      </w:r>
    </w:p>
    <w:p w:rsidR="00B84590" w:rsidRDefault="00B84590" w:rsidP="00B84590">
      <w:pPr>
        <w:pStyle w:val="art1enivo"/>
        <w:shd w:val="clear" w:color="auto" w:fill="D9D9D9" w:themeFill="background1" w:themeFillShade="D9"/>
      </w:pPr>
      <w:r>
        <w:t>b.</w:t>
      </w:r>
      <w:r>
        <w:tab/>
        <w:t>die filtrerende afscheider in goede staat van onderhoud verkeert, periodiek gecontroleerd wordt en zo vaak als voor de goede werking nodig is, wordt schoongemaakt en vervangen.</w:t>
      </w:r>
    </w:p>
    <w:p w:rsidR="00B84590" w:rsidRDefault="00B84590" w:rsidP="00B84590">
      <w:pPr>
        <w:pStyle w:val="artikelkop"/>
        <w:shd w:val="clear" w:color="auto" w:fill="D9D9D9" w:themeFill="background1" w:themeFillShade="D9"/>
      </w:pPr>
      <w:r>
        <w:t>Artikel 4.52</w:t>
      </w:r>
    </w:p>
    <w:p w:rsidR="00B84590" w:rsidRDefault="00B84590" w:rsidP="00B84590">
      <w:pPr>
        <w:pStyle w:val="artplat"/>
        <w:shd w:val="clear" w:color="auto" w:fill="D9D9D9" w:themeFill="background1" w:themeFillShade="D9"/>
        <w:suppressAutoHyphens/>
        <w:rPr>
          <w:rFonts w:cs="Arial"/>
        </w:rPr>
      </w:pPr>
      <w:r>
        <w:rPr>
          <w:rFonts w:cs="Arial"/>
        </w:rPr>
        <w:t>Aan artikel 4.34, eerste lid, van het besluit wordt in ieder geval voldaan indien:</w:t>
      </w:r>
    </w:p>
    <w:p w:rsidR="00B84590" w:rsidRDefault="00B84590" w:rsidP="00B84590">
      <w:pPr>
        <w:pStyle w:val="art1enivo"/>
        <w:shd w:val="clear" w:color="auto" w:fill="D9D9D9" w:themeFill="background1" w:themeFillShade="D9"/>
      </w:pPr>
      <w:r>
        <w:t>a.</w:t>
      </w:r>
      <w:r>
        <w:tab/>
        <w:t>de afgezogen emissies die vrijkomen bij droogverspanende bewerkingen, thermische bewerkingen en mechanische eindafwerking van roestvast staal, worden gevoerd door een filtrerende afscheider die geschikt is om aan artikel 4.34, eerste lid, van het besluit te voldoen; en</w:t>
      </w:r>
    </w:p>
    <w:p w:rsidR="00B84590" w:rsidRDefault="00B84590" w:rsidP="00B84590">
      <w:pPr>
        <w:pStyle w:val="art1enivo"/>
        <w:shd w:val="clear" w:color="auto" w:fill="D9D9D9" w:themeFill="background1" w:themeFillShade="D9"/>
      </w:pPr>
      <w:r>
        <w:t>b.</w:t>
      </w:r>
      <w:r>
        <w:tab/>
        <w:t>die filtrerende afscheider in goede staat van onderhoud verkeert, periodiek gecontroleerd wordt en zo vaak als voor de goede werking nodig is, wordt schoongemaakt en vervangen.</w:t>
      </w:r>
    </w:p>
    <w:p w:rsidR="00B84590" w:rsidRDefault="00B84590" w:rsidP="00B84590">
      <w:pPr>
        <w:pStyle w:val="artikelkop"/>
        <w:shd w:val="clear" w:color="auto" w:fill="D9D9D9" w:themeFill="background1" w:themeFillShade="D9"/>
      </w:pPr>
      <w:r>
        <w:t>Artikel 4.53</w:t>
      </w:r>
    </w:p>
    <w:p w:rsidR="00B84590" w:rsidRDefault="00B84590" w:rsidP="00B84590">
      <w:pPr>
        <w:pStyle w:val="artplat"/>
        <w:shd w:val="clear" w:color="auto" w:fill="D9D9D9" w:themeFill="background1" w:themeFillShade="D9"/>
        <w:suppressAutoHyphens/>
        <w:rPr>
          <w:rFonts w:cs="Arial"/>
        </w:rPr>
      </w:pPr>
      <w:r>
        <w:rPr>
          <w:rFonts w:cs="Arial"/>
        </w:rPr>
        <w:t>Aan artikel 4.35, eerste lid, van het besluit wordt in ieder geval voldaan indien:</w:t>
      </w:r>
    </w:p>
    <w:p w:rsidR="00B84590" w:rsidRDefault="00B84590" w:rsidP="00B84590">
      <w:pPr>
        <w:pStyle w:val="art1enivo"/>
        <w:shd w:val="clear" w:color="auto" w:fill="D9D9D9" w:themeFill="background1" w:themeFillShade="D9"/>
      </w:pPr>
      <w:r>
        <w:t>a.</w:t>
      </w:r>
      <w:r>
        <w:tab/>
        <w:t>de afgezogen emissies die vrijkomen bij het snijden van koper worden gevoerd door een filtrerende afscheider die geschikt is om aan artikel 4.35, eerste lid, van het besluit te voldoen; en</w:t>
      </w:r>
    </w:p>
    <w:p w:rsidR="00B84590" w:rsidRDefault="00B84590" w:rsidP="00B84590">
      <w:pPr>
        <w:pStyle w:val="art1enivo"/>
        <w:shd w:val="clear" w:color="auto" w:fill="D9D9D9" w:themeFill="background1" w:themeFillShade="D9"/>
      </w:pPr>
      <w:r>
        <w:t>b.</w:t>
      </w:r>
      <w:r>
        <w:tab/>
        <w:t>die filtrerende afscheider in goede staat van onderhoud verkeert, periodiek gecontroleerd wordt en zo vaak als voor de goede werking nodig is, wordt schoongemaakt en vervangen.</w:t>
      </w:r>
    </w:p>
    <w:p w:rsidR="00B84590" w:rsidRDefault="00B84590" w:rsidP="00B84590">
      <w:pPr>
        <w:pStyle w:val="artikelkop"/>
        <w:shd w:val="clear" w:color="auto" w:fill="D9D9D9" w:themeFill="background1" w:themeFillShade="D9"/>
      </w:pPr>
      <w:r>
        <w:t>Artikel 4.54</w:t>
      </w:r>
    </w:p>
    <w:p w:rsidR="00B84590" w:rsidRDefault="00B84590" w:rsidP="00B84590">
      <w:pPr>
        <w:shd w:val="clear" w:color="auto" w:fill="D9D9D9" w:themeFill="background1" w:themeFillShade="D9"/>
      </w:pPr>
      <w:r>
        <w:rPr>
          <w:rFonts w:cs="Arial"/>
        </w:rPr>
        <w:t>Ten behoeve van het realiseren van een verwaarloosbaar bodemrisico vinden verspanende, spaanloze en thermische bewerkingen en mechanische eindafwerkingen van metalen, waarbij vloeibare bodembedreigende stoffen worden gebruikt, en het mechanisch verkleinen van metalen waarbij gebruik wordt gemaakt van een installatie met een oliecircuit plaats boven een bodembeschermende voorziening.</w:t>
      </w:r>
    </w:p>
    <w:p w:rsidR="00B84590" w:rsidRPr="00620047" w:rsidRDefault="00B84590">
      <w:pPr>
        <w:rPr>
          <w:rFonts w:cs="Arial"/>
        </w:rPr>
      </w:pPr>
    </w:p>
    <w:p w:rsidR="00296032" w:rsidRPr="00296032" w:rsidRDefault="00296032">
      <w:pPr>
        <w:pStyle w:val="paragraaf"/>
        <w:rPr>
          <w:rFonts w:cs="Arial"/>
        </w:rPr>
      </w:pPr>
      <w:bookmarkStart w:id="221" w:name="_Toc277243228"/>
      <w:bookmarkStart w:id="222" w:name="_Toc431375698"/>
      <w:r w:rsidRPr="00296032">
        <w:rPr>
          <w:rFonts w:cs="Arial"/>
        </w:rPr>
        <w:t>§ 4.5.2</w:t>
      </w:r>
      <w:r w:rsidRPr="00296032">
        <w:rPr>
          <w:rFonts w:cs="Arial"/>
        </w:rPr>
        <w:tab/>
        <w:t>Lassen van metalen</w:t>
      </w:r>
      <w:bookmarkEnd w:id="221"/>
      <w:bookmarkEnd w:id="222"/>
    </w:p>
    <w:p w:rsidR="00296032" w:rsidRPr="00296032" w:rsidRDefault="00296032">
      <w:pPr>
        <w:pStyle w:val="artikelkop"/>
      </w:pPr>
      <w:r w:rsidRPr="00296032">
        <w:t>Artikel 4.38a</w:t>
      </w:r>
    </w:p>
    <w:p w:rsidR="00296032" w:rsidRPr="00620047" w:rsidRDefault="00296032">
      <w:pPr>
        <w:pStyle w:val="artplat"/>
      </w:pPr>
      <w:r w:rsidRPr="00620047">
        <w:t>Deze paragraaf is van toepassing op het lassen van metalen</w:t>
      </w:r>
    </w:p>
    <w:p w:rsidR="00296032" w:rsidRPr="00296032" w:rsidRDefault="00296032">
      <w:pPr>
        <w:pStyle w:val="artikelkop"/>
        <w:rPr>
          <w:rFonts w:cs="Arial"/>
        </w:rPr>
      </w:pPr>
      <w:r w:rsidRPr="00296032">
        <w:rPr>
          <w:rFonts w:cs="Arial"/>
        </w:rPr>
        <w:t>Artikel 4.39</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is verboden om in de buitenlucht laswerkzaamheden te verrichten.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het niet mogelijk is om in het inpandig deel van de inrichting te lassen vanwege de omvang van het te lassen object.</w:t>
      </w:r>
    </w:p>
    <w:p w:rsidR="00296032" w:rsidRPr="00296032" w:rsidRDefault="00296032">
      <w:pPr>
        <w:pStyle w:val="artikelkop"/>
      </w:pPr>
      <w:r w:rsidRPr="00296032">
        <w:t>Artikel 4.40</w:t>
      </w:r>
    </w:p>
    <w:p w:rsidR="00296032" w:rsidRPr="00620047" w:rsidRDefault="00296032">
      <w:pPr>
        <w:pStyle w:val="art1enivo"/>
      </w:pPr>
      <w:r w:rsidRPr="00620047">
        <w:t>1.</w:t>
      </w:r>
      <w:r w:rsidRPr="00620047">
        <w:tab/>
        <w:t>Onverminderd artikel 2.5, eerste, vierde en vijfde lid, en artikel 2.6 is bij laswerkzaamheden behorend tot de klassen III tot en met VII, de emissieconcentratie van stofklasse S niet meer dan:</w:t>
      </w:r>
    </w:p>
    <w:p w:rsidR="00296032" w:rsidRPr="00620047" w:rsidRDefault="00296032">
      <w:pPr>
        <w:pStyle w:val="art2enivo"/>
      </w:pPr>
      <w:r w:rsidRPr="00620047">
        <w:t>a.</w:t>
      </w:r>
      <w:r w:rsidRPr="00620047">
        <w:tab/>
        <w:t>5 milligram per normaal kubieke meter, indien de massastroom van stofklasse S naar de lucht gelijk is aan of groter is dan 200 gram per uur; en</w:t>
      </w:r>
    </w:p>
    <w:p w:rsidR="00296032" w:rsidRPr="00620047" w:rsidRDefault="00296032">
      <w:pPr>
        <w:pStyle w:val="art2enivo"/>
      </w:pPr>
      <w:r w:rsidRPr="00620047">
        <w:t>b.</w:t>
      </w:r>
      <w:r w:rsidRPr="00620047">
        <w:tab/>
        <w:t>50 milligram per normaal kubieke meter indien de massastroom kleiner is dan 200 gram per uur.</w:t>
      </w:r>
    </w:p>
    <w:p w:rsidR="00296032" w:rsidRPr="00620047" w:rsidRDefault="00296032">
      <w:pPr>
        <w:pStyle w:val="art1enivo"/>
      </w:pPr>
      <w:r w:rsidRPr="00620047">
        <w:t>2.</w:t>
      </w:r>
      <w:r w:rsidRPr="00620047">
        <w:tab/>
        <w:t>Bij ministeriële regeling wordt de indeling van laswerkzaamheden in klassen, bedoeld in het eerste lid, vastgesteld.</w:t>
      </w:r>
    </w:p>
    <w:p w:rsidR="00296032" w:rsidRPr="00620047" w:rsidRDefault="00296032">
      <w:pPr>
        <w:pStyle w:val="art1enivo"/>
      </w:pPr>
      <w:r w:rsidRPr="00620047">
        <w:t>3.</w:t>
      </w:r>
      <w:r w:rsidRPr="00620047">
        <w:tab/>
        <w:t>Het eerste lid is niet van toepassing indien de laswerkzaamheden op grond van de artikelen 4.39, tweede lid, of 4.86 in de buitenlucht worden verricht.</w:t>
      </w:r>
    </w:p>
    <w:p w:rsidR="00296032" w:rsidRPr="00296032" w:rsidRDefault="00296032">
      <w:pPr>
        <w:pStyle w:val="artikelkop"/>
        <w:rPr>
          <w:rFonts w:cs="Arial"/>
        </w:rPr>
      </w:pPr>
      <w:r w:rsidRPr="00296032">
        <w:rPr>
          <w:rFonts w:cs="Arial"/>
        </w:rPr>
        <w:t>Artikel 4.41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het lassen van roestvast staal of Berylliumlegeringen de emissieconcentratie van:</w:t>
      </w:r>
    </w:p>
    <w:p w:rsidR="00296032" w:rsidRPr="00620047" w:rsidRDefault="00296032">
      <w:pPr>
        <w:pStyle w:val="art2enivo"/>
        <w:rPr>
          <w:rFonts w:cs="Arial"/>
        </w:rPr>
      </w:pPr>
      <w:r w:rsidRPr="00620047">
        <w:rPr>
          <w:rFonts w:cs="Arial"/>
        </w:rPr>
        <w:t>a.</w:t>
      </w:r>
      <w:r w:rsidRPr="00620047">
        <w:rPr>
          <w:rFonts w:cs="Arial"/>
        </w:rPr>
        <w:tab/>
        <w:t>chroom VI-verbindingen, berekend als chroom, niet meer dan 0,1 milligram per normaal kubieke meter, indien de massastroom van chroom VI-verbindingen naar de lucht, berekend als chroom, meer bedraagt dan 0,5 gram per uur; en</w:t>
      </w:r>
    </w:p>
    <w:p w:rsidR="00296032" w:rsidRPr="00620047" w:rsidRDefault="00296032">
      <w:pPr>
        <w:pStyle w:val="art2enivo"/>
        <w:rPr>
          <w:rFonts w:cs="Arial"/>
        </w:rPr>
      </w:pPr>
      <w:r w:rsidRPr="00620047">
        <w:rPr>
          <w:rFonts w:cs="Arial"/>
        </w:rPr>
        <w:t>b.</w:t>
      </w:r>
      <w:r w:rsidRPr="00620047">
        <w:rPr>
          <w:rFonts w:cs="Arial"/>
        </w:rPr>
        <w:tab/>
        <w:t>berylliumverbindingen, berekend als beryllium, niet meer dan 0,05 milligram per normaal kubieke meter indien de massastroom van berylliumverbindingen naar de lucht, berekend als Beryllium, meer bedraagt dan 0,15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de laswerkzaamheden op grond van de artikelen 4.39, tweede lid, of 4.86 in de buitenlucht worden verricht.</w:t>
      </w:r>
    </w:p>
    <w:p w:rsidR="00296032" w:rsidRPr="00296032" w:rsidRDefault="00296032">
      <w:pPr>
        <w:pStyle w:val="artikelkop"/>
        <w:rPr>
          <w:rFonts w:cs="Arial"/>
        </w:rPr>
      </w:pPr>
      <w:r w:rsidRPr="00296032">
        <w:rPr>
          <w:rFonts w:cs="Arial"/>
        </w:rPr>
        <w:t>Artikel 4.42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het lassen van materialen die geverfd zijn met loodmenie de emissieconcentratie van loodverbindingen, berekend als lood, niet hoger dan 0,5 milligram per normaal kubieke meter, indien de massastroom van loodverbindingen naar de lucht, berekend als lood, meer bedraagt dan 2,5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de laswerkzaamheden op grond van de artikelen 4.39, tweede lid, of 4.86 in de buitenlucht worden verricht.</w:t>
      </w:r>
    </w:p>
    <w:p w:rsidR="00296032" w:rsidRPr="00296032" w:rsidRDefault="00296032">
      <w:pPr>
        <w:pStyle w:val="artikelkop"/>
        <w:rPr>
          <w:rFonts w:cs="Arial"/>
        </w:rPr>
      </w:pPr>
      <w:r w:rsidRPr="00296032">
        <w:rPr>
          <w:rFonts w:cs="Arial"/>
        </w:rPr>
        <w:t>Artikel 4.43</w:t>
      </w:r>
    </w:p>
    <w:p w:rsidR="00296032" w:rsidRDefault="00296032">
      <w:pPr>
        <w:rPr>
          <w:rFonts w:cs="Arial"/>
        </w:rPr>
      </w:pPr>
      <w:r w:rsidRPr="00620047">
        <w:rPr>
          <w:rFonts w:cs="Arial"/>
        </w:rPr>
        <w:t>Bij het lassen van metalen worden ten behoeve van het voorkomen dan wel beperken van diffuse emissies en het doelmatig verspreiden van emissies naar de buitenlucht de bij ministeriële regeling te bepalen maatregelen toegepast.</w:t>
      </w:r>
    </w:p>
    <w:p w:rsidR="00B84590" w:rsidRDefault="00B84590">
      <w:pPr>
        <w:rPr>
          <w:rFonts w:cs="Arial"/>
        </w:rPr>
      </w:pPr>
    </w:p>
    <w:p w:rsidR="00B84590" w:rsidRDefault="00B84590" w:rsidP="00B84590">
      <w:pPr>
        <w:pStyle w:val="paragraaf"/>
        <w:shd w:val="clear" w:color="auto" w:fill="D9D9D9" w:themeFill="background1" w:themeFillShade="D9"/>
      </w:pPr>
      <w:bookmarkStart w:id="223" w:name="_Toc431375699"/>
      <w:r>
        <w:t>§ 4.5.2.</w:t>
      </w:r>
      <w:r>
        <w:tab/>
      </w:r>
      <w:r>
        <w:rPr>
          <w:szCs w:val="20"/>
        </w:rPr>
        <w:t>Lassen</w:t>
      </w:r>
      <w:r>
        <w:t xml:space="preserve"> van metalen</w:t>
      </w:r>
      <w:bookmarkEnd w:id="223"/>
    </w:p>
    <w:p w:rsidR="00B84590" w:rsidRDefault="00B84590" w:rsidP="00B84590">
      <w:pPr>
        <w:pStyle w:val="artikelkop"/>
        <w:shd w:val="clear" w:color="auto" w:fill="D9D9D9" w:themeFill="background1" w:themeFillShade="D9"/>
      </w:pPr>
      <w:r>
        <w:t>Artikel 4.54a</w:t>
      </w:r>
    </w:p>
    <w:p w:rsidR="00B84590" w:rsidRDefault="00B84590" w:rsidP="00B84590">
      <w:pPr>
        <w:pStyle w:val="artplat"/>
        <w:shd w:val="clear" w:color="auto" w:fill="D9D9D9" w:themeFill="background1" w:themeFillShade="D9"/>
        <w:suppressAutoHyphens/>
        <w:rPr>
          <w:rFonts w:cs="Arial"/>
        </w:rPr>
      </w:pPr>
      <w:r>
        <w:rPr>
          <w:rFonts w:cs="Arial"/>
        </w:rPr>
        <w:t>Bij het lassen van metalen wordt de volgende klassenindeling, bedoeld in artikel 4.40, tweede lid,  van het besluit, aangehouden:</w:t>
      </w:r>
    </w:p>
    <w:p w:rsidR="00B84590" w:rsidRDefault="00B84590" w:rsidP="00B84590">
      <w:pPr>
        <w:pStyle w:val="artplatletter"/>
        <w:shd w:val="clear" w:color="auto" w:fill="D9D9D9" w:themeFill="background1" w:themeFillShade="D9"/>
        <w:suppressAutoHyphens/>
        <w:rPr>
          <w:rFonts w:cs="Arial"/>
        </w:rPr>
      </w:pPr>
      <w:r>
        <w:rPr>
          <w:rFonts w:cs="Arial"/>
        </w:rPr>
        <w:t>a.</w:t>
      </w:r>
      <w:r>
        <w:rPr>
          <w:rFonts w:cs="Arial"/>
        </w:rPr>
        <w:tab/>
        <w:t>Klasse I en II:</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TIG-lassen, plasmalassen, druklassen, autogeen lassen en onder poederlassen van alle materialen met uitzondering van geverfde materialen.</w:t>
      </w:r>
    </w:p>
    <w:p w:rsidR="00B84590" w:rsidRDefault="00B84590" w:rsidP="00B84590">
      <w:pPr>
        <w:pStyle w:val="artplatletter"/>
        <w:shd w:val="clear" w:color="auto" w:fill="D9D9D9" w:themeFill="background1" w:themeFillShade="D9"/>
        <w:suppressAutoHyphens/>
        <w:rPr>
          <w:rFonts w:cs="Arial"/>
        </w:rPr>
      </w:pPr>
      <w:r>
        <w:rPr>
          <w:rFonts w:cs="Arial"/>
        </w:rPr>
        <w:t>b.</w:t>
      </w:r>
      <w:r>
        <w:rPr>
          <w:rFonts w:cs="Arial"/>
        </w:rPr>
        <w:tab/>
        <w:t>Klasse III:</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Lassen met beklede elektroden van alle materialen met uitzondering van roestvast staal, beryllium-en vanadiumlegeringen en met uitzondering van geverfde materialen;</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MAG-lassen met gevulde draad van alle materialen met uitzondering van roestvast staal en geverfde materialen;</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MIG/MAG-lassen met massieve draad van alle materialen met uitzondering van koper-, beryllium- en vanadiumlegeringen en met uitzondering van geverfde materialen.</w:t>
      </w:r>
    </w:p>
    <w:p w:rsidR="00B84590" w:rsidRDefault="00B84590" w:rsidP="00B84590">
      <w:pPr>
        <w:pStyle w:val="artplatletter"/>
        <w:shd w:val="clear" w:color="auto" w:fill="D9D9D9" w:themeFill="background1" w:themeFillShade="D9"/>
        <w:suppressAutoHyphens/>
        <w:rPr>
          <w:rFonts w:cs="Arial"/>
        </w:rPr>
      </w:pPr>
      <w:r>
        <w:rPr>
          <w:rFonts w:cs="Arial"/>
        </w:rPr>
        <w:t>c.</w:t>
      </w:r>
      <w:r>
        <w:rPr>
          <w:rFonts w:cs="Arial"/>
        </w:rPr>
        <w:tab/>
        <w:t>Klasse IV:</w:t>
      </w:r>
    </w:p>
    <w:p w:rsidR="00B84590" w:rsidRDefault="00B84590" w:rsidP="00B84590">
      <w:pPr>
        <w:pStyle w:val="art2enivo"/>
        <w:shd w:val="clear" w:color="auto" w:fill="D9D9D9" w:themeFill="background1" w:themeFillShade="D9"/>
        <w:suppressAutoHyphens/>
        <w:ind w:left="426" w:hanging="1"/>
        <w:rPr>
          <w:rFonts w:cs="Arial"/>
        </w:rPr>
      </w:pPr>
      <w:r>
        <w:rPr>
          <w:rFonts w:cs="Arial"/>
        </w:rPr>
        <w:t>Het lassen van geverfde materialen (met uitzondering van loodmenie) met behulp van één van de volgende technieken:</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TIG-lassen (met uitzondering van aluminium), plasmalassen, druklassen, autogeenlassen, onder poeder lassen;</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Lassen met beklede elektroden, MAG-lassen met gevulde draad en MIG/MAG-lassen met massieve draad.</w:t>
      </w:r>
    </w:p>
    <w:p w:rsidR="00B84590" w:rsidRDefault="00B84590" w:rsidP="00B84590">
      <w:pPr>
        <w:pStyle w:val="artplatletter"/>
        <w:shd w:val="clear" w:color="auto" w:fill="D9D9D9" w:themeFill="background1" w:themeFillShade="D9"/>
        <w:suppressAutoHyphens/>
        <w:rPr>
          <w:rFonts w:cs="Arial"/>
        </w:rPr>
      </w:pPr>
      <w:r>
        <w:rPr>
          <w:rFonts w:cs="Arial"/>
        </w:rPr>
        <w:t>d.</w:t>
      </w:r>
      <w:r>
        <w:rPr>
          <w:rFonts w:cs="Arial"/>
        </w:rPr>
        <w:tab/>
        <w:t>Klasse V, VI en VII:</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Lassen met beklede elektroden, van de materialen: roestvast staal, vanadiumlegeringen en berylliumlegeringen;</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MAG-lassen met gevulde draad van de materialen: roestvast staal;</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Lassen met gelegeerde elektrode of met gelegeerde gevulde draad;</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MIG-lassen met gevulde draad of massieve draad van de materialen: koperlegeringen en beryllium- en vanadiumlegeringen;</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Lassen met gevulde draad van de materialen: ongelegeerd en gelegeerd staal;</w:t>
      </w:r>
    </w:p>
    <w:p w:rsidR="00B84590" w:rsidRDefault="00B84590" w:rsidP="00B84590">
      <w:pPr>
        <w:pStyle w:val="art2enivo"/>
        <w:shd w:val="clear" w:color="auto" w:fill="D9D9D9" w:themeFill="background1" w:themeFillShade="D9"/>
        <w:suppressAutoHyphens/>
        <w:rPr>
          <w:rFonts w:cs="Arial"/>
        </w:rPr>
      </w:pPr>
      <w:r>
        <w:rPr>
          <w:rFonts w:cs="Arial"/>
        </w:rPr>
        <w:t>-</w:t>
      </w:r>
      <w:r>
        <w:rPr>
          <w:rFonts w:cs="Arial"/>
        </w:rPr>
        <w:tab/>
        <w:t>Lassen van de materialen: geverfd staal met loodmenie.</w:t>
      </w:r>
    </w:p>
    <w:p w:rsidR="00B84590" w:rsidRDefault="00B84590" w:rsidP="00B84590">
      <w:pPr>
        <w:pStyle w:val="artikelkop"/>
        <w:shd w:val="clear" w:color="auto" w:fill="D9D9D9" w:themeFill="background1" w:themeFillShade="D9"/>
      </w:pPr>
      <w:r>
        <w:t>Artikel 4.55</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worden stof en rook die vrijkomen bij het lassen van metalen behorend tot klasse III bij een verbruik van meer dan 6.500 kilogram lastoevoegmateriaal en -elektroden per jaar, en klasse V, VI en VII, voor zover het activiteiten betreft zoals bedoeld in artikel 4.56 vijfde lid, bij een verbruik van meer dan 200 kilogram lastoevoegmateriaal en overige activiteiten klasse IV tot en met VII, voor zover dat redelijkerwijs mogelijk is,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wordt voor zover het afgezogen lasrook vanwege het lassen van metalen betreft, die naar de buitenlucht wordt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maatwerkvoorschriften stellen aan de ligging en uitvoering van het afvoerpunt van de emissies naar de buitenlucht, bedoeld in het tweede lid.</w:t>
      </w:r>
    </w:p>
    <w:p w:rsidR="00B84590" w:rsidRDefault="00B84590" w:rsidP="00B84590">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B84590" w:rsidRDefault="00B84590" w:rsidP="00B84590">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kan het bevoegd gezag maatwerkvoorschriften als bedoeld in het derde lid stellen.</w:t>
      </w:r>
    </w:p>
    <w:p w:rsidR="00B84590" w:rsidRDefault="00B84590" w:rsidP="00B84590">
      <w:pPr>
        <w:pStyle w:val="artikelkop"/>
        <w:shd w:val="clear" w:color="auto" w:fill="D9D9D9" w:themeFill="background1" w:themeFillShade="D9"/>
      </w:pPr>
      <w:r>
        <w:t>Artikel 4.56</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Aan de artikelen 4.40, eerste lid, 4.41, eerste lid, en 4.42, eerste lid, van het besluit wordt in ieder geval voldaan indien de afgezogen lucht afkomstig van alle klassen laswerkzaamheden wordt gerecirculeerd.</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Bij laswerkzaamheden klasse III wordt aan artikel 4.40, eerste lid, van het besluit in ieder geval voldaan indien per jaar niet meer dan 6.500 kilogram lastoevoegmateriaal en -elektroden wordt verbruikt. Op verzoek van het bevoegd gezag wordt aangetoond wat het jaarverbruik is aan lastoevoegmateriaal en -elektroden.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Bij laswerkzaamheden klasse III wordt aan artikel 4.40, eerste lid, van het besluit in ieder geval voldaan indien:</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de afgezogen lasrook die vrijkomt voordat deze wordt afgevoerd, wordt gevoerd door een filtrerende afscheider of elektrostatisch filter, die geschikt is om aan artikel 4.40, eerste lid, van het besluit te voldoen; en</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die filtrerende afscheider of het elektrostatisch filter in goede staat van onderhoud verkeert, deze periodiek gecontroleerd wordt en zo vaak als voor de goede werking nodig is, wordt schoongemaakt en vervangen.</w:t>
      </w:r>
    </w:p>
    <w:p w:rsidR="00B84590" w:rsidRDefault="00B84590" w:rsidP="00B84590">
      <w:pPr>
        <w:pStyle w:val="art1enivo"/>
        <w:shd w:val="clear" w:color="auto" w:fill="D9D9D9" w:themeFill="background1" w:themeFillShade="D9"/>
        <w:suppressAutoHyphens/>
        <w:rPr>
          <w:rFonts w:cs="Arial"/>
        </w:rPr>
      </w:pPr>
      <w:r>
        <w:rPr>
          <w:rFonts w:cs="Arial"/>
        </w:rPr>
        <w:t>4.</w:t>
      </w:r>
      <w:r>
        <w:rPr>
          <w:rFonts w:cs="Arial"/>
        </w:rPr>
        <w:tab/>
        <w:t>Indien bij laswerkzaamheden klasse IV niet wordt gerecirculeerd als bedoeld in het eerste lid, wordt in ieder geval aan artikel 4.40, eerste lid, van het besluit voldaan, indien:</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de afgezogen lasrook die vrijkomt, voordat deze wordt afgevoerd, wordt gevoerd door een filtrerende afscheider of elektrostatisch filter die geschikt is om aan artikel 4.40, eerste lid, van het besluit te voldoen; en</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die filtrerende afscheider of elektrostatisch filter in goede staat van onderhoud verkeert, deze periodiek gecontroleerd wordt en zo vaak als voor de goede werking nodig is, wordt schoongemaakt en vervangen.</w:t>
      </w:r>
    </w:p>
    <w:p w:rsidR="00B84590" w:rsidRDefault="00B84590" w:rsidP="00B84590">
      <w:pPr>
        <w:pStyle w:val="art1enivo"/>
        <w:shd w:val="clear" w:color="auto" w:fill="D9D9D9" w:themeFill="background1" w:themeFillShade="D9"/>
        <w:suppressAutoHyphens/>
        <w:rPr>
          <w:rFonts w:cs="Arial"/>
        </w:rPr>
      </w:pPr>
      <w:r>
        <w:rPr>
          <w:rFonts w:cs="Arial"/>
        </w:rPr>
        <w:t>5.</w:t>
      </w:r>
      <w:r>
        <w:rPr>
          <w:rFonts w:cs="Arial"/>
        </w:rPr>
        <w:tab/>
        <w:t>Bij laswerkzaamheden klasse V, VI en VII waarbij roestvast gelast wordt met beklede elektroden of met MAG gevulde draad, of indien andere materialen gelast worden met gelegeerde elektrode of met gelegeerde gevulde draad, wordt aan de artikelen 4.40, eerste lid, en 4.41, eerste lid, van het besluit in ieder geval voldaan indien per jaar niet meer dan 200 kilogram lastoevoegmateriaal en -elektroden wordt gebruikt. Op verzoek van het bevoegd gezag wordt aangetoond wat het jaarverbruik is aan lastoevoegmateriaal en -elektroden.</w:t>
      </w:r>
    </w:p>
    <w:p w:rsidR="00B84590" w:rsidRDefault="00B84590" w:rsidP="00B84590">
      <w:pPr>
        <w:pStyle w:val="art1enivo"/>
        <w:shd w:val="clear" w:color="auto" w:fill="D9D9D9" w:themeFill="background1" w:themeFillShade="D9"/>
        <w:suppressAutoHyphens/>
        <w:rPr>
          <w:rFonts w:cs="Arial"/>
        </w:rPr>
      </w:pPr>
      <w:r>
        <w:rPr>
          <w:rFonts w:cs="Arial"/>
        </w:rPr>
        <w:t>6.</w:t>
      </w:r>
      <w:r>
        <w:rPr>
          <w:rFonts w:cs="Arial"/>
        </w:rPr>
        <w:tab/>
        <w:t>Bij laswerkzaamheden klasse V, VI en VII waarbij roestvast staal gelast wordt met beklede elektroden of met MAG gevulde draad, of indien andere materialen gelast worden met gelegeerde elektrode of met gelegeerde gevulde draad, wordt aan de artikelen 4.40, eerste lid en 4.41, eerste lid, van het besluit in ieder geval voldaan indien:</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de afgezogen lasrook die vrijkomt voordat deze wordt afgevoerd, wordt gevoerd door een filtrerende afscheider of elektrostatisch filter die geschikt is om aan de artikelen 4.40, eerste lid, en 4.41, eerste lid, van het besluit te voldoen; en</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die filtrerende afscheider of het elektrostatisch filter in goede staat van onderhoud verkeert, deze periodiek wordt gecontroleerd en zo vaak als voor de goede werking nodig is, wordt schoongemaakt en vervangen.</w:t>
      </w:r>
    </w:p>
    <w:p w:rsidR="00B84590" w:rsidRDefault="00B84590" w:rsidP="00B84590">
      <w:pPr>
        <w:pStyle w:val="art1enivo"/>
        <w:shd w:val="clear" w:color="auto" w:fill="D9D9D9" w:themeFill="background1" w:themeFillShade="D9"/>
        <w:suppressAutoHyphens/>
        <w:rPr>
          <w:rFonts w:cs="Arial"/>
        </w:rPr>
      </w:pPr>
      <w:r>
        <w:rPr>
          <w:rFonts w:cs="Arial"/>
        </w:rPr>
        <w:t>7.</w:t>
      </w:r>
      <w:r>
        <w:rPr>
          <w:rFonts w:cs="Arial"/>
        </w:rPr>
        <w:tab/>
        <w:t>Bij laswerkzaamheden klasse V, VI en VII, waarbij met loodmenie geverfd staal wordt gelast en niet wordt gerecirculeerd als bedoeld in het eerste lid, wordt in ieder geval aan de artikelen 4.40, eerste lid, en 4.41, eerste lid, van het besluit voldaan indien:</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de afgezogen emissies van lood- en loodverbindingen die vrijkomen bij het lassen van met loodmenie geverfd staal worden gevoerd door een filtrerende afscheider of elektrostatisch filter die geschikt is om aan artikel 4.42, eerste lid, van het besluit te voldoen; en</w:t>
      </w:r>
    </w:p>
    <w:p w:rsidR="00B84590" w:rsidRPr="00B84590" w:rsidRDefault="00B84590" w:rsidP="00B84590">
      <w:pPr>
        <w:shd w:val="clear" w:color="auto" w:fill="D9D9D9" w:themeFill="background1" w:themeFillShade="D9"/>
      </w:pPr>
      <w:r>
        <w:rPr>
          <w:rFonts w:cs="Arial"/>
        </w:rPr>
        <w:t>b.</w:t>
      </w:r>
      <w:r>
        <w:rPr>
          <w:rFonts w:cs="Arial"/>
        </w:rPr>
        <w:tab/>
        <w:t>die filtrerende afscheider of het elektrostatisch filter in goede staat van onderhoud verkeert, deze periodiek wordt gecontroleerd en zo vaak als voor de goede werking nodig is, wordt schoongemaakt en vervangen.</w:t>
      </w:r>
    </w:p>
    <w:p w:rsidR="00296032" w:rsidRPr="00296032" w:rsidRDefault="00296032">
      <w:pPr>
        <w:pStyle w:val="paragraaf"/>
        <w:rPr>
          <w:rFonts w:cs="Arial"/>
        </w:rPr>
      </w:pPr>
      <w:bookmarkStart w:id="224" w:name="_Toc277243229"/>
      <w:bookmarkStart w:id="225" w:name="_Toc431375700"/>
      <w:r w:rsidRPr="00296032">
        <w:rPr>
          <w:rFonts w:cs="Arial"/>
        </w:rPr>
        <w:t>§ 4.5.3</w:t>
      </w:r>
      <w:r w:rsidRPr="00296032">
        <w:rPr>
          <w:rFonts w:cs="Arial"/>
        </w:rPr>
        <w:tab/>
        <w:t>Solderen van metalen</w:t>
      </w:r>
      <w:bookmarkEnd w:id="224"/>
      <w:bookmarkEnd w:id="225"/>
    </w:p>
    <w:p w:rsidR="00296032" w:rsidRPr="00296032" w:rsidRDefault="00296032">
      <w:pPr>
        <w:pStyle w:val="artikelkop"/>
        <w:rPr>
          <w:rFonts w:cs="Arial"/>
        </w:rPr>
      </w:pPr>
      <w:r w:rsidRPr="00296032">
        <w:rPr>
          <w:rFonts w:cs="Arial"/>
        </w:rPr>
        <w:t>Artikel 4.43a</w:t>
      </w:r>
    </w:p>
    <w:p w:rsidR="00296032" w:rsidRPr="00620047" w:rsidRDefault="00296032">
      <w:pPr>
        <w:pStyle w:val="artplat"/>
      </w:pPr>
      <w:r w:rsidRPr="00620047">
        <w:t>Deze paragraaf is van toepassing op het solderen van metalen.</w:t>
      </w:r>
    </w:p>
    <w:p w:rsidR="00296032" w:rsidRPr="00296032" w:rsidRDefault="00296032">
      <w:pPr>
        <w:pStyle w:val="artikelkop"/>
        <w:rPr>
          <w:rFonts w:cs="Arial"/>
        </w:rPr>
      </w:pPr>
      <w:r w:rsidRPr="00296032">
        <w:rPr>
          <w:rFonts w:cs="Arial"/>
        </w:rPr>
        <w:t>Artikel 4.44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solderen de emissieconcentratie van stofklasse S niet meer dan:</w:t>
      </w:r>
    </w:p>
    <w:p w:rsidR="00296032" w:rsidRPr="00620047" w:rsidRDefault="00296032">
      <w:pPr>
        <w:pStyle w:val="art2enivo"/>
        <w:rPr>
          <w:rFonts w:cs="Arial"/>
        </w:rPr>
      </w:pPr>
      <w:r w:rsidRPr="00620047">
        <w:rPr>
          <w:rFonts w:cs="Arial"/>
        </w:rPr>
        <w:t>a.</w:t>
      </w:r>
      <w:r w:rsidRPr="00620047">
        <w:rPr>
          <w:rFonts w:cs="Arial"/>
        </w:rPr>
        <w:tab/>
        <w:t>5 milligram per normaal kubieke meter, indien de massastroom van stofklasse S naar de lucht gelijk is aan of groter is dan 200 gram per uur; en</w:t>
      </w:r>
    </w:p>
    <w:p w:rsidR="00296032" w:rsidRPr="00620047" w:rsidRDefault="00296032">
      <w:pPr>
        <w:pStyle w:val="art2enivo"/>
        <w:rPr>
          <w:rFonts w:cs="Arial"/>
        </w:rPr>
      </w:pPr>
      <w:r w:rsidRPr="00620047">
        <w:rPr>
          <w:rFonts w:cs="Arial"/>
        </w:rPr>
        <w:t>b.</w:t>
      </w:r>
      <w:r w:rsidRPr="00620047">
        <w:rPr>
          <w:rFonts w:cs="Arial"/>
        </w:rPr>
        <w:tab/>
        <w:t>niet meer dan 50 milligram per normaal kubieke meter indien de massastroom kleiner is dan 200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op zachtsolderen indien het jaarverbruik van soldeermiddel minder bedraagt dan 250 ton.</w:t>
      </w:r>
    </w:p>
    <w:p w:rsidR="00296032" w:rsidRPr="00296032" w:rsidRDefault="00296032">
      <w:pPr>
        <w:pStyle w:val="artikelkop"/>
        <w:rPr>
          <w:rFonts w:cs="Arial"/>
        </w:rPr>
      </w:pPr>
      <w:r w:rsidRPr="00296032">
        <w:rPr>
          <w:rFonts w:cs="Arial"/>
        </w:rPr>
        <w:t>Artikel 4.45</w:t>
      </w:r>
    </w:p>
    <w:p w:rsidR="00296032" w:rsidRPr="00620047" w:rsidRDefault="00296032">
      <w:pPr>
        <w:rPr>
          <w:rFonts w:cs="Arial"/>
        </w:rPr>
      </w:pPr>
      <w:r w:rsidRPr="00620047">
        <w:rPr>
          <w:rFonts w:cs="Arial"/>
        </w:rPr>
        <w:t>Onverminderd artikel 2.5, eerste, vierde en vijfde lid, en artikel 2.6 is bij hardsolderen met cadmiumhoudend soldeermiddel de emissieconcentratie van cadmium en cadmiumverbindingen, niet meer dan 0,05 milligram per normaal kubieke meter indien de massastroom van cadmium en cadmiumverbindingen naar de lucht meer bedraagt dan 10 gram per uur.</w:t>
      </w:r>
    </w:p>
    <w:p w:rsidR="00296032" w:rsidRPr="00296032" w:rsidRDefault="00296032">
      <w:pPr>
        <w:pStyle w:val="artikelkop"/>
        <w:rPr>
          <w:rFonts w:cs="Arial"/>
        </w:rPr>
      </w:pPr>
      <w:r w:rsidRPr="00296032">
        <w:rPr>
          <w:rFonts w:cs="Arial"/>
        </w:rPr>
        <w:t>Artikel 4.46</w:t>
      </w:r>
    </w:p>
    <w:p w:rsidR="00296032" w:rsidRPr="00620047" w:rsidRDefault="00296032">
      <w:pPr>
        <w:rPr>
          <w:rFonts w:cs="Arial"/>
        </w:rPr>
      </w:pPr>
      <w:r w:rsidRPr="00620047">
        <w:rPr>
          <w:rFonts w:cs="Arial"/>
        </w:rPr>
        <w:t>Onverminderd artikel 2.5, eerste, vierde en vijfde lid, en artikel 2.6 is bij solderen met vloeimiddelen die leiden tot gasvormige emissies naar de lucht de emissieconcentratie van de stoffen behorend tot de stofklassen gA.1, gA.2, gA.3, gA.4, gA.5, gO.1, gO.2 en gO.3, naar de lucht niet meer dan de voor die betreffende stofklasse genoemde emissieconcentratie-eis in artikel 2.5 indien de massastroom gelijk of groter is dan de in artikel 2.5 voor de betreffende stofklasse genoemde grensmassastroom.</w:t>
      </w:r>
    </w:p>
    <w:p w:rsidR="00296032" w:rsidRPr="00296032" w:rsidRDefault="00296032">
      <w:pPr>
        <w:pStyle w:val="artikelkop"/>
        <w:rPr>
          <w:rFonts w:cs="Arial"/>
        </w:rPr>
      </w:pPr>
      <w:r w:rsidRPr="00296032">
        <w:rPr>
          <w:rFonts w:cs="Arial"/>
        </w:rPr>
        <w:t>Artikel 4.47</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Op verzoek van het bevoegd gezag overlegt degene die de inrichting drijft waar metalen worden gesoldeerd informatie ten aanzien van:</w:t>
      </w:r>
    </w:p>
    <w:p w:rsidR="00296032" w:rsidRPr="00620047" w:rsidRDefault="00296032">
      <w:pPr>
        <w:pStyle w:val="art2enivo"/>
        <w:rPr>
          <w:rFonts w:cs="Arial"/>
        </w:rPr>
      </w:pPr>
      <w:r w:rsidRPr="00620047">
        <w:rPr>
          <w:rFonts w:cs="Arial"/>
        </w:rPr>
        <w:t>a.</w:t>
      </w:r>
      <w:r w:rsidRPr="00620047">
        <w:rPr>
          <w:rFonts w:cs="Arial"/>
        </w:rPr>
        <w:tab/>
        <w:t>de samenstelling en het jaarverbruik van de verschillende vloeimiddelen en soldeermaterialen, gesorteerd naar de verschillende procesvormen;</w:t>
      </w:r>
    </w:p>
    <w:p w:rsidR="00296032" w:rsidRPr="00620047" w:rsidRDefault="00296032">
      <w:pPr>
        <w:pStyle w:val="art2enivo"/>
        <w:rPr>
          <w:rFonts w:cs="Arial"/>
        </w:rPr>
      </w:pPr>
      <w:r w:rsidRPr="00620047">
        <w:rPr>
          <w:rFonts w:cs="Arial"/>
        </w:rPr>
        <w:t>b.</w:t>
      </w:r>
      <w:r w:rsidRPr="00620047">
        <w:rPr>
          <w:rFonts w:cs="Arial"/>
        </w:rPr>
        <w:tab/>
        <w:t>een overzicht van de aard en omvang van de gasvormige emissies naar de lucht die bij het solderen vrijkomen.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onderdeel b, is niet van toepassing indien het jaarverbruik van vloeimiddelen niet meer bedraagt dan 100 kilogram.</w:t>
      </w:r>
    </w:p>
    <w:p w:rsidR="00296032" w:rsidRPr="00296032" w:rsidRDefault="00296032">
      <w:pPr>
        <w:pStyle w:val="artikelkop"/>
        <w:rPr>
          <w:rFonts w:cs="Arial"/>
        </w:rPr>
      </w:pPr>
      <w:r w:rsidRPr="00296032">
        <w:rPr>
          <w:rFonts w:cs="Arial"/>
        </w:rPr>
        <w:t>Artikel 4.48</w:t>
      </w:r>
    </w:p>
    <w:p w:rsidR="00296032" w:rsidRDefault="00296032">
      <w:pPr>
        <w:rPr>
          <w:rFonts w:cs="Arial"/>
        </w:rPr>
      </w:pPr>
      <w:r w:rsidRPr="00620047">
        <w:rPr>
          <w:rFonts w:cs="Arial"/>
        </w:rPr>
        <w:t>Bij het solderen van metalen worden ten behoeve van het voorkomen dan wel beperken van diffuse emissies en het doelmatig verspreiden van emissies naar de buitenlucht, de bij ministeriële regeling te bepalen maatregelen toegepast.</w:t>
      </w:r>
    </w:p>
    <w:p w:rsidR="00B84590" w:rsidRDefault="00B84590">
      <w:pPr>
        <w:rPr>
          <w:rFonts w:cs="Arial"/>
        </w:rPr>
      </w:pPr>
    </w:p>
    <w:p w:rsidR="00B84590" w:rsidRDefault="00B84590" w:rsidP="00B84590">
      <w:pPr>
        <w:pStyle w:val="paragraaf"/>
        <w:shd w:val="clear" w:color="auto" w:fill="D9D9D9" w:themeFill="background1" w:themeFillShade="D9"/>
      </w:pPr>
      <w:bookmarkStart w:id="226" w:name="_Toc431375701"/>
      <w:r>
        <w:t>§ 4.5.3.</w:t>
      </w:r>
      <w:r>
        <w:tab/>
        <w:t>Solderen van metalen</w:t>
      </w:r>
      <w:bookmarkEnd w:id="226"/>
    </w:p>
    <w:p w:rsidR="00B84590" w:rsidRDefault="00B84590" w:rsidP="00B84590">
      <w:pPr>
        <w:pStyle w:val="artikelkop"/>
        <w:shd w:val="clear" w:color="auto" w:fill="D9D9D9" w:themeFill="background1" w:themeFillShade="D9"/>
      </w:pPr>
      <w:r>
        <w:t>Artikel 4.57</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worden stof en rook die vrijkomen bij het solderen van metalen, voor zover dat redelijkerwijs mogelijk is,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voor zover het afgezogen emissies betreft, die vrijkomen bij het solderen van metalen,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maatwerkvoorschriften stellen aan de ligging en uitvoering van het afvoerpunt van de emissies naar de buitenlucht, als bedoeld in het tweede lid.</w:t>
      </w:r>
    </w:p>
    <w:p w:rsidR="00B84590" w:rsidRDefault="00B84590" w:rsidP="00B84590">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B84590" w:rsidRDefault="00B84590" w:rsidP="00B84590">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kan het bevoegd gezag maatwerkvoorschriften als bedoeld in het derde lid stellen.</w:t>
      </w:r>
    </w:p>
    <w:p w:rsidR="00B84590" w:rsidRDefault="00B84590" w:rsidP="00B84590">
      <w:pPr>
        <w:shd w:val="clear" w:color="auto" w:fill="D9D9D9" w:themeFill="background1" w:themeFillShade="D9"/>
      </w:pPr>
    </w:p>
    <w:p w:rsidR="00B84590" w:rsidRDefault="00B84590" w:rsidP="00B84590">
      <w:pPr>
        <w:pStyle w:val="artikelkop"/>
        <w:shd w:val="clear" w:color="auto" w:fill="D9D9D9" w:themeFill="background1" w:themeFillShade="D9"/>
      </w:pPr>
      <w:r>
        <w:t>Artikel 4.58</w:t>
      </w:r>
    </w:p>
    <w:p w:rsidR="00B84590" w:rsidRDefault="00B84590" w:rsidP="00B84590">
      <w:pPr>
        <w:pStyle w:val="artplat"/>
        <w:shd w:val="clear" w:color="auto" w:fill="D9D9D9" w:themeFill="background1" w:themeFillShade="D9"/>
        <w:suppressAutoHyphens/>
        <w:rPr>
          <w:rFonts w:cs="Arial"/>
        </w:rPr>
      </w:pPr>
      <w:r>
        <w:rPr>
          <w:rFonts w:cs="Arial"/>
        </w:rPr>
        <w:t>Aan de artikelen 4.44, eerste lid, en 4.45 van het besluit wordt in ieder geval voldaan indien:</w:t>
      </w:r>
    </w:p>
    <w:p w:rsidR="00B84590" w:rsidRDefault="00B84590" w:rsidP="00B84590">
      <w:pPr>
        <w:pStyle w:val="art1enivo"/>
        <w:shd w:val="clear" w:color="auto" w:fill="D9D9D9" w:themeFill="background1" w:themeFillShade="D9"/>
      </w:pPr>
      <w:r>
        <w:t>a.</w:t>
      </w:r>
      <w:r>
        <w:tab/>
        <w:t>de afgezogen stofemissies die vrijkomen bij het solderen van metalen worden gevoerd door een filtrerende afscheider die geschikt is om aan artikelen 4.44, eerste lid, en 4.45 van het besluit te voldoen; en</w:t>
      </w:r>
    </w:p>
    <w:p w:rsidR="00B84590" w:rsidRDefault="00B84590" w:rsidP="00B84590">
      <w:pPr>
        <w:pStyle w:val="art1enivo"/>
        <w:shd w:val="clear" w:color="auto" w:fill="D9D9D9" w:themeFill="background1" w:themeFillShade="D9"/>
      </w:pPr>
      <w:r>
        <w:t>b.</w:t>
      </w:r>
      <w:r>
        <w:tab/>
        <w:t>die filtrerende afscheider in goede staat van onderhoud verkeert, periodiek gecontroleerd wordt en zo vaak als voor de goede werking nodig is, wordt schoongemaakt en vervangen.</w:t>
      </w:r>
    </w:p>
    <w:p w:rsidR="00B84590" w:rsidRDefault="00B84590" w:rsidP="00B84590">
      <w:pPr>
        <w:pStyle w:val="artikelkop"/>
        <w:shd w:val="clear" w:color="auto" w:fill="D9D9D9" w:themeFill="background1" w:themeFillShade="D9"/>
      </w:pPr>
      <w:r>
        <w:t>Artikel 4.59</w:t>
      </w:r>
    </w:p>
    <w:p w:rsidR="00B84590" w:rsidRDefault="00B84590" w:rsidP="00B84590">
      <w:pPr>
        <w:pStyle w:val="artplat"/>
        <w:shd w:val="clear" w:color="auto" w:fill="D9D9D9" w:themeFill="background1" w:themeFillShade="D9"/>
        <w:suppressAutoHyphens/>
        <w:rPr>
          <w:rFonts w:cs="Arial"/>
        </w:rPr>
      </w:pPr>
      <w:r>
        <w:rPr>
          <w:rFonts w:cs="Arial"/>
        </w:rPr>
        <w:t>Aan artikel 4.46 van het besluit wordt in ieder geval voldaan indien:</w:t>
      </w:r>
    </w:p>
    <w:p w:rsidR="00B84590" w:rsidRDefault="00B84590" w:rsidP="00B84590">
      <w:pPr>
        <w:pStyle w:val="art1enivo"/>
        <w:shd w:val="clear" w:color="auto" w:fill="D9D9D9" w:themeFill="background1" w:themeFillShade="D9"/>
      </w:pPr>
      <w:r>
        <w:t>a.</w:t>
      </w:r>
      <w:r>
        <w:tab/>
        <w:t>het jaarlijks verbruik aan vloeimiddelen minder is dan 100 kilogram;</w:t>
      </w:r>
    </w:p>
    <w:p w:rsidR="00B84590" w:rsidRDefault="00B84590" w:rsidP="00B84590">
      <w:pPr>
        <w:pStyle w:val="art1enivo"/>
        <w:shd w:val="clear" w:color="auto" w:fill="D9D9D9" w:themeFill="background1" w:themeFillShade="D9"/>
      </w:pPr>
      <w:r>
        <w:t>b.</w:t>
      </w:r>
      <w:r>
        <w:tab/>
        <w:t>de afgezogen gasvormige emissies die vrijkomen bij het solderen met vloeimiddelen die vluchtige organische stoffen bevatten worden gevoerd door een adsorptiefilter die geschikt is om aan artikel 4.46 van het besluit te voldoen, en het adsorptiefliter in goede staat van onderhoud verkeert, periodiek gecontroleerd wordt en zo vaak als voor de goede werking nodig is, wordt schoongemaakt; of</w:t>
      </w:r>
    </w:p>
    <w:p w:rsidR="00B84590" w:rsidRDefault="00B84590" w:rsidP="00B84590">
      <w:pPr>
        <w:shd w:val="clear" w:color="auto" w:fill="D9D9D9" w:themeFill="background1" w:themeFillShade="D9"/>
      </w:pPr>
      <w:r>
        <w:t>c.</w:t>
      </w:r>
      <w:r>
        <w:tab/>
        <w:t>de afgezogen gasvormige emissies die vrijkomen bij het solderen met zure vloeimiddelen, worden gevoerd door een gaswasser of een aërosol- of mistfilter die geschikt is om aan artikel 4.46 van het besluit te voldoen, en die gaswasser aërosol- of mistfilter in goede staat van onderhoud verkeert, periodiek gecontroleerd wordt en zo vaak als voor de goede werking nodig is, wordt schoongemaakt.</w:t>
      </w:r>
    </w:p>
    <w:p w:rsidR="00B84590" w:rsidRPr="00620047" w:rsidRDefault="00B84590">
      <w:pPr>
        <w:rPr>
          <w:rFonts w:cs="Arial"/>
        </w:rPr>
      </w:pPr>
    </w:p>
    <w:p w:rsidR="00296032" w:rsidRPr="00296032" w:rsidRDefault="00296032">
      <w:pPr>
        <w:pStyle w:val="paragraaf"/>
        <w:rPr>
          <w:rFonts w:cs="Arial"/>
        </w:rPr>
      </w:pPr>
      <w:bookmarkStart w:id="227" w:name="_Toc277243230"/>
      <w:bookmarkStart w:id="228" w:name="_Toc431375702"/>
      <w:r w:rsidRPr="00296032">
        <w:rPr>
          <w:rFonts w:cs="Arial"/>
        </w:rPr>
        <w:t>§ 4.5.4</w:t>
      </w:r>
      <w:r w:rsidRPr="00296032">
        <w:rPr>
          <w:rFonts w:cs="Arial"/>
        </w:rPr>
        <w:tab/>
        <w:t>Stralen van metalen</w:t>
      </w:r>
      <w:bookmarkEnd w:id="227"/>
      <w:bookmarkEnd w:id="228"/>
    </w:p>
    <w:p w:rsidR="00296032" w:rsidRPr="00296032" w:rsidRDefault="00296032">
      <w:pPr>
        <w:pStyle w:val="artikelkop"/>
        <w:rPr>
          <w:rFonts w:cs="Arial"/>
        </w:rPr>
      </w:pPr>
      <w:r w:rsidRPr="00296032">
        <w:rPr>
          <w:rFonts w:cs="Arial"/>
        </w:rPr>
        <w:t>Artikel 4.48a</w:t>
      </w:r>
    </w:p>
    <w:p w:rsidR="00296032" w:rsidRPr="00620047" w:rsidRDefault="00296032">
      <w:pPr>
        <w:pStyle w:val="artplat"/>
      </w:pPr>
      <w:r w:rsidRPr="00620047">
        <w:t>Deze paragraaf is van toepassing op het stralen van metalen</w:t>
      </w:r>
    </w:p>
    <w:p w:rsidR="00296032" w:rsidRPr="00296032" w:rsidRDefault="00296032">
      <w:pPr>
        <w:pStyle w:val="artikelkop"/>
        <w:rPr>
          <w:rFonts w:cs="Arial"/>
        </w:rPr>
      </w:pPr>
      <w:r w:rsidRPr="00296032">
        <w:rPr>
          <w:rFonts w:cs="Arial"/>
        </w:rPr>
        <w:t>Artikel 4.49</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is verboden om in de buitenlucht straalwerkzaamheden te verrichten.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het niet mogelijk is om in het inpandige deel van de inrichting te stralen vanwege de omvang van het te stralen object.</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Bij het stralen in de buitenlucht wordt ten behoeve van het voorkomen van stofhinder voldaan aan bij ministeriële regeling te stellen eisen.</w:t>
      </w:r>
    </w:p>
    <w:p w:rsidR="00296032" w:rsidRPr="00296032" w:rsidRDefault="00296032">
      <w:pPr>
        <w:pStyle w:val="artikelkop"/>
        <w:rPr>
          <w:rFonts w:cs="Arial"/>
        </w:rPr>
      </w:pPr>
      <w:r w:rsidRPr="00296032">
        <w:rPr>
          <w:rFonts w:cs="Arial"/>
        </w:rPr>
        <w:t>Artikel 4.50</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straalwerkzaamheden de emissieconcentratie van:</w:t>
      </w:r>
    </w:p>
    <w:p w:rsidR="00296032" w:rsidRPr="00620047" w:rsidRDefault="00296032">
      <w:pPr>
        <w:pStyle w:val="art2enivo"/>
        <w:rPr>
          <w:rFonts w:cs="Arial"/>
        </w:rPr>
      </w:pPr>
      <w:r w:rsidRPr="00620047">
        <w:rPr>
          <w:rFonts w:cs="Arial"/>
        </w:rPr>
        <w:t>a.</w:t>
      </w:r>
      <w:r w:rsidRPr="00620047">
        <w:rPr>
          <w:rFonts w:cs="Arial"/>
        </w:rPr>
        <w:tab/>
        <w:t>stofklasse S niet meer dan 5 milligram per normaal kubieke meter, indien de massastroom van stofklasse S naar de lucht gelijk is aan of groter is dan 200 gram per uur, en niet meer dan 50 milligram per normaal kubieke meter indien de massastroom kleiner is dan 200 gram per uur;</w:t>
      </w:r>
    </w:p>
    <w:p w:rsidR="00296032" w:rsidRPr="00620047" w:rsidRDefault="00296032">
      <w:pPr>
        <w:pStyle w:val="art2enivo"/>
        <w:rPr>
          <w:rFonts w:cs="Arial"/>
        </w:rPr>
      </w:pPr>
      <w:r w:rsidRPr="00620047">
        <w:rPr>
          <w:rFonts w:cs="Arial"/>
        </w:rPr>
        <w:t>b.</w:t>
      </w:r>
      <w:r w:rsidRPr="00620047">
        <w:rPr>
          <w:rFonts w:cs="Arial"/>
        </w:rPr>
        <w:tab/>
        <w:t>MVP1 stoffen niet meer dan 0,05 milligram per normaal kubieke meter, indien de massastroom van de MVP1 stoffen naar de lucht groter is dan 0,15 gram per uur;</w:t>
      </w:r>
    </w:p>
    <w:p w:rsidR="00296032" w:rsidRPr="00620047" w:rsidRDefault="00296032">
      <w:pPr>
        <w:pStyle w:val="art2enivo"/>
        <w:rPr>
          <w:rFonts w:cs="Arial"/>
        </w:rPr>
      </w:pPr>
      <w:r w:rsidRPr="00620047">
        <w:rPr>
          <w:rFonts w:cs="Arial"/>
        </w:rPr>
        <w:t>c.</w:t>
      </w:r>
      <w:r w:rsidRPr="00620047">
        <w:rPr>
          <w:rFonts w:cs="Arial"/>
        </w:rPr>
        <w:tab/>
        <w:t>sA.1 stoffen niet meer dan 0,05 milligram per normaal kubieke meter, indien de massastroom van de sA.1 stoffen naar de lucht groter is dan 0,25 gram per uur;</w:t>
      </w:r>
    </w:p>
    <w:p w:rsidR="00296032" w:rsidRPr="00620047" w:rsidRDefault="00296032">
      <w:pPr>
        <w:pStyle w:val="art2enivo"/>
        <w:rPr>
          <w:rFonts w:cs="Arial"/>
        </w:rPr>
      </w:pPr>
      <w:r w:rsidRPr="00620047">
        <w:rPr>
          <w:rFonts w:cs="Arial"/>
        </w:rPr>
        <w:t>d.</w:t>
      </w:r>
      <w:r w:rsidRPr="00620047">
        <w:rPr>
          <w:rFonts w:cs="Arial"/>
        </w:rPr>
        <w:tab/>
        <w:t>sA.2 stoffen niet meer dan 0,5 milligram per normaal kubieke meter, indien de massastroom van de sA.2 stoffen naar de lucht groter is dan 2,5 gram per uur;</w:t>
      </w:r>
    </w:p>
    <w:p w:rsidR="00296032" w:rsidRPr="00620047" w:rsidRDefault="00296032">
      <w:pPr>
        <w:pStyle w:val="art2enivo"/>
        <w:rPr>
          <w:rFonts w:cs="Arial"/>
        </w:rPr>
      </w:pPr>
      <w:r w:rsidRPr="00620047">
        <w:rPr>
          <w:rFonts w:cs="Arial"/>
        </w:rPr>
        <w:t>e.</w:t>
      </w:r>
      <w:r w:rsidRPr="00620047">
        <w:rPr>
          <w:rFonts w:cs="Arial"/>
        </w:rPr>
        <w:tab/>
        <w:t>sA.3 stoffen niet meer dan 5,0 milligram per normaal kubieke meter, indien de massastroom van de sA.3 stoffen naar de lucht groter is dan 10 gram per uur;</w:t>
      </w:r>
    </w:p>
    <w:p w:rsidR="00296032" w:rsidRPr="00620047" w:rsidRDefault="00296032">
      <w:pPr>
        <w:pStyle w:val="art2enivo"/>
        <w:rPr>
          <w:rFonts w:cs="Arial"/>
        </w:rPr>
      </w:pPr>
      <w:r w:rsidRPr="00620047">
        <w:rPr>
          <w:rFonts w:cs="Arial"/>
        </w:rPr>
        <w:t>f.</w:t>
      </w:r>
      <w:r w:rsidRPr="00620047">
        <w:rPr>
          <w:rFonts w:cs="Arial"/>
        </w:rPr>
        <w:tab/>
        <w:t>sO stoffen niet meer dan 5,0 milligram per normaal kubieke meter, indien de massastroom van de sO stoffen naar de lucht gelijk is aan of groter is dan 100 gram per uur, en niet meer dan 50 milligram per normaal kubieke meter indien de massastroom kleiner is dan 100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de straalwerkzaamheden op grond van artikel 4.49, tweede lid, in de buitenlucht worden verricht.</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Bij het stralen van metalen worden ten behoeve van het voorkomen dan wel beperken van diffuse emissies en het doelmatig verspreiden van emissies naar de buitenlucht, de bij ministeriële regeling te bepalen maatregelen toegepast.</w:t>
      </w:r>
    </w:p>
    <w:p w:rsidR="00296032" w:rsidRPr="00296032" w:rsidRDefault="00296032">
      <w:pPr>
        <w:pStyle w:val="artikelkop"/>
        <w:rPr>
          <w:rFonts w:cs="Arial"/>
        </w:rPr>
      </w:pPr>
      <w:r w:rsidRPr="00296032">
        <w:rPr>
          <w:rFonts w:cs="Arial"/>
        </w:rPr>
        <w:t>Artikel 4.51</w:t>
      </w:r>
    </w:p>
    <w:p w:rsidR="00296032" w:rsidRDefault="00296032">
      <w:pPr>
        <w:rPr>
          <w:rFonts w:cs="Arial"/>
        </w:rPr>
      </w:pPr>
      <w:r w:rsidRPr="00620047">
        <w:rPr>
          <w:rFonts w:cs="Arial"/>
        </w:rPr>
        <w:t>Bij het stralen van metalen wordt ten behoeve van het realiseren van een verwaarloosbaar bodemrisico, voldaan aan de bij ministeriële regeling te stellen eisen.</w:t>
      </w:r>
    </w:p>
    <w:p w:rsidR="00B84590" w:rsidRDefault="00B84590">
      <w:pPr>
        <w:rPr>
          <w:rFonts w:cs="Arial"/>
        </w:rPr>
      </w:pPr>
    </w:p>
    <w:p w:rsidR="00B84590" w:rsidRDefault="00B84590" w:rsidP="00B84590">
      <w:pPr>
        <w:pStyle w:val="paragraaf"/>
        <w:shd w:val="clear" w:color="auto" w:fill="D9D9D9" w:themeFill="background1" w:themeFillShade="D9"/>
      </w:pPr>
      <w:bookmarkStart w:id="229" w:name="_Toc431375703"/>
      <w:r>
        <w:t>§ 4.5.4.</w:t>
      </w:r>
      <w:r>
        <w:tab/>
        <w:t>Stralen van metalen</w:t>
      </w:r>
      <w:bookmarkEnd w:id="229"/>
    </w:p>
    <w:p w:rsidR="00B84590" w:rsidRDefault="00B84590" w:rsidP="00B84590">
      <w:pPr>
        <w:pStyle w:val="artikelkop"/>
        <w:shd w:val="clear" w:color="auto" w:fill="D9D9D9" w:themeFill="background1" w:themeFillShade="D9"/>
      </w:pPr>
      <w:r>
        <w:t>Artikel 4.60</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vindt het stralen van metalen plaats:</w:t>
      </w:r>
    </w:p>
    <w:p w:rsidR="006C00C9" w:rsidRPr="006C00C9" w:rsidRDefault="006C00C9" w:rsidP="006C00C9"/>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in een daarvoor bestemde en ingerichte gesloten kast, cabine of ruimte; of</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indien het redelijkerwijs niet mogelijk is te stralen als bedoeld in het eerste lid, onderdeel a, in een gesloten ruimte met gesloten deuren en ramen, waarbij wordt voorkomen dat bij het openen van deuren en ramen stof naar de buitenlucht vrijkomt.</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bij het stralen van metalen de stofemissies,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maatwerkvoorschriften stellen aan de ligging en uitvoering van het afvoerpunt van de emissies naar de buitenlucht, als bedoeld in het tweede lid.</w:t>
      </w:r>
    </w:p>
    <w:p w:rsidR="00B84590" w:rsidRDefault="00B84590" w:rsidP="00B84590">
      <w:pPr>
        <w:pStyle w:val="art1enivo"/>
        <w:shd w:val="clear" w:color="auto" w:fill="D9D9D9" w:themeFill="background1" w:themeFillShade="D9"/>
        <w:suppressAutoHyphens/>
        <w:rPr>
          <w:rFonts w:cs="Arial"/>
        </w:rPr>
      </w:pPr>
      <w:r>
        <w:rPr>
          <w:rFonts w:cs="Arial"/>
        </w:rPr>
        <w:t>4.</w:t>
      </w:r>
      <w:r>
        <w:rPr>
          <w:rFonts w:cs="Arial"/>
        </w:rPr>
        <w:tab/>
        <w:t>Indien vanwege de omvang van het te stralen object, bedoeld in artikel 4.49, tweede lid, van het besluit, het stralen in de buitenlucht plaatsvindt, worden emissies van stof die vrijkomen bij het stralen van metalen in de buitenlucht, voorkomen, dan wel beperkt door het toepassen van doelmatige stofvrije of stofarme straalmethodes, tenzij dit redelijkerwijs niet mogelijk is.</w:t>
      </w:r>
    </w:p>
    <w:p w:rsidR="00B84590" w:rsidRDefault="00B84590" w:rsidP="00B84590">
      <w:pPr>
        <w:pStyle w:val="art1enivo"/>
        <w:shd w:val="clear" w:color="auto" w:fill="D9D9D9" w:themeFill="background1" w:themeFillShade="D9"/>
        <w:suppressAutoHyphens/>
        <w:rPr>
          <w:rFonts w:cs="Arial"/>
        </w:rPr>
      </w:pPr>
      <w:r>
        <w:rPr>
          <w:rFonts w:cs="Arial"/>
        </w:rPr>
        <w:t>5.</w:t>
      </w:r>
      <w:r>
        <w:rPr>
          <w:rFonts w:cs="Arial"/>
        </w:rPr>
        <w:tab/>
        <w:t>Indien het toepassen van een doelmatige stofvrije of stofarme straaltechniek als genoemd in het vierde lid redelijkerwijs niet mogelijk is, wordt de emissie van stof tijdens straalwerkzaamheden in de buitenlucht gereduceerd door het plaatsen van een doelmatige omkapping van geschikt materiaal.</w:t>
      </w:r>
    </w:p>
    <w:p w:rsidR="00B84590" w:rsidRDefault="00B84590" w:rsidP="00B84590">
      <w:pPr>
        <w:pStyle w:val="art1enivo"/>
        <w:shd w:val="clear" w:color="auto" w:fill="D9D9D9" w:themeFill="background1" w:themeFillShade="D9"/>
        <w:suppressAutoHyphens/>
        <w:rPr>
          <w:rFonts w:cs="Arial"/>
        </w:rPr>
      </w:pPr>
      <w:r>
        <w:rPr>
          <w:rFonts w:cs="Arial"/>
        </w:rPr>
        <w:t>6.</w:t>
      </w:r>
      <w:r>
        <w:rPr>
          <w:rFonts w:cs="Arial"/>
        </w:rPr>
        <w:tab/>
        <w:t>Ten aanzien van het zoveel mogelijk voorkomen, dan wel tot een aanvaardbaar niveau beperken van stofhinder bij het stralen van metalen in de buitenlucht kan het bevoegd gezag maatwerkvoorschriften stellen, ter uitwerking van het vierde en vijfde lid.</w:t>
      </w:r>
    </w:p>
    <w:p w:rsidR="00B84590" w:rsidRDefault="00B84590" w:rsidP="00B84590">
      <w:pPr>
        <w:pStyle w:val="art1enivo"/>
        <w:shd w:val="clear" w:color="auto" w:fill="D9D9D9" w:themeFill="background1" w:themeFillShade="D9"/>
        <w:rPr>
          <w:rFonts w:eastAsiaTheme="minorEastAsia"/>
          <w:lang w:eastAsia="nl-NL"/>
        </w:rPr>
      </w:pPr>
      <w:r>
        <w:rPr>
          <w:rFonts w:eastAsiaTheme="minorEastAsia"/>
          <w:lang w:eastAsia="nl-NL"/>
        </w:rPr>
        <w:t xml:space="preserve">7. </w:t>
      </w:r>
      <w:r>
        <w:rPr>
          <w:rFonts w:eastAsiaTheme="minorEastAsia"/>
          <w:lang w:eastAsia="nl-NL"/>
        </w:rPr>
        <w:tab/>
        <w:t xml:space="preserve">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 </w:t>
      </w:r>
    </w:p>
    <w:p w:rsidR="00B84590" w:rsidRDefault="00B84590" w:rsidP="00B84590">
      <w:pPr>
        <w:pStyle w:val="art1enivo"/>
        <w:shd w:val="clear" w:color="auto" w:fill="D9D9D9" w:themeFill="background1" w:themeFillShade="D9"/>
        <w:rPr>
          <w:rFonts w:eastAsiaTheme="minorEastAsia"/>
          <w:lang w:eastAsia="nl-NL"/>
        </w:rPr>
      </w:pPr>
      <w:r>
        <w:rPr>
          <w:rFonts w:eastAsiaTheme="minorEastAsia"/>
          <w:lang w:eastAsia="nl-NL"/>
        </w:rPr>
        <w:t xml:space="preserve">8. </w:t>
      </w:r>
      <w:r>
        <w:rPr>
          <w:rFonts w:eastAsiaTheme="minorEastAsia"/>
          <w:lang w:eastAsia="nl-NL"/>
        </w:rPr>
        <w:tab/>
        <w:t>In afwijking van het zevende lid kan het bevoegd gezag maatwerkvoorschriften als bedoeld in het derde lid stellen.</w:t>
      </w:r>
    </w:p>
    <w:p w:rsidR="00B84590" w:rsidRDefault="00B84590" w:rsidP="00B84590">
      <w:pPr>
        <w:pStyle w:val="artikelkop"/>
        <w:shd w:val="clear" w:color="auto" w:fill="D9D9D9" w:themeFill="background1" w:themeFillShade="D9"/>
      </w:pPr>
      <w:r>
        <w:t>Artikel 4.61</w:t>
      </w:r>
    </w:p>
    <w:p w:rsidR="00B84590" w:rsidRDefault="00B84590" w:rsidP="00B84590">
      <w:pPr>
        <w:pStyle w:val="artplat"/>
        <w:shd w:val="clear" w:color="auto" w:fill="D9D9D9" w:themeFill="background1" w:themeFillShade="D9"/>
        <w:suppressAutoHyphens/>
        <w:rPr>
          <w:rFonts w:cs="Arial"/>
        </w:rPr>
      </w:pPr>
      <w:r>
        <w:rPr>
          <w:rFonts w:cs="Arial"/>
        </w:rPr>
        <w:t>Aan artikel 4.50, eerste lid, van het besluit wordt in ieder geval voldaan indien:</w:t>
      </w:r>
    </w:p>
    <w:p w:rsidR="00B84590" w:rsidRDefault="00B84590" w:rsidP="00B84590">
      <w:pPr>
        <w:pStyle w:val="art1enivo"/>
        <w:shd w:val="clear" w:color="auto" w:fill="D9D9D9" w:themeFill="background1" w:themeFillShade="D9"/>
      </w:pPr>
      <w:r>
        <w:t>a.</w:t>
      </w:r>
      <w:r>
        <w:tab/>
        <w:t>de afgezogen stofemissies als bedoeld in artikel 4.50, eerste lid, van het besluit die vrijkomen bij het stralen van metalen worden gevoerd door een filtrerende afscheider of elektrostatische filterinstallatie die geschikt is om aan artikel 4.50, eerste lid, van het besluit te voldoen; en</w:t>
      </w:r>
    </w:p>
    <w:p w:rsidR="00B84590" w:rsidRDefault="00B84590" w:rsidP="00B84590">
      <w:pPr>
        <w:pStyle w:val="art1enivo"/>
        <w:shd w:val="clear" w:color="auto" w:fill="D9D9D9" w:themeFill="background1" w:themeFillShade="D9"/>
      </w:pPr>
      <w:r>
        <w:t>b.</w:t>
      </w:r>
      <w:r>
        <w:tab/>
        <w:t>die filtrerende afscheider of elektrostatische filterinstallatie in goede staat van onderhoud verkeert, periodiek gecontroleerd wordt en zo vaak als voor de goede werking nodig is, wordt schoongemaakt en vervangen.</w:t>
      </w:r>
    </w:p>
    <w:p w:rsidR="00B84590" w:rsidRDefault="00B84590" w:rsidP="00B84590">
      <w:pPr>
        <w:pStyle w:val="artikelkop"/>
        <w:shd w:val="clear" w:color="auto" w:fill="D9D9D9" w:themeFill="background1" w:themeFillShade="D9"/>
      </w:pPr>
      <w:r>
        <w:t>Artikel 4.62</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vindt het stralen van metalen waarbij vloeibare bodembedreigende stoffen worden gebruikt of kunnen vrijkomen, plaats boven een vloeistofdichte vloer of verharding.</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Indien bij de activiteit, bedoeld in het eerste lid, alleen vaste bodembedreigende stoffen vrijkomen dan vindt deze activiteit plaats boven een bodembeschermende voorziening.</w:t>
      </w:r>
    </w:p>
    <w:p w:rsidR="00B84590" w:rsidRPr="00B84590" w:rsidRDefault="00B84590" w:rsidP="00B84590">
      <w:pPr>
        <w:shd w:val="clear" w:color="auto" w:fill="D9D9D9" w:themeFill="background1" w:themeFillShade="D9"/>
      </w:pPr>
      <w:r>
        <w:rPr>
          <w:rFonts w:cs="Arial"/>
        </w:rPr>
        <w:t>3.</w:t>
      </w:r>
      <w:r>
        <w:rPr>
          <w:rFonts w:cs="Arial"/>
        </w:rPr>
        <w:tab/>
        <w:t>De activiteit, bedoeld in het eerste lid kan ook boven een andere bodembeschermende voorziening worden uitgevoerd indien deze activiteit wordt uitgevoerd als een gesloten proces.</w:t>
      </w:r>
    </w:p>
    <w:p w:rsidR="00296032" w:rsidRPr="00296032" w:rsidRDefault="00296032">
      <w:pPr>
        <w:pStyle w:val="paragraaf"/>
        <w:rPr>
          <w:rFonts w:cs="Arial"/>
        </w:rPr>
      </w:pPr>
      <w:bookmarkStart w:id="230" w:name="_Toc277243231"/>
      <w:bookmarkStart w:id="231" w:name="_Toc431375704"/>
      <w:r w:rsidRPr="00296032">
        <w:rPr>
          <w:rFonts w:cs="Arial"/>
        </w:rPr>
        <w:t>§ 4.5.5</w:t>
      </w:r>
      <w:r w:rsidRPr="00296032">
        <w:rPr>
          <w:rFonts w:cs="Arial"/>
        </w:rPr>
        <w:tab/>
        <w:t>Reinigen, lijmen of coaten van metalen</w:t>
      </w:r>
      <w:bookmarkEnd w:id="230"/>
      <w:bookmarkEnd w:id="231"/>
    </w:p>
    <w:p w:rsidR="00296032" w:rsidRPr="00296032" w:rsidRDefault="00296032">
      <w:pPr>
        <w:pStyle w:val="artikelkop"/>
      </w:pPr>
      <w:r w:rsidRPr="00296032">
        <w:t>Artikel 4.52</w:t>
      </w:r>
    </w:p>
    <w:p w:rsidR="00296032" w:rsidRPr="00620047" w:rsidRDefault="00296032">
      <w:pPr>
        <w:pStyle w:val="art1enivo"/>
      </w:pPr>
      <w:r w:rsidRPr="00620047">
        <w:t>1.</w:t>
      </w:r>
      <w:r w:rsidRPr="00620047">
        <w:tab/>
        <w:t>Deze paragraaf is van toepassing op het reinigen, lijmen of coaten van metalen.</w:t>
      </w:r>
    </w:p>
    <w:p w:rsidR="00296032" w:rsidRPr="00620047" w:rsidRDefault="00296032">
      <w:pPr>
        <w:pStyle w:val="art1enivo"/>
      </w:pPr>
      <w:r w:rsidRPr="00620047">
        <w:t>2.</w:t>
      </w:r>
      <w:r w:rsidRPr="00620047">
        <w:tab/>
        <w:t>In deze paragraaf wordt onder het reinigen van metalen niet verstaan het wassen van motorvoertuigen of werktuigen, bedoeld in paragraaf 3.3.2., en het afspuiten van pleziervaartuigen, bedoeld in paragraaf 4.6.6..</w:t>
      </w:r>
    </w:p>
    <w:p w:rsidR="00296032" w:rsidRPr="00296032" w:rsidRDefault="00296032">
      <w:pPr>
        <w:pStyle w:val="artikelkop"/>
        <w:rPr>
          <w:rFonts w:cs="Arial"/>
        </w:rPr>
      </w:pPr>
      <w:r w:rsidRPr="00296032">
        <w:rPr>
          <w:rFonts w:cs="Arial"/>
        </w:rPr>
        <w:t>Artikel 4.53</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is verboden om in de buitenlucht metalen met behulp van een nevelspuit te coaten of te lijmen dan wel met behulp van een nevelspuit te reinigen met vluchtige organische stoffen houdende producten.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het niet mogelijk is om deze activiteiten in het inpandige deel van de inrichting te verrichten vanwege de omvang van het te bewerken object.</w:t>
      </w:r>
    </w:p>
    <w:p w:rsidR="00296032" w:rsidRPr="00296032" w:rsidRDefault="00296032">
      <w:pPr>
        <w:pStyle w:val="artikelkop"/>
        <w:rPr>
          <w:rFonts w:cs="Arial"/>
        </w:rPr>
      </w:pPr>
      <w:r w:rsidRPr="00296032">
        <w:rPr>
          <w:rFonts w:cs="Arial"/>
        </w:rPr>
        <w:t>Artikel 4.54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het aanbrengen van coating of lijmlagen de emissieconcentratie van stofklasse S niet meer dan:</w:t>
      </w:r>
    </w:p>
    <w:p w:rsidR="00296032" w:rsidRPr="00620047" w:rsidRDefault="00296032">
      <w:pPr>
        <w:pStyle w:val="art2enivo"/>
        <w:rPr>
          <w:rFonts w:cs="Arial"/>
        </w:rPr>
      </w:pPr>
      <w:r w:rsidRPr="00620047">
        <w:rPr>
          <w:rFonts w:cs="Arial"/>
        </w:rPr>
        <w:t>a.</w:t>
      </w:r>
      <w:r w:rsidRPr="00620047">
        <w:rPr>
          <w:rFonts w:cs="Arial"/>
        </w:rPr>
        <w:tab/>
        <w:t>5 milligram per normaal kubieke meter, indien de massastroom van stofklasse S naar de lucht gelijk is aan of groter is dan 200 gram per uur; en</w:t>
      </w:r>
    </w:p>
    <w:p w:rsidR="00296032" w:rsidRPr="00620047" w:rsidRDefault="00296032">
      <w:pPr>
        <w:pStyle w:val="art2enivo"/>
        <w:rPr>
          <w:rFonts w:cs="Arial"/>
        </w:rPr>
      </w:pPr>
      <w:r w:rsidRPr="00620047">
        <w:rPr>
          <w:rFonts w:cs="Arial"/>
        </w:rPr>
        <w:t>b.</w:t>
      </w:r>
      <w:r w:rsidRPr="00620047">
        <w:rPr>
          <w:rFonts w:cs="Arial"/>
        </w:rPr>
        <w:tab/>
        <w:t>50 milligram per normaal kubieke meter indien de massastroom kleiner is dan 200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het coaten op grond van artikel 4.53, tweede lid, in de buitenlucht plaatsvindt.</w:t>
      </w:r>
    </w:p>
    <w:p w:rsidR="00296032" w:rsidRPr="00296032" w:rsidRDefault="00296032">
      <w:pPr>
        <w:pStyle w:val="artikelkop"/>
      </w:pPr>
      <w:r w:rsidRPr="00296032">
        <w:t>Artikel 4.54a</w:t>
      </w:r>
    </w:p>
    <w:p w:rsidR="00296032" w:rsidRPr="00620047" w:rsidRDefault="00296032">
      <w:pPr>
        <w:pStyle w:val="art1enivo"/>
      </w:pPr>
      <w:r w:rsidRPr="00620047">
        <w:t>1.</w:t>
      </w:r>
      <w:r w:rsidRPr="00620047">
        <w:tab/>
        <w:t>Het schoonbranden van lood, geïsoleerde kabels, oliegekoelde transformatoren en metaaloppervlakken die verontreinigd zijn met polyvinylchloride of andere halogeenverbindingen, is verboden.</w:t>
      </w:r>
    </w:p>
    <w:p w:rsidR="00296032" w:rsidRPr="00620047" w:rsidRDefault="00296032">
      <w:pPr>
        <w:pStyle w:val="art1enivo"/>
      </w:pPr>
      <w:r w:rsidRPr="00620047">
        <w:t>2.</w:t>
      </w:r>
      <w:r w:rsidRPr="00620047">
        <w:tab/>
        <w:t>Voordat metalen worden schoongebrand, worden deze vrijgemaakt van materialen die redelijkerwijs op andere wijze dan door schoonbranden kunnen worden verwijderd.</w:t>
      </w:r>
    </w:p>
    <w:p w:rsidR="00296032" w:rsidRPr="00620047" w:rsidRDefault="00296032">
      <w:pPr>
        <w:pStyle w:val="art1enivo"/>
      </w:pPr>
      <w:r w:rsidRPr="00620047">
        <w:t>3.</w:t>
      </w:r>
      <w:r w:rsidRPr="00620047">
        <w:tab/>
        <w:t>Bij het schoonbranden van metalen is de emissieconcentratie van:</w:t>
      </w:r>
    </w:p>
    <w:p w:rsidR="00296032" w:rsidRPr="00620047" w:rsidRDefault="00296032">
      <w:pPr>
        <w:pStyle w:val="art2enivo"/>
      </w:pPr>
      <w:r w:rsidRPr="00620047">
        <w:t>a.</w:t>
      </w:r>
      <w:r w:rsidRPr="00620047">
        <w:tab/>
        <w:t>stofklasse S niet meer dan 25 milligram per normaal kubieke meter;</w:t>
      </w:r>
    </w:p>
    <w:p w:rsidR="00296032" w:rsidRPr="00620047" w:rsidRDefault="00296032">
      <w:pPr>
        <w:pStyle w:val="art2enivo"/>
      </w:pPr>
      <w:r w:rsidRPr="00620047">
        <w:t>b.</w:t>
      </w:r>
      <w:r w:rsidRPr="00620047">
        <w:tab/>
        <w:t>gasvormige anorganische chloriden niet meer dan 20 milligram per normaal kubieke meter, of</w:t>
      </w:r>
    </w:p>
    <w:p w:rsidR="00296032" w:rsidRPr="00620047" w:rsidRDefault="00296032">
      <w:pPr>
        <w:pStyle w:val="art2enivo"/>
      </w:pPr>
      <w:r w:rsidRPr="00620047">
        <w:t>c.</w:t>
      </w:r>
      <w:r w:rsidRPr="00620047">
        <w:tab/>
        <w:t>totaal koolwaterstoffen niet meer dan 50 milligram per normaal kubieke meter.</w:t>
      </w:r>
    </w:p>
    <w:p w:rsidR="00296032" w:rsidRPr="00620047" w:rsidRDefault="00296032">
      <w:pPr>
        <w:pStyle w:val="art1enivo"/>
      </w:pPr>
      <w:r w:rsidRPr="00620047">
        <w:t>4.</w:t>
      </w:r>
      <w:r w:rsidRPr="00620047">
        <w:tab/>
        <w:t>Het in het vuilwaterriool lozen van afvalwater afkomstig van de behandeling van de emissie die vrijkomt bij het schoonbranden, is verboden.</w:t>
      </w:r>
    </w:p>
    <w:p w:rsidR="00296032" w:rsidRPr="00296032" w:rsidRDefault="00296032">
      <w:pPr>
        <w:pStyle w:val="artikelkop"/>
        <w:rPr>
          <w:rFonts w:cs="Arial"/>
        </w:rPr>
      </w:pPr>
      <w:r w:rsidRPr="00296032">
        <w:rPr>
          <w:rFonts w:cs="Arial"/>
        </w:rPr>
        <w:t>Artikel 4.55</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de inrichting drijft neemt bij het reinigen, coaten of lijmen van metalen voorwerpen met betrekking tot vluchtige organische stoffen de bij ministeriële regeling gestelde emissiereducerende maatregelen tenzij deze niet kosteneffectief of technisch uitvoerbaar zijn.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 xml:space="preserve">Het eerste lid is niet van toepassing indien het totaal verbruik van vluchtige organische stoffen bij de in het eerste lid genoemde activiteiten minder bedraagt dan 1.000 kilogram per jaar. </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eerste lid is niet toepassing op het verbruik van vluchtige organische stoffen waarvan het in de handel brengen is gereguleerd door het Besluit organische oplosmiddelen in verven en vernissen milieubeheer.</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Indien de drempelwaarden, genoemd in tabel 2.28a worden overschreden, zijn het eerste tot en met derde lid niet van toepassing en is afdeling 2.11 van toepassing.</w:t>
      </w:r>
    </w:p>
    <w:p w:rsidR="00296032" w:rsidRPr="00296032" w:rsidRDefault="00296032">
      <w:pPr>
        <w:pStyle w:val="artikelkop"/>
        <w:rPr>
          <w:rFonts w:cs="Arial"/>
        </w:rPr>
      </w:pPr>
      <w:r w:rsidRPr="00296032">
        <w:rPr>
          <w:rFonts w:cs="Arial"/>
        </w:rPr>
        <w:t>Artikel 4.56</w:t>
      </w:r>
    </w:p>
    <w:p w:rsidR="00296032" w:rsidRPr="00620047" w:rsidRDefault="00296032">
      <w:pPr>
        <w:rPr>
          <w:rFonts w:cs="Arial"/>
        </w:rPr>
      </w:pPr>
      <w:r w:rsidRPr="00620047">
        <w:rPr>
          <w:rFonts w:cs="Arial"/>
        </w:rPr>
        <w:t>Bij het reinigen, coaten en lijmen van metalen worden ten behoeve van:</w:t>
      </w:r>
    </w:p>
    <w:p w:rsidR="00296032" w:rsidRPr="00620047" w:rsidRDefault="00296032">
      <w:pPr>
        <w:pStyle w:val="artplatletter"/>
        <w:rPr>
          <w:rFonts w:cs="Arial"/>
        </w:rPr>
      </w:pPr>
      <w:r w:rsidRPr="00620047">
        <w:rPr>
          <w:rFonts w:cs="Arial"/>
        </w:rPr>
        <w:t>a.</w:t>
      </w:r>
      <w:r w:rsidRPr="00620047">
        <w:rPr>
          <w:rFonts w:cs="Arial"/>
        </w:rPr>
        <w:tab/>
        <w:t>het voorkomen dan wel beperken van diffuse emissies;</w:t>
      </w:r>
    </w:p>
    <w:p w:rsidR="00296032" w:rsidRPr="00620047" w:rsidRDefault="00296032">
      <w:pPr>
        <w:pStyle w:val="artplatletter"/>
        <w:rPr>
          <w:rFonts w:cs="Arial"/>
        </w:rPr>
      </w:pPr>
      <w:r w:rsidRPr="00620047">
        <w:rPr>
          <w:rFonts w:cs="Arial"/>
        </w:rPr>
        <w:t>b.</w:t>
      </w:r>
      <w:r w:rsidRPr="00620047">
        <w:rPr>
          <w:rFonts w:cs="Arial"/>
        </w:rPr>
        <w:tab/>
        <w:t>het voorkomen dan wel beperken van stofhinder;</w:t>
      </w:r>
    </w:p>
    <w:p w:rsidR="00296032" w:rsidRPr="00620047" w:rsidRDefault="00296032">
      <w:pPr>
        <w:pStyle w:val="artplatletter"/>
        <w:rPr>
          <w:rFonts w:cs="Arial"/>
        </w:rPr>
      </w:pPr>
      <w:r w:rsidRPr="00620047">
        <w:rPr>
          <w:rFonts w:cs="Arial"/>
        </w:rPr>
        <w:t>c.</w:t>
      </w:r>
      <w:r w:rsidRPr="00620047">
        <w:rPr>
          <w:rFonts w:cs="Arial"/>
        </w:rPr>
        <w:tab/>
        <w:t>het doelmatig verspreiden van emissies naar de buitenlucht;</w:t>
      </w:r>
    </w:p>
    <w:p w:rsidR="00296032" w:rsidRPr="00620047" w:rsidRDefault="00296032">
      <w:pPr>
        <w:pStyle w:val="artplatletter"/>
        <w:rPr>
          <w:rFonts w:cs="Arial"/>
        </w:rPr>
      </w:pPr>
      <w:r w:rsidRPr="00620047">
        <w:rPr>
          <w:rFonts w:cs="Arial"/>
        </w:rPr>
        <w:t>d.</w:t>
      </w:r>
      <w:r w:rsidRPr="00620047">
        <w:rPr>
          <w:rFonts w:cs="Arial"/>
        </w:rPr>
        <w:tab/>
        <w:t>het voorkomen dan wel beperken van geurhinder;</w:t>
      </w:r>
    </w:p>
    <w:p w:rsidR="00296032" w:rsidRPr="00620047" w:rsidRDefault="00296032">
      <w:pPr>
        <w:pStyle w:val="artplatletter"/>
        <w:rPr>
          <w:rFonts w:cs="Arial"/>
        </w:rPr>
      </w:pPr>
      <w:r w:rsidRPr="00620047">
        <w:rPr>
          <w:rFonts w:cs="Arial"/>
        </w:rPr>
        <w:t>e.</w:t>
      </w:r>
      <w:r w:rsidRPr="00620047">
        <w:rPr>
          <w:rFonts w:cs="Arial"/>
        </w:rPr>
        <w:tab/>
        <w:t>het realiseren van een verwaarloosbaar bodemrisico,</w:t>
      </w:r>
    </w:p>
    <w:p w:rsidR="00296032" w:rsidRDefault="00296032">
      <w:pPr>
        <w:rPr>
          <w:rFonts w:cs="Arial"/>
        </w:rPr>
      </w:pPr>
      <w:r w:rsidRPr="00620047">
        <w:rPr>
          <w:rFonts w:cs="Arial"/>
        </w:rPr>
        <w:t>de bij ministeriële regeling te bepalen maatregelen toegepast.</w:t>
      </w:r>
    </w:p>
    <w:p w:rsidR="00B84590" w:rsidRDefault="00B84590">
      <w:pPr>
        <w:rPr>
          <w:rFonts w:cs="Arial"/>
        </w:rPr>
      </w:pPr>
    </w:p>
    <w:p w:rsidR="00B84590" w:rsidRDefault="00B84590" w:rsidP="00B84590">
      <w:pPr>
        <w:pStyle w:val="paragraaf"/>
        <w:shd w:val="clear" w:color="auto" w:fill="D9D9D9" w:themeFill="background1" w:themeFillShade="D9"/>
      </w:pPr>
      <w:bookmarkStart w:id="232" w:name="_Toc431375705"/>
      <w:r>
        <w:t>§ 4.5.5.</w:t>
      </w:r>
      <w:r>
        <w:tab/>
      </w:r>
      <w:r>
        <w:tab/>
        <w:t>Reinigen, lijmen of coaten van metalen</w:t>
      </w:r>
      <w:bookmarkEnd w:id="232"/>
    </w:p>
    <w:p w:rsidR="00B84590" w:rsidRDefault="00B84590" w:rsidP="00B84590">
      <w:pPr>
        <w:pStyle w:val="artikelkop"/>
        <w:shd w:val="clear" w:color="auto" w:fill="D9D9D9" w:themeFill="background1" w:themeFillShade="D9"/>
      </w:pPr>
      <w:r>
        <w:t>Artikel 4.63</w:t>
      </w:r>
    </w:p>
    <w:p w:rsidR="00B84590" w:rsidRDefault="00B84590" w:rsidP="00B84590">
      <w:pPr>
        <w:pStyle w:val="artplat"/>
        <w:shd w:val="clear" w:color="auto" w:fill="D9D9D9" w:themeFill="background1" w:themeFillShade="D9"/>
        <w:suppressAutoHyphens/>
        <w:rPr>
          <w:rFonts w:cs="Arial"/>
        </w:rPr>
      </w:pPr>
      <w:r>
        <w:rPr>
          <w:rFonts w:cs="Arial"/>
        </w:rPr>
        <w:t>In deze paragraaf wordt onder het reinigen van metalen niet verstaan het wassen van motorvoertuigen of carrosserie-onderdelen daarvan als bedoeld in paragraaf 3.3.2 en het afspuiten van pleziervaartuigen als bedoeld in paragraaf 4.6.5.</w:t>
      </w:r>
    </w:p>
    <w:p w:rsidR="00B84590" w:rsidRDefault="00B84590" w:rsidP="00B84590">
      <w:pPr>
        <w:pStyle w:val="artikelkop"/>
        <w:shd w:val="clear" w:color="auto" w:fill="D9D9D9" w:themeFill="background1" w:themeFillShade="D9"/>
      </w:pPr>
      <w:r>
        <w:t>Artikel 4.64</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worden dampen en gassen die vrijkomen bij:</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het reinigen, coaten en lijmen van metalen voorwerpen door middel van vernevelen van vluchtige organische stoffen met een nevelspuit;</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het coaten van metalen voorwerpen door middel van het opbrengen van poeder;</w:t>
      </w:r>
    </w:p>
    <w:p w:rsidR="00B84590" w:rsidRDefault="00B84590" w:rsidP="00B84590">
      <w:pPr>
        <w:pStyle w:val="art2enivo"/>
        <w:shd w:val="clear" w:color="auto" w:fill="D9D9D9" w:themeFill="background1" w:themeFillShade="D9"/>
        <w:suppressAutoHyphens/>
        <w:rPr>
          <w:rFonts w:cs="Arial"/>
        </w:rPr>
      </w:pPr>
      <w:r>
        <w:rPr>
          <w:rFonts w:cs="Arial"/>
        </w:rPr>
        <w:t>c.</w:t>
      </w:r>
      <w:r>
        <w:rPr>
          <w:rFonts w:cs="Arial"/>
        </w:rPr>
        <w:tab/>
        <w:t>het reinigen, coaten en lijmen van metalen voorwerpen met vluchtige organische stoffen door middel van dompeling in open of halfgesloten baden, uitgezonderd de toepassing van hoogkokende stoffen;</w:t>
      </w:r>
    </w:p>
    <w:p w:rsidR="00B84590" w:rsidRDefault="00B84590" w:rsidP="00B84590">
      <w:pPr>
        <w:pStyle w:val="art2enivo"/>
        <w:shd w:val="clear" w:color="auto" w:fill="D9D9D9" w:themeFill="background1" w:themeFillShade="D9"/>
        <w:suppressAutoHyphens/>
        <w:rPr>
          <w:rFonts w:cs="Arial"/>
        </w:rPr>
      </w:pPr>
      <w:r>
        <w:rPr>
          <w:rFonts w:cs="Arial"/>
        </w:rPr>
        <w:t>d.</w:t>
      </w:r>
      <w:r>
        <w:rPr>
          <w:rFonts w:cs="Arial"/>
        </w:rPr>
        <w:tab/>
        <w:t>het aansluitend aan voornoemde activiteiten, drogen dan wel uitharden van met vluchtige organische stoffen behandelde materialen dan wel het moffelen van materialen die zijn van voorzien van een poedercoating, voor zover dat redelijkerwijs mogelijk is,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het voorkomen dan wel tot een aanvaardbaar niveau beperken van stofhinder, worden emissies van stof, waaronder ook coating-, lijm- of poederdeeltjes, die vrijkomen bij het in de buitenlucht coaten en lijmen van metalen door middel van vernevelen met een nevelspuit, voorkomen dan wel beperkt door het plaatsen van doelmatige afschermingen.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Ten behoeve van het doelmatig verspreiden van emissies naar de buitenlucht, worden de overeenkomstig het eerste lid, onderdeel b, afgezogen dampen en gassen,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B84590" w:rsidRDefault="00B84590" w:rsidP="00B84590">
      <w:pPr>
        <w:pStyle w:val="art1enivo"/>
        <w:shd w:val="clear" w:color="auto" w:fill="D9D9D9" w:themeFill="background1" w:themeFillShade="D9"/>
        <w:suppressAutoHyphens/>
        <w:rPr>
          <w:rFonts w:cs="Arial"/>
        </w:rPr>
      </w:pPr>
      <w:r>
        <w:rPr>
          <w:rFonts w:cs="Arial"/>
        </w:rPr>
        <w:t>4.</w:t>
      </w:r>
      <w:r>
        <w:rPr>
          <w:rFonts w:cs="Arial"/>
        </w:rPr>
        <w:tab/>
        <w:t>Ten behoeve van het voorkomen dan wel tot een aanvaardbaar niveau beperken van geurhinder, worden de overeenkomstig het eerste lid, onderdelen a, c en d afgezogen dampen en gassen, indien deze op de buitenlucht worden geëmitteerd:</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ten minste 2 meter boven de hoogste daklijn van de binnen 25 meter van de uitmonding gelegen gebouwen afgevoerd; of</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geleid door een doelmatige ontgeuringsinstallatie.</w:t>
      </w:r>
    </w:p>
    <w:p w:rsidR="00B84590" w:rsidRDefault="00B84590" w:rsidP="00B84590">
      <w:pPr>
        <w:pStyle w:val="art1enivo"/>
        <w:shd w:val="clear" w:color="auto" w:fill="D9D9D9" w:themeFill="background1" w:themeFillShade="D9"/>
        <w:suppressAutoHyphens/>
        <w:rPr>
          <w:rFonts w:cs="Arial"/>
        </w:rPr>
      </w:pPr>
      <w:r>
        <w:rPr>
          <w:rFonts w:cs="Arial"/>
        </w:rPr>
        <w:t>5.</w:t>
      </w:r>
      <w:r>
        <w:rPr>
          <w:rFonts w:cs="Arial"/>
        </w:rPr>
        <w:tab/>
        <w:t>Het bevoegd gezag kan in het belang van de luchtkwaliteit  maatwerkvoorschriften stellen aan de ligging en uitvoering van het afvoerpunt van de emissies naar de buitenlucht, als bedoeld in het derde lid.</w:t>
      </w:r>
    </w:p>
    <w:p w:rsidR="00B84590" w:rsidRDefault="00B84590" w:rsidP="00B84590">
      <w:pPr>
        <w:pStyle w:val="art1enivo"/>
        <w:shd w:val="clear" w:color="auto" w:fill="D9D9D9" w:themeFill="background1" w:themeFillShade="D9"/>
        <w:suppressAutoHyphens/>
        <w:rPr>
          <w:rFonts w:cs="Arial"/>
        </w:rPr>
      </w:pPr>
      <w:r>
        <w:rPr>
          <w:rFonts w:cs="Arial"/>
        </w:rPr>
        <w:t>6.</w:t>
      </w:r>
      <w:r>
        <w:rPr>
          <w:rFonts w:cs="Arial"/>
        </w:rPr>
        <w:tab/>
        <w:t>Het vierde lid is niet van toepassing indien het mogelijke effect van de geuremissie van de uittredende lucht van een afzuiginstallatie beperkt blijft tot een gezoneerd industrieterrein of een bedrijventerrein met minder dan één gevoelig gebouw per hectare.</w:t>
      </w:r>
    </w:p>
    <w:p w:rsidR="00B84590" w:rsidRDefault="00B84590" w:rsidP="00B84590">
      <w:pPr>
        <w:pStyle w:val="art1enivo"/>
        <w:shd w:val="clear" w:color="auto" w:fill="D9D9D9" w:themeFill="background1" w:themeFillShade="D9"/>
        <w:suppressAutoHyphens/>
        <w:rPr>
          <w:rFonts w:cs="Arial"/>
        </w:rPr>
      </w:pPr>
      <w:r>
        <w:rPr>
          <w:rFonts w:cs="Arial"/>
        </w:rPr>
        <w:t>7.</w:t>
      </w:r>
      <w:r>
        <w:rPr>
          <w:rFonts w:cs="Arial"/>
        </w:rPr>
        <w:tab/>
        <w:t>Het bevoegd gezag kan indien blijkt dat de geurhinder een aanvaardbaar niveau overschrijdt vanwege het slecht functioneren van de ontgeuringsinstallatie, onvoldoende verspreiding van afgezogen dampen, geuremissies die niet via de afzuiging worden afgevoerd of incidentele geurpieken in aanvulling op het vierde lid overeenkomstig artikel 2.7a, derde lid, van het besluit maatwerkvoorschriften stellen met betrekking tot:</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de uitvoering en het onderhoud van een ontgeuringsinstallatie als bedoeld in het vierde lid;</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de situering van de afvoerpijp;</w:t>
      </w:r>
    </w:p>
    <w:p w:rsidR="00B84590" w:rsidRDefault="00B84590" w:rsidP="00B84590">
      <w:pPr>
        <w:pStyle w:val="art2enivo"/>
        <w:shd w:val="clear" w:color="auto" w:fill="D9D9D9" w:themeFill="background1" w:themeFillShade="D9"/>
        <w:suppressAutoHyphens/>
        <w:rPr>
          <w:rFonts w:cs="Arial"/>
        </w:rPr>
      </w:pPr>
      <w:r>
        <w:rPr>
          <w:rFonts w:cs="Arial"/>
        </w:rPr>
        <w:t>c.</w:t>
      </w:r>
      <w:r>
        <w:rPr>
          <w:rFonts w:cs="Arial"/>
        </w:rPr>
        <w:tab/>
        <w:t>het voorkomen of beperken van diffuse geuremissies; of</w:t>
      </w:r>
    </w:p>
    <w:p w:rsidR="00B84590" w:rsidRDefault="00B84590" w:rsidP="00B84590">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B84590" w:rsidRDefault="00B84590" w:rsidP="00B84590">
      <w:pPr>
        <w:pStyle w:val="art1enivo"/>
        <w:shd w:val="clear" w:color="auto" w:fill="D9D9D9" w:themeFill="background1" w:themeFillShade="D9"/>
        <w:suppressAutoHyphens/>
        <w:rPr>
          <w:rFonts w:cs="Arial"/>
        </w:rPr>
      </w:pPr>
      <w:r>
        <w:rPr>
          <w:rFonts w:cs="Arial"/>
        </w:rPr>
        <w:t>8.</w:t>
      </w:r>
      <w:r>
        <w:rPr>
          <w:rFonts w:cs="Arial"/>
        </w:rPr>
        <w:tab/>
        <w:t>In afwijking van het vierde lid kan het bevoegd gezag indien blijkt dat de geurhinder een aanvaardbaar niveau overschrijdt en de bevoegdheden genoemd in het zevende lid onvoldoende zijn om de overschrijding ongedaan te maken overeenkomstig artikel 2.7a, derde lid, van het besluit maatwerkvoorschriften stellen met betrekking tot de aanwezigheid van een ontgeuringsinstallatie of een grotere afvoerhoogte van de afgezogen dampen en gassen.</w:t>
      </w:r>
    </w:p>
    <w:p w:rsidR="00B84590" w:rsidRDefault="00B84590" w:rsidP="00B84590">
      <w:pPr>
        <w:pStyle w:val="art1enivo"/>
        <w:shd w:val="clear" w:color="auto" w:fill="D9D9D9" w:themeFill="background1" w:themeFillShade="D9"/>
      </w:pPr>
      <w:r>
        <w:t xml:space="preserve">9. </w:t>
      </w:r>
      <w:r>
        <w:tab/>
        <w:t xml:space="preserve">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derde lid niet van toepassing voor zover er geen verandering van de inrichting plaatsvindt waarvoor een melding krachtens artikel 1.10 van het besluit nodig is en voor zover de emissies als bedoeld in het derde lid niet toenemen en de wijze van afvoer van die emissies naar de buitenlucht niet verandert. </w:t>
      </w:r>
    </w:p>
    <w:p w:rsidR="00B84590" w:rsidRDefault="00B84590" w:rsidP="00B84590">
      <w:pPr>
        <w:pStyle w:val="art1enivo"/>
        <w:shd w:val="clear" w:color="auto" w:fill="D9D9D9" w:themeFill="background1" w:themeFillShade="D9"/>
      </w:pPr>
      <w:r>
        <w:t>10.</w:t>
      </w:r>
      <w:r>
        <w:tab/>
        <w:t xml:space="preserve">In afwijking van het negende lid kan het bevoegd gezag maatwerkvoorschriften als bedoeld in het vijfde lid stellen. </w:t>
      </w:r>
    </w:p>
    <w:p w:rsidR="00B84590" w:rsidRDefault="00B84590" w:rsidP="00B84590">
      <w:pPr>
        <w:pStyle w:val="art1enivo"/>
        <w:shd w:val="clear" w:color="auto" w:fill="D9D9D9" w:themeFill="background1" w:themeFillShade="D9"/>
      </w:pPr>
      <w:r>
        <w:t>11.</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vierde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B84590" w:rsidRDefault="00B84590" w:rsidP="00B84590">
      <w:pPr>
        <w:pStyle w:val="art1enivo"/>
        <w:shd w:val="clear" w:color="auto" w:fill="D9D9D9" w:themeFill="background1" w:themeFillShade="D9"/>
      </w:pPr>
      <w:r>
        <w:t>12.</w:t>
      </w:r>
      <w:r>
        <w:tab/>
        <w:t xml:space="preserve"> In afwijking van het elfde lid kan het bevoegd gezag maatwerkvoorschriften als bedoeld in het zevende en achtste lid stellen.</w:t>
      </w:r>
    </w:p>
    <w:p w:rsidR="00B84590" w:rsidRDefault="00B84590" w:rsidP="00B84590">
      <w:pPr>
        <w:pStyle w:val="artikelkop"/>
        <w:shd w:val="clear" w:color="auto" w:fill="D9D9D9" w:themeFill="background1" w:themeFillShade="D9"/>
      </w:pPr>
      <w:r>
        <w:t>Artikel 4.65</w:t>
      </w:r>
    </w:p>
    <w:p w:rsidR="00B84590" w:rsidRDefault="00B84590" w:rsidP="00B84590">
      <w:pPr>
        <w:pStyle w:val="artplat"/>
        <w:shd w:val="clear" w:color="auto" w:fill="D9D9D9" w:themeFill="background1" w:themeFillShade="D9"/>
        <w:suppressAutoHyphens/>
        <w:rPr>
          <w:rFonts w:cs="Arial"/>
        </w:rPr>
      </w:pPr>
      <w:r>
        <w:rPr>
          <w:rFonts w:cs="Arial"/>
        </w:rPr>
        <w:t>Aan artikel 4.54, eerste lid, van het besluit wordt in ieder geval voldaan indien:</w:t>
      </w:r>
    </w:p>
    <w:p w:rsidR="00B84590" w:rsidRDefault="00B84590" w:rsidP="00B84590">
      <w:pPr>
        <w:pStyle w:val="artplatletter"/>
        <w:shd w:val="clear" w:color="auto" w:fill="D9D9D9" w:themeFill="background1" w:themeFillShade="D9"/>
        <w:suppressAutoHyphens/>
        <w:rPr>
          <w:rFonts w:cs="Arial"/>
        </w:rPr>
      </w:pPr>
      <w:r>
        <w:rPr>
          <w:rFonts w:cs="Arial"/>
        </w:rPr>
        <w:t>a.</w:t>
      </w:r>
      <w:r>
        <w:rPr>
          <w:rFonts w:cs="Arial"/>
        </w:rPr>
        <w:tab/>
        <w:t>de afgezogen emissies die vrijkomen bij het coaten en lijmen van metalen voorwerpen door middel van vernevelen met een nevelspuit en de emissies die vrijkomen bij het coaten door middel van het opbrengen van poeder, worden afgezogen en worden gevoerd door een filtrerende afscheider die geschikt is om aan artikel 4.54, eerste lid, van het besluit te voldoen; en</w:t>
      </w:r>
    </w:p>
    <w:p w:rsidR="00B84590" w:rsidRDefault="00B84590" w:rsidP="00B84590">
      <w:pPr>
        <w:pStyle w:val="artplatletter"/>
        <w:shd w:val="clear" w:color="auto" w:fill="D9D9D9" w:themeFill="background1" w:themeFillShade="D9"/>
        <w:suppressAutoHyphens/>
        <w:rPr>
          <w:rFonts w:cs="Arial"/>
        </w:rPr>
      </w:pPr>
      <w:r>
        <w:rPr>
          <w:rFonts w:cs="Arial"/>
        </w:rPr>
        <w:t>b.</w:t>
      </w:r>
      <w:r>
        <w:rPr>
          <w:rFonts w:cs="Arial"/>
        </w:rPr>
        <w:tab/>
        <w:t>die filtrerende afscheider in goede staat van onderhoud verkeert, periodiek gecontroleerd wordt en zo vaak als voor de goede werking nodig is, wordt schoongemaakt en vervangen.</w:t>
      </w:r>
    </w:p>
    <w:p w:rsidR="00B84590" w:rsidRDefault="00B84590" w:rsidP="00B84590">
      <w:pPr>
        <w:pStyle w:val="artikelkop"/>
        <w:shd w:val="clear" w:color="auto" w:fill="D9D9D9" w:themeFill="background1" w:themeFillShade="D9"/>
      </w:pPr>
      <w:r>
        <w:t xml:space="preserve">Artikel 4.65a </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Aan artikel 4.54a, derde lid, van het besluit wordt, voor zover het betreft  het schoonbranden van metalen waarbij gebruik wordt gemaakt van een elektrische oven,  in ieder geval voldaan indien de uit de oven afgezogen dampen via condensatie of absorptie worden behandeld en teruggeleid naar de oven zonder dat een emissie naar de lucht optreedt.</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Aan artikel 4.54a, derde lid, van het besluit wordt, voor zover het betreft het schoonbranden van metalen waarbij gebruik wordt gemaakt van een gasgestookte oven met een capaciteit kleiner dan 5 ton te reinigen product,  in ieder geval voldaan indien:</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de rookgassen uit de oven worden geleid door een naverbrander, die geschikt is om aan artikel 4.54a, derde lid, te voldoen en zo is ingeregeld dat:</w:t>
      </w:r>
    </w:p>
    <w:p w:rsidR="00B84590" w:rsidRDefault="00B84590" w:rsidP="00B84590">
      <w:pPr>
        <w:pStyle w:val="art3enivo"/>
        <w:shd w:val="clear" w:color="auto" w:fill="D9D9D9" w:themeFill="background1" w:themeFillShade="D9"/>
        <w:suppressAutoHyphens/>
      </w:pPr>
      <w:r>
        <w:t>1°.</w:t>
      </w:r>
      <w:r>
        <w:tab/>
        <w:t>tot het einde van de cyclus de temperatuur ten minste 850°C is;</w:t>
      </w:r>
    </w:p>
    <w:p w:rsidR="00B84590" w:rsidRDefault="00B84590" w:rsidP="00B84590">
      <w:pPr>
        <w:pStyle w:val="art3enivo"/>
        <w:shd w:val="clear" w:color="auto" w:fill="D9D9D9" w:themeFill="background1" w:themeFillShade="D9"/>
        <w:suppressAutoHyphens/>
      </w:pPr>
      <w:r>
        <w:t>2°.</w:t>
      </w:r>
      <w:r>
        <w:tab/>
        <w:t>de naverbrander op temperatuur is voordat het schoonbranden begint;</w:t>
      </w:r>
    </w:p>
    <w:p w:rsidR="00B84590" w:rsidRDefault="00B84590" w:rsidP="00B84590">
      <w:pPr>
        <w:pStyle w:val="art3enivo"/>
        <w:shd w:val="clear" w:color="auto" w:fill="D9D9D9" w:themeFill="background1" w:themeFillShade="D9"/>
        <w:suppressAutoHyphens/>
      </w:pPr>
      <w:r>
        <w:t>3°.</w:t>
      </w:r>
      <w:r>
        <w:tab/>
        <w:t>de verblijftijd van de rookgassen ten minste twee seconden is, en</w:t>
      </w:r>
    </w:p>
    <w:p w:rsidR="00B84590" w:rsidRDefault="00B84590" w:rsidP="00B84590">
      <w:pPr>
        <w:pStyle w:val="art3enivo"/>
        <w:shd w:val="clear" w:color="auto" w:fill="D9D9D9" w:themeFill="background1" w:themeFillShade="D9"/>
        <w:suppressAutoHyphens/>
      </w:pPr>
      <w:r>
        <w:t>4°.</w:t>
      </w:r>
      <w:r>
        <w:tab/>
        <w:t>de emissieconcentratie van koolmonoxide niet meer dan 100 milligram per normaal kubieke meter is;</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de rookgassen alleen via de naverbrander uit de oven kunnen worden afgevoerd;</w:t>
      </w:r>
    </w:p>
    <w:p w:rsidR="00B84590" w:rsidRDefault="00B84590" w:rsidP="00B84590">
      <w:pPr>
        <w:pStyle w:val="art2enivo"/>
        <w:shd w:val="clear" w:color="auto" w:fill="D9D9D9" w:themeFill="background1" w:themeFillShade="D9"/>
        <w:suppressAutoHyphens/>
        <w:rPr>
          <w:rFonts w:cs="Arial"/>
        </w:rPr>
      </w:pPr>
      <w:r>
        <w:rPr>
          <w:rFonts w:cs="Arial"/>
        </w:rPr>
        <w:t>c.</w:t>
      </w:r>
      <w:r>
        <w:rPr>
          <w:rFonts w:cs="Arial"/>
        </w:rPr>
        <w:tab/>
        <w:t>het temperatuurverloop van oven en naverbrander continu geregistreerd wordt, en</w:t>
      </w:r>
    </w:p>
    <w:p w:rsidR="00B84590" w:rsidRDefault="00B84590" w:rsidP="00B84590">
      <w:pPr>
        <w:pStyle w:val="art2enivo"/>
        <w:shd w:val="clear" w:color="auto" w:fill="D9D9D9" w:themeFill="background1" w:themeFillShade="D9"/>
        <w:suppressAutoHyphens/>
        <w:rPr>
          <w:rFonts w:cs="Arial"/>
        </w:rPr>
      </w:pPr>
      <w:r>
        <w:rPr>
          <w:rFonts w:cs="Arial"/>
        </w:rPr>
        <w:t>d.</w:t>
      </w:r>
      <w:r>
        <w:rPr>
          <w:rFonts w:cs="Arial"/>
        </w:rPr>
        <w:tab/>
        <w:t>de oven en de naverbrander in goede staat van onderhoud verkeren, periodiek gecontroleerd worden en zo vaak als voor de goede werking nodig is, worden schoongemaakt en vervangen.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Aan artikel 4.54a, derde lid, van het besluit wordt, voor zover het betreft het schoonbranden van metalen waarbij gebruik wordt gemaakt van een gasgestookte oven met een capaciteit groter dan of gelijk aan 5 ton te reinigen product, in ieder geval voldaan indien:</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de rookgassen uit de oven worden geleid door een naverbrander, die geschikt is om aan artikel 4.54a, derde lid, te voldoen en zo is ingeregeld dat:</w:t>
      </w:r>
    </w:p>
    <w:p w:rsidR="00B84590" w:rsidRDefault="00B84590" w:rsidP="00B84590">
      <w:pPr>
        <w:pStyle w:val="art3enivo"/>
        <w:shd w:val="clear" w:color="auto" w:fill="D9D9D9" w:themeFill="background1" w:themeFillShade="D9"/>
        <w:suppressAutoHyphens/>
      </w:pPr>
      <w:r>
        <w:t>1°.</w:t>
      </w:r>
      <w:r>
        <w:tab/>
        <w:t>tot het einde van de cyclus de temperatuur ten minste 850°C is;</w:t>
      </w:r>
    </w:p>
    <w:p w:rsidR="00B84590" w:rsidRDefault="00B84590" w:rsidP="00B84590">
      <w:pPr>
        <w:pStyle w:val="art3enivo"/>
        <w:shd w:val="clear" w:color="auto" w:fill="D9D9D9" w:themeFill="background1" w:themeFillShade="D9"/>
        <w:suppressAutoHyphens/>
      </w:pPr>
      <w:r>
        <w:t>2°.</w:t>
      </w:r>
      <w:r>
        <w:tab/>
        <w:t>de naverbrander op temperatuur is voordat het schoonbranden begint;</w:t>
      </w:r>
    </w:p>
    <w:p w:rsidR="00B84590" w:rsidRDefault="00B84590" w:rsidP="00B84590">
      <w:pPr>
        <w:pStyle w:val="art3enivo"/>
        <w:shd w:val="clear" w:color="auto" w:fill="D9D9D9" w:themeFill="background1" w:themeFillShade="D9"/>
        <w:suppressAutoHyphens/>
      </w:pPr>
      <w:r>
        <w:t>3°.</w:t>
      </w:r>
      <w:r>
        <w:tab/>
        <w:t>de verblijftijd van de rookgassen ten minste twee seconden is, en</w:t>
      </w:r>
    </w:p>
    <w:p w:rsidR="00B84590" w:rsidRDefault="00B84590" w:rsidP="00B84590">
      <w:pPr>
        <w:pStyle w:val="art3enivo"/>
        <w:shd w:val="clear" w:color="auto" w:fill="D9D9D9" w:themeFill="background1" w:themeFillShade="D9"/>
        <w:suppressAutoHyphens/>
      </w:pPr>
      <w:r>
        <w:t>4°.</w:t>
      </w:r>
      <w:r>
        <w:tab/>
        <w:t>de emissieconcentratie van koolmonoxide niet meer dan 100 milligram per normaal kubieke meter is;</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de rookgassen alleen via de naverbrander uit de oven kunnen worden afgevoerd;</w:t>
      </w:r>
    </w:p>
    <w:p w:rsidR="00B84590" w:rsidRDefault="00B84590" w:rsidP="00B84590">
      <w:pPr>
        <w:pStyle w:val="art2enivo"/>
        <w:shd w:val="clear" w:color="auto" w:fill="D9D9D9" w:themeFill="background1" w:themeFillShade="D9"/>
        <w:suppressAutoHyphens/>
        <w:rPr>
          <w:rFonts w:cs="Arial"/>
        </w:rPr>
      </w:pPr>
      <w:r>
        <w:rPr>
          <w:rFonts w:cs="Arial"/>
        </w:rPr>
        <w:t>c.</w:t>
      </w:r>
      <w:r>
        <w:rPr>
          <w:rFonts w:cs="Arial"/>
        </w:rPr>
        <w:tab/>
        <w:t>het zuurstofpercentage in de rookgassen na de naverbrander ten minste 6% is;</w:t>
      </w:r>
    </w:p>
    <w:p w:rsidR="00B84590" w:rsidRDefault="00B84590" w:rsidP="00B84590">
      <w:pPr>
        <w:pStyle w:val="art2enivo"/>
        <w:shd w:val="clear" w:color="auto" w:fill="D9D9D9" w:themeFill="background1" w:themeFillShade="D9"/>
        <w:suppressAutoHyphens/>
        <w:rPr>
          <w:rFonts w:cs="Arial"/>
        </w:rPr>
      </w:pPr>
      <w:r>
        <w:rPr>
          <w:rFonts w:cs="Arial"/>
        </w:rPr>
        <w:t>d.</w:t>
      </w:r>
      <w:r>
        <w:rPr>
          <w:rFonts w:cs="Arial"/>
        </w:rPr>
        <w:tab/>
        <w:t xml:space="preserve">via beveiligingen is geborgd dat het schoonbranden niet kan starten indien de naverbrander niet werkt, en dat de naverbrander niet kan worden uitgeschakeld indien de oven in bedrijf is; </w:t>
      </w:r>
    </w:p>
    <w:p w:rsidR="00B84590" w:rsidRDefault="00B84590" w:rsidP="00B84590">
      <w:pPr>
        <w:pStyle w:val="art2enivo"/>
        <w:shd w:val="clear" w:color="auto" w:fill="D9D9D9" w:themeFill="background1" w:themeFillShade="D9"/>
        <w:suppressAutoHyphens/>
        <w:rPr>
          <w:rFonts w:cs="Arial"/>
        </w:rPr>
      </w:pPr>
      <w:r>
        <w:rPr>
          <w:rFonts w:cs="Arial"/>
        </w:rPr>
        <w:t>e.</w:t>
      </w:r>
      <w:r>
        <w:rPr>
          <w:rFonts w:cs="Arial"/>
        </w:rPr>
        <w:tab/>
        <w:t>de maximale belading van de oven is vastgesteld, en niet kan worden overschreden;</w:t>
      </w:r>
    </w:p>
    <w:p w:rsidR="00B84590" w:rsidRDefault="00B84590" w:rsidP="00B84590">
      <w:pPr>
        <w:pStyle w:val="art2enivo"/>
        <w:shd w:val="clear" w:color="auto" w:fill="D9D9D9" w:themeFill="background1" w:themeFillShade="D9"/>
        <w:suppressAutoHyphens/>
        <w:rPr>
          <w:rFonts w:cs="Arial"/>
        </w:rPr>
      </w:pPr>
      <w:r>
        <w:rPr>
          <w:rFonts w:cs="Arial"/>
        </w:rPr>
        <w:t>f.</w:t>
      </w:r>
      <w:r>
        <w:rPr>
          <w:rFonts w:cs="Arial"/>
        </w:rPr>
        <w:tab/>
        <w:t>de nabrandtijd van de naverbrander vast staat ingesteld op de waarde die in een controlemeting bij de maximale belading is vastgesteld en voldoende is om bij maximale belading alle dampen te verbranden;</w:t>
      </w:r>
    </w:p>
    <w:p w:rsidR="00B84590" w:rsidRDefault="00B84590" w:rsidP="00B84590">
      <w:pPr>
        <w:pStyle w:val="art2enivo"/>
        <w:shd w:val="clear" w:color="auto" w:fill="D9D9D9" w:themeFill="background1" w:themeFillShade="D9"/>
        <w:suppressAutoHyphens/>
        <w:rPr>
          <w:rFonts w:cs="Arial"/>
        </w:rPr>
      </w:pPr>
      <w:r>
        <w:rPr>
          <w:rFonts w:cs="Arial"/>
        </w:rPr>
        <w:t>g.</w:t>
      </w:r>
      <w:r>
        <w:rPr>
          <w:rFonts w:cs="Arial"/>
        </w:rPr>
        <w:tab/>
        <w:t>het temperatuurverloop van oven en naverbrander continu geregistreerd wordt;</w:t>
      </w:r>
    </w:p>
    <w:p w:rsidR="00B84590" w:rsidRDefault="00B84590" w:rsidP="00B84590">
      <w:pPr>
        <w:pStyle w:val="art2enivo"/>
        <w:shd w:val="clear" w:color="auto" w:fill="D9D9D9" w:themeFill="background1" w:themeFillShade="D9"/>
        <w:suppressAutoHyphens/>
        <w:rPr>
          <w:rFonts w:cs="Arial"/>
        </w:rPr>
      </w:pPr>
      <w:r>
        <w:rPr>
          <w:rFonts w:cs="Arial"/>
        </w:rPr>
        <w:t>h.</w:t>
      </w:r>
      <w:r>
        <w:rPr>
          <w:rFonts w:cs="Arial"/>
        </w:rPr>
        <w:tab/>
        <w:t>het zuurstofgehalte en het koolmonoxidegehalte van de rookgassen continu worden gemeten en geregistreerd, en</w:t>
      </w:r>
    </w:p>
    <w:p w:rsidR="00B84590" w:rsidRDefault="00B84590" w:rsidP="00B84590">
      <w:pPr>
        <w:pStyle w:val="art2enivo"/>
        <w:shd w:val="clear" w:color="auto" w:fill="D9D9D9" w:themeFill="background1" w:themeFillShade="D9"/>
        <w:suppressAutoHyphens/>
        <w:rPr>
          <w:rFonts w:cs="Arial"/>
        </w:rPr>
      </w:pPr>
      <w:r>
        <w:rPr>
          <w:rFonts w:cs="Arial"/>
        </w:rPr>
        <w:t>i.</w:t>
      </w:r>
      <w:r>
        <w:rPr>
          <w:rFonts w:cs="Arial"/>
        </w:rPr>
        <w:tab/>
        <w:t>de oven en de naverbrander in goede staat van onderhoud verkeren, ten minste een maal per twaalf maanden worden gecontroleerd en zo vaak als voor de goede werking nodig is, worden schoongemaakt en vervangen.</w:t>
      </w:r>
    </w:p>
    <w:p w:rsidR="00B84590" w:rsidRDefault="00B84590" w:rsidP="00B84590">
      <w:pPr>
        <w:pStyle w:val="artikelkop"/>
        <w:shd w:val="clear" w:color="auto" w:fill="D9D9D9" w:themeFill="background1" w:themeFillShade="D9"/>
      </w:pPr>
      <w:r>
        <w:t>Artikel 4.66</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Ter uitvoering van artikel 4.55, eerste lid, van het besluit, past degene die de inrichting drijft:</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bij het coaten en lijmen van metalen voorwerpen:</w:t>
      </w:r>
    </w:p>
    <w:p w:rsidR="00B84590" w:rsidRDefault="00B84590" w:rsidP="00B84590">
      <w:pPr>
        <w:pStyle w:val="art3enivo"/>
        <w:shd w:val="clear" w:color="auto" w:fill="D9D9D9" w:themeFill="background1" w:themeFillShade="D9"/>
        <w:suppressAutoHyphens/>
      </w:pPr>
      <w:r>
        <w:t>1°.</w:t>
      </w:r>
      <w:r>
        <w:tab/>
        <w:t>maatregelen ten aanzien van de bedrijfsvoering ter voorkoming van onnodige emissie van vluchtige organische stoffen;</w:t>
      </w:r>
    </w:p>
    <w:p w:rsidR="00B84590" w:rsidRDefault="00B84590" w:rsidP="00B84590">
      <w:pPr>
        <w:pStyle w:val="art3enivo"/>
        <w:shd w:val="clear" w:color="auto" w:fill="D9D9D9" w:themeFill="background1" w:themeFillShade="D9"/>
        <w:suppressAutoHyphens/>
      </w:pPr>
      <w:r>
        <w:t>2°.</w:t>
      </w:r>
      <w:r>
        <w:tab/>
        <w:t>oplosmiddelarme producten en efficiënte applicatiemethoden toe;</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bij het reinigen van metalen voorwerpen:</w:t>
      </w:r>
    </w:p>
    <w:p w:rsidR="00B84590" w:rsidRDefault="00B84590" w:rsidP="00B84590">
      <w:pPr>
        <w:pStyle w:val="art3enivo"/>
        <w:shd w:val="clear" w:color="auto" w:fill="D9D9D9" w:themeFill="background1" w:themeFillShade="D9"/>
        <w:suppressAutoHyphens/>
      </w:pPr>
      <w:r>
        <w:t>1°.</w:t>
      </w:r>
      <w:r>
        <w:tab/>
        <w:t>maatregelen ten aanzien van de bedrijfsvoering ter voorkoming van onnodige emissie van vluchtige organische stoffen; en</w:t>
      </w:r>
    </w:p>
    <w:p w:rsidR="00B84590" w:rsidRDefault="00B84590" w:rsidP="00B84590">
      <w:pPr>
        <w:pStyle w:val="art3enivo"/>
        <w:shd w:val="clear" w:color="auto" w:fill="D9D9D9" w:themeFill="background1" w:themeFillShade="D9"/>
        <w:suppressAutoHyphens/>
      </w:pPr>
      <w:r>
        <w:t>2°.</w:t>
      </w:r>
      <w:r>
        <w:tab/>
        <w:t>de volgende voorkeursvolgorde toe:</w:t>
      </w:r>
    </w:p>
    <w:p w:rsidR="00B84590" w:rsidRPr="00B84590" w:rsidRDefault="00B84590" w:rsidP="00B84590">
      <w:pPr>
        <w:pStyle w:val="art4enivo"/>
        <w:shd w:val="clear" w:color="auto" w:fill="D9D9D9" w:themeFill="background1" w:themeFillShade="D9"/>
        <w:suppressAutoHyphens/>
        <w:rPr>
          <w:lang w:val="nl-NL"/>
        </w:rPr>
      </w:pPr>
      <w:r w:rsidRPr="00B84590">
        <w:rPr>
          <w:lang w:val="nl-NL"/>
        </w:rPr>
        <w:t>i.</w:t>
      </w:r>
      <w:r w:rsidRPr="00B84590">
        <w:rPr>
          <w:lang w:val="nl-NL"/>
        </w:rPr>
        <w:tab/>
        <w:t>zoveel mogelijk droog reinigen;</w:t>
      </w:r>
    </w:p>
    <w:p w:rsidR="00B84590" w:rsidRPr="00B84590" w:rsidRDefault="00B84590" w:rsidP="00B84590">
      <w:pPr>
        <w:pStyle w:val="art4enivo"/>
        <w:shd w:val="clear" w:color="auto" w:fill="D9D9D9" w:themeFill="background1" w:themeFillShade="D9"/>
        <w:suppressAutoHyphens/>
        <w:rPr>
          <w:lang w:val="nl-NL"/>
        </w:rPr>
      </w:pPr>
      <w:r w:rsidRPr="00B84590">
        <w:rPr>
          <w:lang w:val="nl-NL"/>
        </w:rPr>
        <w:t>ii.</w:t>
      </w:r>
      <w:r w:rsidRPr="00B84590">
        <w:rPr>
          <w:lang w:val="nl-NL"/>
        </w:rPr>
        <w:tab/>
        <w:t>indien reiniging niet op een droge manier kan plaatsvinden wordt gebruik gemaakt van waterige middelen;</w:t>
      </w:r>
    </w:p>
    <w:p w:rsidR="00B84590" w:rsidRPr="00B84590" w:rsidRDefault="00B84590" w:rsidP="00B84590">
      <w:pPr>
        <w:pStyle w:val="art4enivo"/>
        <w:shd w:val="clear" w:color="auto" w:fill="D9D9D9" w:themeFill="background1" w:themeFillShade="D9"/>
        <w:suppressAutoHyphens/>
        <w:rPr>
          <w:lang w:val="nl-NL"/>
        </w:rPr>
      </w:pPr>
      <w:r w:rsidRPr="00B84590">
        <w:rPr>
          <w:lang w:val="nl-NL"/>
        </w:rPr>
        <w:t>iii.</w:t>
      </w:r>
      <w:r w:rsidRPr="00B84590">
        <w:rPr>
          <w:lang w:val="nl-NL"/>
        </w:rPr>
        <w:tab/>
        <w:t>indien reiniging met waterige middelen technisch niet uitvoerbaar is, of niet kosteneffectief is, vindt het reinigen met organische oplosmiddelen plaats in procesbaden die zijn uitgevoerd als een zogenaamd gesloten systeem. Indien gesloten systemen worden toegepast, wordt de in- en uitneemzone ten minste één minuut gesloten gehouden na beëindiging van het gebruik van de pomp- of persluchtinstallatie, ter beperking van de emissie naar de lucht;</w:t>
      </w:r>
    </w:p>
    <w:p w:rsidR="00B84590" w:rsidRPr="00B84590" w:rsidRDefault="00B84590" w:rsidP="00B84590">
      <w:pPr>
        <w:pStyle w:val="art4enivo"/>
        <w:shd w:val="clear" w:color="auto" w:fill="D9D9D9" w:themeFill="background1" w:themeFillShade="D9"/>
        <w:suppressAutoHyphens/>
        <w:rPr>
          <w:lang w:val="nl-NL"/>
        </w:rPr>
      </w:pPr>
      <w:r w:rsidRPr="00B84590">
        <w:rPr>
          <w:lang w:val="nl-NL"/>
        </w:rPr>
        <w:t>iv.</w:t>
      </w:r>
      <w:r w:rsidRPr="00B84590">
        <w:rPr>
          <w:lang w:val="nl-NL"/>
        </w:rPr>
        <w:tab/>
        <w:t>indien reiniging niet mogelijk is in een gesloten systeem, om redenen van technische uitvoerbaarheid of kosteneffectiviteit, wordt gebruik gemaakt van hoogkokende niet-gehalogeneerde oplosmiddelen.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Indien de emissiereducerende maatregelen, bedoeld in het eerste lid, niet of in onvoldoende mate zijn getroffen, kan het bevoegd gezag verzoeken om een motivering waarom de maatregelen niet zijn getroffen. Bij de motivering wordt betrokken de kosteneffectiviteit en de technische uitvoerbaarheid van de maatregelen.</w:t>
      </w:r>
    </w:p>
    <w:p w:rsidR="00B84590" w:rsidRDefault="00B84590" w:rsidP="00B84590">
      <w:pPr>
        <w:pStyle w:val="artikelkop"/>
        <w:shd w:val="clear" w:color="auto" w:fill="D9D9D9" w:themeFill="background1" w:themeFillShade="D9"/>
      </w:pPr>
      <w:r>
        <w:t>Artikel 4.67</w:t>
      </w:r>
    </w:p>
    <w:p w:rsidR="00B84590" w:rsidRPr="00B84590" w:rsidRDefault="00B84590" w:rsidP="00B84590">
      <w:pPr>
        <w:shd w:val="clear" w:color="auto" w:fill="D9D9D9" w:themeFill="background1" w:themeFillShade="D9"/>
      </w:pPr>
      <w:r>
        <w:rPr>
          <w:rFonts w:cs="Arial"/>
        </w:rPr>
        <w:t>Ten behoeve van het realiseren van een verwaarloosbaar bodemrisico vinden bij het reinigen, lijmen en coaten van metalen het verwerken van lakken, verdunners en lijmen alsmede het coaten van metalen, het chemisch ontlakken en het reinigen van metalen plaats boven een bodembeschermende voorziening.</w:t>
      </w:r>
    </w:p>
    <w:p w:rsidR="00296032" w:rsidRPr="00296032" w:rsidRDefault="00296032">
      <w:pPr>
        <w:pStyle w:val="paragraaf"/>
        <w:rPr>
          <w:rFonts w:cs="Arial"/>
        </w:rPr>
      </w:pPr>
      <w:bookmarkStart w:id="233" w:name="_Toc277243232"/>
      <w:bookmarkStart w:id="234" w:name="_Toc431375706"/>
      <w:r w:rsidRPr="00296032">
        <w:rPr>
          <w:rFonts w:cs="Arial"/>
        </w:rPr>
        <w:t>§ 4.5.6</w:t>
      </w:r>
      <w:r w:rsidRPr="00296032">
        <w:rPr>
          <w:rFonts w:cs="Arial"/>
        </w:rPr>
        <w:tab/>
        <w:t>Aanbrengen anorganische deklagen op metalen</w:t>
      </w:r>
      <w:bookmarkEnd w:id="233"/>
      <w:bookmarkEnd w:id="234"/>
    </w:p>
    <w:p w:rsidR="00296032" w:rsidRPr="00296032" w:rsidRDefault="00296032">
      <w:pPr>
        <w:pStyle w:val="artikelkop"/>
        <w:rPr>
          <w:rFonts w:cs="Arial"/>
        </w:rPr>
      </w:pPr>
      <w:r w:rsidRPr="00296032">
        <w:rPr>
          <w:rFonts w:cs="Arial"/>
        </w:rPr>
        <w:t>Artikel 4.56a</w:t>
      </w:r>
    </w:p>
    <w:p w:rsidR="00296032" w:rsidRPr="00620047" w:rsidRDefault="00296032">
      <w:pPr>
        <w:pStyle w:val="artplat"/>
      </w:pPr>
      <w:r w:rsidRPr="00620047">
        <w:t>Deze paragraaf is van toepassing op het aanbrengen van anorganische deklagen op metalen</w:t>
      </w:r>
    </w:p>
    <w:p w:rsidR="00296032" w:rsidRPr="00296032" w:rsidRDefault="00296032">
      <w:pPr>
        <w:pStyle w:val="artikelkop"/>
        <w:rPr>
          <w:rFonts w:cs="Arial"/>
        </w:rPr>
      </w:pPr>
      <w:r w:rsidRPr="00296032">
        <w:rPr>
          <w:rFonts w:cs="Arial"/>
        </w:rPr>
        <w:t>Artikel 4.57</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is verboden om in de buitenlucht anorganische deklagen op metalen aan te brengen.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op schooperen indien het niet mogelijk is om deze werkzaamheden in het inpandige deel van de inrichting uit te voeren vanwege de omvang van het te bewerken object.</w:t>
      </w:r>
    </w:p>
    <w:p w:rsidR="00296032" w:rsidRPr="00296032" w:rsidRDefault="00296032">
      <w:pPr>
        <w:pStyle w:val="artikelkop"/>
        <w:rPr>
          <w:rFonts w:cs="Arial"/>
        </w:rPr>
      </w:pPr>
      <w:r w:rsidRPr="00296032">
        <w:rPr>
          <w:rFonts w:cs="Arial"/>
        </w:rPr>
        <w:t>Artikel 4.58</w:t>
      </w:r>
    </w:p>
    <w:p w:rsidR="00296032" w:rsidRPr="00620047" w:rsidRDefault="00296032">
      <w:pPr>
        <w:rPr>
          <w:rFonts w:cs="Arial"/>
        </w:rPr>
      </w:pPr>
      <w:r w:rsidRPr="00620047">
        <w:rPr>
          <w:rFonts w:cs="Arial"/>
        </w:rPr>
        <w:t>Onverminderd artikel 2.5, eerste, vierde en vijfde lid, en artikel 2.6 is bij het aanbrengen van anorganische deklagen op metalen de emissieconcentratie van:</w:t>
      </w:r>
    </w:p>
    <w:p w:rsidR="00296032" w:rsidRPr="00620047" w:rsidRDefault="00296032">
      <w:pPr>
        <w:pStyle w:val="artplatletter"/>
        <w:rPr>
          <w:rFonts w:cs="Arial"/>
        </w:rPr>
      </w:pPr>
      <w:r w:rsidRPr="00620047">
        <w:rPr>
          <w:rFonts w:cs="Arial"/>
        </w:rPr>
        <w:t>a.</w:t>
      </w:r>
      <w:r w:rsidRPr="00620047">
        <w:rPr>
          <w:rFonts w:cs="Arial"/>
        </w:rPr>
        <w:tab/>
        <w:t>stofklasse S niet meer dan 5 milligram per normaal kubieke meter, indien de massastroom van stofklasse S naar de lucht gelijk is aan of groter is dan 200 gram per uur, en niet meer dan 50 milligram per normaal kubieke meter indien de massastroom van stofklasse S naar de lucht kleiner is dan 200 gram per uur;</w:t>
      </w:r>
    </w:p>
    <w:p w:rsidR="00296032" w:rsidRPr="00620047" w:rsidRDefault="00296032">
      <w:pPr>
        <w:pStyle w:val="artplatletter"/>
        <w:rPr>
          <w:rFonts w:cs="Arial"/>
        </w:rPr>
      </w:pPr>
      <w:r w:rsidRPr="00620047">
        <w:rPr>
          <w:rFonts w:cs="Arial"/>
        </w:rPr>
        <w:t>b.</w:t>
      </w:r>
      <w:r w:rsidRPr="00620047">
        <w:rPr>
          <w:rFonts w:cs="Arial"/>
        </w:rPr>
        <w:tab/>
        <w:t>MVP1 stoffen niet meer dan 0,05 milligram per normaal kubieke meter, indien de massastroom van de MVP1 stoffen naar de lucht groter is dan 0,15 gram per uur;</w:t>
      </w:r>
    </w:p>
    <w:p w:rsidR="00296032" w:rsidRPr="00620047" w:rsidRDefault="00296032">
      <w:pPr>
        <w:pStyle w:val="artplatletter"/>
        <w:rPr>
          <w:rFonts w:cs="Arial"/>
        </w:rPr>
      </w:pPr>
      <w:r w:rsidRPr="00620047">
        <w:rPr>
          <w:rFonts w:cs="Arial"/>
        </w:rPr>
        <w:t>c.</w:t>
      </w:r>
      <w:r w:rsidRPr="00620047">
        <w:rPr>
          <w:rFonts w:cs="Arial"/>
        </w:rPr>
        <w:tab/>
        <w:t>sA.1 stoffen niet meer dan 0,05 milligram per normaal kubieke meter, indien de massastroom van de sA.1 stoffen naar de lucht groter is dan 0,25 gram per uur;</w:t>
      </w:r>
    </w:p>
    <w:p w:rsidR="00296032" w:rsidRPr="00620047" w:rsidRDefault="00296032">
      <w:pPr>
        <w:pStyle w:val="artplatletter"/>
        <w:rPr>
          <w:rFonts w:cs="Arial"/>
        </w:rPr>
      </w:pPr>
      <w:r w:rsidRPr="00620047">
        <w:rPr>
          <w:rFonts w:cs="Arial"/>
        </w:rPr>
        <w:t>d.</w:t>
      </w:r>
      <w:r w:rsidRPr="00620047">
        <w:rPr>
          <w:rFonts w:cs="Arial"/>
        </w:rPr>
        <w:tab/>
        <w:t>sA.2 stoffen niet meer dan 0,5 milligram per normaal kubieke meter, indien de massastroom van de sA.2 stoffen naar de lucht groter is dan 2,5 gram per uur;</w:t>
      </w:r>
    </w:p>
    <w:p w:rsidR="00296032" w:rsidRPr="00620047" w:rsidRDefault="00296032">
      <w:pPr>
        <w:pStyle w:val="artplatletter"/>
        <w:rPr>
          <w:rFonts w:cs="Arial"/>
        </w:rPr>
      </w:pPr>
      <w:r w:rsidRPr="00620047">
        <w:rPr>
          <w:rFonts w:cs="Arial"/>
        </w:rPr>
        <w:t>e.</w:t>
      </w:r>
      <w:r w:rsidRPr="00620047">
        <w:rPr>
          <w:rFonts w:cs="Arial"/>
        </w:rPr>
        <w:tab/>
        <w:t>sA.3 stoffen niet meer dan 5,0 milligram per normaal kubieke meter, indien de massastroom van de sA.3 stoffen naar de lucht groter is dan 10 gram per uur;</w:t>
      </w:r>
    </w:p>
    <w:p w:rsidR="00296032" w:rsidRPr="00620047" w:rsidRDefault="00296032">
      <w:pPr>
        <w:pStyle w:val="artplatletter"/>
        <w:rPr>
          <w:rFonts w:cs="Arial"/>
        </w:rPr>
      </w:pPr>
      <w:r w:rsidRPr="00620047">
        <w:rPr>
          <w:rFonts w:cs="Arial"/>
        </w:rPr>
        <w:t>f.</w:t>
      </w:r>
      <w:r w:rsidRPr="00620047">
        <w:rPr>
          <w:rFonts w:cs="Arial"/>
        </w:rPr>
        <w:tab/>
        <w:t>sO stoffen niet meer dan 5,0 milligram per normaal kubieke meter, indien de massastroom van de sO stoffen naar de lucht gelijk is of groter is dan 100 gram per uur, en niet meer dan 50 milligram per normaal kubieke meter indien de massastroom kleiner is dan 100 gram per uur.</w:t>
      </w:r>
    </w:p>
    <w:p w:rsidR="00296032" w:rsidRPr="00296032" w:rsidRDefault="00296032">
      <w:pPr>
        <w:pStyle w:val="artikelkop"/>
        <w:rPr>
          <w:rFonts w:cs="Arial"/>
        </w:rPr>
      </w:pPr>
      <w:r w:rsidRPr="00296032">
        <w:rPr>
          <w:rFonts w:cs="Arial"/>
        </w:rPr>
        <w:t>Artikel 4.59</w:t>
      </w:r>
    </w:p>
    <w:p w:rsidR="00296032" w:rsidRPr="00620047" w:rsidRDefault="00296032">
      <w:pPr>
        <w:rPr>
          <w:rFonts w:cs="Arial"/>
        </w:rPr>
      </w:pPr>
      <w:r w:rsidRPr="00620047">
        <w:rPr>
          <w:rFonts w:cs="Arial"/>
        </w:rPr>
        <w:t>Bij het aanbrengen van anorganische deklagen van metaal worden ten behoeve van:</w:t>
      </w:r>
    </w:p>
    <w:p w:rsidR="00296032" w:rsidRPr="00620047" w:rsidRDefault="00296032">
      <w:pPr>
        <w:pStyle w:val="artplatletter"/>
        <w:rPr>
          <w:rFonts w:cs="Arial"/>
        </w:rPr>
      </w:pPr>
      <w:r w:rsidRPr="00620047">
        <w:rPr>
          <w:rFonts w:cs="Arial"/>
        </w:rPr>
        <w:t>a.</w:t>
      </w:r>
      <w:r w:rsidRPr="00620047">
        <w:rPr>
          <w:rFonts w:cs="Arial"/>
        </w:rPr>
        <w:tab/>
        <w:t>het voorkomen dan wel beperken van diffuse emissies;</w:t>
      </w:r>
    </w:p>
    <w:p w:rsidR="00296032" w:rsidRPr="00620047" w:rsidRDefault="00296032">
      <w:pPr>
        <w:pStyle w:val="artplatletter"/>
        <w:rPr>
          <w:rFonts w:cs="Arial"/>
        </w:rPr>
      </w:pPr>
      <w:r w:rsidRPr="00620047">
        <w:rPr>
          <w:rFonts w:cs="Arial"/>
        </w:rPr>
        <w:t>b.</w:t>
      </w:r>
      <w:r w:rsidRPr="00620047">
        <w:rPr>
          <w:rFonts w:cs="Arial"/>
        </w:rPr>
        <w:tab/>
        <w:t>het voorkomen dan wel beperken van stofhinder;</w:t>
      </w:r>
    </w:p>
    <w:p w:rsidR="00296032" w:rsidRPr="00620047" w:rsidRDefault="00296032">
      <w:pPr>
        <w:pStyle w:val="artplatletter"/>
        <w:rPr>
          <w:rFonts w:cs="Arial"/>
        </w:rPr>
      </w:pPr>
      <w:r w:rsidRPr="00620047">
        <w:rPr>
          <w:rFonts w:cs="Arial"/>
        </w:rPr>
        <w:t>c.</w:t>
      </w:r>
      <w:r w:rsidRPr="00620047">
        <w:rPr>
          <w:rFonts w:cs="Arial"/>
        </w:rPr>
        <w:tab/>
        <w:t>het doelmatig verspreiden van emissies naar de buitenlucht;</w:t>
      </w:r>
    </w:p>
    <w:p w:rsidR="00296032" w:rsidRPr="00620047" w:rsidRDefault="00296032">
      <w:pPr>
        <w:pStyle w:val="artplatletter"/>
        <w:rPr>
          <w:rFonts w:cs="Arial"/>
        </w:rPr>
      </w:pPr>
      <w:r w:rsidRPr="00620047">
        <w:rPr>
          <w:rFonts w:cs="Arial"/>
        </w:rPr>
        <w:t>d.</w:t>
      </w:r>
      <w:r w:rsidRPr="00620047">
        <w:rPr>
          <w:rFonts w:cs="Arial"/>
        </w:rPr>
        <w:tab/>
        <w:t>het voorkomen dan wel beperken van geurhinder;</w:t>
      </w:r>
    </w:p>
    <w:p w:rsidR="00296032" w:rsidRPr="00620047" w:rsidRDefault="00296032">
      <w:pPr>
        <w:pStyle w:val="artplatletter"/>
        <w:rPr>
          <w:rFonts w:cs="Arial"/>
        </w:rPr>
      </w:pPr>
      <w:r w:rsidRPr="00620047">
        <w:rPr>
          <w:rFonts w:cs="Arial"/>
        </w:rPr>
        <w:t>e.</w:t>
      </w:r>
      <w:r w:rsidRPr="00620047">
        <w:rPr>
          <w:rFonts w:cs="Arial"/>
        </w:rPr>
        <w:tab/>
        <w:t>het realiseren van een verwaarloosbaar bodemrisico,</w:t>
      </w:r>
    </w:p>
    <w:p w:rsidR="00296032" w:rsidRDefault="00296032">
      <w:pPr>
        <w:rPr>
          <w:rFonts w:cs="Arial"/>
        </w:rPr>
      </w:pPr>
      <w:r w:rsidRPr="00620047">
        <w:rPr>
          <w:rFonts w:cs="Arial"/>
        </w:rPr>
        <w:t>de bij ministeriële regeling te bepalen maatregelen toegepast.</w:t>
      </w:r>
    </w:p>
    <w:p w:rsidR="00B84590" w:rsidRDefault="00B84590">
      <w:pPr>
        <w:rPr>
          <w:rFonts w:cs="Arial"/>
        </w:rPr>
      </w:pPr>
    </w:p>
    <w:p w:rsidR="00B84590" w:rsidRDefault="00B84590" w:rsidP="00B84590">
      <w:pPr>
        <w:pStyle w:val="paragraaf"/>
        <w:shd w:val="clear" w:color="auto" w:fill="D9D9D9" w:themeFill="background1" w:themeFillShade="D9"/>
      </w:pPr>
      <w:bookmarkStart w:id="235" w:name="_Toc431375707"/>
      <w:r>
        <w:t>§ 4.5.6.</w:t>
      </w:r>
      <w:r>
        <w:tab/>
        <w:t>Aanbrengen anorganische deklagen op metalen</w:t>
      </w:r>
      <w:bookmarkEnd w:id="235"/>
    </w:p>
    <w:p w:rsidR="00B84590" w:rsidRDefault="00B84590" w:rsidP="00B84590">
      <w:pPr>
        <w:pStyle w:val="artikelkop"/>
        <w:shd w:val="clear" w:color="auto" w:fill="D9D9D9" w:themeFill="background1" w:themeFillShade="D9"/>
      </w:pPr>
      <w:r>
        <w:t>Artikel 4.68</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worden stof en dampen die vrijkomen bij het aanbrengen van een emailleer- en een keramieklaag op metalen,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het voorkomen dan wel zoveel mogelijk beperken van diffuse emissies, worden stof en dampen die vrijkomen bij het aanbrengen van een metaallaag op metalen door middel van vlamspuiten en thermisch spuiten,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Ten behoeve van het voorkomen dan wel zoveel mogelijk beperken van diffuse emissies, vindt het schooperen plaats in een daarvoor bestemde en ingerichte gesloten kast, cabine of ruimte waar onderdruk heerst en optimale afzuiging plaatsvindt.</w:t>
      </w:r>
    </w:p>
    <w:p w:rsidR="00B84590" w:rsidRDefault="00B84590" w:rsidP="00B84590">
      <w:pPr>
        <w:pStyle w:val="art1enivo"/>
        <w:shd w:val="clear" w:color="auto" w:fill="D9D9D9" w:themeFill="background1" w:themeFillShade="D9"/>
        <w:suppressAutoHyphens/>
        <w:rPr>
          <w:rFonts w:cs="Arial"/>
        </w:rPr>
      </w:pPr>
      <w:r>
        <w:rPr>
          <w:rFonts w:cs="Arial"/>
        </w:rPr>
        <w:t>4.</w:t>
      </w:r>
      <w:r>
        <w:rPr>
          <w:rFonts w:cs="Arial"/>
        </w:rPr>
        <w:tab/>
        <w:t>Ten behoeve van het doelmatig verspreiden van emissies naar de buitenlucht, worden emissies als bedoeld in het tweede en derde lid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B84590" w:rsidRDefault="00B84590" w:rsidP="00B84590">
      <w:pPr>
        <w:pStyle w:val="art1enivo"/>
        <w:shd w:val="clear" w:color="auto" w:fill="D9D9D9" w:themeFill="background1" w:themeFillShade="D9"/>
        <w:suppressAutoHyphens/>
        <w:rPr>
          <w:rFonts w:cs="Arial"/>
        </w:rPr>
      </w:pPr>
      <w:r>
        <w:rPr>
          <w:rFonts w:cs="Arial"/>
        </w:rPr>
        <w:t>5.</w:t>
      </w:r>
      <w:r>
        <w:rPr>
          <w:rFonts w:cs="Arial"/>
        </w:rPr>
        <w:tab/>
        <w:t>Het bevoegd gezag kan in het belang van de luchtkwaliteit  maatwerkvoorschriften stellen aan de ligging en uitvoering van het afvoerpunt van de emissies naar de buitenlucht, bedoeld in het vierde lid.</w:t>
      </w:r>
    </w:p>
    <w:p w:rsidR="00B84590" w:rsidRDefault="00B84590" w:rsidP="00B84590">
      <w:pPr>
        <w:pStyle w:val="art1enivo"/>
        <w:shd w:val="clear" w:color="auto" w:fill="D9D9D9" w:themeFill="background1" w:themeFillShade="D9"/>
        <w:suppressAutoHyphens/>
        <w:rPr>
          <w:rFonts w:cs="Arial"/>
        </w:rPr>
      </w:pPr>
      <w:r>
        <w:rPr>
          <w:rFonts w:cs="Arial"/>
        </w:rPr>
        <w:t>6.</w:t>
      </w:r>
      <w:r>
        <w:rPr>
          <w:rFonts w:cs="Arial"/>
        </w:rPr>
        <w:tab/>
        <w:t>Ten behoeve van het voorkomen dan wel tot een aanvaardbaar niveau beperken van geurhinder, worden de overeenkomstig het eerste lid afgezogen gassen en dampen, die op de buitenlucht worden geëmitteerd:</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ten minste 2 meter boven de hoogste daklijn van de binnen 25 meter van de uitmonding gelegen gebouwen afgevoerd; of</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geleid door een doelmatige ontgeuringsinstallatie.</w:t>
      </w:r>
    </w:p>
    <w:p w:rsidR="00B84590" w:rsidRDefault="00B84590" w:rsidP="00B84590">
      <w:pPr>
        <w:pStyle w:val="art1enivo"/>
        <w:shd w:val="clear" w:color="auto" w:fill="D9D9D9" w:themeFill="background1" w:themeFillShade="D9"/>
        <w:suppressAutoHyphens/>
        <w:rPr>
          <w:rFonts w:cs="Arial"/>
        </w:rPr>
      </w:pPr>
      <w:r>
        <w:rPr>
          <w:rFonts w:cs="Arial"/>
        </w:rPr>
        <w:t>7.</w:t>
      </w:r>
      <w:r>
        <w:rPr>
          <w:rFonts w:cs="Arial"/>
        </w:rPr>
        <w:tab/>
        <w:t>Het zesde lid is niet van toepassing indien het mogelijke effect van de geuremissie van de uittredende lucht van een afzuiginstallatie beperkt blijft tot een gezoneerd industrieterrein of een bedrijventerrein met minder dan één gevoelig gebouw per hectare.</w:t>
      </w:r>
    </w:p>
    <w:p w:rsidR="00B84590" w:rsidRDefault="00B84590" w:rsidP="00B84590">
      <w:pPr>
        <w:pStyle w:val="art1enivo"/>
        <w:shd w:val="clear" w:color="auto" w:fill="D9D9D9" w:themeFill="background1" w:themeFillShade="D9"/>
        <w:suppressAutoHyphens/>
        <w:rPr>
          <w:rFonts w:cs="Arial"/>
        </w:rPr>
      </w:pPr>
      <w:r>
        <w:rPr>
          <w:rFonts w:cs="Arial"/>
        </w:rPr>
        <w:t>8.</w:t>
      </w:r>
      <w:r>
        <w:rPr>
          <w:rFonts w:cs="Arial"/>
        </w:rPr>
        <w:tab/>
        <w:t>Het bevoegd gezag kan indien blijkt dat de geurhinder een aanvaardbaar niveau overschrijdt vanwege slecht functioneren van de ontgeuringsinstallatie, vanwege onvoldoende verspreiding van afgezogen dampen, vanwege geuremissies die niet via de afzuiging worden afgevoerd of vanwege incidentele geurpieken in aanvulling op het vijfde lid overeenkomstig artikel 2.7a, derde lid, van het besluit maatwerkvoorschriften stellen met betrekking tot:</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de uitvoering en het onderhoud van een ontgeuringsinstallatie als bedoeld in het zesde lid;</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de situering van de afvoerpijp;</w:t>
      </w:r>
    </w:p>
    <w:p w:rsidR="00B84590" w:rsidRDefault="00B84590" w:rsidP="00B84590">
      <w:pPr>
        <w:pStyle w:val="art2enivo"/>
        <w:shd w:val="clear" w:color="auto" w:fill="D9D9D9" w:themeFill="background1" w:themeFillShade="D9"/>
        <w:suppressAutoHyphens/>
        <w:rPr>
          <w:rFonts w:cs="Arial"/>
        </w:rPr>
      </w:pPr>
      <w:r>
        <w:rPr>
          <w:rFonts w:cs="Arial"/>
        </w:rPr>
        <w:t>c.</w:t>
      </w:r>
      <w:r>
        <w:rPr>
          <w:rFonts w:cs="Arial"/>
        </w:rPr>
        <w:tab/>
        <w:t>het voorkomen of beperken van diffuse geuremissies; of</w:t>
      </w:r>
    </w:p>
    <w:p w:rsidR="00B84590" w:rsidRDefault="00B84590" w:rsidP="00B84590">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B84590" w:rsidRDefault="00B84590" w:rsidP="00B84590">
      <w:pPr>
        <w:pStyle w:val="art1enivo"/>
        <w:shd w:val="clear" w:color="auto" w:fill="D9D9D9" w:themeFill="background1" w:themeFillShade="D9"/>
        <w:suppressAutoHyphens/>
        <w:rPr>
          <w:rFonts w:cs="Arial"/>
        </w:rPr>
      </w:pPr>
      <w:r>
        <w:rPr>
          <w:rFonts w:cs="Arial"/>
        </w:rPr>
        <w:t>9.</w:t>
      </w:r>
      <w:r>
        <w:rPr>
          <w:rFonts w:cs="Arial"/>
        </w:rPr>
        <w:tab/>
        <w:t>In afwijking van het zesde lid kan het bevoegd gezag indien blijkt dat de geurhinder een aanvaardbaar niveau overschrijdt en de bevoegdheden genoemd in het achtste lid onvoldoende zijn om de overschrijding ongedaan te maken overeenkomstig artikel 2.7a, derde lid, van het besluit maatwerkvoorschriften stellen met betrekking tot de aanwezigheid van een ontgeuringsinstallatie of een grotere afvoerhoogte van de afgezogen dampen en gassen.</w:t>
      </w:r>
    </w:p>
    <w:p w:rsidR="00B84590" w:rsidRDefault="00B84590" w:rsidP="00B84590">
      <w:pPr>
        <w:pStyle w:val="art1enivo"/>
        <w:shd w:val="clear" w:color="auto" w:fill="D9D9D9" w:themeFill="background1" w:themeFillShade="D9"/>
        <w:suppressAutoHyphens/>
        <w:rPr>
          <w:rFonts w:cs="Arial"/>
        </w:rPr>
      </w:pPr>
      <w:r>
        <w:rPr>
          <w:rFonts w:cs="Arial"/>
        </w:rPr>
        <w:t>10.</w:t>
      </w:r>
      <w:r>
        <w:rPr>
          <w:rFonts w:cs="Arial"/>
        </w:rPr>
        <w:tab/>
        <w:t>Indien vanwege de omvang van het te bewerken object, als bedoeld in artikel 4.57, tweede lid, van het besluit, het schooperen in de buitenlucht plaatsvindt worden emissies van stof die vrijkomen bij het schooperen van metalen in de buitenlucht, voorkomen, dan wel beperkt door het aanbrengen van doelmatige geheel gesloten omkappingen om het te behandelen werkstuk. Een omkapping bestaat uit doek, zeil of een ander stofdicht materiaal.</w:t>
      </w:r>
    </w:p>
    <w:p w:rsidR="00B84590" w:rsidRDefault="00B84590" w:rsidP="00B84590">
      <w:pPr>
        <w:pStyle w:val="art1enivo"/>
        <w:shd w:val="clear" w:color="auto" w:fill="D9D9D9" w:themeFill="background1" w:themeFillShade="D9"/>
        <w:suppressAutoHyphens/>
        <w:rPr>
          <w:rFonts w:cs="Arial"/>
        </w:rPr>
      </w:pPr>
      <w:r>
        <w:rPr>
          <w:rFonts w:cs="Arial"/>
        </w:rPr>
        <w:t>11.</w:t>
      </w:r>
      <w:r>
        <w:rPr>
          <w:rFonts w:cs="Arial"/>
        </w:rPr>
        <w:tab/>
        <w:t>Ten behoeve van het zoveel mogelijk voorkomen, dan wel tot een aanvaardbaar niveau beperken van stofhinder vanwege het in de buitenlucht schooperen van metalen kan het bevoegd gezag maatwerkvoorschriften stellen, ter uitwerking van het tiende lid.</w:t>
      </w:r>
    </w:p>
    <w:p w:rsidR="00B84590" w:rsidRDefault="00B84590" w:rsidP="00B84590">
      <w:pPr>
        <w:pStyle w:val="art1enivo"/>
        <w:shd w:val="clear" w:color="auto" w:fill="D9D9D9" w:themeFill="background1" w:themeFillShade="D9"/>
      </w:pPr>
      <w:r>
        <w:t xml:space="preserve">12. 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vierde lid niet van toepassing voor zover er geen verandering van de inrichting plaatsvindt waarvoor een melding krachtens artikel 1.10 van het besluit nodig is en voor zover de emissies als bedoeld in het vierde lid niet toenemen en de wijze van afvoer van die emissies naar de buitenlucht niet verandert. </w:t>
      </w:r>
    </w:p>
    <w:p w:rsidR="00B84590" w:rsidRDefault="00B84590" w:rsidP="00B84590">
      <w:pPr>
        <w:pStyle w:val="art1enivo"/>
        <w:shd w:val="clear" w:color="auto" w:fill="D9D9D9" w:themeFill="background1" w:themeFillShade="D9"/>
      </w:pPr>
      <w:r>
        <w:t>13.</w:t>
      </w:r>
      <w:r>
        <w:tab/>
        <w:t xml:space="preserve">In afwijking van het twaalfde lid kan het bevoegd gezag maatwerkvoorschriften als bedoeld in het vijfde lid stellen. </w:t>
      </w:r>
    </w:p>
    <w:p w:rsidR="00B84590" w:rsidRDefault="00B84590" w:rsidP="00B84590">
      <w:pPr>
        <w:pStyle w:val="art1enivo"/>
        <w:shd w:val="clear" w:color="auto" w:fill="D9D9D9" w:themeFill="background1" w:themeFillShade="D9"/>
      </w:pPr>
      <w:r>
        <w:t>14.</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zesde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B84590" w:rsidRDefault="00B84590" w:rsidP="00B84590">
      <w:pPr>
        <w:pStyle w:val="art1enivo"/>
        <w:shd w:val="clear" w:color="auto" w:fill="D9D9D9" w:themeFill="background1" w:themeFillShade="D9"/>
      </w:pPr>
      <w:r>
        <w:t>15.</w:t>
      </w:r>
      <w:r>
        <w:tab/>
        <w:t>In afwijking van het veertiende lid kan het bevoegd gezag maatwerkvoorschriften als bedoeld in het achtste en negende lid stellen.</w:t>
      </w:r>
    </w:p>
    <w:p w:rsidR="00B84590" w:rsidRDefault="00B84590" w:rsidP="00B84590">
      <w:pPr>
        <w:pStyle w:val="artikelkop"/>
        <w:shd w:val="clear" w:color="auto" w:fill="D9D9D9" w:themeFill="background1" w:themeFillShade="D9"/>
      </w:pPr>
      <w:r>
        <w:t>Artikel 4.69</w:t>
      </w:r>
    </w:p>
    <w:p w:rsidR="00B84590" w:rsidRDefault="00B84590" w:rsidP="00B84590">
      <w:pPr>
        <w:pStyle w:val="artplat"/>
        <w:shd w:val="clear" w:color="auto" w:fill="D9D9D9" w:themeFill="background1" w:themeFillShade="D9"/>
        <w:suppressAutoHyphens/>
        <w:rPr>
          <w:rFonts w:cs="Arial"/>
        </w:rPr>
      </w:pPr>
      <w:r>
        <w:rPr>
          <w:rFonts w:cs="Arial"/>
        </w:rPr>
        <w:t>Aan artikel 4.58 van het besluit wordt in ieder geval voldaan indien:</w:t>
      </w:r>
    </w:p>
    <w:p w:rsidR="00B84590" w:rsidRDefault="00B84590" w:rsidP="00B84590">
      <w:pPr>
        <w:pStyle w:val="artplatletter"/>
        <w:shd w:val="clear" w:color="auto" w:fill="D9D9D9" w:themeFill="background1" w:themeFillShade="D9"/>
        <w:suppressAutoHyphens/>
        <w:rPr>
          <w:rFonts w:cs="Arial"/>
        </w:rPr>
      </w:pPr>
      <w:r>
        <w:rPr>
          <w:rFonts w:cs="Arial"/>
        </w:rPr>
        <w:t>a.</w:t>
      </w:r>
      <w:r>
        <w:rPr>
          <w:rFonts w:cs="Arial"/>
        </w:rPr>
        <w:tab/>
        <w:t>de afgezogen stofemissies die vrijkomen bij het aanbrengen van anorganische deklagen op metalen worden gevoerd door een filtrerende afscheider of elektrostatische filterinstallatie, die geschikt is om aan artikel 4.58 van het besluit te voldoen; en</w:t>
      </w:r>
    </w:p>
    <w:p w:rsidR="00B84590" w:rsidRDefault="00B84590" w:rsidP="00B84590">
      <w:pPr>
        <w:pStyle w:val="artplatletter"/>
        <w:shd w:val="clear" w:color="auto" w:fill="D9D9D9" w:themeFill="background1" w:themeFillShade="D9"/>
        <w:suppressAutoHyphens/>
        <w:rPr>
          <w:rFonts w:cs="Arial"/>
        </w:rPr>
      </w:pPr>
      <w:r>
        <w:rPr>
          <w:rFonts w:cs="Arial"/>
        </w:rPr>
        <w:t>b.</w:t>
      </w:r>
      <w:r>
        <w:rPr>
          <w:rFonts w:cs="Arial"/>
        </w:rPr>
        <w:tab/>
        <w:t>die filtrerende afscheider of elektrostatische filterinstallatie in goede staat van onderhoud verkeert, periodiek gecontroleerd wordt en zo vaak als voor de goede werking nodig is, wordt schoongemaakt en vervangen.</w:t>
      </w:r>
    </w:p>
    <w:p w:rsidR="00B84590" w:rsidRDefault="00B84590" w:rsidP="00B84590">
      <w:pPr>
        <w:pStyle w:val="artikelkop"/>
        <w:shd w:val="clear" w:color="auto" w:fill="D9D9D9" w:themeFill="background1" w:themeFillShade="D9"/>
      </w:pPr>
      <w:r>
        <w:t>Artikel 4.70</w:t>
      </w:r>
    </w:p>
    <w:p w:rsidR="00B84590" w:rsidRPr="00B84590" w:rsidRDefault="00B84590" w:rsidP="00B84590">
      <w:pPr>
        <w:shd w:val="clear" w:color="auto" w:fill="D9D9D9" w:themeFill="background1" w:themeFillShade="D9"/>
      </w:pPr>
      <w:r>
        <w:rPr>
          <w:rFonts w:cs="Arial"/>
        </w:rPr>
        <w:t>Ten behoeve van het realiseren van een verwaarloosbaar bodemrisico vindt het aanbrengen van anorganische deklagen op metalen plaats boven een bodembeschermende voorziening.</w:t>
      </w:r>
    </w:p>
    <w:p w:rsidR="00296032" w:rsidRPr="00296032" w:rsidRDefault="00296032">
      <w:pPr>
        <w:pStyle w:val="paragraaf"/>
        <w:rPr>
          <w:rFonts w:cs="Arial"/>
        </w:rPr>
      </w:pPr>
      <w:bookmarkStart w:id="236" w:name="_Toc277243233"/>
      <w:bookmarkStart w:id="237" w:name="_Toc431375708"/>
      <w:r w:rsidRPr="00296032">
        <w:rPr>
          <w:rFonts w:cs="Arial"/>
        </w:rPr>
        <w:t>§ 4.5.7</w:t>
      </w:r>
      <w:r w:rsidRPr="00296032">
        <w:rPr>
          <w:rFonts w:cs="Arial"/>
        </w:rPr>
        <w:tab/>
        <w:t>Beitsen of etsen van metalen</w:t>
      </w:r>
      <w:bookmarkEnd w:id="236"/>
      <w:bookmarkEnd w:id="237"/>
    </w:p>
    <w:p w:rsidR="00296032" w:rsidRPr="00296032" w:rsidRDefault="00296032">
      <w:pPr>
        <w:pStyle w:val="artikelkop"/>
        <w:rPr>
          <w:rFonts w:cs="Arial"/>
        </w:rPr>
      </w:pPr>
      <w:r w:rsidRPr="00296032">
        <w:rPr>
          <w:rFonts w:cs="Arial"/>
        </w:rPr>
        <w:t>Artikel 4.59a</w:t>
      </w:r>
    </w:p>
    <w:p w:rsidR="00296032" w:rsidRPr="00620047" w:rsidRDefault="00296032">
      <w:pPr>
        <w:pStyle w:val="artplat"/>
      </w:pPr>
      <w:r w:rsidRPr="00620047">
        <w:t>Deze paragraaf is van toepassing op het beitsen of etsen van metalen</w:t>
      </w:r>
    </w:p>
    <w:p w:rsidR="00296032" w:rsidRPr="00296032" w:rsidRDefault="00296032">
      <w:pPr>
        <w:pStyle w:val="artikelkop"/>
        <w:rPr>
          <w:rFonts w:cs="Arial"/>
        </w:rPr>
      </w:pPr>
      <w:r w:rsidRPr="00296032">
        <w:rPr>
          <w:rFonts w:cs="Arial"/>
        </w:rPr>
        <w:t>Artikel 4.60</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het beitsen of etsen van metalen of metalen voorwerpen de emissieconcentratie van:</w:t>
      </w:r>
    </w:p>
    <w:p w:rsidR="00296032" w:rsidRPr="00620047" w:rsidRDefault="00296032">
      <w:pPr>
        <w:pStyle w:val="art2enivo"/>
        <w:rPr>
          <w:rFonts w:cs="Arial"/>
        </w:rPr>
      </w:pPr>
      <w:r w:rsidRPr="00620047">
        <w:rPr>
          <w:rFonts w:cs="Arial"/>
        </w:rPr>
        <w:t>a.</w:t>
      </w:r>
      <w:r w:rsidRPr="00620047">
        <w:rPr>
          <w:rFonts w:cs="Arial"/>
        </w:rPr>
        <w:tab/>
        <w:t>waterstoffluoride niet meer dan 3 milligram per normaal kubieke meter indien de massastroom van waterstoffluoride naar de lucht groter is dan 15 gram per uur;</w:t>
      </w:r>
    </w:p>
    <w:p w:rsidR="00296032" w:rsidRPr="00620047" w:rsidRDefault="00296032">
      <w:pPr>
        <w:pStyle w:val="art2enivo"/>
        <w:rPr>
          <w:rFonts w:cs="Arial"/>
        </w:rPr>
      </w:pPr>
      <w:r w:rsidRPr="00620047">
        <w:rPr>
          <w:rFonts w:cs="Arial"/>
        </w:rPr>
        <w:t>b.</w:t>
      </w:r>
      <w:r w:rsidRPr="00620047">
        <w:rPr>
          <w:rFonts w:cs="Arial"/>
        </w:rPr>
        <w:tab/>
        <w:t>zoutzuur niet meer dan 10 milligram per normaal kubieke meter indien de massastroom van zoutzuur naar de lucht groter is dan 150 gram per uur, tenzij de concentratie aan zoutzuur in de ongereinigde massastroom kleiner is dan 1 gram per normaal kubieke meter in welk geval de emissieconcentratie van zoutzuur niet meer is dan 30 milligram per normaal kubieke meter;</w:t>
      </w:r>
    </w:p>
    <w:p w:rsidR="00296032" w:rsidRPr="00620047" w:rsidRDefault="00296032">
      <w:pPr>
        <w:pStyle w:val="art2enivo"/>
        <w:rPr>
          <w:rFonts w:cs="Arial"/>
        </w:rPr>
      </w:pPr>
      <w:r w:rsidRPr="00620047">
        <w:rPr>
          <w:rFonts w:cs="Arial"/>
        </w:rPr>
        <w:t>c.</w:t>
      </w:r>
      <w:r w:rsidRPr="00620047">
        <w:rPr>
          <w:rFonts w:cs="Arial"/>
        </w:rPr>
        <w:tab/>
        <w:t>salpeterzuur niet meer dan 30 milligram per normaal kubieke meter indien de massastroom van salpeterzuur groter is dan 150 gram per uur;</w:t>
      </w:r>
    </w:p>
    <w:p w:rsidR="00296032" w:rsidRPr="00620047" w:rsidRDefault="00296032">
      <w:pPr>
        <w:pStyle w:val="art2enivo"/>
        <w:rPr>
          <w:rFonts w:cs="Arial"/>
        </w:rPr>
      </w:pPr>
      <w:r w:rsidRPr="00620047">
        <w:rPr>
          <w:rFonts w:cs="Arial"/>
        </w:rPr>
        <w:t>d.</w:t>
      </w:r>
      <w:r w:rsidRPr="00620047">
        <w:rPr>
          <w:rFonts w:cs="Arial"/>
        </w:rPr>
        <w:tab/>
        <w:t>zwavelzuur niet meer dan 3 milligram per normaal kubieke meter indien de massastroom van zwavelzuur groter is dan 15 gram per uur;</w:t>
      </w:r>
    </w:p>
    <w:p w:rsidR="00296032" w:rsidRPr="00620047" w:rsidRDefault="00296032">
      <w:pPr>
        <w:pStyle w:val="art2enivo"/>
        <w:rPr>
          <w:rFonts w:cs="Arial"/>
        </w:rPr>
      </w:pPr>
      <w:r w:rsidRPr="00620047">
        <w:rPr>
          <w:rFonts w:cs="Arial"/>
        </w:rPr>
        <w:t>e.</w:t>
      </w:r>
      <w:r w:rsidRPr="00620047">
        <w:rPr>
          <w:rFonts w:cs="Arial"/>
        </w:rPr>
        <w:tab/>
        <w:t>azijnzuur niet meer dan 50 milligram per normaal kubieke meter indien de massastroom van azijnzuur groter is dan 500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het beitsen of etsen van metalen worden ten behoeve van het voorkomen dan wel beperken van diffuse emissies en het doelmatig verspreiden van emissies naar de buitenlucht, de bij ministeriële regeling te bepalen maatregelen toegepast.</w:t>
      </w:r>
    </w:p>
    <w:p w:rsidR="00296032" w:rsidRPr="00296032" w:rsidRDefault="00296032">
      <w:pPr>
        <w:pStyle w:val="artikelkop"/>
        <w:rPr>
          <w:rFonts w:cs="Arial"/>
        </w:rPr>
      </w:pPr>
      <w:r w:rsidRPr="00296032">
        <w:rPr>
          <w:rFonts w:cs="Arial"/>
        </w:rPr>
        <w:t>Artikel 4.61</w:t>
      </w:r>
    </w:p>
    <w:p w:rsidR="00296032" w:rsidRDefault="00296032">
      <w:pPr>
        <w:rPr>
          <w:rFonts w:cs="Arial"/>
        </w:rPr>
      </w:pPr>
      <w:r w:rsidRPr="00620047">
        <w:rPr>
          <w:rFonts w:cs="Arial"/>
        </w:rPr>
        <w:t>Bij het beitsen of etsen van metalen wordt ten behoeve van het realiseren van een verwaarloosbaar bodemrisico, voldaan aan de bij ministeriële regeling te stellen eisen.</w:t>
      </w:r>
    </w:p>
    <w:p w:rsidR="00B84590" w:rsidRDefault="00B84590">
      <w:pPr>
        <w:rPr>
          <w:rFonts w:cs="Arial"/>
        </w:rPr>
      </w:pPr>
    </w:p>
    <w:p w:rsidR="00B84590" w:rsidRDefault="00B84590" w:rsidP="00B84590">
      <w:pPr>
        <w:pStyle w:val="paragraaf"/>
        <w:shd w:val="clear" w:color="auto" w:fill="D9D9D9" w:themeFill="background1" w:themeFillShade="D9"/>
      </w:pPr>
      <w:bookmarkStart w:id="238" w:name="_Toc431375709"/>
      <w:r>
        <w:t>§ 4.5.7.</w:t>
      </w:r>
      <w:r>
        <w:tab/>
        <w:t>Beitsen of etsen van metalen</w:t>
      </w:r>
      <w:bookmarkEnd w:id="238"/>
    </w:p>
    <w:p w:rsidR="00B84590" w:rsidRDefault="00B84590" w:rsidP="00B84590">
      <w:pPr>
        <w:pStyle w:val="artikelkop"/>
        <w:shd w:val="clear" w:color="auto" w:fill="D9D9D9" w:themeFill="background1" w:themeFillShade="D9"/>
      </w:pPr>
      <w:r>
        <w:t>Artikel 4.71</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worden dampen die vrijkomen bij het elektrolytisch of stroomloos beitsen en etsen van metalen, voor zover dat redelijkerwijs mogelijk is,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gassen en dampen, vanwege het beitsen en etsen van metalen,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maatwerkvoorschriften stellen aan de ligging en uitvoering van het afvoerpunt van de emissies naar de buitenlucht, bedoeld in het tweede lid.</w:t>
      </w:r>
    </w:p>
    <w:p w:rsidR="00B84590" w:rsidRDefault="00B84590" w:rsidP="00B84590">
      <w:pPr>
        <w:pStyle w:val="art1enivo"/>
        <w:shd w:val="clear" w:color="auto" w:fill="D9D9D9" w:themeFill="background1" w:themeFillShade="D9"/>
      </w:pPr>
      <w:r>
        <w:t>4.</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B84590" w:rsidRDefault="00B84590" w:rsidP="00B84590">
      <w:pPr>
        <w:pStyle w:val="art1enivo"/>
        <w:shd w:val="clear" w:color="auto" w:fill="D9D9D9" w:themeFill="background1" w:themeFillShade="D9"/>
      </w:pPr>
      <w:r>
        <w:t>5.</w:t>
      </w:r>
      <w:r>
        <w:tab/>
        <w:t>In afwijking van het vierde lid kan het bevoegd gezag maatwerkvoorschriften als bedoeld in het derde lid stellen.</w:t>
      </w:r>
    </w:p>
    <w:p w:rsidR="00B84590" w:rsidRDefault="00B84590" w:rsidP="00B84590">
      <w:pPr>
        <w:pStyle w:val="artikelkop"/>
        <w:shd w:val="clear" w:color="auto" w:fill="D9D9D9" w:themeFill="background1" w:themeFillShade="D9"/>
      </w:pPr>
      <w:r>
        <w:t>Artikel 4.72</w:t>
      </w:r>
    </w:p>
    <w:p w:rsidR="00B84590" w:rsidRDefault="00B84590" w:rsidP="00B84590">
      <w:pPr>
        <w:pStyle w:val="artplat"/>
        <w:shd w:val="clear" w:color="auto" w:fill="D9D9D9" w:themeFill="background1" w:themeFillShade="D9"/>
        <w:suppressAutoHyphens/>
        <w:rPr>
          <w:rFonts w:cs="Arial"/>
        </w:rPr>
      </w:pPr>
      <w:r>
        <w:rPr>
          <w:rFonts w:cs="Arial"/>
        </w:rPr>
        <w:t>Aan artikel 4.60, eerste lid, van het besluit wordt in ieder geval voldaan indien:</w:t>
      </w:r>
    </w:p>
    <w:p w:rsidR="00B84590" w:rsidRDefault="00B84590" w:rsidP="00B84590">
      <w:pPr>
        <w:pStyle w:val="artplatletter"/>
        <w:shd w:val="clear" w:color="auto" w:fill="D9D9D9" w:themeFill="background1" w:themeFillShade="D9"/>
        <w:suppressAutoHyphens/>
        <w:rPr>
          <w:rFonts w:cs="Arial"/>
        </w:rPr>
      </w:pPr>
      <w:r>
        <w:rPr>
          <w:rFonts w:cs="Arial"/>
        </w:rPr>
        <w:t>a.</w:t>
      </w:r>
      <w:r>
        <w:rPr>
          <w:rFonts w:cs="Arial"/>
        </w:rPr>
        <w:tab/>
        <w:t xml:space="preserve">de totale oppervlakte van de aanwezige beits- en etsbaden met eenzelfde werkzame badvloeistof minder bedraagt dan 3 vierkante meter, de temperatuur van de baden niet hoger is dan 50 graden Celsius en er geen agitatie van de vloeistof in de baden plaatsvindt; of </w:t>
      </w:r>
    </w:p>
    <w:p w:rsidR="00B84590" w:rsidRDefault="00B84590" w:rsidP="00B84590">
      <w:pPr>
        <w:pStyle w:val="artplatletter"/>
        <w:shd w:val="clear" w:color="auto" w:fill="D9D9D9" w:themeFill="background1" w:themeFillShade="D9"/>
        <w:suppressAutoHyphens/>
        <w:rPr>
          <w:rFonts w:cs="Arial"/>
        </w:rPr>
      </w:pPr>
      <w:r>
        <w:rPr>
          <w:rFonts w:cs="Arial"/>
        </w:rPr>
        <w:t>b.</w:t>
      </w:r>
      <w:r>
        <w:rPr>
          <w:rFonts w:cs="Arial"/>
        </w:rPr>
        <w:tab/>
        <w:t>de afgezogen emissies die vrijkomen bij het elektrolytisch of stroomloos beitsen en etsen van metalen worden gevoerd door een gaswasser of aërosol- of mistfilter die geschikt is om aan artikel 4.60, eerste lid, van het besluit te voldoen; en die gaswasser of aërosol- of mistfilter in goede staat van onderhoud verkeert, periodiek gecontroleerd wordt en zo vaak als voor de goede werking nodig is wordt schoongemaakt.</w:t>
      </w:r>
    </w:p>
    <w:p w:rsidR="00B84590" w:rsidRDefault="00B84590" w:rsidP="00B84590">
      <w:pPr>
        <w:pStyle w:val="artikelkop"/>
        <w:shd w:val="clear" w:color="auto" w:fill="D9D9D9" w:themeFill="background1" w:themeFillShade="D9"/>
      </w:pPr>
      <w:r>
        <w:t>Artikel 4.73</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vindt het beitsen en etsen van metalen plaats boven een lekbak of een vloeistofdichte vloer of verharding.</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De activiteit bedoeld in het eerste lid kan ook boven een andere bodembeschermende voorziening worden uitgevoerd indien deze activiteit wordt uitgevoerd als een gesloten proces.</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Indien het beitsen of etsen van metalen plaatsvindt met behulp van een dompelbad dan is dat dompelbad opgesteld boven een lekbak of een vloeistofdichte vloer of verharding, die zich ten minste uitstrekt tot de oppervlakte van het dompelbad en het daarbij behorende uitlekgebied. Onder dit uitlekgebied wordt niet begrepen het gebied waar het metaalproduct wordt geplaatst nadat dit is afgespoeld met water of is gespoeld in een bad met water.</w:t>
      </w:r>
    </w:p>
    <w:p w:rsidR="00B84590" w:rsidRPr="00620047" w:rsidRDefault="00B84590" w:rsidP="00B84590">
      <w:pPr>
        <w:pStyle w:val="art1enivo"/>
        <w:shd w:val="clear" w:color="auto" w:fill="D9D9D9" w:themeFill="background1" w:themeFillShade="D9"/>
        <w:suppressAutoHyphens/>
        <w:rPr>
          <w:rFonts w:cs="Arial"/>
        </w:rPr>
      </w:pPr>
      <w:r>
        <w:rPr>
          <w:rFonts w:cs="Arial"/>
        </w:rPr>
        <w:t>4.</w:t>
      </w:r>
      <w:r>
        <w:rPr>
          <w:rFonts w:cs="Arial"/>
        </w:rPr>
        <w:tab/>
        <w:t>Een dompelbad dat zich automatisch vult is voorzien van een doelmatige overvulbeveiliging of overloopbeveiliging.</w:t>
      </w:r>
    </w:p>
    <w:p w:rsidR="00296032" w:rsidRPr="00296032" w:rsidRDefault="00296032">
      <w:pPr>
        <w:pStyle w:val="paragraaf"/>
        <w:rPr>
          <w:rFonts w:cs="Arial"/>
        </w:rPr>
      </w:pPr>
      <w:bookmarkStart w:id="239" w:name="_Toc277243234"/>
      <w:bookmarkStart w:id="240" w:name="_Toc431375710"/>
      <w:r w:rsidRPr="00296032">
        <w:rPr>
          <w:rFonts w:cs="Arial"/>
        </w:rPr>
        <w:t>§ 4.5.8</w:t>
      </w:r>
      <w:r w:rsidRPr="00296032">
        <w:rPr>
          <w:rFonts w:cs="Arial"/>
        </w:rPr>
        <w:tab/>
        <w:t>Elektrolytisch of stroomloos aanbrengen van metaallagen op metalen</w:t>
      </w:r>
      <w:bookmarkEnd w:id="239"/>
      <w:bookmarkEnd w:id="240"/>
    </w:p>
    <w:p w:rsidR="00296032" w:rsidRPr="00296032" w:rsidRDefault="00296032">
      <w:pPr>
        <w:pStyle w:val="artikelkop"/>
        <w:rPr>
          <w:rFonts w:cs="Arial"/>
        </w:rPr>
      </w:pPr>
      <w:r w:rsidRPr="00296032">
        <w:rPr>
          <w:rFonts w:cs="Arial"/>
        </w:rPr>
        <w:t>Artikel 4.61a</w:t>
      </w:r>
    </w:p>
    <w:p w:rsidR="00296032" w:rsidRPr="00620047" w:rsidRDefault="00296032">
      <w:pPr>
        <w:pStyle w:val="artplat"/>
      </w:pPr>
      <w:r w:rsidRPr="00620047">
        <w:t>Deze paragraaf is van toepassing op het elektrolytisch of stroomloos aanbrengen van metaallagen op metalen.</w:t>
      </w:r>
    </w:p>
    <w:p w:rsidR="00296032" w:rsidRPr="00296032" w:rsidRDefault="00296032">
      <w:pPr>
        <w:pStyle w:val="artikelkop"/>
        <w:rPr>
          <w:rFonts w:cs="Arial"/>
        </w:rPr>
      </w:pPr>
      <w:r w:rsidRPr="00296032">
        <w:rPr>
          <w:rFonts w:cs="Arial"/>
        </w:rPr>
        <w:t>Artikel 4.62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het elektrolytisch of stroomloos aanbrengen van chroom en cadmiumlagen de emissieconcentratie van:</w:t>
      </w:r>
    </w:p>
    <w:p w:rsidR="00296032" w:rsidRPr="00620047" w:rsidRDefault="00296032">
      <w:pPr>
        <w:pStyle w:val="art2enivo"/>
        <w:rPr>
          <w:rFonts w:cs="Arial"/>
        </w:rPr>
      </w:pPr>
      <w:r w:rsidRPr="00620047">
        <w:rPr>
          <w:rFonts w:cs="Arial"/>
        </w:rPr>
        <w:t>a.</w:t>
      </w:r>
      <w:r w:rsidRPr="00620047">
        <w:rPr>
          <w:rFonts w:cs="Arial"/>
        </w:rPr>
        <w:tab/>
        <w:t>chroom VI-verbindingen, berekend als chroom, niet meer dan 0,1 milligram per normaal kubieke meter indien de massastroom van chroom VI-verbindingen naar de lucht, berekend als chroom, groter is dan 0,5 gram per uur;</w:t>
      </w:r>
    </w:p>
    <w:p w:rsidR="00296032" w:rsidRPr="00620047" w:rsidRDefault="00296032">
      <w:pPr>
        <w:pStyle w:val="art2enivo"/>
        <w:rPr>
          <w:rFonts w:cs="Arial"/>
        </w:rPr>
      </w:pPr>
      <w:r w:rsidRPr="00620047">
        <w:rPr>
          <w:rFonts w:cs="Arial"/>
        </w:rPr>
        <w:t>b.</w:t>
      </w:r>
      <w:r w:rsidRPr="00620047">
        <w:rPr>
          <w:rFonts w:cs="Arial"/>
        </w:rPr>
        <w:tab/>
        <w:t>cadmium en cadmiumverbindingen niet meer dan 0,05 milligram per normaal kubieke meter indien de massastroom van cadmium en cadmiumverbindingen groter is dan 0,25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het elektrolytisch of stroomloos aanbrengen van metaallagen op metalen worden ten behoeve van het voorkomen dan wel beperken van diffuse emissies en het doelmatig verspreiden van emissies naar de buitenlucht de bij ministeriële regeling te bepalen maatregelen toegepast.</w:t>
      </w:r>
    </w:p>
    <w:p w:rsidR="00296032" w:rsidRPr="00296032" w:rsidRDefault="00296032">
      <w:pPr>
        <w:pStyle w:val="artikelkop"/>
        <w:rPr>
          <w:rFonts w:cs="Arial"/>
        </w:rPr>
      </w:pPr>
      <w:r w:rsidRPr="00296032">
        <w:rPr>
          <w:rFonts w:cs="Arial"/>
        </w:rPr>
        <w:t>Artikel 4.63</w:t>
      </w:r>
    </w:p>
    <w:p w:rsidR="00296032" w:rsidRDefault="00296032">
      <w:pPr>
        <w:rPr>
          <w:rFonts w:cs="Arial"/>
        </w:rPr>
      </w:pPr>
      <w:r w:rsidRPr="00620047">
        <w:rPr>
          <w:rFonts w:cs="Arial"/>
        </w:rPr>
        <w:t>Bij het elektrolytisch of stroomloos aanbrengen van metaallagen wordt ten behoeve van het realiseren van een verwaarloosbaar bodemrisico, voldaan aan de bij ministeriële regeling te stellen eisen.</w:t>
      </w:r>
    </w:p>
    <w:p w:rsidR="00B84590" w:rsidRDefault="00B84590">
      <w:pPr>
        <w:rPr>
          <w:rFonts w:cs="Arial"/>
        </w:rPr>
      </w:pPr>
    </w:p>
    <w:p w:rsidR="00B84590" w:rsidRDefault="00B84590" w:rsidP="00B84590">
      <w:pPr>
        <w:pStyle w:val="paragraaf"/>
        <w:shd w:val="clear" w:color="auto" w:fill="D9D9D9" w:themeFill="background1" w:themeFillShade="D9"/>
      </w:pPr>
      <w:bookmarkStart w:id="241" w:name="_Toc431375711"/>
      <w:r>
        <w:t>§ 4.5.8.</w:t>
      </w:r>
      <w:r>
        <w:tab/>
        <w:t>Elektrolytisch of stroomloos aanbrengen van metaallagen op metalen</w:t>
      </w:r>
      <w:bookmarkEnd w:id="241"/>
    </w:p>
    <w:p w:rsidR="00B84590" w:rsidRDefault="00B84590" w:rsidP="00B84590">
      <w:pPr>
        <w:pStyle w:val="artikelkop"/>
        <w:shd w:val="clear" w:color="auto" w:fill="D9D9D9" w:themeFill="background1" w:themeFillShade="D9"/>
      </w:pPr>
      <w:r>
        <w:t>Artikel 4.74</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worden dampen die vrijkomen bij het elektrolytisch of stroomloos aanbrengen van chroom- en cadmiumlagen op metalen, voor zover dat redelijkerwijs mogelijk is,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gassen en dampen, vanwege het elektrolytisch en stroomloos aanbrengen van metaallagen,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maatwerkvoorschriften stellen aan de ligging en uitvoering van het afvoerpunt van de emissies naar de buitenlucht, bedoeld in het tweede lid.</w:t>
      </w:r>
    </w:p>
    <w:p w:rsidR="00B84590" w:rsidRDefault="00B84590" w:rsidP="00B84590">
      <w:pPr>
        <w:pStyle w:val="art1enivo"/>
        <w:shd w:val="clear" w:color="auto" w:fill="D9D9D9" w:themeFill="background1" w:themeFillShade="D9"/>
      </w:pPr>
      <w:r>
        <w:t>4.</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B84590" w:rsidRDefault="00B84590" w:rsidP="00B84590">
      <w:pPr>
        <w:pStyle w:val="art1enivo"/>
        <w:shd w:val="clear" w:color="auto" w:fill="D9D9D9" w:themeFill="background1" w:themeFillShade="D9"/>
      </w:pPr>
      <w:r>
        <w:t>5.</w:t>
      </w:r>
      <w:r>
        <w:tab/>
        <w:t>In afwijking van het vierde lid kan het bevoegd gezag maatwerkvoorschriften als bedoeld in het derde lid stellen.</w:t>
      </w:r>
    </w:p>
    <w:p w:rsidR="00B84590" w:rsidRDefault="00B84590" w:rsidP="00B84590">
      <w:pPr>
        <w:pStyle w:val="artikelkop"/>
        <w:shd w:val="clear" w:color="auto" w:fill="D9D9D9" w:themeFill="background1" w:themeFillShade="D9"/>
      </w:pPr>
      <w:r>
        <w:t>Artikel 4.75</w:t>
      </w:r>
    </w:p>
    <w:p w:rsidR="00B84590" w:rsidRDefault="00B84590" w:rsidP="00B84590">
      <w:pPr>
        <w:pStyle w:val="artplat"/>
        <w:shd w:val="clear" w:color="auto" w:fill="D9D9D9" w:themeFill="background1" w:themeFillShade="D9"/>
        <w:suppressAutoHyphens/>
        <w:rPr>
          <w:rFonts w:cs="Arial"/>
        </w:rPr>
      </w:pPr>
      <w:r>
        <w:rPr>
          <w:rFonts w:cs="Arial"/>
        </w:rPr>
        <w:t>Aan artikel 4.62, eerste lid, van het besluit wordt in ieder geval voldaan indien:</w:t>
      </w:r>
    </w:p>
    <w:p w:rsidR="00B84590" w:rsidRDefault="00B84590" w:rsidP="00B84590">
      <w:pPr>
        <w:pStyle w:val="artplatletter"/>
        <w:shd w:val="clear" w:color="auto" w:fill="D9D9D9" w:themeFill="background1" w:themeFillShade="D9"/>
        <w:suppressAutoHyphens/>
        <w:rPr>
          <w:rFonts w:cs="Arial"/>
        </w:rPr>
      </w:pPr>
      <w:r>
        <w:rPr>
          <w:rFonts w:cs="Arial"/>
        </w:rPr>
        <w:t>a.</w:t>
      </w:r>
      <w:r>
        <w:rPr>
          <w:rFonts w:cs="Arial"/>
        </w:rPr>
        <w:tab/>
        <w:t>de afgezogen emissies die vrijkomen bij het elektrolytisch en stroomloos aanbrengen van chroom- of cadmiumlagen op metalen worden gevoerd door een gaswasser of aërosol- of mistfilter die geschikt is om aan artikel 4.62, eerste lid, van het besluit te voldoen; en</w:t>
      </w:r>
    </w:p>
    <w:p w:rsidR="00B84590" w:rsidRDefault="00B84590" w:rsidP="00B84590">
      <w:pPr>
        <w:pStyle w:val="artplatletter"/>
        <w:shd w:val="clear" w:color="auto" w:fill="D9D9D9" w:themeFill="background1" w:themeFillShade="D9"/>
        <w:suppressAutoHyphens/>
        <w:rPr>
          <w:rFonts w:cs="Arial"/>
        </w:rPr>
      </w:pPr>
      <w:r>
        <w:rPr>
          <w:rFonts w:cs="Arial"/>
        </w:rPr>
        <w:t>b.</w:t>
      </w:r>
      <w:r>
        <w:rPr>
          <w:rFonts w:cs="Arial"/>
        </w:rPr>
        <w:tab/>
        <w:t>die gaswasser of aërosol- of mistfilter in goede staat van onderhoud verkeert, periodiek gecontroleerd wordt en zo vaak als voor de goede werking nodig is, wordt schoongemaakt.</w:t>
      </w:r>
    </w:p>
    <w:p w:rsidR="00B84590" w:rsidRDefault="00B84590" w:rsidP="00B84590">
      <w:pPr>
        <w:pStyle w:val="artikelkop"/>
        <w:shd w:val="clear" w:color="auto" w:fill="D9D9D9" w:themeFill="background1" w:themeFillShade="D9"/>
      </w:pPr>
      <w:r>
        <w:t>Artikel 4.76</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is een dompelbad waarin metaallagen elektrolytisch en stroomloos worden aangebracht op metalen opgesteld boven een lekbak of een vloeistofdichte vloer of verharding, die zich ten minste uitstrekt tot de oppervlakte van het dompelbad en het daarbij behorende uitlekgebied. Onder dit uitlekgebied wordt niet begrepen het gebied waar het metaalproduct wordt geplaatst nadat dit is afgespoeld met water of is gespoeld in een bad met water.</w:t>
      </w:r>
    </w:p>
    <w:p w:rsidR="00B84590" w:rsidRPr="00B84590" w:rsidRDefault="00B84590" w:rsidP="00B84590">
      <w:pPr>
        <w:shd w:val="clear" w:color="auto" w:fill="D9D9D9" w:themeFill="background1" w:themeFillShade="D9"/>
      </w:pPr>
      <w:r>
        <w:rPr>
          <w:rFonts w:cs="Arial"/>
        </w:rPr>
        <w:t>2.</w:t>
      </w:r>
      <w:r>
        <w:rPr>
          <w:rFonts w:cs="Arial"/>
        </w:rPr>
        <w:tab/>
        <w:t>Een dompelbad dat zich automatisch vult, is voorzien van een doelmatige overvulbeveiliging of overloopbeveiliging.</w:t>
      </w:r>
    </w:p>
    <w:p w:rsidR="00296032" w:rsidRPr="00296032" w:rsidRDefault="00296032">
      <w:pPr>
        <w:pStyle w:val="paragraaf"/>
        <w:rPr>
          <w:rFonts w:cs="Arial"/>
        </w:rPr>
      </w:pPr>
      <w:bookmarkStart w:id="242" w:name="_Toc277243235"/>
      <w:bookmarkStart w:id="243" w:name="_Toc431375712"/>
      <w:r w:rsidRPr="00296032">
        <w:rPr>
          <w:rFonts w:cs="Arial"/>
        </w:rPr>
        <w:t>§ 4.5.9</w:t>
      </w:r>
      <w:r w:rsidRPr="00296032">
        <w:rPr>
          <w:rFonts w:cs="Arial"/>
        </w:rPr>
        <w:tab/>
        <w:t>Drogen van metalen</w:t>
      </w:r>
      <w:bookmarkEnd w:id="242"/>
      <w:bookmarkEnd w:id="243"/>
    </w:p>
    <w:p w:rsidR="00296032" w:rsidRPr="00296032" w:rsidRDefault="00296032">
      <w:pPr>
        <w:pStyle w:val="artikelkop"/>
        <w:rPr>
          <w:rFonts w:cs="Arial"/>
        </w:rPr>
      </w:pPr>
      <w:r w:rsidRPr="00296032">
        <w:rPr>
          <w:rFonts w:cs="Arial"/>
        </w:rPr>
        <w:t>Artikel 4.63a</w:t>
      </w:r>
    </w:p>
    <w:p w:rsidR="00296032" w:rsidRPr="00620047" w:rsidRDefault="00296032">
      <w:pPr>
        <w:pStyle w:val="artplat"/>
      </w:pPr>
      <w:r w:rsidRPr="00620047">
        <w:t>Deze paragraaf is van toepassing op het drogen van metalen.</w:t>
      </w:r>
    </w:p>
    <w:p w:rsidR="00296032" w:rsidRPr="00296032" w:rsidRDefault="00296032">
      <w:pPr>
        <w:pStyle w:val="artikelkop"/>
        <w:rPr>
          <w:rFonts w:cs="Arial"/>
        </w:rPr>
      </w:pPr>
      <w:r w:rsidRPr="00296032">
        <w:rPr>
          <w:rFonts w:cs="Arial"/>
        </w:rPr>
        <w:t>Artikel 4.64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drogen van metalen is het gebruik van oplosmiddelen niet toegestaan.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Indien degene die de inrichting drijft aantoont dat het niet mogelijk is om anders te drogen dan met behulp van oplosmiddelen kan het bevoegd gezag bij maatwerkvoorschrift het eerste lid niet van toepassing verklaren en het gebruik van oplosmiddelen bij het drogen van metalen onder voorwaarden toestaan. Deze voorwaarden beogen de nadelige gevolgen van het drogen met behulp van oplosmiddelen te voorkomen of indien dat niet mogelijk is, zoveel mogelijk te beperken voor zover dat redelijkerwijs mogelijk is. Daarbij wordt ervan uitgegaan dat in de inrichting ten minste de voor de inrichting in aanmerking komende beste beschikbare technieken worden toegepast.</w:t>
      </w:r>
    </w:p>
    <w:p w:rsidR="00296032" w:rsidRPr="00296032" w:rsidRDefault="00296032">
      <w:pPr>
        <w:pStyle w:val="paragraaf"/>
        <w:rPr>
          <w:rFonts w:cs="Arial"/>
        </w:rPr>
      </w:pPr>
      <w:bookmarkStart w:id="244" w:name="_Toc277243236"/>
      <w:bookmarkStart w:id="245" w:name="_Toc431375713"/>
      <w:r w:rsidRPr="00296032">
        <w:rPr>
          <w:rFonts w:cs="Arial"/>
        </w:rPr>
        <w:t>§ 4.5.10</w:t>
      </w:r>
      <w:r w:rsidRPr="00296032">
        <w:rPr>
          <w:rFonts w:cs="Arial"/>
        </w:rPr>
        <w:tab/>
        <w:t>Aanbrengen van conversielagen op metalen</w:t>
      </w:r>
      <w:bookmarkEnd w:id="244"/>
      <w:bookmarkEnd w:id="245"/>
    </w:p>
    <w:p w:rsidR="00296032" w:rsidRPr="00296032" w:rsidRDefault="00296032">
      <w:pPr>
        <w:pStyle w:val="artikelkop"/>
        <w:rPr>
          <w:rFonts w:cs="Arial"/>
        </w:rPr>
      </w:pPr>
      <w:r w:rsidRPr="00296032">
        <w:rPr>
          <w:rFonts w:cs="Arial"/>
        </w:rPr>
        <w:t>Artikel 4.64a</w:t>
      </w:r>
    </w:p>
    <w:p w:rsidR="00296032" w:rsidRPr="00620047" w:rsidRDefault="00296032">
      <w:pPr>
        <w:pStyle w:val="artplat"/>
      </w:pPr>
      <w:r w:rsidRPr="00620047">
        <w:t>Deze paragraaf is van toepassing op het aanbrengen van conversielagen op metalen.</w:t>
      </w:r>
    </w:p>
    <w:p w:rsidR="00296032" w:rsidRPr="00296032" w:rsidRDefault="00296032">
      <w:pPr>
        <w:pStyle w:val="artikelkop"/>
        <w:rPr>
          <w:rFonts w:cs="Arial"/>
        </w:rPr>
      </w:pPr>
      <w:r w:rsidRPr="00296032">
        <w:rPr>
          <w:rFonts w:cs="Arial"/>
        </w:rPr>
        <w:t>Artikel 4.65</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w:t>
      </w:r>
      <w:r w:rsidR="00C81FCC" w:rsidRPr="00C81FCC">
        <w:rPr>
          <w:rFonts w:cs="Arial"/>
        </w:rPr>
        <w:t>, eerste, vierde en vijfde lid, en artikel</w:t>
      </w:r>
      <w:r w:rsidRPr="00620047">
        <w:rPr>
          <w:rFonts w:cs="Arial"/>
        </w:rPr>
        <w:t xml:space="preserve"> 2.6 is bij het chroomzuuranodiseren en het zwavelzuuranodiseren de emissieconcentratie van:</w:t>
      </w:r>
    </w:p>
    <w:p w:rsidR="00296032" w:rsidRPr="00620047" w:rsidRDefault="00296032">
      <w:pPr>
        <w:pStyle w:val="art2enivo"/>
        <w:rPr>
          <w:rFonts w:cs="Arial"/>
        </w:rPr>
      </w:pPr>
      <w:r w:rsidRPr="00620047">
        <w:rPr>
          <w:rFonts w:cs="Arial"/>
        </w:rPr>
        <w:t>a.</w:t>
      </w:r>
      <w:r w:rsidRPr="00620047">
        <w:rPr>
          <w:rFonts w:cs="Arial"/>
        </w:rPr>
        <w:tab/>
        <w:t>chroom VI-verbindingen berekend als chroom, niet meer dan 0,1 milligram per normaal kubieke meter indien de massastroom van chroom VI-verbindingen naar de lucht berekend als chroom, groter is dan 0,5 gram per uur;</w:t>
      </w:r>
    </w:p>
    <w:p w:rsidR="00296032" w:rsidRPr="00620047" w:rsidRDefault="00296032">
      <w:pPr>
        <w:pStyle w:val="art2enivo"/>
        <w:rPr>
          <w:rFonts w:cs="Arial"/>
        </w:rPr>
      </w:pPr>
      <w:r w:rsidRPr="00620047">
        <w:rPr>
          <w:rFonts w:cs="Arial"/>
        </w:rPr>
        <w:t>b.</w:t>
      </w:r>
      <w:r w:rsidRPr="00620047">
        <w:rPr>
          <w:rFonts w:cs="Arial"/>
        </w:rPr>
        <w:tab/>
        <w:t>zwavelzuur niet meer dan 3 milligram per normaal kubieke meter indien de massastroom van zwavelzuur naar de lucht groter is dan 15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het aanbrengen van conversielagen op metalen worden ten behoeve van het voorkomen dan wel beperken van diffuse emissies en het doelmatig verspreiden van emissies naar de buitenlucht, de bij ministeriële regeling te bepalen maatregelen toegepast.</w:t>
      </w:r>
    </w:p>
    <w:p w:rsidR="00296032" w:rsidRPr="00296032" w:rsidRDefault="00296032">
      <w:pPr>
        <w:pStyle w:val="artikelkop"/>
        <w:rPr>
          <w:rFonts w:cs="Arial"/>
        </w:rPr>
      </w:pPr>
      <w:r w:rsidRPr="00296032">
        <w:rPr>
          <w:rFonts w:cs="Arial"/>
        </w:rPr>
        <w:t>Artikel 4.66</w:t>
      </w:r>
    </w:p>
    <w:p w:rsidR="00296032" w:rsidRPr="00620047" w:rsidRDefault="00296032">
      <w:pPr>
        <w:rPr>
          <w:rFonts w:cs="Arial"/>
        </w:rPr>
      </w:pPr>
      <w:r w:rsidRPr="00620047">
        <w:rPr>
          <w:rFonts w:cs="Arial"/>
        </w:rPr>
        <w:t>Het gebruik van perfluoroctaansulfonaten bij anodiseren is verboden.</w:t>
      </w:r>
    </w:p>
    <w:p w:rsidR="00296032" w:rsidRPr="00296032" w:rsidRDefault="00296032">
      <w:pPr>
        <w:pStyle w:val="artikelkop"/>
        <w:rPr>
          <w:rFonts w:cs="Arial"/>
        </w:rPr>
      </w:pPr>
      <w:r w:rsidRPr="00296032">
        <w:rPr>
          <w:rFonts w:cs="Arial"/>
        </w:rPr>
        <w:t>Artikel 4.67</w:t>
      </w:r>
    </w:p>
    <w:p w:rsidR="00296032" w:rsidRDefault="00296032">
      <w:pPr>
        <w:rPr>
          <w:rFonts w:cs="Arial"/>
        </w:rPr>
      </w:pPr>
      <w:r w:rsidRPr="00620047">
        <w:rPr>
          <w:rFonts w:cs="Arial"/>
        </w:rPr>
        <w:t>Bij het aanbrengen van conversielagen op metalen wordt ten behoeve van het realiseren van een verwaarloosbaar bodemrisico, voldaan aan de bij ministeriële regeling te stellen eisen.</w:t>
      </w:r>
    </w:p>
    <w:p w:rsidR="00B84590" w:rsidRDefault="00B84590">
      <w:pPr>
        <w:rPr>
          <w:rFonts w:cs="Arial"/>
        </w:rPr>
      </w:pPr>
    </w:p>
    <w:p w:rsidR="00B84590" w:rsidRDefault="00B84590" w:rsidP="00B84590">
      <w:pPr>
        <w:pStyle w:val="paragraaf"/>
        <w:shd w:val="clear" w:color="auto" w:fill="D9D9D9" w:themeFill="background1" w:themeFillShade="D9"/>
      </w:pPr>
      <w:bookmarkStart w:id="246" w:name="_Toc431375714"/>
      <w:r>
        <w:t>§ 4.5.9.</w:t>
      </w:r>
      <w:r>
        <w:tab/>
        <w:t>Aanbrengen van conversielagen op metalen</w:t>
      </w:r>
      <w:bookmarkEnd w:id="246"/>
    </w:p>
    <w:p w:rsidR="00B84590" w:rsidRDefault="00B84590" w:rsidP="00B84590">
      <w:pPr>
        <w:pStyle w:val="artikelkop"/>
        <w:shd w:val="clear" w:color="auto" w:fill="D9D9D9" w:themeFill="background1" w:themeFillShade="D9"/>
      </w:pPr>
      <w:r>
        <w:t>Artikel 4.77</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van diffuse emissies worden dampen die vrijkomen bij het chroomzuuranodiseren en het zwavelzuuranodiseren, voor zover dat redelijkerwijs mogelijk is,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worden gassen en dampen, vanwege het aanbrengen van conversielagen op metalen,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maatwerkvoorschriften stellen aan de ligging en uitvoering van het afvoerpunt van de emissies naar de buitenlucht, bedoeld in het tweede lid.</w:t>
      </w:r>
    </w:p>
    <w:p w:rsidR="00B84590" w:rsidRDefault="00B84590" w:rsidP="00B84590">
      <w:pPr>
        <w:pStyle w:val="art1enivo"/>
        <w:shd w:val="clear" w:color="auto" w:fill="D9D9D9" w:themeFill="background1" w:themeFillShade="D9"/>
      </w:pPr>
      <w:r>
        <w:t>4.</w:t>
      </w:r>
      <w: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B84590" w:rsidRDefault="00B84590" w:rsidP="00B84590">
      <w:pPr>
        <w:pStyle w:val="art1enivo"/>
        <w:shd w:val="clear" w:color="auto" w:fill="D9D9D9" w:themeFill="background1" w:themeFillShade="D9"/>
      </w:pPr>
      <w:r>
        <w:t>5.</w:t>
      </w:r>
      <w:r>
        <w:tab/>
        <w:t>In afwijking van het vierde lid kan het bevoegd gezag maatwerkvoorschriften als bedoeld in het derde lid stellen.</w:t>
      </w:r>
    </w:p>
    <w:p w:rsidR="00B84590" w:rsidRDefault="00B84590" w:rsidP="00B84590">
      <w:pPr>
        <w:pStyle w:val="artikelkop"/>
        <w:shd w:val="clear" w:color="auto" w:fill="D9D9D9" w:themeFill="background1" w:themeFillShade="D9"/>
      </w:pPr>
      <w:r>
        <w:t>Artikel 4.78</w:t>
      </w:r>
    </w:p>
    <w:p w:rsidR="00B84590" w:rsidRDefault="00B84590" w:rsidP="00B84590">
      <w:pPr>
        <w:pStyle w:val="artplat"/>
        <w:shd w:val="clear" w:color="auto" w:fill="D9D9D9" w:themeFill="background1" w:themeFillShade="D9"/>
        <w:suppressAutoHyphens/>
        <w:rPr>
          <w:rFonts w:cs="Arial"/>
        </w:rPr>
      </w:pPr>
      <w:r>
        <w:rPr>
          <w:rFonts w:cs="Arial"/>
        </w:rPr>
        <w:t>Aan artikel 4.65, eerste lid, onderdeel a, van het besluit wordt in ieder geval voldaan indien:</w:t>
      </w:r>
    </w:p>
    <w:p w:rsidR="00B84590" w:rsidRDefault="00B84590" w:rsidP="00B84590">
      <w:pPr>
        <w:pStyle w:val="artplatletter"/>
        <w:shd w:val="clear" w:color="auto" w:fill="D9D9D9" w:themeFill="background1" w:themeFillShade="D9"/>
        <w:suppressAutoHyphens/>
        <w:rPr>
          <w:rFonts w:cs="Arial"/>
        </w:rPr>
      </w:pPr>
      <w:r>
        <w:rPr>
          <w:rFonts w:cs="Arial"/>
        </w:rPr>
        <w:t>a.</w:t>
      </w:r>
      <w:r>
        <w:rPr>
          <w:rFonts w:cs="Arial"/>
        </w:rPr>
        <w:tab/>
        <w:t>de afgezogen emissies die vrijkomen bij het chroomzuuranodiseren worden gevoerd door een gaswasser of aërosol- of mistfilter, die geschikt is om artikel 4.65, eerste lid, onderdeel a, van het besluit te voldoen; en</w:t>
      </w:r>
    </w:p>
    <w:p w:rsidR="00B84590" w:rsidRDefault="00B84590" w:rsidP="00B84590">
      <w:pPr>
        <w:pStyle w:val="artplatletter"/>
        <w:shd w:val="clear" w:color="auto" w:fill="D9D9D9" w:themeFill="background1" w:themeFillShade="D9"/>
        <w:suppressAutoHyphens/>
        <w:rPr>
          <w:rFonts w:cs="Arial"/>
        </w:rPr>
      </w:pPr>
      <w:r>
        <w:rPr>
          <w:rFonts w:cs="Arial"/>
        </w:rPr>
        <w:t>b.</w:t>
      </w:r>
      <w:r>
        <w:rPr>
          <w:rFonts w:cs="Arial"/>
        </w:rPr>
        <w:tab/>
        <w:t>die gaswasser of aërosol- of mistfilter in goede staat van onderhoud verkeert, periodiek wordt gecontroleerd en zo vaak als voor de goede werking nodig is wordt schoongemaakt.</w:t>
      </w:r>
    </w:p>
    <w:p w:rsidR="00B84590" w:rsidRDefault="00B84590" w:rsidP="00B84590">
      <w:pPr>
        <w:pStyle w:val="artikelkop"/>
        <w:shd w:val="clear" w:color="auto" w:fill="D9D9D9" w:themeFill="background1" w:themeFillShade="D9"/>
      </w:pPr>
      <w:r>
        <w:t>Artikel 4.79</w:t>
      </w:r>
    </w:p>
    <w:p w:rsidR="00B84590" w:rsidRDefault="00B84590" w:rsidP="00B84590">
      <w:pPr>
        <w:pStyle w:val="artplat"/>
        <w:shd w:val="clear" w:color="auto" w:fill="D9D9D9" w:themeFill="background1" w:themeFillShade="D9"/>
        <w:suppressAutoHyphens/>
        <w:rPr>
          <w:rFonts w:cs="Arial"/>
        </w:rPr>
      </w:pPr>
      <w:r>
        <w:rPr>
          <w:rFonts w:cs="Arial"/>
        </w:rPr>
        <w:t>Aan artikel 4.65, eerste lid, onderdeel b, van het besluit wordt in ieder geval voldaan indien:</w:t>
      </w:r>
    </w:p>
    <w:p w:rsidR="00B84590" w:rsidRDefault="00B84590" w:rsidP="00B84590">
      <w:pPr>
        <w:pStyle w:val="artplatletter"/>
        <w:shd w:val="clear" w:color="auto" w:fill="D9D9D9" w:themeFill="background1" w:themeFillShade="D9"/>
        <w:suppressAutoHyphens/>
        <w:rPr>
          <w:rFonts w:cs="Arial"/>
        </w:rPr>
      </w:pPr>
      <w:r>
        <w:rPr>
          <w:rFonts w:cs="Arial"/>
        </w:rPr>
        <w:t>a.</w:t>
      </w:r>
      <w:r>
        <w:rPr>
          <w:rFonts w:cs="Arial"/>
        </w:rPr>
        <w:tab/>
        <w:t>de temperatuur van de zwavelzuurbaden ten behoeve van het zwavelzuuranodiseren lager is dan 60 graden Celsius; of</w:t>
      </w:r>
    </w:p>
    <w:p w:rsidR="00B84590" w:rsidRDefault="00B84590" w:rsidP="00B84590">
      <w:pPr>
        <w:pStyle w:val="artplatletter"/>
        <w:shd w:val="clear" w:color="auto" w:fill="D9D9D9" w:themeFill="background1" w:themeFillShade="D9"/>
        <w:suppressAutoHyphens/>
        <w:rPr>
          <w:rFonts w:cs="Arial"/>
        </w:rPr>
      </w:pPr>
      <w:r>
        <w:rPr>
          <w:rFonts w:cs="Arial"/>
        </w:rPr>
        <w:t>b.</w:t>
      </w:r>
      <w:r>
        <w:rPr>
          <w:rFonts w:cs="Arial"/>
        </w:rPr>
        <w:tab/>
        <w:t>de afgezogen emissies die vrijkomen bij het zwavelzuuranodiseren worden gevoerd door een gaswasser of aërosol- of mistfilter, die geschikt is om aan artikel 4.65, eerste lid, onderdeel b, van het besluit te voldoen, en die gaswasser of aërosol- of mistfilter in goede staat van onderhoud verkeert, periodiek wordt gecontroleerd en zo vaak als voor de goede werking nodig is wordt schoongemaakt.</w:t>
      </w:r>
    </w:p>
    <w:p w:rsidR="00B84590" w:rsidRDefault="00B84590" w:rsidP="00B84590">
      <w:pPr>
        <w:pStyle w:val="artikelkop"/>
        <w:shd w:val="clear" w:color="auto" w:fill="D9D9D9" w:themeFill="background1" w:themeFillShade="D9"/>
      </w:pPr>
      <w:r>
        <w:t>Artikel 4.80</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is een dompelbad waarin conversielagen worden aangebracht op metalen opgesteld boven een lekbak of een vloeistofdichte vloer of verharding, die zich ten minste uitstrekt tot de oppervlakte van het dompelbad en het daarbij behorende uitlekgebied. Onder dit uitlekgebied wordt niet begrepen het gebied waar het metaalproduct wordt geplaatst nadat dit is afgespoeld met water of is gespoeld in een bad met water.</w:t>
      </w:r>
    </w:p>
    <w:p w:rsidR="00B84590" w:rsidRPr="00B84590" w:rsidRDefault="00B84590" w:rsidP="00B84590">
      <w:pPr>
        <w:shd w:val="clear" w:color="auto" w:fill="D9D9D9" w:themeFill="background1" w:themeFillShade="D9"/>
      </w:pPr>
      <w:r>
        <w:rPr>
          <w:rFonts w:cs="Arial"/>
        </w:rPr>
        <w:t>2.</w:t>
      </w:r>
      <w:r>
        <w:rPr>
          <w:rFonts w:cs="Arial"/>
        </w:rPr>
        <w:tab/>
        <w:t>Een dompelbad dat zich automatisch vult is voorzien van een doelmatige overvulbeveiliging of overloopbeveiliging.</w:t>
      </w:r>
    </w:p>
    <w:p w:rsidR="00296032" w:rsidRPr="00296032" w:rsidRDefault="00296032">
      <w:pPr>
        <w:pStyle w:val="paragraaf"/>
        <w:rPr>
          <w:rFonts w:cs="Arial"/>
        </w:rPr>
      </w:pPr>
      <w:bookmarkStart w:id="247" w:name="_Toc277243237"/>
      <w:bookmarkStart w:id="248" w:name="_Toc431375715"/>
      <w:r w:rsidRPr="00296032">
        <w:rPr>
          <w:rFonts w:cs="Arial"/>
        </w:rPr>
        <w:t>§ 4.5.11</w:t>
      </w:r>
      <w:r w:rsidRPr="00296032">
        <w:rPr>
          <w:rFonts w:cs="Arial"/>
        </w:rPr>
        <w:tab/>
        <w:t>Thermisch aanbrengen van metaallagen op metalen</w:t>
      </w:r>
      <w:bookmarkEnd w:id="247"/>
      <w:bookmarkEnd w:id="248"/>
    </w:p>
    <w:p w:rsidR="00296032" w:rsidRPr="00296032" w:rsidRDefault="00296032">
      <w:pPr>
        <w:pStyle w:val="artikelkop"/>
        <w:rPr>
          <w:rFonts w:cs="Arial"/>
        </w:rPr>
      </w:pPr>
      <w:r w:rsidRPr="00296032">
        <w:rPr>
          <w:rFonts w:cs="Arial"/>
        </w:rPr>
        <w:t>Artikel 4.67a</w:t>
      </w:r>
    </w:p>
    <w:p w:rsidR="00296032" w:rsidRPr="00620047" w:rsidRDefault="00296032">
      <w:pPr>
        <w:pStyle w:val="artplat"/>
      </w:pPr>
      <w:r w:rsidRPr="00620047">
        <w:t>Deze paragraaf is van toepassing op het thermisch aanbrengen van metaallagen op metalen</w:t>
      </w:r>
    </w:p>
    <w:p w:rsidR="00296032" w:rsidRPr="00296032" w:rsidRDefault="00296032">
      <w:pPr>
        <w:pStyle w:val="artikelkop"/>
        <w:rPr>
          <w:rFonts w:cs="Arial"/>
        </w:rPr>
      </w:pPr>
      <w:r w:rsidRPr="00296032">
        <w:rPr>
          <w:rFonts w:cs="Arial"/>
        </w:rPr>
        <w:t>Artikel 4.68</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w:t>
      </w:r>
      <w:r w:rsidR="00C81FCC" w:rsidRPr="00C81FCC">
        <w:rPr>
          <w:rFonts w:cs="Arial"/>
        </w:rPr>
        <w:t>, eerste, vierde en vijfde lid, en artikel</w:t>
      </w:r>
      <w:r w:rsidRPr="00620047">
        <w:rPr>
          <w:rFonts w:cs="Arial"/>
        </w:rPr>
        <w:t xml:space="preserve"> 2.6 is bij het thermisch aanbrengen van metaallagen op metalen:</w:t>
      </w:r>
    </w:p>
    <w:p w:rsidR="00296032" w:rsidRPr="00620047" w:rsidRDefault="00296032">
      <w:pPr>
        <w:pStyle w:val="art2enivo"/>
        <w:rPr>
          <w:rFonts w:cs="Arial"/>
        </w:rPr>
      </w:pPr>
      <w:r w:rsidRPr="00620047">
        <w:rPr>
          <w:rFonts w:cs="Arial"/>
        </w:rPr>
        <w:t>a.</w:t>
      </w:r>
      <w:r w:rsidRPr="00620047">
        <w:rPr>
          <w:rFonts w:cs="Arial"/>
        </w:rPr>
        <w:tab/>
        <w:t>de emissieconcentratie van stofklasse S niet meer dan 5 milligram per normaal kubieke meter, indien de massastroom van stofklasse S naar de lucht gelijk is aan of groter is dan 200 gram per uur, en niet meer dan 50 milligram per normaal kubieke meter indien de massastroom naar de lucht kleiner is dan 200 gram per uur;</w:t>
      </w:r>
    </w:p>
    <w:p w:rsidR="00296032" w:rsidRPr="00620047" w:rsidRDefault="00296032">
      <w:pPr>
        <w:pStyle w:val="art2enivo"/>
        <w:rPr>
          <w:rFonts w:cs="Arial"/>
        </w:rPr>
      </w:pPr>
      <w:r w:rsidRPr="00620047">
        <w:rPr>
          <w:rFonts w:cs="Arial"/>
        </w:rPr>
        <w:t>b.</w:t>
      </w:r>
      <w:r w:rsidRPr="00620047">
        <w:rPr>
          <w:rFonts w:cs="Arial"/>
        </w:rPr>
        <w:tab/>
        <w:t>de emissieconcentratie van zinkchloride niet meer dan 5,0 milligram per normaal kubieke meter, indien de massastroom van zinkchloride naar de lucht groter is dan 10 gram per uur;</w:t>
      </w:r>
    </w:p>
    <w:p w:rsidR="00296032" w:rsidRPr="00620047" w:rsidRDefault="00296032">
      <w:pPr>
        <w:pStyle w:val="art2enivo"/>
        <w:rPr>
          <w:rFonts w:cs="Arial"/>
        </w:rPr>
      </w:pPr>
      <w:r w:rsidRPr="00620047">
        <w:rPr>
          <w:rFonts w:cs="Arial"/>
        </w:rPr>
        <w:t>c.</w:t>
      </w:r>
      <w:r w:rsidRPr="00620047">
        <w:rPr>
          <w:rFonts w:cs="Arial"/>
        </w:rPr>
        <w:tab/>
        <w:t>de emissieconcentratie van chloorverbindingen, niet zijnde zinkchloride, niet meer dan 30 milligram per normaal kubieke meter, indien de massastroom van chloorverbindingen naar de lucht groter is dan 150 gram per uur.</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het thermisch aanbrengen van metaallagen op metalen worden ten behoeve van het voorkomen dan wel beperken van diffuse emissies en het doelmatig verspreiden van emissies naar de buitenlucht, de bij ministeriële regeling te bepalen maatregelen toegepast.</w:t>
      </w:r>
    </w:p>
    <w:p w:rsidR="00296032" w:rsidRPr="00296032" w:rsidRDefault="00296032">
      <w:pPr>
        <w:pStyle w:val="artikelkop"/>
        <w:rPr>
          <w:rFonts w:cs="Arial"/>
        </w:rPr>
      </w:pPr>
      <w:r w:rsidRPr="00296032">
        <w:rPr>
          <w:rFonts w:cs="Arial"/>
        </w:rPr>
        <w:t>Artikel 4.69</w:t>
      </w:r>
    </w:p>
    <w:p w:rsidR="00296032" w:rsidRDefault="00296032">
      <w:pPr>
        <w:rPr>
          <w:rFonts w:cs="Arial"/>
        </w:rPr>
      </w:pPr>
      <w:r w:rsidRPr="00620047">
        <w:rPr>
          <w:rFonts w:cs="Arial"/>
        </w:rPr>
        <w:t>Bij het thermisch aanbrengen van metaallagen op metalen wordt ten behoeve van het realiseren van een verwaarloosbaar bodemrisico, voldaan aan de bij ministeriële regeling te stellen eisen.</w:t>
      </w:r>
    </w:p>
    <w:p w:rsidR="00B84590" w:rsidRDefault="00B84590">
      <w:pPr>
        <w:rPr>
          <w:rFonts w:cs="Arial"/>
        </w:rPr>
      </w:pPr>
    </w:p>
    <w:p w:rsidR="00B84590" w:rsidRDefault="00B84590" w:rsidP="00B84590">
      <w:pPr>
        <w:pStyle w:val="paragraaf"/>
        <w:shd w:val="clear" w:color="auto" w:fill="D9D9D9" w:themeFill="background1" w:themeFillShade="D9"/>
      </w:pPr>
      <w:bookmarkStart w:id="249" w:name="_Toc431375716"/>
      <w:r>
        <w:t>§ 4.5.10.</w:t>
      </w:r>
      <w:r>
        <w:tab/>
        <w:t>Thermisch aanbrengen van metaallagen op metalen</w:t>
      </w:r>
      <w:bookmarkEnd w:id="249"/>
    </w:p>
    <w:p w:rsidR="00B84590" w:rsidRDefault="00B84590" w:rsidP="00B84590">
      <w:pPr>
        <w:pStyle w:val="artikelkop"/>
        <w:shd w:val="clear" w:color="auto" w:fill="D9D9D9" w:themeFill="background1" w:themeFillShade="D9"/>
      </w:pPr>
      <w:r>
        <w:t>Artikel 4.81</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voorkomen van diffuse emissies, worden dampen die vrijkomen bij het thermisch aanbrengen van metaallagen op metalen, voor zover dat redelijkerwijs mogelijk is, doelmatig aan de bron afgezogen.</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worden gassen en dampen, vanwege het thermisch aanbrengen van metaallagen op metalen,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B84590" w:rsidRDefault="00B84590" w:rsidP="00B84590">
      <w:pPr>
        <w:pStyle w:val="art1enivo"/>
        <w:shd w:val="clear" w:color="auto" w:fill="D9D9D9" w:themeFill="background1" w:themeFillShade="D9"/>
        <w:rPr>
          <w:rFonts w:eastAsiaTheme="minorEastAsia"/>
          <w:lang w:eastAsia="nl-NL"/>
        </w:rPr>
      </w:pPr>
      <w:r>
        <w:rPr>
          <w:rFonts w:cs="Arial"/>
        </w:rPr>
        <w:t>3.</w:t>
      </w:r>
      <w:r>
        <w:rPr>
          <w:rFonts w:cs="Arial"/>
        </w:rPr>
        <w:tab/>
        <w:t>Het bevoegd gezag kan in het belang van de luchtkwaliteit  maatwerkvoorschriften stellen aan de ligging en uitvoering van het afvoerpunt van de emissies naar de buitenlucht, bedoeld in het tweede lid.</w:t>
      </w:r>
      <w:r>
        <w:rPr>
          <w:rFonts w:eastAsiaTheme="minorEastAsia"/>
          <w:lang w:eastAsia="nl-NL"/>
        </w:rPr>
        <w:t xml:space="preserve"> </w:t>
      </w:r>
    </w:p>
    <w:p w:rsidR="00B84590" w:rsidRDefault="00B84590" w:rsidP="00B84590">
      <w:pPr>
        <w:pStyle w:val="art1enivo"/>
        <w:shd w:val="clear" w:color="auto" w:fill="D9D9D9" w:themeFill="background1" w:themeFillShade="D9"/>
        <w:rPr>
          <w:rFonts w:eastAsiaTheme="minorEastAsia"/>
          <w:lang w:eastAsia="nl-NL"/>
        </w:rPr>
      </w:pPr>
      <w:r>
        <w:rPr>
          <w:rFonts w:eastAsiaTheme="minorEastAsia"/>
          <w:lang w:eastAsia="nl-NL"/>
        </w:rPr>
        <w:t xml:space="preserve">4. </w:t>
      </w:r>
      <w:r>
        <w:rPr>
          <w:rFonts w:eastAsiaTheme="minorEastAsia"/>
          <w:lang w:eastAsia="nl-NL"/>
        </w:rPr>
        <w:tab/>
        <w:t xml:space="preserve">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 </w:t>
      </w:r>
    </w:p>
    <w:p w:rsidR="00B84590" w:rsidRDefault="00B84590" w:rsidP="00B84590">
      <w:pPr>
        <w:pStyle w:val="art1enivo"/>
        <w:shd w:val="clear" w:color="auto" w:fill="D9D9D9" w:themeFill="background1" w:themeFillShade="D9"/>
        <w:rPr>
          <w:rFonts w:eastAsiaTheme="minorEastAsia"/>
          <w:lang w:eastAsia="nl-NL"/>
        </w:rPr>
      </w:pPr>
      <w:r>
        <w:rPr>
          <w:rFonts w:eastAsiaTheme="minorEastAsia"/>
          <w:lang w:eastAsia="nl-NL"/>
        </w:rPr>
        <w:t xml:space="preserve">5. </w:t>
      </w:r>
      <w:r>
        <w:rPr>
          <w:rFonts w:eastAsiaTheme="minorEastAsia"/>
          <w:lang w:eastAsia="nl-NL"/>
        </w:rPr>
        <w:tab/>
        <w:t>In afwijking van het vierde lid kan het bevoegd gezag maatwerkvoorschriften als bedoeld in het derde lid stellen.</w:t>
      </w:r>
    </w:p>
    <w:p w:rsidR="00B84590" w:rsidRDefault="00B84590" w:rsidP="00B84590">
      <w:pPr>
        <w:pStyle w:val="artikelkop"/>
        <w:shd w:val="clear" w:color="auto" w:fill="D9D9D9" w:themeFill="background1" w:themeFillShade="D9"/>
      </w:pPr>
      <w:r>
        <w:t>Artikel 4.82</w:t>
      </w:r>
    </w:p>
    <w:p w:rsidR="00B84590" w:rsidRDefault="00B84590" w:rsidP="00B84590">
      <w:pPr>
        <w:pStyle w:val="artplat"/>
        <w:shd w:val="clear" w:color="auto" w:fill="D9D9D9" w:themeFill="background1" w:themeFillShade="D9"/>
        <w:suppressAutoHyphens/>
        <w:rPr>
          <w:rFonts w:cs="Arial"/>
        </w:rPr>
      </w:pPr>
      <w:r>
        <w:rPr>
          <w:rFonts w:cs="Arial"/>
        </w:rPr>
        <w:t>Aan artikel 4.68, eerste lid, van het besluit wordt in ieder geval voldaan indien:</w:t>
      </w:r>
    </w:p>
    <w:p w:rsidR="00B84590" w:rsidRDefault="00B84590" w:rsidP="00B84590">
      <w:pPr>
        <w:pStyle w:val="artplatletter"/>
        <w:shd w:val="clear" w:color="auto" w:fill="D9D9D9" w:themeFill="background1" w:themeFillShade="D9"/>
        <w:suppressAutoHyphens/>
        <w:rPr>
          <w:rFonts w:cs="Arial"/>
        </w:rPr>
      </w:pPr>
      <w:r>
        <w:rPr>
          <w:rFonts w:cs="Arial"/>
        </w:rPr>
        <w:t>a.</w:t>
      </w:r>
      <w:r>
        <w:rPr>
          <w:rFonts w:cs="Arial"/>
        </w:rPr>
        <w:tab/>
        <w:t>de afgezogen stofvormige emissies die vrijkomen bij het thermisch aanbrengen van metaallagen op metalen worden gevoerd door een filtrerende afscheider die geschikt is om aan artikel 4.68, eerste lid, onderdelen a en b, van het besluit te voldoen; en</w:t>
      </w:r>
    </w:p>
    <w:p w:rsidR="00B84590" w:rsidRDefault="00B84590" w:rsidP="00B84590">
      <w:pPr>
        <w:pStyle w:val="artplatletter"/>
        <w:shd w:val="clear" w:color="auto" w:fill="D9D9D9" w:themeFill="background1" w:themeFillShade="D9"/>
        <w:suppressAutoHyphens/>
        <w:rPr>
          <w:rFonts w:cs="Arial"/>
        </w:rPr>
      </w:pPr>
      <w:r>
        <w:rPr>
          <w:rFonts w:cs="Arial"/>
        </w:rPr>
        <w:t>b.</w:t>
      </w:r>
      <w:r>
        <w:rPr>
          <w:rFonts w:cs="Arial"/>
        </w:rPr>
        <w:tab/>
        <w:t>die filtrerende afscheider in goede staat van onderhoud verkeert, periodiek wordt gecontroleerd en zo vaak als voor de goede werking nodig is, wordt schoongemaakt en vervangen.</w:t>
      </w:r>
    </w:p>
    <w:p w:rsidR="00B84590" w:rsidRDefault="00B84590" w:rsidP="00B84590">
      <w:pPr>
        <w:pStyle w:val="artplatletter"/>
        <w:shd w:val="clear" w:color="auto" w:fill="D9D9D9" w:themeFill="background1" w:themeFillShade="D9"/>
        <w:suppressAutoHyphens/>
        <w:rPr>
          <w:rFonts w:cs="Arial"/>
        </w:rPr>
      </w:pPr>
      <w:r>
        <w:rPr>
          <w:rFonts w:cs="Arial"/>
        </w:rPr>
        <w:t>c.</w:t>
      </w:r>
      <w:r>
        <w:rPr>
          <w:rFonts w:cs="Arial"/>
        </w:rPr>
        <w:tab/>
        <w:t>de afgezogen dampvormige emissies die vrijkomen bij het thermisch aanbrengen van metaallagen op metalen worden gevoerd door een gaswasser die geschikt is om aan artikel 4.68, eerste lid, onderdeel c, van het besluit te voldoen; en</w:t>
      </w:r>
    </w:p>
    <w:p w:rsidR="00B84590" w:rsidRDefault="00B84590" w:rsidP="00B84590">
      <w:pPr>
        <w:pStyle w:val="artplatletter"/>
        <w:shd w:val="clear" w:color="auto" w:fill="D9D9D9" w:themeFill="background1" w:themeFillShade="D9"/>
        <w:suppressAutoHyphens/>
        <w:rPr>
          <w:rFonts w:cs="Arial"/>
        </w:rPr>
      </w:pPr>
      <w:r>
        <w:rPr>
          <w:rFonts w:cs="Arial"/>
        </w:rPr>
        <w:t>d.</w:t>
      </w:r>
      <w:r>
        <w:rPr>
          <w:rFonts w:cs="Arial"/>
        </w:rPr>
        <w:tab/>
        <w:t>die gaswasser in goede staat van onderhoud verkeert, periodiek wordt gecontroleerd en zo vaak als voor de goede werking nodig is wordt schoongemaakt.</w:t>
      </w:r>
    </w:p>
    <w:p w:rsidR="00B84590" w:rsidRDefault="00B84590" w:rsidP="00B84590">
      <w:pPr>
        <w:pStyle w:val="artikelkop"/>
        <w:shd w:val="clear" w:color="auto" w:fill="D9D9D9" w:themeFill="background1" w:themeFillShade="D9"/>
      </w:pPr>
      <w:r>
        <w:t>Artikel 4.83</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is een dompelbad of een fluxbad waarin metaallagen thermisch worden aangebracht op metalen opgesteld boven een lekbak of een vloeistofdichte vloer of verharding, die zich ten minste uitstrekt tot de oppervlakte van het dompelbad en het daarbij behorende uitlekgebied. Onder dit uitlekgebied wordt niet begrepen het gebied waar het metaalproduct wordt geplaatst nadat dit is afgespoeld met water of is gespoeld in een bad met water.</w:t>
      </w:r>
    </w:p>
    <w:p w:rsidR="00B84590" w:rsidRPr="00B84590" w:rsidRDefault="00B84590" w:rsidP="00B84590">
      <w:pPr>
        <w:shd w:val="clear" w:color="auto" w:fill="D9D9D9" w:themeFill="background1" w:themeFillShade="D9"/>
      </w:pPr>
      <w:r>
        <w:rPr>
          <w:rFonts w:cs="Arial"/>
        </w:rPr>
        <w:t>2.</w:t>
      </w:r>
      <w:r>
        <w:rPr>
          <w:rFonts w:cs="Arial"/>
        </w:rPr>
        <w:tab/>
        <w:t>Een dompelbad dat zich automatisch vult is voorzien van een doelmatige overvulbeveiliging of overloopbeveiliging.</w:t>
      </w:r>
    </w:p>
    <w:p w:rsidR="00296032" w:rsidRPr="00296032" w:rsidRDefault="00296032">
      <w:pPr>
        <w:pStyle w:val="paragraaf"/>
        <w:rPr>
          <w:rFonts w:cs="Arial"/>
        </w:rPr>
      </w:pPr>
      <w:bookmarkStart w:id="250" w:name="_Toc277243238"/>
      <w:bookmarkStart w:id="251" w:name="_Toc431375717"/>
      <w:r w:rsidRPr="00296032">
        <w:rPr>
          <w:rFonts w:cs="Arial"/>
        </w:rPr>
        <w:t>§ 4.5.12</w:t>
      </w:r>
      <w:r w:rsidRPr="00296032">
        <w:rPr>
          <w:rFonts w:cs="Arial"/>
        </w:rPr>
        <w:tab/>
        <w:t>Lozen van afvalwater afkomstig van activiteiten in § 4.5.1 tot en met 4.5.11</w:t>
      </w:r>
      <w:bookmarkEnd w:id="250"/>
      <w:bookmarkEnd w:id="251"/>
    </w:p>
    <w:p w:rsidR="00296032" w:rsidRPr="00296032" w:rsidRDefault="00296032">
      <w:pPr>
        <w:pStyle w:val="artikelkop"/>
        <w:rPr>
          <w:rFonts w:cs="Arial"/>
        </w:rPr>
      </w:pPr>
      <w:r w:rsidRPr="00296032">
        <w:rPr>
          <w:rFonts w:cs="Arial"/>
        </w:rPr>
        <w:t>Artikel 4.69a</w:t>
      </w:r>
    </w:p>
    <w:p w:rsidR="00296032" w:rsidRPr="00620047" w:rsidRDefault="00296032">
      <w:pPr>
        <w:pStyle w:val="artplat"/>
      </w:pPr>
      <w:r w:rsidRPr="00620047">
        <w:t>Deze paragraaf is van toepassing op activiteiten als bedoeld in de paragrafen 4.5.1 tot en met 4.5.11.</w:t>
      </w:r>
    </w:p>
    <w:p w:rsidR="00296032" w:rsidRPr="00296032" w:rsidRDefault="00296032">
      <w:pPr>
        <w:pStyle w:val="artikelkop"/>
        <w:rPr>
          <w:rFonts w:cs="Arial"/>
        </w:rPr>
      </w:pPr>
      <w:r w:rsidRPr="00296032">
        <w:rPr>
          <w:rFonts w:cs="Arial"/>
        </w:rPr>
        <w:t>Artikel 4.70</w:t>
      </w:r>
    </w:p>
    <w:p w:rsidR="00296032" w:rsidRPr="00620047" w:rsidRDefault="00296032">
      <w:pPr>
        <w:rPr>
          <w:rFonts w:cs="Arial"/>
        </w:rPr>
      </w:pPr>
      <w:r w:rsidRPr="00620047">
        <w:rPr>
          <w:rFonts w:cs="Arial"/>
        </w:rPr>
        <w:t>Bij het in het vuilwaterriool lozen van afvalwater afkomstig van de activiteiten genoemd in de paragrafen 4.5.1 tot en met 4.5.11 wordt ten minste voldaan aan de artikelen 4.71 tot en met 4.74.</w:t>
      </w:r>
    </w:p>
    <w:p w:rsidR="00296032" w:rsidRPr="00296032" w:rsidRDefault="00296032">
      <w:pPr>
        <w:pStyle w:val="artikelkop"/>
        <w:rPr>
          <w:rFonts w:cs="Arial"/>
        </w:rPr>
      </w:pPr>
      <w:r w:rsidRPr="00296032">
        <w:rPr>
          <w:rFonts w:cs="Arial"/>
        </w:rPr>
        <w:t>Artikel 4.71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afvalwater bevat in enig steekmonster niet meer dan 20 milligram olie per liter.</w:t>
      </w:r>
    </w:p>
    <w:p w:rsidR="00296032" w:rsidRPr="00620047" w:rsidRDefault="00296032">
      <w:pPr>
        <w:pStyle w:val="art1enivo"/>
        <w:rPr>
          <w:rFonts w:cs="Arial"/>
          <w:bCs/>
        </w:rPr>
      </w:pPr>
      <w:r w:rsidRPr="00620047">
        <w:rPr>
          <w:rFonts w:cs="Arial"/>
          <w:bCs/>
        </w:rPr>
        <w:t xml:space="preserve">2. </w:t>
      </w:r>
      <w:r w:rsidRPr="00620047">
        <w:rPr>
          <w:rFonts w:cs="Arial"/>
          <w:bCs/>
        </w:rPr>
        <w:tab/>
        <w:t>In afwijking van het eerste lid bedraagt het gehalte aan olie ten hoogste 200 milligram per liter in enig steekmonster, indien het afvalwater voorafgaand aan vermenging met ander afvalwater wordt geleid door een slibvangput en olieafscheider die:</w:t>
      </w:r>
    </w:p>
    <w:p w:rsidR="00296032" w:rsidRPr="00620047" w:rsidRDefault="00296032">
      <w:pPr>
        <w:pStyle w:val="art2enivo"/>
      </w:pPr>
      <w:r w:rsidRPr="00620047">
        <w:t>a.</w:t>
      </w:r>
      <w:r w:rsidRPr="00620047">
        <w:tab/>
        <w:t>voldoen aan en worden gebruikt conform NEN-EN 858-1 en 2, of</w:t>
      </w:r>
    </w:p>
    <w:p w:rsidR="00296032" w:rsidRPr="00620047" w:rsidRDefault="00296032">
      <w:pPr>
        <w:pStyle w:val="art2enivo"/>
      </w:pPr>
      <w:r w:rsidRPr="00620047">
        <w:rPr>
          <w:rFonts w:cs="Arial"/>
          <w:bCs/>
        </w:rPr>
        <w:t xml:space="preserve">b. </w:t>
      </w:r>
      <w:r w:rsidRPr="00620047">
        <w:rPr>
          <w:rFonts w:cs="Arial"/>
          <w:bCs/>
        </w:rPr>
        <w:tab/>
        <w:t xml:space="preserve">zijn geplaatst voor het van toepassing worden van dit besluit of een deel daarvan op een activiteit in de inrichting en op de hoeveelheid afvalwater zijn afgestemd. </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te lozen afvalwater, bedoeld in het eerste en het tweede lid, kan op een doelmatige wijze worden bemonsterd.</w:t>
      </w:r>
    </w:p>
    <w:p w:rsidR="00296032" w:rsidRPr="00296032" w:rsidRDefault="00296032">
      <w:pPr>
        <w:pStyle w:val="artikelkop"/>
        <w:rPr>
          <w:rFonts w:cs="Arial"/>
        </w:rPr>
      </w:pPr>
      <w:r w:rsidRPr="00296032">
        <w:rPr>
          <w:rFonts w:cs="Arial"/>
        </w:rPr>
        <w:t>Artikel 4.72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lozen van metalen en hulpstoffen wordt beperkt door toepassing van beste beschikbare technieken.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gebruik van kwik is verboden.</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Ter beperking van het lozen van metalen en hulpstoffen wordt ten minste voldaan aan de bij ministeriële regeling te stellen eisen daaromtrent.</w:t>
      </w:r>
    </w:p>
    <w:p w:rsidR="00296032" w:rsidRPr="00296032" w:rsidRDefault="00296032">
      <w:pPr>
        <w:pStyle w:val="artikelkop"/>
        <w:rPr>
          <w:rFonts w:cs="Arial"/>
        </w:rPr>
      </w:pPr>
      <w:r w:rsidRPr="00296032">
        <w:rPr>
          <w:rFonts w:cs="Arial"/>
        </w:rPr>
        <w:t>Artikel 4.73</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4.72 worden bij het lozen van afvalwater dat vrijkomt bij een of meer processen als bedoeld in de paragrafen 4.5.7, 4.5.8, 4.5.10 en 4.5.11, de emissiegrenswaarden genoemd in kolom A van tabel 4.73 niet overschreden.</w:t>
      </w:r>
    </w:p>
    <w:p w:rsidR="00296032" w:rsidRPr="00620047" w:rsidRDefault="00296032">
      <w:pPr>
        <w:pStyle w:val="tabelkop"/>
        <w:rPr>
          <w:rFonts w:cs="Arial"/>
        </w:rPr>
      </w:pPr>
      <w:r w:rsidRPr="00620047">
        <w:rPr>
          <w:rFonts w:cs="Arial"/>
        </w:rPr>
        <w:t>Tabel 4.73</w:t>
      </w:r>
    </w:p>
    <w:tbl>
      <w:tblPr>
        <w:tblW w:w="933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525"/>
        <w:gridCol w:w="2903"/>
        <w:gridCol w:w="2903"/>
      </w:tblGrid>
      <w:tr w:rsidR="00296032" w:rsidRPr="00620047">
        <w:trPr>
          <w:cantSplit/>
          <w:tblHeader/>
        </w:trPr>
        <w:tc>
          <w:tcPr>
            <w:tcW w:w="3525"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Stof </w:t>
            </w:r>
          </w:p>
        </w:tc>
        <w:tc>
          <w:tcPr>
            <w:tcW w:w="5806" w:type="dxa"/>
            <w:gridSpan w:val="2"/>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jc w:val="center"/>
              <w:rPr>
                <w:rFonts w:cs="Arial"/>
                <w:b/>
                <w:bCs/>
              </w:rPr>
            </w:pPr>
            <w:r w:rsidRPr="00620047">
              <w:rPr>
                <w:rFonts w:cs="Arial"/>
                <w:b/>
                <w:bCs/>
              </w:rPr>
              <w:t>emissiegrenswaarde in milligram per liter</w:t>
            </w:r>
          </w:p>
        </w:tc>
      </w:tr>
      <w:tr w:rsidR="00296032" w:rsidRPr="00620047">
        <w:trPr>
          <w:cantSplit/>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rFonts w:cs="Arial"/>
                <w:b/>
                <w:sz w:val="18"/>
                <w:szCs w:val="17"/>
                <w:lang w:eastAsia="en-US"/>
              </w:rPr>
            </w:pP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Kolom A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Kolom B </w:t>
            </w:r>
          </w:p>
        </w:tc>
      </w:tr>
      <w:tr w:rsidR="00296032" w:rsidRPr="00620047">
        <w:trPr>
          <w:cantSplit/>
        </w:trPr>
        <w:tc>
          <w:tcPr>
            <w:tcW w:w="35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Chroom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0,5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1,0 </w:t>
            </w:r>
          </w:p>
        </w:tc>
      </w:tr>
      <w:tr w:rsidR="00296032" w:rsidRPr="00620047">
        <w:trPr>
          <w:cantSplit/>
        </w:trPr>
        <w:tc>
          <w:tcPr>
            <w:tcW w:w="35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Chroom VI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0,1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0,1 </w:t>
            </w:r>
          </w:p>
        </w:tc>
      </w:tr>
      <w:tr w:rsidR="00296032" w:rsidRPr="00620047">
        <w:trPr>
          <w:cantSplit/>
        </w:trPr>
        <w:tc>
          <w:tcPr>
            <w:tcW w:w="35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Koper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0,5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 </w:t>
            </w:r>
          </w:p>
        </w:tc>
      </w:tr>
      <w:tr w:rsidR="00296032" w:rsidRPr="00620047">
        <w:trPr>
          <w:cantSplit/>
        </w:trPr>
        <w:tc>
          <w:tcPr>
            <w:tcW w:w="35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Lood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0,5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 </w:t>
            </w:r>
          </w:p>
        </w:tc>
      </w:tr>
      <w:tr w:rsidR="00296032" w:rsidRPr="00620047">
        <w:trPr>
          <w:cantSplit/>
        </w:trPr>
        <w:tc>
          <w:tcPr>
            <w:tcW w:w="35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Nikkel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0,5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 </w:t>
            </w:r>
          </w:p>
        </w:tc>
      </w:tr>
      <w:tr w:rsidR="00296032" w:rsidRPr="00620047">
        <w:trPr>
          <w:cantSplit/>
        </w:trPr>
        <w:tc>
          <w:tcPr>
            <w:tcW w:w="35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Zilver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0,1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1,0 </w:t>
            </w:r>
          </w:p>
        </w:tc>
      </w:tr>
      <w:tr w:rsidR="00296032" w:rsidRPr="00620047">
        <w:trPr>
          <w:cantSplit/>
        </w:trPr>
        <w:tc>
          <w:tcPr>
            <w:tcW w:w="35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Tin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3,0 </w:t>
            </w:r>
          </w:p>
        </w:tc>
      </w:tr>
      <w:tr w:rsidR="00296032" w:rsidRPr="00620047">
        <w:trPr>
          <w:cantSplit/>
        </w:trPr>
        <w:tc>
          <w:tcPr>
            <w:tcW w:w="35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Zink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0,5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 </w:t>
            </w:r>
          </w:p>
        </w:tc>
      </w:tr>
      <w:tr w:rsidR="00296032" w:rsidRPr="00620047">
        <w:trPr>
          <w:cantSplit/>
        </w:trPr>
        <w:tc>
          <w:tcPr>
            <w:tcW w:w="352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Vrij cyanide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0,2 </w:t>
            </w:r>
          </w:p>
        </w:tc>
        <w:tc>
          <w:tcPr>
            <w:tcW w:w="290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1,0 </w:t>
            </w:r>
          </w:p>
        </w:tc>
      </w:tr>
    </w:tbl>
    <w:p w:rsidR="00296032" w:rsidRPr="00620047" w:rsidRDefault="00296032">
      <w:pPr>
        <w:pStyle w:val="art1enivo"/>
        <w:rPr>
          <w:rFonts w:cs="Arial"/>
        </w:rPr>
      </w:pPr>
      <w:r w:rsidRPr="00620047">
        <w:rPr>
          <w:rFonts w:cs="Arial"/>
        </w:rPr>
        <w:tab/>
        <w:t>De in tabel 4.73 genoemde waarden gelden voor representatieve etmaalmonsters. Voor steekmonsters gelden een factor drie hogere waarden.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het lozen in het vuilwaterriool van afvalwater dat vrijkomt bij een of meer processen als bedoeld in het eerste lid bedraagt het gehalte aan vluchtige organohalogeenverbindingen uitgedrukt als chloor niet meer dan 0,1 milligram per liter.</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te lozen afvalwater, bedoeld in het eerste lid, kan op een doelmatige wijze worden bemonsterd.</w:t>
      </w:r>
    </w:p>
    <w:p w:rsidR="00296032" w:rsidRPr="00296032" w:rsidRDefault="00296032">
      <w:pPr>
        <w:pStyle w:val="artikelkop"/>
        <w:rPr>
          <w:rFonts w:cs="Arial"/>
        </w:rPr>
      </w:pPr>
      <w:r w:rsidRPr="00296032">
        <w:rPr>
          <w:rFonts w:cs="Arial"/>
        </w:rPr>
        <w:t>Artikel 4.74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maatwerkvoorschrift kan het bevoegd gezag artikel 4.73, eerste lid, niet van toepassing verklaren en hogere gehalten vaststellen dan de gehalten, bedoeld in dat lid.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bevoegd gezag kan een maatwerkvoorschrift als bedoeld in het eerste lid slechts vaststellen indien:</w:t>
      </w:r>
    </w:p>
    <w:p w:rsidR="00296032" w:rsidRPr="00620047" w:rsidRDefault="00296032">
      <w:pPr>
        <w:pStyle w:val="art2enivo"/>
        <w:rPr>
          <w:rFonts w:cs="Arial"/>
        </w:rPr>
      </w:pPr>
      <w:r w:rsidRPr="00620047">
        <w:rPr>
          <w:rFonts w:cs="Arial"/>
        </w:rPr>
        <w:t>a.</w:t>
      </w:r>
      <w:r w:rsidRPr="00620047">
        <w:rPr>
          <w:rFonts w:cs="Arial"/>
        </w:rPr>
        <w:tab/>
        <w:t>de som van de vrachten van de metalen chroom, koper, nikkel, lood, zink, tin en zilver na het proces maar voor de eindzuivering minder dan 200 gram per dag bedraagt, of de gehalten genoemd in kolom A van tabel 4.73 niet met de best beschikbare technieken kunnen worden bereikt, met dien verstand dat het bij maatwerkvoorschrift toegestane gehalte niet meer bedraagt dan de gehalten genoemd in kolom B van tabel 4.73;</w:t>
      </w:r>
    </w:p>
    <w:p w:rsidR="00296032" w:rsidRPr="00620047" w:rsidRDefault="00296032">
      <w:pPr>
        <w:pStyle w:val="art2enivo"/>
        <w:rPr>
          <w:rFonts w:cs="Arial"/>
        </w:rPr>
      </w:pPr>
      <w:r w:rsidRPr="00620047">
        <w:rPr>
          <w:rFonts w:cs="Arial"/>
        </w:rPr>
        <w:t>b.</w:t>
      </w:r>
      <w:r w:rsidRPr="00620047">
        <w:rPr>
          <w:rFonts w:cs="Arial"/>
        </w:rPr>
        <w:tab/>
        <w:t>aannemelijk is dat de som van de vrachten van de metalen chroom, koper, nikkel, lood, zink, tin en zilver na het proces maar voor de eindzuivering minder dan 80 gram per dag bedraagt, met dien verstande dat het bij maatwerkvoorschrift toegestane som van de gehaltes van de metalen chroom, koper, nikkel, lood, zink, tin en zilver niet meer bedraagt dan 15 milligram per liter indien het de som van de metalen in een representatief etmaalmonster betreft of niet meer dan 45 milligram per liter indien het de som van de gehaltes van deze metalen in een steekmonster betreft.</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te lozen afvalwater, bedoeld in het tweede lid, kan op een doelmatige wijze worden bemonsterd.</w:t>
      </w:r>
    </w:p>
    <w:p w:rsidR="00296032" w:rsidRPr="00296032" w:rsidRDefault="00296032">
      <w:pPr>
        <w:pStyle w:val="artikelkop"/>
      </w:pPr>
      <w:r w:rsidRPr="00296032">
        <w:t xml:space="preserve">Artikel 4.74.0 </w:t>
      </w:r>
    </w:p>
    <w:p w:rsidR="00296032" w:rsidRPr="00620047" w:rsidRDefault="00296032">
      <w:pPr>
        <w:pStyle w:val="artplat"/>
      </w:pPr>
      <w:r w:rsidRPr="00620047">
        <w:t>In afwijking van artikel 6.2, vierde lid, kan het bevoegd gezag het lozen van afvalwater dat vrijkomt bij een of meer processen als bedoeld in de paragrafen 4.5.7, 4.5.8, 4.5.10 en 4.5.11 bij maatwerkvoorschrift voor een daarbij aangegeven termijn bepalen dat het lozen van afvalwater met een hogere waarde dan de waarden genoemd in kolom B van tabel 4.73 van artikel 4.73 is toegestaan, indien:</w:t>
      </w:r>
    </w:p>
    <w:p w:rsidR="00296032" w:rsidRPr="00620047" w:rsidRDefault="00296032">
      <w:pPr>
        <w:pStyle w:val="artplatletter"/>
      </w:pPr>
      <w:r w:rsidRPr="00620047">
        <w:t>a.</w:t>
      </w:r>
      <w:r w:rsidRPr="00620047">
        <w:tab/>
        <w:t>het lozen van afvalwater met een hogere waarde dan de waarden genoemd in kolom B van tabel 4.73 was toegestaan op grond van een vergunning op grond van artikel 1 van de Wet verontreiniging oppervlaktewateren dan wel artikel 2.1, eerste lid, aanhef en onder e, van de Wet algemene bepalingen omgevingsrecht, die tot het van toepassing worden van artikel 4.74 op de inrichting in werking en onherroepelijk was;</w:t>
      </w:r>
    </w:p>
    <w:p w:rsidR="00296032" w:rsidRPr="00620047" w:rsidRDefault="00296032">
      <w:pPr>
        <w:pStyle w:val="artplatletter"/>
      </w:pPr>
      <w:r w:rsidRPr="00620047">
        <w:t>b.</w:t>
      </w:r>
      <w:r w:rsidRPr="00620047">
        <w:tab/>
        <w:t>degene die de inrichting drijft aantoont dat bij het lozen niet aan de emissiegrenswaarden genoemd in kolom B van tabel 4.73 kan worden voldaan, en</w:t>
      </w:r>
    </w:p>
    <w:p w:rsidR="00296032" w:rsidRDefault="00296032">
      <w:pPr>
        <w:pStyle w:val="artplatletter"/>
      </w:pPr>
      <w:r w:rsidRPr="00620047">
        <w:t>c.</w:t>
      </w:r>
      <w:r w:rsidRPr="00620047">
        <w:tab/>
        <w:t>het verzoek tot het stellen van het maatwerkvoorschrift binnen zes maanden na het van toepassing worden van artikel 4.74 op de inrichting bij het bevoegd gezag is gedaan.</w:t>
      </w:r>
    </w:p>
    <w:p w:rsidR="00B84590" w:rsidRDefault="00B84590">
      <w:pPr>
        <w:pStyle w:val="artplatletter"/>
      </w:pPr>
    </w:p>
    <w:p w:rsidR="00B84590" w:rsidRDefault="00B84590" w:rsidP="00B84590">
      <w:pPr>
        <w:pStyle w:val="paragraaf"/>
        <w:shd w:val="clear" w:color="auto" w:fill="D9D9D9" w:themeFill="background1" w:themeFillShade="D9"/>
      </w:pPr>
      <w:bookmarkStart w:id="252" w:name="_Toc431375718"/>
      <w:r>
        <w:t>§ 4.5.11.</w:t>
      </w:r>
      <w:r>
        <w:tab/>
        <w:t>Lozen van afvalwater afkomstig van activiteiten in § 4.5.1 tot en met § 4.5.11 van het besluit</w:t>
      </w:r>
      <w:bookmarkEnd w:id="252"/>
    </w:p>
    <w:p w:rsidR="00B84590" w:rsidRDefault="00B84590" w:rsidP="00B84590">
      <w:pPr>
        <w:pStyle w:val="artikelkop"/>
        <w:shd w:val="clear" w:color="auto" w:fill="D9D9D9" w:themeFill="background1" w:themeFillShade="D9"/>
      </w:pPr>
      <w:r>
        <w:t>Artikel 4.84</w:t>
      </w:r>
    </w:p>
    <w:p w:rsidR="00B84590" w:rsidRDefault="00B84590" w:rsidP="00B84590">
      <w:pPr>
        <w:pStyle w:val="art1enivo"/>
        <w:shd w:val="clear" w:color="auto" w:fill="D9D9D9" w:themeFill="background1" w:themeFillShade="D9"/>
        <w:suppressAutoHyphens/>
        <w:rPr>
          <w:rFonts w:cs="Arial"/>
        </w:rPr>
      </w:pPr>
      <w:r>
        <w:rPr>
          <w:rFonts w:cs="Arial"/>
        </w:rPr>
        <w:t>1.</w:t>
      </w:r>
      <w:r>
        <w:rPr>
          <w:rFonts w:cs="Arial"/>
        </w:rPr>
        <w:tab/>
        <w:t>Bij het lozen van afvalwater afkomstig van activiteiten in § 4.5.1 tot en met § 4.5.11 van het besluit wordt ter beperking van het lozen van metalen en hulpstoffen ten minste voldaan aan het tweede tot en met het vierde lid.</w:t>
      </w:r>
    </w:p>
    <w:p w:rsidR="00B84590" w:rsidRDefault="00B84590" w:rsidP="00B84590">
      <w:pPr>
        <w:pStyle w:val="art1enivo"/>
        <w:shd w:val="clear" w:color="auto" w:fill="D9D9D9" w:themeFill="background1" w:themeFillShade="D9"/>
        <w:suppressAutoHyphens/>
        <w:rPr>
          <w:rFonts w:cs="Arial"/>
        </w:rPr>
      </w:pPr>
      <w:r>
        <w:rPr>
          <w:rFonts w:cs="Arial"/>
        </w:rPr>
        <w:t>2.</w:t>
      </w:r>
      <w:r>
        <w:rPr>
          <w:rFonts w:cs="Arial"/>
        </w:rPr>
        <w:tab/>
        <w:t>Degene die de inrichting drijft stelt gedragsvoorschriften op die zijn gericht op het voorkomen van nadelige gevolgen voor het milieu en een doelmatige afvoer van het bedrijfsafvalwater én draagt ervoor zorg dat de gedragsregels worden nageleefd.</w:t>
      </w:r>
    </w:p>
    <w:p w:rsidR="00B84590" w:rsidRDefault="00B84590" w:rsidP="00B84590">
      <w:pPr>
        <w:pStyle w:val="art1enivo"/>
        <w:shd w:val="clear" w:color="auto" w:fill="D9D9D9" w:themeFill="background1" w:themeFillShade="D9"/>
        <w:suppressAutoHyphens/>
        <w:rPr>
          <w:rFonts w:cs="Arial"/>
        </w:rPr>
      </w:pPr>
      <w:r>
        <w:rPr>
          <w:rFonts w:cs="Arial"/>
        </w:rPr>
        <w:t>3.</w:t>
      </w:r>
      <w:r>
        <w:rPr>
          <w:rFonts w:cs="Arial"/>
        </w:rPr>
        <w:tab/>
        <w:t>In de gedragsvoorschriften wordt ten minste aangegeven:</w:t>
      </w:r>
    </w:p>
    <w:p w:rsidR="00B84590" w:rsidRDefault="00B84590" w:rsidP="00B84590">
      <w:pPr>
        <w:pStyle w:val="art2enivo"/>
        <w:shd w:val="clear" w:color="auto" w:fill="D9D9D9" w:themeFill="background1" w:themeFillShade="D9"/>
        <w:suppressAutoHyphens/>
        <w:rPr>
          <w:rFonts w:cs="Arial"/>
        </w:rPr>
      </w:pPr>
      <w:r>
        <w:rPr>
          <w:rFonts w:cs="Arial"/>
        </w:rPr>
        <w:t>a.</w:t>
      </w:r>
      <w:r>
        <w:rPr>
          <w:rFonts w:cs="Arial"/>
        </w:rPr>
        <w:tab/>
        <w:t>wanneer en op welke wijze controle van installaties en onderdelen van de inrichting plaatsvindt, waarvan de werking van invloed kan zijn op het lozen van metalen en hulpstoffen;</w:t>
      </w:r>
    </w:p>
    <w:p w:rsidR="00B84590" w:rsidRDefault="00B84590" w:rsidP="00B84590">
      <w:pPr>
        <w:pStyle w:val="art2enivo"/>
        <w:shd w:val="clear" w:color="auto" w:fill="D9D9D9" w:themeFill="background1" w:themeFillShade="D9"/>
        <w:suppressAutoHyphens/>
        <w:rPr>
          <w:rFonts w:cs="Arial"/>
        </w:rPr>
      </w:pPr>
      <w:r>
        <w:rPr>
          <w:rFonts w:cs="Arial"/>
        </w:rPr>
        <w:t>b.</w:t>
      </w:r>
      <w:r>
        <w:rPr>
          <w:rFonts w:cs="Arial"/>
        </w:rPr>
        <w:tab/>
        <w:t>op welke wijze invulling wordt gegeven aan maatregelen die voortkomen uit de preventieve aanpak;</w:t>
      </w:r>
    </w:p>
    <w:p w:rsidR="00B84590" w:rsidRDefault="00B84590" w:rsidP="00B84590">
      <w:pPr>
        <w:pStyle w:val="art2enivo"/>
        <w:shd w:val="clear" w:color="auto" w:fill="D9D9D9" w:themeFill="background1" w:themeFillShade="D9"/>
        <w:suppressAutoHyphens/>
        <w:rPr>
          <w:rFonts w:cs="Arial"/>
        </w:rPr>
      </w:pPr>
      <w:r>
        <w:rPr>
          <w:rFonts w:cs="Arial"/>
        </w:rPr>
        <w:t>c.</w:t>
      </w:r>
      <w:r>
        <w:rPr>
          <w:rFonts w:cs="Arial"/>
        </w:rPr>
        <w:tab/>
        <w:t>op welke wijze de oversleep wordt beperkt;</w:t>
      </w:r>
    </w:p>
    <w:p w:rsidR="00B84590" w:rsidRDefault="00B84590" w:rsidP="00B84590">
      <w:pPr>
        <w:pStyle w:val="art2enivo"/>
        <w:shd w:val="clear" w:color="auto" w:fill="D9D9D9" w:themeFill="background1" w:themeFillShade="D9"/>
        <w:suppressAutoHyphens/>
        <w:rPr>
          <w:rFonts w:cs="Arial"/>
        </w:rPr>
      </w:pPr>
      <w:r>
        <w:rPr>
          <w:rFonts w:cs="Arial"/>
        </w:rPr>
        <w:t>d.</w:t>
      </w:r>
      <w:r>
        <w:rPr>
          <w:rFonts w:cs="Arial"/>
        </w:rPr>
        <w:tab/>
        <w:t>op welke wijze mogelijk te nemen procesgeïntegreerde maatregelen op haalbaarheid worden onderzocht en genomen;</w:t>
      </w:r>
    </w:p>
    <w:p w:rsidR="00B84590" w:rsidRDefault="00B84590" w:rsidP="00B84590">
      <w:pPr>
        <w:pStyle w:val="art2enivo"/>
        <w:shd w:val="clear" w:color="auto" w:fill="D9D9D9" w:themeFill="background1" w:themeFillShade="D9"/>
        <w:suppressAutoHyphens/>
        <w:rPr>
          <w:rFonts w:cs="Arial"/>
        </w:rPr>
      </w:pPr>
      <w:r>
        <w:rPr>
          <w:rFonts w:cs="Arial"/>
        </w:rPr>
        <w:t>e.</w:t>
      </w:r>
      <w:r>
        <w:rPr>
          <w:rFonts w:cs="Arial"/>
        </w:rPr>
        <w:tab/>
        <w:t>hoe wordt omgegaan met procesafvalwater en hoe dit doelmatig wordt verwerkt;</w:t>
      </w:r>
    </w:p>
    <w:p w:rsidR="00B84590" w:rsidRDefault="00B84590" w:rsidP="00B84590">
      <w:pPr>
        <w:pStyle w:val="art2enivo"/>
        <w:shd w:val="clear" w:color="auto" w:fill="D9D9D9" w:themeFill="background1" w:themeFillShade="D9"/>
        <w:suppressAutoHyphens/>
        <w:rPr>
          <w:rFonts w:cs="Arial"/>
        </w:rPr>
      </w:pPr>
      <w:r>
        <w:rPr>
          <w:rFonts w:cs="Arial"/>
        </w:rPr>
        <w:t>f.</w:t>
      </w:r>
      <w:r>
        <w:rPr>
          <w:rFonts w:cs="Arial"/>
        </w:rPr>
        <w:tab/>
        <w:t>indien ethyleendiaminetetra-acetaat wordt gebruikt, waarom dit noodzakelijk is voor het proces en welke maatregelen genomen worden om de emissies ervan te beperken;</w:t>
      </w:r>
    </w:p>
    <w:p w:rsidR="00B84590" w:rsidRDefault="00B84590" w:rsidP="00B84590">
      <w:pPr>
        <w:pStyle w:val="art2enivo"/>
        <w:shd w:val="clear" w:color="auto" w:fill="D9D9D9" w:themeFill="background1" w:themeFillShade="D9"/>
        <w:suppressAutoHyphens/>
        <w:rPr>
          <w:rFonts w:cs="Arial"/>
        </w:rPr>
      </w:pPr>
      <w:r>
        <w:rPr>
          <w:rFonts w:cs="Arial"/>
        </w:rPr>
        <w:t>g.</w:t>
      </w:r>
      <w:r>
        <w:rPr>
          <w:rFonts w:cs="Arial"/>
        </w:rPr>
        <w:tab/>
        <w:t>indien een chroomlaag elektrolytisch wordt aangebracht met behulp van een oplossing van chroom VI, welke maatregelen genomen worden om dit metaal terug te voeren uit het spoelwater naar het procesbad;</w:t>
      </w:r>
    </w:p>
    <w:p w:rsidR="00B84590" w:rsidRDefault="00B84590" w:rsidP="00B84590">
      <w:pPr>
        <w:pStyle w:val="art2enivo"/>
        <w:shd w:val="clear" w:color="auto" w:fill="D9D9D9" w:themeFill="background1" w:themeFillShade="D9"/>
        <w:suppressAutoHyphens/>
        <w:rPr>
          <w:rFonts w:cs="Arial"/>
        </w:rPr>
      </w:pPr>
      <w:r>
        <w:rPr>
          <w:rFonts w:cs="Arial"/>
        </w:rPr>
        <w:t>h.</w:t>
      </w:r>
      <w:r>
        <w:rPr>
          <w:rFonts w:cs="Arial"/>
        </w:rPr>
        <w:tab/>
        <w:t>indien er wordt gewerkt met cyanide, welke maatregelen genomen worden om cyanide terug te voeren uit het spoelwater naar het procesbad;</w:t>
      </w:r>
    </w:p>
    <w:p w:rsidR="00B84590" w:rsidRDefault="00B84590" w:rsidP="00B84590">
      <w:pPr>
        <w:pStyle w:val="art2enivo"/>
        <w:shd w:val="clear" w:color="auto" w:fill="D9D9D9" w:themeFill="background1" w:themeFillShade="D9"/>
        <w:suppressAutoHyphens/>
        <w:rPr>
          <w:rFonts w:cs="Arial"/>
        </w:rPr>
      </w:pPr>
      <w:r>
        <w:rPr>
          <w:rFonts w:cs="Arial"/>
        </w:rPr>
        <w:t>i.</w:t>
      </w:r>
      <w:r>
        <w:rPr>
          <w:rFonts w:cs="Arial"/>
        </w:rPr>
        <w:tab/>
        <w:t>indien perfluoroctaansulfonaten als hulpstof worden toegepast, welke maatregelen genomen worden om perfluoroctaansulfonaten terug te voeren uit het spoelwater naar het procesbad; en</w:t>
      </w:r>
    </w:p>
    <w:p w:rsidR="00B84590" w:rsidRDefault="00B84590" w:rsidP="00B84590">
      <w:pPr>
        <w:pStyle w:val="art2enivo"/>
        <w:shd w:val="clear" w:color="auto" w:fill="D9D9D9" w:themeFill="background1" w:themeFillShade="D9"/>
        <w:suppressAutoHyphens/>
        <w:rPr>
          <w:rFonts w:cs="Arial"/>
        </w:rPr>
      </w:pPr>
      <w:r>
        <w:rPr>
          <w:rFonts w:cs="Arial"/>
        </w:rPr>
        <w:t>j.</w:t>
      </w:r>
      <w:r>
        <w:rPr>
          <w:rFonts w:cs="Arial"/>
        </w:rPr>
        <w:tab/>
        <w:t>indien cadmium wordt verwerkt, welke maatregelen worden genomen om cadmium terug te voeren uit het spoelwater naar het procesbad en op welke wijze het afvalwater dat cadmium kan bevatten, separaat van het overige afvalwater, wordt verwerkt.</w:t>
      </w:r>
    </w:p>
    <w:p w:rsidR="00B84590" w:rsidRPr="00620047" w:rsidRDefault="00B84590" w:rsidP="00B84590">
      <w:pPr>
        <w:shd w:val="clear" w:color="auto" w:fill="D9D9D9" w:themeFill="background1" w:themeFillShade="D9"/>
      </w:pPr>
      <w:r>
        <w:rPr>
          <w:rFonts w:cs="Arial"/>
        </w:rPr>
        <w:t>4.</w:t>
      </w:r>
      <w:r>
        <w:rPr>
          <w:rFonts w:cs="Arial"/>
        </w:rPr>
        <w:tab/>
        <w:t>Het bevoegd gezag kan indien het belang van de bescherming van het milieu daartoe noodzaakt maatwerkvoorschriften stellen ten aanzien van de invulling van de gedragsvoorschriften als bedoeld in het tweede lid.</w:t>
      </w:r>
    </w:p>
    <w:p w:rsidR="00296032" w:rsidRPr="00296032" w:rsidRDefault="00296032">
      <w:pPr>
        <w:pStyle w:val="paragraaf"/>
      </w:pPr>
      <w:bookmarkStart w:id="253" w:name="_Toc431375719"/>
      <w:r w:rsidRPr="00296032">
        <w:t>§ 4.5.13 Smelten en gieten van metalen</w:t>
      </w:r>
      <w:bookmarkEnd w:id="253"/>
    </w:p>
    <w:p w:rsidR="00296032" w:rsidRPr="00296032" w:rsidRDefault="00296032">
      <w:pPr>
        <w:pStyle w:val="artikelkop"/>
      </w:pPr>
      <w:r w:rsidRPr="00296032">
        <w:t xml:space="preserve">Artikel 4.74.1 </w:t>
      </w:r>
    </w:p>
    <w:p w:rsidR="00296032" w:rsidRPr="00620047" w:rsidRDefault="00296032">
      <w:pPr>
        <w:pStyle w:val="artplat"/>
      </w:pPr>
      <w:r w:rsidRPr="00620047">
        <w:t>Deze paragraaf is van toepassing op:</w:t>
      </w:r>
    </w:p>
    <w:p w:rsidR="00296032" w:rsidRPr="00620047" w:rsidRDefault="00296032">
      <w:pPr>
        <w:pStyle w:val="artplatletter"/>
      </w:pPr>
      <w:r w:rsidRPr="00620047">
        <w:t>a.</w:t>
      </w:r>
      <w:r w:rsidRPr="00620047">
        <w:tab/>
        <w:t>het smelten en gieten van metalen met uitzondering van goud, zilver, platina en legeringen met ten minste 30% van deze metalen tot ten hoogste 500 kilo per jaar;</w:t>
      </w:r>
    </w:p>
    <w:p w:rsidR="00296032" w:rsidRPr="00620047" w:rsidRDefault="00296032">
      <w:pPr>
        <w:pStyle w:val="artplatletter"/>
      </w:pPr>
      <w:r w:rsidRPr="00620047">
        <w:t>b.</w:t>
      </w:r>
      <w:r w:rsidRPr="00620047">
        <w:tab/>
        <w:t>het maken en coaten van vormen en kernen in kleigebonden of chemisch gebonden zand ten behoeve van het gieten van metalen;</w:t>
      </w:r>
    </w:p>
    <w:p w:rsidR="00296032" w:rsidRPr="00620047" w:rsidRDefault="00296032">
      <w:pPr>
        <w:pStyle w:val="artplatletter"/>
      </w:pPr>
      <w:r w:rsidRPr="00620047">
        <w:t>c.</w:t>
      </w:r>
      <w:r w:rsidRPr="00620047">
        <w:tab/>
        <w:t>het maken van croning- en coldbox-kernen ten behoeve van het gieten van metalen;</w:t>
      </w:r>
    </w:p>
    <w:p w:rsidR="00296032" w:rsidRPr="00620047" w:rsidRDefault="00296032">
      <w:pPr>
        <w:pStyle w:val="artplatletter"/>
      </w:pPr>
      <w:r w:rsidRPr="00620047">
        <w:t>d.</w:t>
      </w:r>
      <w:r w:rsidRPr="00620047">
        <w:tab/>
        <w:t>het uitbreken en ontzanden van gietstukken;</w:t>
      </w:r>
    </w:p>
    <w:p w:rsidR="00296032" w:rsidRPr="00620047" w:rsidRDefault="00296032">
      <w:pPr>
        <w:pStyle w:val="artplatletter"/>
      </w:pPr>
      <w:r w:rsidRPr="00620047">
        <w:t>e.</w:t>
      </w:r>
      <w:r w:rsidRPr="00620047">
        <w:tab/>
        <w:t>de koude regeneratie van zand ten behoeve van het gieten van metalen;</w:t>
      </w:r>
    </w:p>
    <w:p w:rsidR="00296032" w:rsidRPr="00620047" w:rsidRDefault="00296032">
      <w:pPr>
        <w:pStyle w:val="artplatletter"/>
      </w:pPr>
      <w:r w:rsidRPr="00620047">
        <w:t>f.</w:t>
      </w:r>
      <w:r w:rsidRPr="00620047">
        <w:tab/>
        <w:t>het maken van de vorm met behulp van was, inclusief het verwijderen van de was, waaronder keramische vormen.</w:t>
      </w:r>
    </w:p>
    <w:p w:rsidR="00296032" w:rsidRPr="00296032" w:rsidRDefault="00296032">
      <w:pPr>
        <w:pStyle w:val="artikelkop"/>
      </w:pPr>
      <w:r w:rsidRPr="00296032">
        <w:t xml:space="preserve">Artikel 4.74.2 </w:t>
      </w:r>
    </w:p>
    <w:p w:rsidR="00296032" w:rsidRPr="00620047" w:rsidRDefault="00296032">
      <w:pPr>
        <w:pStyle w:val="art1enivo"/>
      </w:pPr>
      <w:r w:rsidRPr="00620047">
        <w:t>1.</w:t>
      </w:r>
      <w:r w:rsidRPr="00620047">
        <w:tab/>
        <w:t>Ten behoeve van het voorkomen dan wel voor zover dat niet mogelijk is het zoveel mogelijk beperken van emissies van dioxines en polycyclische aromatische koolwaterstoffen naar lucht worden bij het smelten van metalen alleen metalen gesmolten die voldoen aan de bij ministeriële regeling gestelde eisen.</w:t>
      </w:r>
    </w:p>
    <w:p w:rsidR="00296032" w:rsidRPr="00620047" w:rsidRDefault="00296032">
      <w:pPr>
        <w:pStyle w:val="art1enivo"/>
      </w:pPr>
      <w:r w:rsidRPr="00620047">
        <w:t>2.</w:t>
      </w:r>
      <w:r w:rsidRPr="00620047">
        <w:tab/>
        <w:t>Onverminderd de artikelen 2.5, eerste, vierde en vijfde lid, en 2.6 is bij het smelten van metalen de emissieconcentratie van lood naar de lucht ten hoogste 0,5 milligram per normaal kubieke meter, indien de massastroom van lood naar de lucht gelijk is aan of groter is dan 2,5 gram per uur.</w:t>
      </w:r>
    </w:p>
    <w:p w:rsidR="00296032" w:rsidRPr="00296032" w:rsidRDefault="00296032">
      <w:pPr>
        <w:pStyle w:val="artikelkop"/>
      </w:pPr>
      <w:r w:rsidRPr="00296032">
        <w:t xml:space="preserve">Artikel 4.74.3 </w:t>
      </w:r>
    </w:p>
    <w:p w:rsidR="00296032" w:rsidRPr="00620047" w:rsidRDefault="00296032">
      <w:pPr>
        <w:pStyle w:val="artplat"/>
      </w:pPr>
      <w:r w:rsidRPr="00620047">
        <w:t>Onverminderd de artikelen 2.5, eerste, vierde en vijfde lid, en 2.6 is bij het maken en coaten van verloren gietvormen en kernen uit kleigebonden of chemische gebonden zand de emissieconcentratie van totaal stof ten hoogste 5 milligram per normaal kubieke meter, indien de massastroom van totaal stof naar de lucht gelijk is aan of groter is dan 200 gram per uur en ten hoogste 50 milligram per normaal kubieke meter indien de massastroom kleiner is dan 200 gram per uur;</w:t>
      </w:r>
    </w:p>
    <w:p w:rsidR="00296032" w:rsidRPr="00296032" w:rsidRDefault="00296032">
      <w:pPr>
        <w:pStyle w:val="artikelkop"/>
      </w:pPr>
      <w:r w:rsidRPr="00296032">
        <w:t xml:space="preserve">Artikel 4.74.4 </w:t>
      </w:r>
    </w:p>
    <w:p w:rsidR="00296032" w:rsidRPr="00620047" w:rsidRDefault="00296032">
      <w:pPr>
        <w:pStyle w:val="artplat"/>
      </w:pPr>
      <w:r w:rsidRPr="00620047">
        <w:t>Onverminderd de artikelen 2.5, eerste, vierde en vijfde lid, en 2.6 is bij het maken van croning- en coldbox-kernen de emissieconcentratie van:</w:t>
      </w:r>
    </w:p>
    <w:p w:rsidR="00296032" w:rsidRPr="00620047" w:rsidRDefault="00296032">
      <w:pPr>
        <w:pStyle w:val="artplatletter"/>
      </w:pPr>
      <w:r w:rsidRPr="00620047">
        <w:t>a.</w:t>
      </w:r>
      <w:r w:rsidRPr="00620047">
        <w:tab/>
        <w:t>totaal stof ten hoogste 20 milligram per normaal kubieke meter, indien de massastroom van totaal stof naar de lucht gelijk is aan of groter is dan 200 gram per uur en ten hoogste 50 milligram per normaal kubieke meter indien de massastroom kleiner is dan 200 gram per uur, en</w:t>
      </w:r>
    </w:p>
    <w:p w:rsidR="00296032" w:rsidRPr="00620047" w:rsidRDefault="00296032">
      <w:pPr>
        <w:pStyle w:val="artplatletter"/>
      </w:pPr>
      <w:r w:rsidRPr="00620047">
        <w:t>b.</w:t>
      </w:r>
      <w:r w:rsidRPr="00620047">
        <w:tab/>
        <w:t>aminen ten hoogste 5 milligram per normaal kubieke meter.</w:t>
      </w:r>
    </w:p>
    <w:p w:rsidR="00296032" w:rsidRPr="00296032" w:rsidRDefault="00296032">
      <w:pPr>
        <w:pStyle w:val="artikelkop"/>
      </w:pPr>
      <w:r w:rsidRPr="00296032">
        <w:t xml:space="preserve">Artikel 4.74.5 </w:t>
      </w:r>
    </w:p>
    <w:p w:rsidR="00296032" w:rsidRPr="00620047" w:rsidRDefault="00296032">
      <w:pPr>
        <w:pStyle w:val="art1enivo"/>
      </w:pPr>
      <w:r w:rsidRPr="00620047">
        <w:t>1.</w:t>
      </w:r>
      <w:r w:rsidRPr="00620047">
        <w:tab/>
        <w:t>Onverminderd de artikelen 2.5, eerste, vierde en vijfde lid, en 2.6 is bij uitbreken van gietstukken de emissieconcentratie van totaal stof ten hoogste 5 milligram per normaal kubieke meter, indien de massastroom van totaal stof naar de lucht gelijk is aan of groter is dan 200 gram per uur en ten hoogste 50 milligram per normaal kubieke meter indien de massastroom kleiner is dan 200 gram per uur.</w:t>
      </w:r>
    </w:p>
    <w:p w:rsidR="00296032" w:rsidRPr="00620047" w:rsidRDefault="00296032">
      <w:pPr>
        <w:pStyle w:val="art1enivo"/>
      </w:pPr>
      <w:r w:rsidRPr="00620047">
        <w:t>2.</w:t>
      </w:r>
      <w:r w:rsidRPr="00620047">
        <w:tab/>
        <w:t>Het eerste lid is niet van toepassing indien het gietstuk inclusief zandvorm vanwege het gewicht en de omvang niet verplaatsbaar is.</w:t>
      </w:r>
    </w:p>
    <w:p w:rsidR="00296032" w:rsidRPr="00620047" w:rsidRDefault="00296032">
      <w:pPr>
        <w:pStyle w:val="art1enivo"/>
      </w:pPr>
      <w:r w:rsidRPr="00620047">
        <w:t>3.</w:t>
      </w:r>
      <w:r w:rsidRPr="00620047">
        <w:tab/>
        <w:t>Bij het uitbreken en ontzanden van het gietstuk, bedoeld in het tweede lid, wordt ten behoeve van het voorkomen dan wel voor zover dat niet mogelijk is het zoveel mogelijk beperken van emissies van totaal stof naar de lucht voldaan aan de bij ministeriële regeling gestelde eisen.</w:t>
      </w:r>
    </w:p>
    <w:p w:rsidR="00296032" w:rsidRPr="00296032" w:rsidRDefault="00296032">
      <w:pPr>
        <w:pStyle w:val="artikelkop"/>
      </w:pPr>
      <w:r w:rsidRPr="00296032">
        <w:t xml:space="preserve">Artikel 4.74.6 </w:t>
      </w:r>
    </w:p>
    <w:p w:rsidR="00296032" w:rsidRPr="00620047" w:rsidRDefault="00296032">
      <w:pPr>
        <w:pStyle w:val="artplat"/>
      </w:pPr>
      <w:r w:rsidRPr="00620047">
        <w:t>Onverminderd de artikelen 2.5, eerste, vierde en vijfde lid, en 2.6 is bij het koud regenereren van zand, de emissieconcentratie van totaal stof ten hoogste 5 milligram per normaal kubieke meter, indien de massastroom van totaal stof naar de lucht gelijk is aan of groter is dan 200 gram per uur en ten hoogste 50 milligram per normaal kubieke meter indien de massastroom kleiner is dan 200 gram per uur.</w:t>
      </w:r>
    </w:p>
    <w:p w:rsidR="00296032" w:rsidRPr="00296032" w:rsidRDefault="00296032">
      <w:pPr>
        <w:pStyle w:val="artikelkop"/>
      </w:pPr>
      <w:r w:rsidRPr="00296032">
        <w:t xml:space="preserve">Artikel 4.74.7 </w:t>
      </w:r>
    </w:p>
    <w:p w:rsidR="00296032" w:rsidRPr="00620047" w:rsidRDefault="00296032">
      <w:pPr>
        <w:pStyle w:val="artplat"/>
      </w:pPr>
      <w:r w:rsidRPr="00620047">
        <w:t>Bij de activiteiten, bedoeld in artikel 4.74.1, wordt ten behoeve van:</w:t>
      </w:r>
    </w:p>
    <w:p w:rsidR="00296032" w:rsidRPr="00620047" w:rsidRDefault="00296032">
      <w:pPr>
        <w:pStyle w:val="artplatletter"/>
      </w:pPr>
      <w:r w:rsidRPr="00620047">
        <w:t>a.</w:t>
      </w:r>
      <w:r w:rsidRPr="00620047">
        <w:tab/>
        <w:t>het doelmatig verspreiden van emissies naar de buitenlucht, en</w:t>
      </w:r>
    </w:p>
    <w:p w:rsidR="00296032" w:rsidRPr="00620047" w:rsidRDefault="00296032">
      <w:pPr>
        <w:pStyle w:val="artplatletter"/>
      </w:pPr>
      <w:r w:rsidRPr="00620047">
        <w:t>b.</w:t>
      </w:r>
      <w:r w:rsidRPr="00620047">
        <w:tab/>
        <w:t>het realiseren van een verwaarloosbaar bodemrisico,</w:t>
      </w:r>
    </w:p>
    <w:p w:rsidR="00296032" w:rsidRDefault="00296032">
      <w:pPr>
        <w:pStyle w:val="artplat"/>
      </w:pPr>
      <w:r w:rsidRPr="00620047">
        <w:t>voldaan aan de bij ministeriële regeling gestelde eisen.</w:t>
      </w:r>
    </w:p>
    <w:p w:rsidR="004F5A09" w:rsidRDefault="004F5A09">
      <w:pPr>
        <w:pStyle w:val="artplat"/>
      </w:pPr>
    </w:p>
    <w:p w:rsidR="004F5A09" w:rsidRDefault="004F5A09" w:rsidP="004F5A09">
      <w:pPr>
        <w:pStyle w:val="paragraaf"/>
        <w:shd w:val="clear" w:color="auto" w:fill="D9D9D9" w:themeFill="background1" w:themeFillShade="D9"/>
        <w:rPr>
          <w:rFonts w:eastAsiaTheme="minorEastAsia"/>
          <w:lang w:eastAsia="nl-NL"/>
        </w:rPr>
      </w:pPr>
      <w:bookmarkStart w:id="254" w:name="_Toc431375720"/>
      <w:r>
        <w:rPr>
          <w:rFonts w:eastAsiaTheme="minorEastAsia"/>
          <w:lang w:eastAsia="nl-NL"/>
        </w:rPr>
        <w:t>§ 4.5.12.</w:t>
      </w:r>
      <w:r>
        <w:rPr>
          <w:rFonts w:eastAsiaTheme="minorEastAsia"/>
          <w:lang w:eastAsia="nl-NL"/>
        </w:rPr>
        <w:tab/>
        <w:t>Smelten en gieten van metalen</w:t>
      </w:r>
      <w:bookmarkEnd w:id="254"/>
    </w:p>
    <w:p w:rsidR="004F5A09" w:rsidRDefault="004F5A09" w:rsidP="004F5A09">
      <w:pPr>
        <w:pStyle w:val="artikelkop"/>
        <w:shd w:val="clear" w:color="auto" w:fill="D9D9D9" w:themeFill="background1" w:themeFillShade="D9"/>
        <w:rPr>
          <w:rFonts w:eastAsiaTheme="minorEastAsia"/>
          <w:lang w:eastAsia="nl-NL"/>
        </w:rPr>
      </w:pPr>
      <w:r>
        <w:rPr>
          <w:rFonts w:eastAsiaTheme="minorEastAsia"/>
          <w:lang w:eastAsia="nl-NL"/>
        </w:rPr>
        <w:t xml:space="preserve">Artikel 4.84.1 </w:t>
      </w:r>
    </w:p>
    <w:p w:rsidR="004F5A09" w:rsidRDefault="004F5A09" w:rsidP="004F5A09">
      <w:pPr>
        <w:pStyle w:val="artplat"/>
        <w:shd w:val="clear" w:color="auto" w:fill="D9D9D9" w:themeFill="background1" w:themeFillShade="D9"/>
        <w:rPr>
          <w:rFonts w:eastAsiaTheme="minorEastAsia"/>
          <w:lang w:eastAsia="nl-NL"/>
        </w:rPr>
      </w:pPr>
      <w:r>
        <w:rPr>
          <w:rFonts w:eastAsiaTheme="minorEastAsia"/>
          <w:lang w:eastAsia="nl-NL"/>
        </w:rPr>
        <w:t>Ten behoeve van het voorkomen van emissies van dioxines en polycyclische aromatische koolwaterstoffen naar de lucht als bedoeld in artikel 4.74.2, eerste lid, van het besluit, worden uitsluitend metalen gesmolten die voldoen aan de volgende criteria:</w:t>
      </w:r>
    </w:p>
    <w:p w:rsidR="004F5A09" w:rsidRDefault="004F5A09" w:rsidP="004F5A09">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het metaal voldoet aan de technische standaarden die gelden voor reguliere toepassing van het metaal;</w:t>
      </w:r>
    </w:p>
    <w:p w:rsidR="004F5A09" w:rsidRDefault="004F5A09" w:rsidP="004F5A09">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soort legering en de verhouding van metalen in de legering is bekend en kan worden aangetoond;</w:t>
      </w:r>
    </w:p>
    <w:p w:rsidR="004F5A09" w:rsidRDefault="004F5A09" w:rsidP="004F5A09">
      <w:pPr>
        <w:pStyle w:val="artplatletter"/>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het metaal is zichtbaar vrij van olie, olie-emulsies, smeermiddelen of vet, met uitzondering van verwaarloosbare hoeveelheden die geen druppelvorming tot gevolg hebben;</w:t>
      </w:r>
    </w:p>
    <w:p w:rsidR="004F5A09" w:rsidRDefault="004F5A09" w:rsidP="004F5A09">
      <w:pPr>
        <w:pStyle w:val="artplatletter"/>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het ingezette materiaal bezit geen van de eigenschappen van bijlage III van de kaderrichtlijn afvalstoffen, met dien verstande dat de eigenschappen van het metaal zelf of metalen in de legering zelf niet relevant zijn.</w:t>
      </w:r>
    </w:p>
    <w:p w:rsidR="004F5A09" w:rsidRDefault="004F5A09" w:rsidP="004F5A09">
      <w:pPr>
        <w:pStyle w:val="artikelkop"/>
        <w:shd w:val="clear" w:color="auto" w:fill="D9D9D9" w:themeFill="background1" w:themeFillShade="D9"/>
        <w:rPr>
          <w:rFonts w:eastAsiaTheme="minorEastAsia"/>
          <w:lang w:eastAsia="nl-NL"/>
        </w:rPr>
      </w:pPr>
      <w:r>
        <w:rPr>
          <w:rFonts w:eastAsiaTheme="minorEastAsia"/>
          <w:lang w:eastAsia="nl-NL"/>
        </w:rPr>
        <w:t xml:space="preserve">Artikel 4.84.2 </w:t>
      </w:r>
    </w:p>
    <w:p w:rsidR="004F5A09" w:rsidRDefault="004F5A09" w:rsidP="004F5A09">
      <w:pPr>
        <w:pStyle w:val="artplat"/>
        <w:shd w:val="clear" w:color="auto" w:fill="D9D9D9" w:themeFill="background1" w:themeFillShade="D9"/>
        <w:rPr>
          <w:rFonts w:eastAsiaTheme="minorEastAsia"/>
          <w:lang w:eastAsia="nl-NL"/>
        </w:rPr>
      </w:pPr>
      <w:r>
        <w:rPr>
          <w:rFonts w:eastAsiaTheme="minorEastAsia"/>
          <w:lang w:eastAsia="nl-NL"/>
        </w:rPr>
        <w:t>Aan artikel 4.74.2, tweede lid, van het besluit, wordt in ieder geval voldaan indien:</w:t>
      </w:r>
    </w:p>
    <w:p w:rsidR="004F5A09" w:rsidRDefault="004F5A09" w:rsidP="004F5A09">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bij het smelten van koper en koperlegeringen, aluminium en aluminiumlegeringen, zink en zinklegeringen, tin en tinlegeringen, de legering ten hoogste 2% lood bevat;</w:t>
      </w:r>
    </w:p>
    <w:p w:rsidR="004F5A09" w:rsidRDefault="004F5A09" w:rsidP="004F5A09">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bij het smelten van koper en koperlegeringen, aluminium en aluminiumlegeringen, zink en zinklegeringen, tin en tinlegeringen, de legering ten hoogste 5% lood bevat en de smeltoven ten hoogste 200 uur in bedrijf is;</w:t>
      </w:r>
    </w:p>
    <w:p w:rsidR="004F5A09" w:rsidRDefault="004F5A09" w:rsidP="004F5A09">
      <w:pPr>
        <w:pStyle w:val="artplatletter"/>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bij het smelten van koper en koperlegeringen, aluminium en aluminiumlegeringen, zink en zinklegeringen, tin en tinlegeringen, de legering ten hoogste 10% lood bevat en de smeltoven ten hoogste 100 uur in bedrijf is;</w:t>
      </w:r>
    </w:p>
    <w:p w:rsidR="004F5A09" w:rsidRDefault="004F5A09" w:rsidP="004F5A09">
      <w:pPr>
        <w:pStyle w:val="artplatletter"/>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de afgezogen emissies van lood die vrijkomen, worden gevoerd door een filtrerende afscheider die in goede staat van onderhoud verkeert, periodiek wordt gecontroleerd en zo vaak als voor de goede werking nodig is, wordt schoongemaakt en vervangen.</w:t>
      </w:r>
    </w:p>
    <w:p w:rsidR="004F5A09" w:rsidRDefault="004F5A09" w:rsidP="004F5A09">
      <w:pPr>
        <w:pStyle w:val="artikelkop"/>
        <w:shd w:val="clear" w:color="auto" w:fill="D9D9D9" w:themeFill="background1" w:themeFillShade="D9"/>
        <w:rPr>
          <w:rFonts w:eastAsiaTheme="minorEastAsia"/>
          <w:lang w:eastAsia="nl-NL"/>
        </w:rPr>
      </w:pPr>
      <w:r>
        <w:rPr>
          <w:rFonts w:eastAsiaTheme="minorEastAsia"/>
          <w:lang w:eastAsia="nl-NL"/>
        </w:rPr>
        <w:t xml:space="preserve">Artikel 4.84.3 </w:t>
      </w:r>
    </w:p>
    <w:p w:rsidR="004F5A09" w:rsidRDefault="004F5A09" w:rsidP="004F5A09">
      <w:pPr>
        <w:pStyle w:val="artplat"/>
        <w:shd w:val="clear" w:color="auto" w:fill="D9D9D9" w:themeFill="background1" w:themeFillShade="D9"/>
        <w:rPr>
          <w:rFonts w:eastAsiaTheme="minorEastAsia"/>
          <w:lang w:eastAsia="nl-NL"/>
        </w:rPr>
      </w:pPr>
      <w:r>
        <w:rPr>
          <w:rFonts w:eastAsiaTheme="minorEastAsia"/>
          <w:lang w:eastAsia="nl-NL"/>
        </w:rPr>
        <w:t>Aan artikel 4.74.3 van het besluit wordt in ieder geval voldaan indien de afgezogen emissies die vrijkomen, worden gevoerd door een filtrerende afscheider die in goede staat van onderhoud verkeert, periodiek wordt gecontroleerd en zo vaak als voor de goede werking nodig is, wordt schoongemaakt en vervangen.</w:t>
      </w:r>
    </w:p>
    <w:p w:rsidR="004F5A09" w:rsidRDefault="004F5A09" w:rsidP="004F5A09">
      <w:pPr>
        <w:pStyle w:val="artikelkop"/>
        <w:shd w:val="clear" w:color="auto" w:fill="D9D9D9" w:themeFill="background1" w:themeFillShade="D9"/>
        <w:rPr>
          <w:rFonts w:eastAsiaTheme="minorEastAsia"/>
          <w:lang w:eastAsia="nl-NL"/>
        </w:rPr>
      </w:pPr>
      <w:r>
        <w:rPr>
          <w:rFonts w:eastAsiaTheme="minorEastAsia"/>
          <w:lang w:eastAsia="nl-NL"/>
        </w:rPr>
        <w:t xml:space="preserve">Artikel 4.84.4 </w:t>
      </w:r>
    </w:p>
    <w:p w:rsidR="004F5A09" w:rsidRDefault="004F5A09" w:rsidP="004F5A09">
      <w:pPr>
        <w:pStyle w:val="artplat"/>
        <w:shd w:val="clear" w:color="auto" w:fill="D9D9D9" w:themeFill="background1" w:themeFillShade="D9"/>
        <w:rPr>
          <w:rFonts w:eastAsiaTheme="minorEastAsia"/>
          <w:lang w:eastAsia="nl-NL"/>
        </w:rPr>
      </w:pPr>
      <w:r>
        <w:rPr>
          <w:rFonts w:eastAsiaTheme="minorEastAsia"/>
          <w:lang w:eastAsia="nl-NL"/>
        </w:rPr>
        <w:t>Aan artikel 4.74.4 van het besluit wordt in ieder geval voldaan indien de afgezogen emissies die vrijkomen worden gevoerd door een gaswasser die in goede staat van onderhoud verkeert, periodiek wordt gecontroleerd en zo vaak als voor de goede werking nodig is, wordt schoongemaakt.</w:t>
      </w:r>
    </w:p>
    <w:p w:rsidR="004F5A09" w:rsidRDefault="004F5A09" w:rsidP="004F5A09">
      <w:pPr>
        <w:pStyle w:val="artikelkop"/>
        <w:shd w:val="clear" w:color="auto" w:fill="D9D9D9" w:themeFill="background1" w:themeFillShade="D9"/>
        <w:rPr>
          <w:rFonts w:eastAsiaTheme="minorEastAsia"/>
          <w:lang w:eastAsia="nl-NL"/>
        </w:rPr>
      </w:pPr>
      <w:r>
        <w:rPr>
          <w:rFonts w:eastAsiaTheme="minorEastAsia"/>
          <w:lang w:eastAsia="nl-NL"/>
        </w:rPr>
        <w:t xml:space="preserve">Artikel 4.84.5 </w:t>
      </w:r>
    </w:p>
    <w:p w:rsidR="004F5A09" w:rsidRDefault="004F5A09" w:rsidP="004F5A09">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Aan artikel 4.74.5, eerste lid, van het besluit, wordt in ieder geval voldaan indien de afgezogen emissies die vrijkomen, worden gevoerd door een filtrerende afscheider die in goede staat van onderhoud verkeert, periodiek wordt gecontroleerd en zo vaak als voor de goede werking nodig is, wordt schoongemaakt en vervangen.</w:t>
      </w:r>
    </w:p>
    <w:p w:rsidR="004F5A09" w:rsidRDefault="004F5A09" w:rsidP="004F5A09">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uitbreken of ontzanden van een gietstuk als bedoeld in artikel 4.74.5, derde lid, van het besluit, vindt plaats in een gesloten ruimte met gesloten deuren en ramen waarbij wordt voorkomen dat bij het openen van deuren en ramen stof naar de buitenlucht vrijkomt.</w:t>
      </w:r>
    </w:p>
    <w:p w:rsidR="004F5A09" w:rsidRDefault="004F5A09" w:rsidP="004F5A09">
      <w:pPr>
        <w:pStyle w:val="artikelkop"/>
        <w:shd w:val="clear" w:color="auto" w:fill="D9D9D9" w:themeFill="background1" w:themeFillShade="D9"/>
        <w:rPr>
          <w:rFonts w:eastAsiaTheme="minorEastAsia"/>
          <w:lang w:eastAsia="nl-NL"/>
        </w:rPr>
      </w:pPr>
      <w:r>
        <w:rPr>
          <w:rFonts w:eastAsiaTheme="minorEastAsia"/>
          <w:lang w:eastAsia="nl-NL"/>
        </w:rPr>
        <w:t xml:space="preserve">Artikel 4.84.6 </w:t>
      </w:r>
    </w:p>
    <w:p w:rsidR="004F5A09" w:rsidRDefault="004F5A09" w:rsidP="004F5A09">
      <w:pPr>
        <w:pStyle w:val="artplat"/>
        <w:shd w:val="clear" w:color="auto" w:fill="D9D9D9" w:themeFill="background1" w:themeFillShade="D9"/>
        <w:rPr>
          <w:rFonts w:eastAsiaTheme="minorEastAsia"/>
          <w:lang w:eastAsia="nl-NL"/>
        </w:rPr>
      </w:pPr>
      <w:r>
        <w:rPr>
          <w:rFonts w:eastAsiaTheme="minorEastAsia"/>
          <w:lang w:eastAsia="nl-NL"/>
        </w:rPr>
        <w:t>Aan artikel 4.74.6 van het besluit wordt in ieder geval voldaan indien de afgezogen emissies die vrijkomen, worden gevoerd door een filtrerende afscheider die in goede staat van onderhoud verkeert, periodiek wordt gecontroleerd en zo vaak als voor de goede werking nodig is, wordt schoongemaakt en vervangen.</w:t>
      </w:r>
    </w:p>
    <w:p w:rsidR="004F5A09" w:rsidRDefault="004F5A09" w:rsidP="004F5A09">
      <w:pPr>
        <w:pStyle w:val="artikelkop"/>
        <w:shd w:val="clear" w:color="auto" w:fill="D9D9D9" w:themeFill="background1" w:themeFillShade="D9"/>
        <w:rPr>
          <w:rFonts w:eastAsiaTheme="minorEastAsia"/>
          <w:lang w:eastAsia="nl-NL"/>
        </w:rPr>
      </w:pPr>
      <w:r>
        <w:rPr>
          <w:rFonts w:eastAsiaTheme="minorEastAsia"/>
          <w:lang w:eastAsia="nl-NL"/>
        </w:rPr>
        <w:t xml:space="preserve">Artikel 4.84.7 </w:t>
      </w:r>
    </w:p>
    <w:p w:rsidR="004F5A09" w:rsidRDefault="004F5A09" w:rsidP="004F5A09">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Ten behoeve van het doelmatig verspreiden van emissies naar de buitenlucht, worden emissies als bedoeld in artikel 4.74.7, onder a, van het besluit, bovendaks en omhoog gericht afgevoerd, indien binnen 50 meter van een emissiepunt een gevoelig gebouw, niet zijnde een gevoelig gebouw op een gezoneerd industrieterrein dan wel op een bedrijventerrein met minder dan één gevoelig gebouw per hectare, is gelegen.</w:t>
      </w:r>
    </w:p>
    <w:p w:rsidR="004F5A09" w:rsidRDefault="004F5A09" w:rsidP="004F5A09">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bevoegd gezag kan in het belang van de plaatselijke milieuomstandigheden met inachtneming van artikel 2.4, achtste lid, van het besluit maatwerkvoorschriften stellen aan de ligging en uitvoering van het afvoerpunt van de emissies naar de buitenlucht, bedoeld in artikel 4.74.7, onder a, van het besluit.</w:t>
      </w:r>
    </w:p>
    <w:p w:rsidR="004F5A09" w:rsidRDefault="004F5A09" w:rsidP="004F5A09">
      <w:pPr>
        <w:pStyle w:val="artikelkop"/>
        <w:shd w:val="clear" w:color="auto" w:fill="D9D9D9" w:themeFill="background1" w:themeFillShade="D9"/>
        <w:rPr>
          <w:rFonts w:eastAsiaTheme="minorEastAsia"/>
          <w:lang w:eastAsia="nl-NL"/>
        </w:rPr>
      </w:pPr>
      <w:r>
        <w:rPr>
          <w:rFonts w:eastAsiaTheme="minorEastAsia"/>
          <w:lang w:eastAsia="nl-NL"/>
        </w:rPr>
        <w:t xml:space="preserve">Artikel 4.84.8 </w:t>
      </w:r>
    </w:p>
    <w:p w:rsidR="004F5A09" w:rsidRPr="004F5A09" w:rsidRDefault="004F5A09" w:rsidP="004F5A09">
      <w:pPr>
        <w:pStyle w:val="artplat"/>
        <w:shd w:val="clear" w:color="auto" w:fill="D9D9D9" w:themeFill="background1" w:themeFillShade="D9"/>
        <w:rPr>
          <w:rFonts w:eastAsiaTheme="minorEastAsia"/>
          <w:lang w:eastAsia="nl-NL"/>
        </w:rPr>
      </w:pPr>
      <w:r>
        <w:rPr>
          <w:rFonts w:eastAsiaTheme="minorEastAsia"/>
          <w:lang w:eastAsia="nl-NL"/>
        </w:rPr>
        <w:t>Ten behoeve van het realiseren van een verwaarloosbaar bodemrisico als bedoeld in artikel 4.74.7, onderdeel b, van het besluit, vindt het smelten en gieten van metalen waarbij bodembedreigende stoffen worden gebruikt of kunnen vrijkomen, plaats boven een bodembeschermende voorziening.</w:t>
      </w:r>
    </w:p>
    <w:p w:rsidR="00296032" w:rsidRPr="00620047" w:rsidRDefault="00296032">
      <w:pPr>
        <w:pStyle w:val="afdeling"/>
        <w:rPr>
          <w:rFonts w:cs="Arial"/>
        </w:rPr>
      </w:pPr>
      <w:bookmarkStart w:id="255" w:name="_Toc277243239"/>
      <w:bookmarkStart w:id="256" w:name="_Toc431375721"/>
      <w:r w:rsidRPr="00620047">
        <w:rPr>
          <w:rFonts w:cs="Arial"/>
        </w:rPr>
        <w:t xml:space="preserve">Afdeling 4.5a. Activiteiten met betrekking tot </w:t>
      </w:r>
      <w:bookmarkEnd w:id="255"/>
      <w:r w:rsidRPr="00620047">
        <w:rPr>
          <w:rFonts w:cs="Arial"/>
        </w:rPr>
        <w:t>steen</w:t>
      </w:r>
      <w:bookmarkEnd w:id="256"/>
    </w:p>
    <w:p w:rsidR="00296032" w:rsidRPr="00296032" w:rsidRDefault="00296032">
      <w:pPr>
        <w:pStyle w:val="paragraaf"/>
        <w:rPr>
          <w:rFonts w:cs="Arial"/>
        </w:rPr>
      </w:pPr>
      <w:bookmarkStart w:id="257" w:name="_Toc277243240"/>
      <w:bookmarkStart w:id="258" w:name="_Toc431375722"/>
      <w:r w:rsidRPr="00296032">
        <w:rPr>
          <w:rFonts w:cs="Arial"/>
        </w:rPr>
        <w:t>§ 4.5a.1</w:t>
      </w:r>
      <w:r w:rsidRPr="00296032">
        <w:rPr>
          <w:rFonts w:cs="Arial"/>
        </w:rPr>
        <w:tab/>
        <w:t xml:space="preserve">Mechanische bewerkingen van </w:t>
      </w:r>
      <w:bookmarkEnd w:id="257"/>
      <w:r w:rsidRPr="00296032">
        <w:rPr>
          <w:rFonts w:cs="Arial"/>
        </w:rPr>
        <w:t>steen</w:t>
      </w:r>
      <w:bookmarkEnd w:id="258"/>
    </w:p>
    <w:p w:rsidR="00296032" w:rsidRPr="00296032" w:rsidRDefault="00296032">
      <w:pPr>
        <w:pStyle w:val="artikelkop"/>
        <w:rPr>
          <w:rFonts w:cs="Arial"/>
        </w:rPr>
      </w:pPr>
      <w:r w:rsidRPr="00296032">
        <w:rPr>
          <w:rFonts w:cs="Arial"/>
        </w:rPr>
        <w:t>Artikel 4.74a</w:t>
      </w:r>
    </w:p>
    <w:p w:rsidR="00296032" w:rsidRPr="00620047" w:rsidRDefault="00296032">
      <w:pPr>
        <w:pStyle w:val="artplat"/>
      </w:pPr>
      <w:r w:rsidRPr="00620047">
        <w:t>Deze paragraaf is van toepassing op mechanische bewerkingen van steen</w:t>
      </w:r>
    </w:p>
    <w:p w:rsidR="00296032" w:rsidRPr="00296032" w:rsidRDefault="00296032">
      <w:pPr>
        <w:pStyle w:val="artikelkop"/>
      </w:pPr>
      <w:r w:rsidRPr="00296032">
        <w:t>Artikel 4.74aa</w:t>
      </w:r>
    </w:p>
    <w:p w:rsidR="00296032" w:rsidRPr="00620047" w:rsidRDefault="00296032">
      <w:pPr>
        <w:pStyle w:val="art1enivo"/>
      </w:pPr>
      <w:r w:rsidRPr="00620047">
        <w:t>1.</w:t>
      </w:r>
      <w:r w:rsidRPr="00620047">
        <w:tab/>
        <w:t>Het is verboden om in de buitenlucht mechanische bewerkingen van steen uit te voeren.</w:t>
      </w:r>
    </w:p>
    <w:p w:rsidR="00296032" w:rsidRPr="00620047" w:rsidRDefault="00296032">
      <w:pPr>
        <w:pStyle w:val="art1enivo"/>
      </w:pPr>
      <w:r w:rsidRPr="00620047">
        <w:t>2.</w:t>
      </w:r>
      <w:r w:rsidRPr="00620047">
        <w:tab/>
        <w:t>Het eerste lid is niet van toepassing:</w:t>
      </w:r>
    </w:p>
    <w:p w:rsidR="00296032" w:rsidRPr="00620047" w:rsidRDefault="00296032">
      <w:pPr>
        <w:pStyle w:val="art2enivo"/>
      </w:pPr>
      <w:r w:rsidRPr="00620047">
        <w:t>a.</w:t>
      </w:r>
      <w:r w:rsidRPr="00620047">
        <w:tab/>
        <w:t>indien het vanwege de omvang van het te bewerken object niet mogelijk is om in het inpandige deel van de inrichting de mechanische bewerking uit te voeren, of</w:t>
      </w:r>
    </w:p>
    <w:p w:rsidR="00296032" w:rsidRPr="00620047" w:rsidRDefault="00296032">
      <w:pPr>
        <w:pStyle w:val="art2enivo"/>
      </w:pPr>
      <w:r w:rsidRPr="00620047">
        <w:t>b.</w:t>
      </w:r>
      <w:r w:rsidRPr="00620047">
        <w:tab/>
        <w:t>op het breken van steenachtig materiaal als bedoeld in paragraaf 4.5a.6.</w:t>
      </w:r>
    </w:p>
    <w:p w:rsidR="00296032" w:rsidRPr="00296032" w:rsidRDefault="00296032">
      <w:pPr>
        <w:pStyle w:val="artikelkop"/>
        <w:rPr>
          <w:rFonts w:cs="Arial"/>
        </w:rPr>
      </w:pPr>
      <w:r w:rsidRPr="00296032">
        <w:rPr>
          <w:rFonts w:cs="Arial"/>
        </w:rPr>
        <w:t>Artikel 4.74b</w:t>
      </w:r>
    </w:p>
    <w:p w:rsidR="00296032" w:rsidRPr="00620047" w:rsidRDefault="00296032">
      <w:pPr>
        <w:rPr>
          <w:rFonts w:cs="Arial"/>
        </w:rPr>
      </w:pPr>
      <w:r w:rsidRPr="00620047">
        <w:rPr>
          <w:rFonts w:cs="Arial"/>
        </w:rPr>
        <w:t>Onverminderd artikel 2.5, eerste, vierde en vijfde lid, en artikel 2.6 is bij mechanische bewerkingen van steen de emissieconcentratie van stofklasse S niet meer dan:</w:t>
      </w:r>
    </w:p>
    <w:p w:rsidR="00296032" w:rsidRPr="00620047" w:rsidRDefault="00296032">
      <w:pPr>
        <w:pStyle w:val="artplatletter"/>
        <w:rPr>
          <w:rFonts w:cs="Arial"/>
        </w:rPr>
      </w:pPr>
      <w:r w:rsidRPr="00620047">
        <w:rPr>
          <w:rFonts w:cs="Arial"/>
        </w:rPr>
        <w:t>a.</w:t>
      </w:r>
      <w:r w:rsidRPr="00620047">
        <w:rPr>
          <w:rFonts w:cs="Arial"/>
        </w:rPr>
        <w:tab/>
        <w:t>5 milligram per normaal kubieke meter indien de massastroom van stofklasse S gelijk is aan of groter is dan 200 gram per uur;</w:t>
      </w:r>
    </w:p>
    <w:p w:rsidR="00296032" w:rsidRPr="00620047" w:rsidRDefault="00296032">
      <w:pPr>
        <w:pStyle w:val="artplatletter"/>
        <w:rPr>
          <w:rFonts w:cs="Arial"/>
        </w:rPr>
      </w:pPr>
      <w:r w:rsidRPr="00620047">
        <w:rPr>
          <w:rFonts w:cs="Arial"/>
        </w:rPr>
        <w:t>b.</w:t>
      </w:r>
      <w:r w:rsidRPr="00620047">
        <w:rPr>
          <w:rFonts w:cs="Arial"/>
        </w:rPr>
        <w:tab/>
        <w:t>50 milligram per normaal kubieke meter indien de massastroom van stofklasse S kleiner is dan 200 gram per uur.</w:t>
      </w:r>
    </w:p>
    <w:p w:rsidR="00296032" w:rsidRPr="00296032" w:rsidRDefault="00296032">
      <w:pPr>
        <w:pStyle w:val="artikelkop"/>
        <w:rPr>
          <w:rFonts w:cs="Arial"/>
        </w:rPr>
      </w:pPr>
      <w:r w:rsidRPr="00296032">
        <w:rPr>
          <w:rFonts w:cs="Arial"/>
        </w:rPr>
        <w:t>Artikel 4.74c</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Indien bij de mechanische bewerking van steen water als koel- of smeermiddel wordt toegepast, wordt gebruik gemaakt van een gesloten watercircuit, waarbij water wordt gereinigd en hergebruikt voor zover dat redelijkerwijs mogelijk is.</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het lozen van afvalwater afkomstig van het mechanisch bewerken van steen wordt ten minste voldaan aan het derde tot en met het vijfde lid.</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in een oppervlaktewaterlichaam, op of in de bodem of in een voorziening voor de inzameling en het transport van afvalwater, niet zijnde een vuilwaterriool, lozen van afvalwater afkomstig van:</w:t>
      </w:r>
    </w:p>
    <w:p w:rsidR="00296032" w:rsidRPr="00620047" w:rsidRDefault="00296032">
      <w:pPr>
        <w:pStyle w:val="art2enivo"/>
        <w:rPr>
          <w:rFonts w:cs="Arial"/>
        </w:rPr>
      </w:pPr>
      <w:r w:rsidRPr="00620047">
        <w:rPr>
          <w:rFonts w:cs="Arial"/>
        </w:rPr>
        <w:t>-</w:t>
      </w:r>
      <w:r w:rsidRPr="00620047">
        <w:rPr>
          <w:rFonts w:cs="Arial"/>
        </w:rPr>
        <w:tab/>
        <w:t>het mechanisch bewerken van natuursteen of beton,</w:t>
      </w:r>
    </w:p>
    <w:p w:rsidR="00296032" w:rsidRPr="00620047" w:rsidRDefault="00296032">
      <w:pPr>
        <w:pStyle w:val="art2enivo"/>
        <w:rPr>
          <w:rFonts w:cs="Arial"/>
        </w:rPr>
      </w:pPr>
      <w:r w:rsidRPr="00620047">
        <w:rPr>
          <w:rFonts w:cs="Arial"/>
        </w:rPr>
        <w:t>-</w:t>
      </w:r>
      <w:r w:rsidRPr="00620047">
        <w:rPr>
          <w:rFonts w:cs="Arial"/>
        </w:rPr>
        <w:tab/>
        <w:t>een luchtreinigingsinstallatie voor het mechanisch bewerken van natuursteen of beton, of</w:t>
      </w:r>
    </w:p>
    <w:p w:rsidR="00296032" w:rsidRPr="00620047" w:rsidRDefault="00296032">
      <w:pPr>
        <w:pStyle w:val="art2enivo"/>
        <w:rPr>
          <w:rFonts w:cs="Arial"/>
        </w:rPr>
      </w:pPr>
      <w:r w:rsidRPr="00620047">
        <w:rPr>
          <w:rFonts w:cs="Arial"/>
        </w:rPr>
        <w:t>-</w:t>
      </w:r>
      <w:r w:rsidRPr="00620047">
        <w:rPr>
          <w:rFonts w:cs="Arial"/>
        </w:rPr>
        <w:tab/>
        <w:t>het reinigen van apparatuur of werkruimten voor het mechanisch bewerken van natuursteen of beton,</w:t>
      </w:r>
    </w:p>
    <w:p w:rsidR="00296032" w:rsidRPr="00620047" w:rsidRDefault="00296032">
      <w:pPr>
        <w:pStyle w:val="art2enivo"/>
        <w:rPr>
          <w:rFonts w:cs="Arial"/>
        </w:rPr>
      </w:pPr>
      <w:r w:rsidRPr="00620047">
        <w:rPr>
          <w:rFonts w:cs="Arial"/>
        </w:rPr>
        <w:t>is toegestaan indien geen flocculanten zijn toegevoegd.</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Bij het lozen als bedoeld in het derde lid bedraagt het gehalte aan onopgeloste stoffen niet meer dan 100 milligram per liter.</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Het lozen in een vuilwaterriool van afvalwater afkomstig van:</w:t>
      </w:r>
    </w:p>
    <w:p w:rsidR="00296032" w:rsidRPr="00620047" w:rsidRDefault="00296032">
      <w:pPr>
        <w:pStyle w:val="art2enivo"/>
        <w:rPr>
          <w:rFonts w:cs="Arial"/>
        </w:rPr>
      </w:pPr>
      <w:r w:rsidRPr="00620047">
        <w:rPr>
          <w:rFonts w:cs="Arial"/>
        </w:rPr>
        <w:t>-</w:t>
      </w:r>
      <w:r w:rsidRPr="00620047">
        <w:rPr>
          <w:rFonts w:cs="Arial"/>
        </w:rPr>
        <w:tab/>
        <w:t>het mechanisch bewerken van steen,</w:t>
      </w:r>
    </w:p>
    <w:p w:rsidR="00296032" w:rsidRPr="00620047" w:rsidRDefault="00296032">
      <w:pPr>
        <w:pStyle w:val="art2enivo"/>
        <w:rPr>
          <w:rFonts w:cs="Arial"/>
        </w:rPr>
      </w:pPr>
      <w:r w:rsidRPr="00620047">
        <w:rPr>
          <w:rFonts w:cs="Arial"/>
        </w:rPr>
        <w:t>-</w:t>
      </w:r>
      <w:r w:rsidRPr="00620047">
        <w:rPr>
          <w:rFonts w:cs="Arial"/>
        </w:rPr>
        <w:tab/>
        <w:t>een luchtreinigingsinstallatie voor het mechanisch bewerken van steen, of</w:t>
      </w:r>
    </w:p>
    <w:p w:rsidR="00296032" w:rsidRPr="00620047" w:rsidRDefault="00296032">
      <w:pPr>
        <w:pStyle w:val="art2enivo"/>
        <w:rPr>
          <w:rFonts w:cs="Arial"/>
        </w:rPr>
      </w:pPr>
      <w:r w:rsidRPr="00620047">
        <w:rPr>
          <w:rFonts w:cs="Arial"/>
        </w:rPr>
        <w:t>-</w:t>
      </w:r>
      <w:r w:rsidRPr="00620047">
        <w:rPr>
          <w:rFonts w:cs="Arial"/>
        </w:rPr>
        <w:tab/>
        <w:t>het reinigen van apparatuur of werkruimten voor het mechanisch bewerken van steen,</w:t>
      </w:r>
    </w:p>
    <w:p w:rsidR="00296032" w:rsidRPr="00620047" w:rsidRDefault="00296032">
      <w:pPr>
        <w:pStyle w:val="art2enivo"/>
        <w:rPr>
          <w:rFonts w:cs="Arial"/>
        </w:rPr>
      </w:pPr>
      <w:r w:rsidRPr="00620047">
        <w:rPr>
          <w:rFonts w:cs="Arial"/>
        </w:rPr>
        <w:tab/>
        <w:t>vindt slechts plaats indien: het gehalte aan onopgeloste stoffen niet meer bedraagt dan 300 milligram per liter en de korreldiameter van onopgeloste stoffen niet meer dan 0,75 millimeter bedragen.</w:t>
      </w:r>
    </w:p>
    <w:p w:rsidR="00296032" w:rsidRPr="00620047" w:rsidRDefault="00296032">
      <w:pPr>
        <w:pStyle w:val="art1enivo"/>
        <w:rPr>
          <w:rFonts w:cs="Arial"/>
        </w:rPr>
      </w:pPr>
      <w:r w:rsidRPr="00620047">
        <w:rPr>
          <w:rFonts w:cs="Arial"/>
          <w:bCs/>
        </w:rPr>
        <w:t>6.</w:t>
      </w:r>
      <w:r w:rsidRPr="00620047">
        <w:rPr>
          <w:rFonts w:cs="Arial"/>
          <w:bCs/>
        </w:rPr>
        <w:tab/>
      </w:r>
      <w:r w:rsidRPr="00620047">
        <w:rPr>
          <w:rFonts w:cs="Arial"/>
        </w:rPr>
        <w:t>Het te lozen afvalwater kan op een doelmatige wijze worden bemonsterd.</w:t>
      </w:r>
    </w:p>
    <w:p w:rsidR="00296032" w:rsidRPr="00296032" w:rsidRDefault="00296032">
      <w:pPr>
        <w:pStyle w:val="artikelkop"/>
        <w:rPr>
          <w:rFonts w:cs="Arial"/>
        </w:rPr>
      </w:pPr>
      <w:r w:rsidRPr="00296032">
        <w:rPr>
          <w:rFonts w:cs="Arial"/>
        </w:rPr>
        <w:t>Artikel 4.74d</w:t>
      </w:r>
    </w:p>
    <w:p w:rsidR="00296032" w:rsidRDefault="00296032">
      <w:pPr>
        <w:rPr>
          <w:rFonts w:cs="Arial"/>
        </w:rPr>
      </w:pPr>
      <w:r w:rsidRPr="00620047">
        <w:rPr>
          <w:rFonts w:cs="Arial"/>
        </w:rPr>
        <w:t>Bij de mechanische verwerking van steen wordt ten behoeve van het voorkomen dan wel beperken van diffuse emissies en het doelmatig verspreiden van emissies naar de buitenlucht, voldaan aan de bij ministeriële regeling te stellen eisen.</w:t>
      </w:r>
    </w:p>
    <w:p w:rsidR="00177466" w:rsidRDefault="00177466">
      <w:pPr>
        <w:rPr>
          <w:rFonts w:cs="Arial"/>
        </w:rPr>
      </w:pPr>
    </w:p>
    <w:p w:rsidR="00177466" w:rsidRDefault="00177466" w:rsidP="00177466">
      <w:pPr>
        <w:pStyle w:val="paragraaf"/>
        <w:shd w:val="clear" w:color="auto" w:fill="D9D9D9" w:themeFill="background1" w:themeFillShade="D9"/>
      </w:pPr>
      <w:bookmarkStart w:id="259" w:name="_Toc431375723"/>
      <w:r>
        <w:t>§ 4.5a.1.</w:t>
      </w:r>
      <w:r>
        <w:tab/>
        <w:t>Mechanische bewerkingen van steen</w:t>
      </w:r>
      <w:bookmarkEnd w:id="259"/>
    </w:p>
    <w:p w:rsidR="00177466" w:rsidRDefault="00177466" w:rsidP="00177466">
      <w:pPr>
        <w:pStyle w:val="artikelkop"/>
        <w:shd w:val="clear" w:color="auto" w:fill="D9D9D9" w:themeFill="background1" w:themeFillShade="D9"/>
      </w:pPr>
      <w:r>
        <w:t>Artikel 4.84a</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w:t>
      </w:r>
    </w:p>
    <w:p w:rsidR="00177466" w:rsidRDefault="00177466" w:rsidP="00177466">
      <w:pPr>
        <w:pStyle w:val="art2enivo"/>
        <w:shd w:val="clear" w:color="auto" w:fill="D9D9D9" w:themeFill="background1" w:themeFillShade="D9"/>
        <w:suppressAutoHyphens/>
        <w:rPr>
          <w:rFonts w:cs="Arial"/>
        </w:rPr>
      </w:pPr>
      <w:r>
        <w:rPr>
          <w:rFonts w:cs="Arial"/>
        </w:rPr>
        <w:t>a.</w:t>
      </w:r>
      <w:r>
        <w:rPr>
          <w:rFonts w:cs="Arial"/>
        </w:rPr>
        <w:tab/>
        <w:t>vindt het stralen van steen plaats:</w:t>
      </w:r>
    </w:p>
    <w:p w:rsidR="00177466" w:rsidRDefault="00177466" w:rsidP="00177466">
      <w:pPr>
        <w:pStyle w:val="art3enivo"/>
        <w:shd w:val="clear" w:color="auto" w:fill="D9D9D9" w:themeFill="background1" w:themeFillShade="D9"/>
        <w:suppressAutoHyphens/>
      </w:pPr>
      <w:r>
        <w:t>1°.</w:t>
      </w:r>
      <w:r>
        <w:tab/>
        <w:t>in een daarvoor bestemde en ingerichte gesloten kast, cabine of ruimte; of</w:t>
      </w:r>
    </w:p>
    <w:p w:rsidR="00177466" w:rsidRDefault="00177466" w:rsidP="00177466">
      <w:pPr>
        <w:pStyle w:val="art3enivo"/>
        <w:shd w:val="clear" w:color="auto" w:fill="D9D9D9" w:themeFill="background1" w:themeFillShade="D9"/>
        <w:suppressAutoHyphens/>
      </w:pPr>
      <w:r>
        <w:t>2°.</w:t>
      </w:r>
      <w:r>
        <w:tab/>
        <w:t>met gereedschap dat is uitgerust met een geïntegreerde stofafzuiginstallatie;</w:t>
      </w:r>
    </w:p>
    <w:p w:rsidR="00177466" w:rsidRDefault="00177466" w:rsidP="00177466">
      <w:pPr>
        <w:pStyle w:val="art2enivo"/>
        <w:shd w:val="clear" w:color="auto" w:fill="D9D9D9" w:themeFill="background1" w:themeFillShade="D9"/>
        <w:suppressAutoHyphens/>
        <w:rPr>
          <w:rFonts w:cs="Arial"/>
        </w:rPr>
      </w:pPr>
      <w:r>
        <w:rPr>
          <w:rFonts w:cs="Arial"/>
        </w:rPr>
        <w:t>b.</w:t>
      </w:r>
      <w:r>
        <w:rPr>
          <w:rFonts w:cs="Arial"/>
        </w:rPr>
        <w:tab/>
        <w:t>vindt het trommelen van steen plaats in een gesloten installatie;</w:t>
      </w:r>
    </w:p>
    <w:p w:rsidR="00177466" w:rsidRDefault="00177466" w:rsidP="00177466">
      <w:pPr>
        <w:pStyle w:val="art2enivo"/>
        <w:shd w:val="clear" w:color="auto" w:fill="D9D9D9" w:themeFill="background1" w:themeFillShade="D9"/>
        <w:suppressAutoHyphens/>
        <w:rPr>
          <w:rFonts w:cs="Arial"/>
        </w:rPr>
      </w:pPr>
      <w:r>
        <w:rPr>
          <w:rFonts w:cs="Arial"/>
        </w:rPr>
        <w:t>c.</w:t>
      </w:r>
      <w:r>
        <w:rPr>
          <w:rFonts w:cs="Arial"/>
        </w:rPr>
        <w:tab/>
        <w:t>wordt stofklasse S dat vrijkomt bij de mechanische bewerking van steen, voor zover dat redelijkerwijs mogelijk is, doelmatig aan de bron afgezogen, tenzij gebruik wordt gemaakt van natte werkmethoden die voldoen aan artikel 4.84b, onderdeel a of c;</w:t>
      </w:r>
    </w:p>
    <w:p w:rsidR="00177466" w:rsidRDefault="00177466" w:rsidP="00177466">
      <w:pPr>
        <w:pStyle w:val="art2enivo"/>
        <w:shd w:val="clear" w:color="auto" w:fill="D9D9D9" w:themeFill="background1" w:themeFillShade="D9"/>
        <w:suppressAutoHyphens/>
        <w:rPr>
          <w:rFonts w:cs="Arial"/>
        </w:rPr>
      </w:pPr>
      <w:r>
        <w:rPr>
          <w:rFonts w:cs="Arial"/>
        </w:rPr>
        <w:t>d.</w:t>
      </w:r>
      <w:r>
        <w:rPr>
          <w:rFonts w:cs="Arial"/>
        </w:rPr>
        <w:tab/>
        <w:t>vinden reiniging en ontstoffing van apparatuur en werkruimten plaats door gebruik te maken van natte werkmethoden of stofzuigers.</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Indien het redelijkerwijs niet mogelijk is te stralen als bedoeld in het eerste lid, onder a, vindt het stralen van steen plaats in een gesloten ruimte met gesloten deuren en ramen, waarbij wordt voorkomen dat bij het openen van deuren en ramen stof naar de buitenlucht vrijkomt.</w:t>
      </w:r>
    </w:p>
    <w:p w:rsidR="00177466" w:rsidRDefault="00177466" w:rsidP="00177466">
      <w:pPr>
        <w:pStyle w:val="art1enivo"/>
        <w:shd w:val="clear" w:color="auto" w:fill="D9D9D9" w:themeFill="background1" w:themeFillShade="D9"/>
        <w:suppressAutoHyphens/>
        <w:rPr>
          <w:rFonts w:cs="Arial"/>
        </w:rPr>
      </w:pPr>
      <w:r>
        <w:rPr>
          <w:rFonts w:cs="Arial"/>
        </w:rPr>
        <w:t>3.</w:t>
      </w:r>
      <w:r>
        <w:rPr>
          <w:rFonts w:cs="Arial"/>
        </w:rPr>
        <w:tab/>
        <w:t>Ten behoeve van het doelmatig verspreiden van emissies naar de buitenlucht, worden de afgezogen emissies die vrijkomen bij mechanische bewerking van steen en die naar de buitenlucht worden afgevoerd, bovendaks en omhoog gericht afgevoerd, indien binnen 50 meter van een emissiepunt een gevoelig gebouw is gelegen, niet zijnde een gevoelig gebouw op een gezoneerd industrieterrein, dan wel op een bedrijventerrein met minder dan één gevoelig gebouw per hectare.</w:t>
      </w:r>
    </w:p>
    <w:p w:rsidR="00177466" w:rsidRDefault="00177466" w:rsidP="00177466">
      <w:pPr>
        <w:pStyle w:val="art1enivo"/>
        <w:shd w:val="clear" w:color="auto" w:fill="D9D9D9" w:themeFill="background1" w:themeFillShade="D9"/>
        <w:suppressAutoHyphens/>
        <w:rPr>
          <w:rFonts w:cs="Arial"/>
        </w:rPr>
      </w:pPr>
      <w:r>
        <w:rPr>
          <w:rFonts w:cs="Arial"/>
        </w:rPr>
        <w:t>4.</w:t>
      </w:r>
      <w:r>
        <w:rPr>
          <w:rFonts w:cs="Arial"/>
        </w:rPr>
        <w:tab/>
        <w:t>Het bevoegd gezag kan in het belang van de luchtkwaliteit en  maatwerkvoorschriften stellen aan de ligging en uitvoering van het afvoerpunt van emissies naar de buitenlucht, bedoeld in het derde lid.</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derde lid niet van toepassing voor zover er geen verandering van de inrichting plaatsvindt waarvoor een melding krachtens artikel 1.10 van het besluit nodig is en voor zover de emissies als bedoeld in het derde lid niet toenemen en de wijze van afvoer van die emissies naar de buitenlucht niet verandert.</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In afwijking van het vijfde lid kan het bevoegd gezag maatwerkvoorschriften als bedoeld in het vierde lid stellen.</w:t>
      </w:r>
    </w:p>
    <w:p w:rsidR="00177466" w:rsidRDefault="00177466" w:rsidP="00177466">
      <w:pPr>
        <w:pStyle w:val="artikelkop"/>
        <w:shd w:val="clear" w:color="auto" w:fill="D9D9D9" w:themeFill="background1" w:themeFillShade="D9"/>
      </w:pPr>
      <w:r>
        <w:t>Artikel 4.84b</w:t>
      </w:r>
    </w:p>
    <w:p w:rsidR="00177466" w:rsidRDefault="00177466" w:rsidP="00177466">
      <w:pPr>
        <w:pStyle w:val="artplat"/>
        <w:shd w:val="clear" w:color="auto" w:fill="D9D9D9" w:themeFill="background1" w:themeFillShade="D9"/>
        <w:suppressAutoHyphens/>
        <w:rPr>
          <w:rFonts w:cs="Arial"/>
        </w:rPr>
      </w:pPr>
      <w:r>
        <w:rPr>
          <w:rFonts w:cs="Arial"/>
        </w:rPr>
        <w:t>Aan artikel 4.74b van het besluit wordt in ieder geval voldaan indien:</w:t>
      </w:r>
    </w:p>
    <w:p w:rsidR="00177466" w:rsidRDefault="00177466" w:rsidP="00177466">
      <w:pPr>
        <w:pStyle w:val="artplatletter"/>
        <w:shd w:val="clear" w:color="auto" w:fill="D9D9D9" w:themeFill="background1" w:themeFillShade="D9"/>
        <w:suppressAutoHyphens/>
        <w:rPr>
          <w:rFonts w:cs="Arial"/>
        </w:rPr>
      </w:pPr>
      <w:r>
        <w:rPr>
          <w:rFonts w:cs="Arial"/>
        </w:rPr>
        <w:t>a.</w:t>
      </w:r>
      <w:r>
        <w:rPr>
          <w:rFonts w:cs="Arial"/>
        </w:rPr>
        <w:tab/>
        <w:t>mechanische bewerking van steen plaatsvindt met waterkoeling en de waterstraal of het watergordijn zodanig is gedimensioneerd dat geen zichtbare stofvorming optreedt; of</w:t>
      </w:r>
    </w:p>
    <w:p w:rsidR="00177466" w:rsidRDefault="00177466" w:rsidP="00177466">
      <w:pPr>
        <w:pStyle w:val="artplatletter"/>
        <w:shd w:val="clear" w:color="auto" w:fill="D9D9D9" w:themeFill="background1" w:themeFillShade="D9"/>
        <w:suppressAutoHyphens/>
        <w:rPr>
          <w:rFonts w:cs="Arial"/>
        </w:rPr>
      </w:pPr>
      <w:r>
        <w:rPr>
          <w:rFonts w:cs="Arial"/>
        </w:rPr>
        <w:t>b.</w:t>
      </w:r>
      <w:r>
        <w:rPr>
          <w:rFonts w:cs="Arial"/>
        </w:rPr>
        <w:tab/>
        <w:t>de afgezogen stofemissies die vrijkomen bij mechanische bewerking van steen worden gevoerd door een filtrerende afscheider, die geschikt is om aan artikel 4.74b van het besluit te voldoen en in goede staat van onderhoud verkeert, periodiek wordt gecontroleerd en zo vaak als voor de goede werking nodig is, wordt schoongemaakt en vervangen; of</w:t>
      </w:r>
    </w:p>
    <w:p w:rsidR="00177466" w:rsidRPr="00620047" w:rsidRDefault="00177466" w:rsidP="00177466">
      <w:pPr>
        <w:pStyle w:val="artplatletter"/>
        <w:shd w:val="clear" w:color="auto" w:fill="D9D9D9" w:themeFill="background1" w:themeFillShade="D9"/>
        <w:suppressAutoHyphens/>
        <w:rPr>
          <w:rFonts w:cs="Arial"/>
        </w:rPr>
      </w:pPr>
      <w:r>
        <w:rPr>
          <w:rFonts w:cs="Arial"/>
        </w:rPr>
        <w:t>c.</w:t>
      </w:r>
      <w:r>
        <w:rPr>
          <w:rFonts w:cs="Arial"/>
        </w:rPr>
        <w:tab/>
        <w:t>bij mechanische ruimteafzuiging gebruik wordt gemaakt van een waterwand die geschikt is om aan artikel 4.74b van het besluit te voldoen en in goede staat van onderhoud verkeert, periodiek wordt gecontroleerd en zo vaak als voor de goede werking nodig is, wordt schoongemaakt.</w:t>
      </w:r>
    </w:p>
    <w:p w:rsidR="00296032" w:rsidRPr="00296032" w:rsidRDefault="00296032">
      <w:pPr>
        <w:pStyle w:val="paragraaf"/>
        <w:rPr>
          <w:rFonts w:cs="Arial"/>
        </w:rPr>
      </w:pPr>
      <w:bookmarkStart w:id="260" w:name="_Toc277243241"/>
      <w:bookmarkStart w:id="261" w:name="_Toc431375724"/>
      <w:r w:rsidRPr="00296032">
        <w:rPr>
          <w:rFonts w:cs="Arial"/>
        </w:rPr>
        <w:t>§ 4.5a.2</w:t>
      </w:r>
      <w:r w:rsidRPr="00296032">
        <w:rPr>
          <w:rFonts w:cs="Arial"/>
        </w:rPr>
        <w:tab/>
        <w:t xml:space="preserve">Aanbrengen van lijmen, harsen of coatings op </w:t>
      </w:r>
      <w:bookmarkEnd w:id="260"/>
      <w:r w:rsidRPr="00296032">
        <w:rPr>
          <w:rFonts w:cs="Arial"/>
        </w:rPr>
        <w:t>steen</w:t>
      </w:r>
      <w:bookmarkEnd w:id="261"/>
    </w:p>
    <w:p w:rsidR="00296032" w:rsidRPr="00296032" w:rsidRDefault="00296032">
      <w:pPr>
        <w:pStyle w:val="artikelkop"/>
        <w:rPr>
          <w:rFonts w:cs="Arial"/>
        </w:rPr>
      </w:pPr>
      <w:r w:rsidRPr="00296032">
        <w:rPr>
          <w:rFonts w:cs="Arial"/>
        </w:rPr>
        <w:t>Artikel 4.74da</w:t>
      </w:r>
    </w:p>
    <w:p w:rsidR="00296032" w:rsidRPr="00620047" w:rsidRDefault="00296032">
      <w:pPr>
        <w:pStyle w:val="artplat"/>
      </w:pPr>
      <w:r w:rsidRPr="00620047">
        <w:t>Deze paragraaf is van toepassing op het aanbrengen van lijmen, harsen of coatings op steen.</w:t>
      </w:r>
    </w:p>
    <w:p w:rsidR="00296032" w:rsidRPr="00296032" w:rsidRDefault="00296032">
      <w:pPr>
        <w:pStyle w:val="artikelkop"/>
      </w:pPr>
      <w:r w:rsidRPr="00296032">
        <w:t>Artikel 4.74e</w:t>
      </w:r>
    </w:p>
    <w:p w:rsidR="00296032" w:rsidRPr="00620047" w:rsidRDefault="00296032">
      <w:pPr>
        <w:pStyle w:val="art1enivo"/>
      </w:pPr>
      <w:r w:rsidRPr="00620047">
        <w:t>1.</w:t>
      </w:r>
      <w:r w:rsidRPr="00620047">
        <w:tab/>
        <w:t>Het is verboden in de buitenlucht met behulp van een nevelspuit vluchtige organische stoffen houdende lijmen, harsen of coatings aan te brengen op steen.</w:t>
      </w:r>
    </w:p>
    <w:p w:rsidR="00296032" w:rsidRPr="00620047" w:rsidRDefault="00296032">
      <w:pPr>
        <w:pStyle w:val="art1enivo"/>
      </w:pPr>
      <w:r w:rsidRPr="00620047">
        <w:t>2.</w:t>
      </w:r>
      <w:r w:rsidRPr="00620047">
        <w:tab/>
        <w:t>Het eerste lid is niet van toepassing indien het vanwege de omvang van het te bewerken object niet mogelijk is om deze activiteit in het inpandige deel van de inrichting te verrichten.</w:t>
      </w:r>
    </w:p>
    <w:p w:rsidR="00296032" w:rsidRPr="00296032" w:rsidRDefault="00296032">
      <w:pPr>
        <w:pStyle w:val="artikelkop"/>
        <w:rPr>
          <w:rFonts w:cs="Arial"/>
        </w:rPr>
      </w:pPr>
      <w:r w:rsidRPr="00296032">
        <w:rPr>
          <w:rFonts w:cs="Arial"/>
        </w:rPr>
        <w:t>Artikel 4.74f</w:t>
      </w:r>
    </w:p>
    <w:p w:rsidR="00296032" w:rsidRPr="00620047" w:rsidRDefault="00296032">
      <w:pPr>
        <w:rPr>
          <w:rFonts w:cs="Arial"/>
        </w:rPr>
      </w:pPr>
      <w:r w:rsidRPr="00620047">
        <w:rPr>
          <w:rFonts w:cs="Arial"/>
        </w:rPr>
        <w:t>Onverminderd artikel 2.5, eerste, vierde en vijfde lid, en artikel 2.6 is bij het aanbrengen van lijmen, harsen of coatings op steen de emissieconcentratie van stofklasse S niet meer dan:</w:t>
      </w:r>
    </w:p>
    <w:p w:rsidR="00296032" w:rsidRPr="00620047" w:rsidRDefault="00296032">
      <w:pPr>
        <w:pStyle w:val="artplatletter"/>
        <w:rPr>
          <w:rFonts w:cs="Arial"/>
        </w:rPr>
      </w:pPr>
      <w:r w:rsidRPr="00620047">
        <w:rPr>
          <w:rFonts w:cs="Arial"/>
        </w:rPr>
        <w:t>a.</w:t>
      </w:r>
      <w:r w:rsidRPr="00620047">
        <w:rPr>
          <w:rFonts w:cs="Arial"/>
        </w:rPr>
        <w:tab/>
        <w:t>5 milligram per normaal kubieke meter, indien de massastroom van stofklasse S naar de lucht gelijk is aan of groter is dan 200 gram per uur;</w:t>
      </w:r>
    </w:p>
    <w:p w:rsidR="00296032" w:rsidRPr="00620047" w:rsidRDefault="00296032">
      <w:pPr>
        <w:pStyle w:val="artplatletter"/>
        <w:rPr>
          <w:rFonts w:cs="Arial"/>
        </w:rPr>
      </w:pPr>
      <w:r w:rsidRPr="00620047">
        <w:rPr>
          <w:rFonts w:cs="Arial"/>
        </w:rPr>
        <w:t>b.</w:t>
      </w:r>
      <w:r w:rsidRPr="00620047">
        <w:rPr>
          <w:rFonts w:cs="Arial"/>
        </w:rPr>
        <w:tab/>
        <w:t>50 milligram per normaal kubieke meter, indien de massastroom van stofklasse S kleiner is dan 200 gram per uur.</w:t>
      </w:r>
    </w:p>
    <w:p w:rsidR="00296032" w:rsidRPr="00296032" w:rsidRDefault="00296032">
      <w:pPr>
        <w:pStyle w:val="artikelkop"/>
        <w:rPr>
          <w:rFonts w:cs="Arial"/>
        </w:rPr>
      </w:pPr>
      <w:r w:rsidRPr="00296032">
        <w:rPr>
          <w:rFonts w:cs="Arial"/>
        </w:rPr>
        <w:t>Artikel 4.74g</w:t>
      </w:r>
    </w:p>
    <w:p w:rsidR="00296032" w:rsidRPr="00620047" w:rsidRDefault="00296032">
      <w:pPr>
        <w:rPr>
          <w:rFonts w:cs="Arial"/>
        </w:rPr>
      </w:pPr>
      <w:r w:rsidRPr="00620047">
        <w:rPr>
          <w:rFonts w:cs="Arial"/>
        </w:rPr>
        <w:t>Bij het aanbrengen van lijmen, harsen of coatings op steen worden ten behoeve van:</w:t>
      </w:r>
    </w:p>
    <w:p w:rsidR="00296032" w:rsidRPr="00620047" w:rsidRDefault="00296032">
      <w:pPr>
        <w:pStyle w:val="artplatletter"/>
        <w:rPr>
          <w:rFonts w:cs="Arial"/>
        </w:rPr>
      </w:pPr>
      <w:r w:rsidRPr="00620047">
        <w:rPr>
          <w:rFonts w:cs="Arial"/>
        </w:rPr>
        <w:t>a.</w:t>
      </w:r>
      <w:r w:rsidRPr="00620047">
        <w:rPr>
          <w:rFonts w:cs="Arial"/>
        </w:rPr>
        <w:tab/>
        <w:t>het voorkomen dan wel beperken van diffuse emissies;</w:t>
      </w:r>
    </w:p>
    <w:p w:rsidR="00296032" w:rsidRPr="00620047" w:rsidRDefault="00296032">
      <w:pPr>
        <w:pStyle w:val="artplatletter"/>
        <w:rPr>
          <w:rFonts w:cs="Arial"/>
        </w:rPr>
      </w:pPr>
      <w:r w:rsidRPr="00620047">
        <w:rPr>
          <w:rFonts w:cs="Arial"/>
        </w:rPr>
        <w:t>b.</w:t>
      </w:r>
      <w:r w:rsidRPr="00620047">
        <w:rPr>
          <w:rFonts w:cs="Arial"/>
        </w:rPr>
        <w:tab/>
        <w:t>het voorkomen dan wel beperken van geurhinder;</w:t>
      </w:r>
    </w:p>
    <w:p w:rsidR="00296032" w:rsidRPr="00620047" w:rsidRDefault="00296032">
      <w:pPr>
        <w:pStyle w:val="artplatletter"/>
        <w:rPr>
          <w:rFonts w:cs="Arial"/>
        </w:rPr>
      </w:pPr>
      <w:r w:rsidRPr="00620047">
        <w:rPr>
          <w:rFonts w:cs="Arial"/>
        </w:rPr>
        <w:t>c.</w:t>
      </w:r>
      <w:r w:rsidRPr="00620047">
        <w:rPr>
          <w:rFonts w:cs="Arial"/>
        </w:rPr>
        <w:tab/>
        <w:t>het realiseren van een verwaarloosbaar bodemrisico;</w:t>
      </w:r>
    </w:p>
    <w:p w:rsidR="00296032" w:rsidRDefault="00296032">
      <w:pPr>
        <w:rPr>
          <w:rFonts w:cs="Arial"/>
        </w:rPr>
      </w:pPr>
      <w:r w:rsidRPr="00620047">
        <w:rPr>
          <w:rFonts w:cs="Arial"/>
        </w:rPr>
        <w:t>de bij ministeriële regeling voorgeschreven maatregelen toegepast.</w:t>
      </w:r>
    </w:p>
    <w:p w:rsidR="00177466" w:rsidRDefault="00177466">
      <w:pPr>
        <w:rPr>
          <w:rFonts w:cs="Arial"/>
        </w:rPr>
      </w:pPr>
    </w:p>
    <w:p w:rsidR="00177466" w:rsidRDefault="00177466" w:rsidP="00177466">
      <w:pPr>
        <w:pStyle w:val="paragraaf"/>
        <w:shd w:val="clear" w:color="auto" w:fill="D9D9D9" w:themeFill="background1" w:themeFillShade="D9"/>
      </w:pPr>
      <w:bookmarkStart w:id="262" w:name="_Toc431375725"/>
      <w:r>
        <w:t>§ 4.5a.2.</w:t>
      </w:r>
      <w:r>
        <w:tab/>
        <w:t>Aanbrengen van lijmen, harsen of coatings op steen</w:t>
      </w:r>
      <w:bookmarkEnd w:id="262"/>
    </w:p>
    <w:p w:rsidR="00177466" w:rsidRDefault="00177466" w:rsidP="00177466">
      <w:pPr>
        <w:pStyle w:val="artikelkop"/>
        <w:shd w:val="clear" w:color="auto" w:fill="D9D9D9" w:themeFill="background1" w:themeFillShade="D9"/>
      </w:pPr>
      <w:r>
        <w:t>Artikel 4.84c</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Ten behoeve van het voorkomen dan wel het zoveel mogelijk beperken van diffuse emissies, worden gassen en dampen die vrijkomen bij:</w:t>
      </w:r>
    </w:p>
    <w:p w:rsidR="00177466" w:rsidRDefault="00177466" w:rsidP="00177466">
      <w:pPr>
        <w:pStyle w:val="art2enivo"/>
        <w:shd w:val="clear" w:color="auto" w:fill="D9D9D9" w:themeFill="background1" w:themeFillShade="D9"/>
        <w:suppressAutoHyphens/>
        <w:rPr>
          <w:rFonts w:cs="Arial"/>
        </w:rPr>
      </w:pPr>
      <w:r>
        <w:rPr>
          <w:rFonts w:cs="Arial"/>
        </w:rPr>
        <w:t>a.</w:t>
      </w:r>
      <w:r>
        <w:rPr>
          <w:rFonts w:cs="Arial"/>
        </w:rPr>
        <w:tab/>
        <w:t>het aanbrengen van lijmen, harsen en coatings op steen door middel van vernevelen met een nevelspuit,</w:t>
      </w:r>
    </w:p>
    <w:p w:rsidR="00177466" w:rsidRDefault="00177466" w:rsidP="00177466">
      <w:pPr>
        <w:pStyle w:val="art2enivo"/>
        <w:shd w:val="clear" w:color="auto" w:fill="D9D9D9" w:themeFill="background1" w:themeFillShade="D9"/>
        <w:suppressAutoHyphens/>
        <w:rPr>
          <w:rFonts w:cs="Arial"/>
        </w:rPr>
      </w:pPr>
      <w:r>
        <w:rPr>
          <w:rFonts w:cs="Arial"/>
        </w:rPr>
        <w:t>b.</w:t>
      </w:r>
      <w:r>
        <w:rPr>
          <w:rFonts w:cs="Arial"/>
        </w:rPr>
        <w:tab/>
        <w:t>het aansluitend aan de onder a genoemde activiteiten drogen dan wel uitharden van met vluchtige organische stoffen behandelde materialen,</w:t>
      </w:r>
    </w:p>
    <w:p w:rsidR="00177466" w:rsidRDefault="00177466" w:rsidP="00177466">
      <w:pPr>
        <w:pStyle w:val="artplat"/>
        <w:shd w:val="clear" w:color="auto" w:fill="D9D9D9" w:themeFill="background1" w:themeFillShade="D9"/>
        <w:suppressAutoHyphens/>
        <w:rPr>
          <w:rFonts w:cs="Arial"/>
        </w:rPr>
      </w:pPr>
      <w:r>
        <w:rPr>
          <w:rFonts w:cs="Arial"/>
        </w:rPr>
        <w:tab/>
        <w:t>voor zover dat redelijkerwijs mogelijk is, doelmatig aan de bron afgezogen.</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Ten behoeve van het voorkomen dan wel tot een aanvaardbaar niveau beperken van geurhinder, worden de overeenkomstig het eerste lid, onderdelen a en b, afgezogen gassen en dampen, indien deze op de buitenlucht worden geëmitteerd:</w:t>
      </w:r>
    </w:p>
    <w:p w:rsidR="00177466" w:rsidRDefault="00177466" w:rsidP="00177466">
      <w:pPr>
        <w:pStyle w:val="art2enivo"/>
        <w:shd w:val="clear" w:color="auto" w:fill="D9D9D9" w:themeFill="background1" w:themeFillShade="D9"/>
        <w:suppressAutoHyphens/>
        <w:rPr>
          <w:rFonts w:cs="Arial"/>
        </w:rPr>
      </w:pPr>
      <w:r>
        <w:rPr>
          <w:rFonts w:cs="Arial"/>
        </w:rPr>
        <w:t>a.</w:t>
      </w:r>
      <w:r>
        <w:rPr>
          <w:rFonts w:cs="Arial"/>
        </w:rPr>
        <w:tab/>
        <w:t>ten minste twee meter boven de hoogste daklijn van de binnen 25 meter van de uitmonding gelegen gebouwen afgevoerd; of</w:t>
      </w:r>
    </w:p>
    <w:p w:rsidR="00177466" w:rsidRDefault="00177466" w:rsidP="00177466">
      <w:pPr>
        <w:pStyle w:val="art2enivo"/>
        <w:shd w:val="clear" w:color="auto" w:fill="D9D9D9" w:themeFill="background1" w:themeFillShade="D9"/>
        <w:suppressAutoHyphens/>
        <w:rPr>
          <w:rFonts w:cs="Arial"/>
        </w:rPr>
      </w:pPr>
      <w:r>
        <w:rPr>
          <w:rFonts w:cs="Arial"/>
        </w:rPr>
        <w:t>b.</w:t>
      </w:r>
      <w:r>
        <w:rPr>
          <w:rFonts w:cs="Arial"/>
        </w:rPr>
        <w:tab/>
        <w:t>geleid door een doelmatige ontgeuringsinstallatie.</w:t>
      </w:r>
    </w:p>
    <w:p w:rsidR="00177466" w:rsidRDefault="00177466" w:rsidP="00177466">
      <w:pPr>
        <w:pStyle w:val="art1enivo"/>
        <w:shd w:val="clear" w:color="auto" w:fill="D9D9D9" w:themeFill="background1" w:themeFillShade="D9"/>
        <w:suppressAutoHyphens/>
        <w:rPr>
          <w:rFonts w:cs="Arial"/>
        </w:rPr>
      </w:pPr>
      <w:r>
        <w:rPr>
          <w:rFonts w:cs="Arial"/>
        </w:rPr>
        <w:t>3.</w:t>
      </w:r>
      <w:r>
        <w:rPr>
          <w:rFonts w:cs="Arial"/>
        </w:rPr>
        <w:tab/>
        <w:t>Het tweede lid is niet van toepassing indien het mogelijke effect van de geuremissie van de uittredende lucht van een afzuiginstallatie beperkt blijft tot een gezoneerd industrieterrein of een bedrijventerrein met minder dan één gevoelig gebouw per hectare.</w:t>
      </w:r>
    </w:p>
    <w:p w:rsidR="00177466" w:rsidRDefault="00177466" w:rsidP="00177466">
      <w:pPr>
        <w:pStyle w:val="art1enivo"/>
        <w:shd w:val="clear" w:color="auto" w:fill="D9D9D9" w:themeFill="background1" w:themeFillShade="D9"/>
        <w:suppressAutoHyphens/>
        <w:rPr>
          <w:rFonts w:cs="Arial"/>
        </w:rPr>
      </w:pPr>
      <w:r>
        <w:rPr>
          <w:rFonts w:cs="Arial"/>
        </w:rPr>
        <w:t>4.</w:t>
      </w:r>
      <w:r>
        <w:rPr>
          <w:rFonts w:cs="Arial"/>
        </w:rPr>
        <w:tab/>
        <w:t>Het bevoegd gezag kan indien blijkt dat de geurhinder een aanvaardbaar niveau overschrijdt vanwege het slecht functioneren van de ontgeuringsinstallatie, onvoldoende verspreiding van afgezogen gassen en dampen, geuremissies die niet via de afzuiging worden afgevoerd of incidentele geurpieken, in aanvulling op het tweede lid, overeenkomstig artikel 2.7a, derde lid, van het besluit maatwerkvoorschriften stellen met betrekking tot:</w:t>
      </w:r>
    </w:p>
    <w:p w:rsidR="00177466" w:rsidRDefault="00177466" w:rsidP="00177466">
      <w:pPr>
        <w:pStyle w:val="art2enivo"/>
        <w:shd w:val="clear" w:color="auto" w:fill="D9D9D9" w:themeFill="background1" w:themeFillShade="D9"/>
        <w:suppressAutoHyphens/>
        <w:rPr>
          <w:rFonts w:cs="Arial"/>
        </w:rPr>
      </w:pPr>
      <w:r>
        <w:rPr>
          <w:rFonts w:cs="Arial"/>
        </w:rPr>
        <w:t>a.</w:t>
      </w:r>
      <w:r>
        <w:rPr>
          <w:rFonts w:cs="Arial"/>
        </w:rPr>
        <w:tab/>
        <w:t>de uitvoering en het onderhoud van een ontgeuringsinstallatie als bedoeld in het tweede lid;</w:t>
      </w:r>
    </w:p>
    <w:p w:rsidR="00177466" w:rsidRDefault="00177466" w:rsidP="00177466">
      <w:pPr>
        <w:pStyle w:val="art2enivo"/>
        <w:shd w:val="clear" w:color="auto" w:fill="D9D9D9" w:themeFill="background1" w:themeFillShade="D9"/>
        <w:suppressAutoHyphens/>
        <w:rPr>
          <w:rFonts w:cs="Arial"/>
        </w:rPr>
      </w:pPr>
      <w:r>
        <w:rPr>
          <w:rFonts w:cs="Arial"/>
        </w:rPr>
        <w:t>b.</w:t>
      </w:r>
      <w:r>
        <w:rPr>
          <w:rFonts w:cs="Arial"/>
        </w:rPr>
        <w:tab/>
        <w:t>de situering van de afvoerpijp;</w:t>
      </w:r>
    </w:p>
    <w:p w:rsidR="00177466" w:rsidRDefault="00177466" w:rsidP="00177466">
      <w:pPr>
        <w:pStyle w:val="art2enivo"/>
        <w:shd w:val="clear" w:color="auto" w:fill="D9D9D9" w:themeFill="background1" w:themeFillShade="D9"/>
        <w:suppressAutoHyphens/>
        <w:rPr>
          <w:rFonts w:cs="Arial"/>
        </w:rPr>
      </w:pPr>
      <w:r>
        <w:rPr>
          <w:rFonts w:cs="Arial"/>
        </w:rPr>
        <w:t>c.</w:t>
      </w:r>
      <w:r>
        <w:rPr>
          <w:rFonts w:cs="Arial"/>
        </w:rPr>
        <w:tab/>
        <w:t>het voorkomen of beperken van diffuse geuremissies; of</w:t>
      </w:r>
    </w:p>
    <w:p w:rsidR="00177466" w:rsidRDefault="00177466" w:rsidP="00177466">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177466" w:rsidRDefault="00177466" w:rsidP="00177466">
      <w:pPr>
        <w:pStyle w:val="art1enivo"/>
        <w:shd w:val="clear" w:color="auto" w:fill="D9D9D9" w:themeFill="background1" w:themeFillShade="D9"/>
        <w:suppressAutoHyphens/>
        <w:rPr>
          <w:rFonts w:cs="Arial"/>
        </w:rPr>
      </w:pPr>
      <w:r>
        <w:rPr>
          <w:rFonts w:cs="Arial"/>
        </w:rPr>
        <w:t>5.</w:t>
      </w:r>
      <w:r>
        <w:rPr>
          <w:rFonts w:cs="Arial"/>
        </w:rPr>
        <w:tab/>
        <w:t>In afwijking van het tweede lid kan het bevoegd gezag indien blijkt dat de geurhinder een aanvaardbaar niveau overschrijdt en de bevoegdheden genoemd in het vierde lid onvoldoende zijn om de overschrijding ongedaan te maken overeenkomstig artikel 2.7a, derde lid, van het besluit maatwerkvoorschriften stellen met betrekking tot de aanwezigheid van een ontgeuringsinstallatie of een grotere afvoerhoogte van de afgezogen gassen en dampen.</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7.</w:t>
      </w:r>
      <w:r>
        <w:rPr>
          <w:rFonts w:eastAsiaTheme="minorEastAsia"/>
          <w:lang w:eastAsia="nl-NL"/>
        </w:rPr>
        <w:tab/>
        <w:t>In afwijking van het zesde lid kan het bevoegd gezag maatwerkvoorschriften als bedoeld in het vierde en vijfde lid stellen.</w:t>
      </w:r>
    </w:p>
    <w:p w:rsidR="00177466" w:rsidRDefault="00177466" w:rsidP="00177466">
      <w:pPr>
        <w:pStyle w:val="artikelkop"/>
        <w:shd w:val="clear" w:color="auto" w:fill="D9D9D9" w:themeFill="background1" w:themeFillShade="D9"/>
      </w:pPr>
      <w:r>
        <w:t>Artikel 4.84d</w:t>
      </w:r>
    </w:p>
    <w:p w:rsidR="00177466" w:rsidRDefault="00177466" w:rsidP="00177466">
      <w:pPr>
        <w:pStyle w:val="artplat"/>
        <w:shd w:val="clear" w:color="auto" w:fill="D9D9D9" w:themeFill="background1" w:themeFillShade="D9"/>
        <w:suppressAutoHyphens/>
        <w:rPr>
          <w:rFonts w:cs="Arial"/>
        </w:rPr>
      </w:pPr>
      <w:r>
        <w:rPr>
          <w:rFonts w:cs="Arial"/>
        </w:rPr>
        <w:t>Aan artikel 4.74f van het besluit wordt in ieder geval voldaan indien:</w:t>
      </w:r>
    </w:p>
    <w:p w:rsidR="00177466" w:rsidRDefault="00177466" w:rsidP="00177466">
      <w:pPr>
        <w:pStyle w:val="artplatletter"/>
        <w:shd w:val="clear" w:color="auto" w:fill="D9D9D9" w:themeFill="background1" w:themeFillShade="D9"/>
        <w:suppressAutoHyphens/>
        <w:rPr>
          <w:rFonts w:cs="Arial"/>
        </w:rPr>
      </w:pPr>
      <w:r>
        <w:rPr>
          <w:rFonts w:cs="Arial"/>
        </w:rPr>
        <w:t>a.</w:t>
      </w:r>
      <w:r>
        <w:rPr>
          <w:rFonts w:cs="Arial"/>
        </w:rPr>
        <w:tab/>
        <w:t>de afgezogen emissies die vrijkomen bij het aanbrengen van lijmen, harsen of coatings op steen worden gevoerd door een filtrerende afscheider, die geschikt is om aan artikel 4.74f van het besluit te voldoen; en</w:t>
      </w:r>
    </w:p>
    <w:p w:rsidR="00177466" w:rsidRDefault="00177466" w:rsidP="00177466">
      <w:pPr>
        <w:pStyle w:val="artplatletter"/>
        <w:shd w:val="clear" w:color="auto" w:fill="D9D9D9" w:themeFill="background1" w:themeFillShade="D9"/>
        <w:suppressAutoHyphens/>
        <w:rPr>
          <w:rFonts w:cs="Arial"/>
        </w:rPr>
      </w:pPr>
      <w:r>
        <w:rPr>
          <w:rFonts w:cs="Arial"/>
        </w:rPr>
        <w:t>b.</w:t>
      </w:r>
      <w:r>
        <w:rPr>
          <w:rFonts w:cs="Arial"/>
        </w:rPr>
        <w:tab/>
        <w:t>de filtrerende afscheider in goede staat van onderhoud verkeert, periodiek gecontroleerd wordt en zo vaak als voor de goede werking nodig is, wordt schoongemaakt en vervangen.</w:t>
      </w:r>
    </w:p>
    <w:p w:rsidR="00177466" w:rsidRDefault="00177466" w:rsidP="00177466">
      <w:pPr>
        <w:pStyle w:val="artikelkop"/>
        <w:shd w:val="clear" w:color="auto" w:fill="D9D9D9" w:themeFill="background1" w:themeFillShade="D9"/>
      </w:pPr>
      <w:r>
        <w:t>Artikel 4.84e</w:t>
      </w:r>
    </w:p>
    <w:p w:rsidR="00177466" w:rsidRPr="00620047" w:rsidRDefault="00177466" w:rsidP="00177466">
      <w:pPr>
        <w:pStyle w:val="artplat"/>
        <w:shd w:val="clear" w:color="auto" w:fill="D9D9D9" w:themeFill="background1" w:themeFillShade="D9"/>
        <w:suppressAutoHyphens/>
        <w:rPr>
          <w:rFonts w:cs="Arial"/>
        </w:rPr>
      </w:pPr>
      <w:r>
        <w:rPr>
          <w:rFonts w:cs="Arial"/>
        </w:rPr>
        <w:t>Ten behoeve van het realiseren van een verwaarloosbaar bodemrisico vindt bij het aanbrengen van lijmen, harsen of coatings op steen het verwerken van lijmen, harsen, coatings en verdunningsmiddelen alsmede het aanbrengen van coatings op steen plaats boven een bodembeschermende voorziening.</w:t>
      </w:r>
    </w:p>
    <w:p w:rsidR="00296032" w:rsidRPr="00296032" w:rsidRDefault="00296032">
      <w:pPr>
        <w:pStyle w:val="paragraaf"/>
        <w:rPr>
          <w:rFonts w:cs="Arial"/>
        </w:rPr>
      </w:pPr>
      <w:bookmarkStart w:id="263" w:name="_Toc277243242"/>
      <w:bookmarkStart w:id="264" w:name="_Toc431375726"/>
      <w:r w:rsidRPr="00296032">
        <w:rPr>
          <w:rFonts w:cs="Arial"/>
        </w:rPr>
        <w:t>§ 4.5a.3</w:t>
      </w:r>
      <w:r w:rsidRPr="00296032">
        <w:rPr>
          <w:rFonts w:cs="Arial"/>
        </w:rPr>
        <w:tab/>
        <w:t xml:space="preserve">Chemisch behandelen van </w:t>
      </w:r>
      <w:bookmarkEnd w:id="263"/>
      <w:r w:rsidRPr="00296032">
        <w:rPr>
          <w:rFonts w:cs="Arial"/>
        </w:rPr>
        <w:t>steen</w:t>
      </w:r>
      <w:bookmarkEnd w:id="264"/>
    </w:p>
    <w:p w:rsidR="00296032" w:rsidRPr="00296032" w:rsidRDefault="00296032">
      <w:pPr>
        <w:pStyle w:val="artikelkop"/>
        <w:rPr>
          <w:rFonts w:cs="Arial"/>
        </w:rPr>
      </w:pPr>
      <w:r w:rsidRPr="00296032">
        <w:rPr>
          <w:rFonts w:cs="Arial"/>
        </w:rPr>
        <w:t>Artikel 4.74ga</w:t>
      </w:r>
    </w:p>
    <w:p w:rsidR="00296032" w:rsidRPr="00620047" w:rsidRDefault="00296032">
      <w:pPr>
        <w:pStyle w:val="artplat"/>
      </w:pPr>
      <w:r w:rsidRPr="00620047">
        <w:t>Deze paragraaf is van toepassing op het chemisch behandelen van steen.</w:t>
      </w:r>
    </w:p>
    <w:p w:rsidR="00296032" w:rsidRPr="00296032" w:rsidRDefault="00296032">
      <w:pPr>
        <w:pStyle w:val="artikelkop"/>
        <w:rPr>
          <w:rFonts w:cs="Arial"/>
        </w:rPr>
      </w:pPr>
      <w:r w:rsidRPr="00296032">
        <w:rPr>
          <w:rFonts w:cs="Arial"/>
        </w:rPr>
        <w:t>Artikel 4.74h</w:t>
      </w:r>
    </w:p>
    <w:p w:rsidR="00296032" w:rsidRDefault="00296032">
      <w:pPr>
        <w:rPr>
          <w:rFonts w:cs="Arial"/>
        </w:rPr>
      </w:pPr>
      <w:r w:rsidRPr="00620047">
        <w:rPr>
          <w:rFonts w:cs="Arial"/>
        </w:rPr>
        <w:t>Bij het chemisch behandelen van steen worden ten behoeve van het realiseren van een verwaarloosbaar bodemrisico de bij ministeriële regeling voorgeschreven maatregelen toegepast.</w:t>
      </w:r>
    </w:p>
    <w:p w:rsidR="00177466" w:rsidRDefault="00177466">
      <w:pPr>
        <w:rPr>
          <w:rFonts w:cs="Arial"/>
        </w:rPr>
      </w:pPr>
    </w:p>
    <w:p w:rsidR="00177466" w:rsidRDefault="00177466" w:rsidP="00177466">
      <w:pPr>
        <w:pStyle w:val="paragraaf"/>
        <w:shd w:val="clear" w:color="auto" w:fill="D9D9D9" w:themeFill="background1" w:themeFillShade="D9"/>
      </w:pPr>
      <w:bookmarkStart w:id="265" w:name="_Toc431375727"/>
      <w:r>
        <w:t>§ 4.5a.3.</w:t>
      </w:r>
      <w:r>
        <w:tab/>
        <w:t>Chemisch behandelen van steen</w:t>
      </w:r>
      <w:bookmarkEnd w:id="265"/>
    </w:p>
    <w:p w:rsidR="00177466" w:rsidRDefault="00177466" w:rsidP="00177466">
      <w:pPr>
        <w:pStyle w:val="artikelkop"/>
        <w:shd w:val="clear" w:color="auto" w:fill="D9D9D9" w:themeFill="background1" w:themeFillShade="D9"/>
      </w:pPr>
      <w:r>
        <w:t>Artikel 4.84f</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is een dompelbad waarin steen chemisch wordt behandeld, opgesteld boven een lekbak of een vloeistofdichte vloer of verharding, die zich ten minste uitstrekt tot de oppervlakte van het dompelbad en het daarbij behorende uitlekgebied. Onder dit uitlekgebied wordt niet begrepen het gebied waar het steen wordt geplaatst nadat dit is afgespoeld met water of is gespoeld in een bad met water.</w:t>
      </w:r>
    </w:p>
    <w:p w:rsidR="00177466" w:rsidRPr="00620047" w:rsidRDefault="00177466" w:rsidP="00177466">
      <w:pPr>
        <w:pStyle w:val="art1enivo"/>
        <w:shd w:val="clear" w:color="auto" w:fill="D9D9D9" w:themeFill="background1" w:themeFillShade="D9"/>
        <w:suppressAutoHyphens/>
        <w:rPr>
          <w:rFonts w:cs="Arial"/>
        </w:rPr>
      </w:pPr>
      <w:r>
        <w:rPr>
          <w:rFonts w:cs="Arial"/>
        </w:rPr>
        <w:t>2.</w:t>
      </w:r>
      <w:r>
        <w:rPr>
          <w:rFonts w:cs="Arial"/>
        </w:rPr>
        <w:tab/>
        <w:t>Een dompelbad dat zich automatisch vult, is voorzien van een doelmatige overvulbeveiliging of overloopbeveiliging.</w:t>
      </w:r>
    </w:p>
    <w:p w:rsidR="00296032" w:rsidRPr="00296032" w:rsidRDefault="00296032">
      <w:pPr>
        <w:pStyle w:val="paragraaf"/>
      </w:pPr>
      <w:bookmarkStart w:id="266" w:name="_Toc431375728"/>
      <w:r w:rsidRPr="00296032">
        <w:t>§ 4.5a.4.</w:t>
      </w:r>
      <w:r w:rsidRPr="00296032">
        <w:tab/>
        <w:t>Het vervaardigen van betonmortel</w:t>
      </w:r>
      <w:bookmarkEnd w:id="266"/>
    </w:p>
    <w:p w:rsidR="00296032" w:rsidRPr="00296032" w:rsidRDefault="00296032">
      <w:pPr>
        <w:pStyle w:val="artikelkop"/>
      </w:pPr>
      <w:r w:rsidRPr="00296032">
        <w:t>Artikel 4.74i</w:t>
      </w:r>
    </w:p>
    <w:p w:rsidR="00296032" w:rsidRPr="00620047" w:rsidRDefault="00296032">
      <w:pPr>
        <w:pStyle w:val="artplat"/>
      </w:pPr>
      <w:r w:rsidRPr="00620047">
        <w:t>Deze paragraaf is van toepassing op het vervaardigen van betonmortel.</w:t>
      </w:r>
    </w:p>
    <w:p w:rsidR="00296032" w:rsidRPr="00296032" w:rsidRDefault="00296032">
      <w:pPr>
        <w:pStyle w:val="artikelkop"/>
      </w:pPr>
      <w:r w:rsidRPr="00296032">
        <w:t>Artikel 4.74j</w:t>
      </w:r>
    </w:p>
    <w:p w:rsidR="00296032" w:rsidRPr="00620047" w:rsidRDefault="00296032">
      <w:pPr>
        <w:pStyle w:val="art1enivo"/>
      </w:pPr>
      <w:r w:rsidRPr="00620047">
        <w:t>1.</w:t>
      </w:r>
      <w:r w:rsidRPr="00620047">
        <w:tab/>
        <w:t>Het doseren en mengen van goederen behorende tot stuifklasse S1 voor het vervaardigen van betonmortel, vindt plaats in gesloten ruimtes of in een gesloten systeem.</w:t>
      </w:r>
    </w:p>
    <w:p w:rsidR="00296032" w:rsidRPr="00620047" w:rsidRDefault="00296032">
      <w:pPr>
        <w:pStyle w:val="art1enivo"/>
      </w:pPr>
      <w:r w:rsidRPr="00620047">
        <w:t>2.</w:t>
      </w:r>
      <w:r w:rsidRPr="00620047">
        <w:tab/>
        <w:t>Onverminderd artikel 2.5, eerste, vierde en vijfde lid, en artikel 2.6 is bij het doseren en mengen van goederen, bedoeld in het eerste lid, ten behoeve van het vervaardigen van betonmortel de emissieconcentratie van stofklasse S niet meer dan:</w:t>
      </w:r>
    </w:p>
    <w:p w:rsidR="00296032" w:rsidRPr="00620047" w:rsidRDefault="00296032">
      <w:pPr>
        <w:pStyle w:val="art2enivo"/>
      </w:pPr>
      <w:r w:rsidRPr="00620047">
        <w:t>a.</w:t>
      </w:r>
      <w:r w:rsidRPr="00620047">
        <w:tab/>
        <w:t>5 milligram per normaal kubieke meter, indien de massastroom van stofklasse S naar de lucht gelijk is aan of groter is dan 200 gram per uur, en</w:t>
      </w:r>
    </w:p>
    <w:p w:rsidR="00296032" w:rsidRPr="00620047" w:rsidRDefault="00296032">
      <w:pPr>
        <w:pStyle w:val="art2enivo"/>
      </w:pPr>
      <w:r w:rsidRPr="00620047">
        <w:t>b.</w:t>
      </w:r>
      <w:r w:rsidRPr="00620047">
        <w:tab/>
        <w:t>50 milligram per normaal kubieke meter, indien de massastroom van stofklasse S kleiner is dan 200 gram per uur.</w:t>
      </w:r>
    </w:p>
    <w:p w:rsidR="00296032" w:rsidRPr="00620047" w:rsidRDefault="00296032">
      <w:pPr>
        <w:pStyle w:val="art1enivo"/>
      </w:pPr>
      <w:r w:rsidRPr="00620047">
        <w:t>3.</w:t>
      </w:r>
      <w:r w:rsidRPr="00620047">
        <w:tab/>
        <w:t>Bij het doseren en mengen ten behoeve van het vervaardigen van betonmortel wordt ten behoeve van het voorkomen dan wel voor zover dat niet mogelijk is het beperken van diffuse emissies en het doelmatig verspreiden van emissies naar de buitenlucht, voldaan aan de bij ministeriële regeling gestelde eisen.</w:t>
      </w:r>
    </w:p>
    <w:p w:rsidR="00296032" w:rsidRPr="00296032" w:rsidRDefault="00296032">
      <w:pPr>
        <w:pStyle w:val="artikelkop"/>
      </w:pPr>
      <w:r w:rsidRPr="00296032">
        <w:t>Artikel 4.74k</w:t>
      </w:r>
    </w:p>
    <w:p w:rsidR="00296032" w:rsidRPr="00620047" w:rsidRDefault="00296032">
      <w:pPr>
        <w:pStyle w:val="art1enivo"/>
      </w:pPr>
      <w:r w:rsidRPr="00620047">
        <w:t>1.</w:t>
      </w:r>
      <w:r w:rsidRPr="00620047">
        <w:tab/>
        <w:t>Het lozen van afvalwater afkomstig van het reinigen van met beton verontreinigde installatieonderdelen is uitsluitend toegestaan indien daarbij ten minste wordt voldaan aan de eisen, gesteld bij en krachtens het tweede tot en met vijfde lid.</w:t>
      </w:r>
    </w:p>
    <w:p w:rsidR="00296032" w:rsidRPr="00620047" w:rsidRDefault="00296032">
      <w:pPr>
        <w:pStyle w:val="art1enivo"/>
      </w:pPr>
      <w:r w:rsidRPr="00620047">
        <w:t>2.</w:t>
      </w:r>
      <w:r w:rsidRPr="00620047">
        <w:tab/>
        <w:t>Bij het lozen in een aangewezen oppervlaktewaterlichaam of in een voorziening voor de inzameling en het transport van afvalwater, niet zijnde een vuilwaterriool, bedraagt:</w:t>
      </w:r>
    </w:p>
    <w:p w:rsidR="00296032" w:rsidRPr="00620047" w:rsidRDefault="00296032">
      <w:pPr>
        <w:pStyle w:val="art2enivo"/>
      </w:pPr>
      <w:r w:rsidRPr="00620047">
        <w:t>a.</w:t>
      </w:r>
      <w:r w:rsidRPr="00620047">
        <w:tab/>
        <w:t>het gehalte aan onopgeloste stoffen in enig steekmonster niet meer dan 100 milligram per liter, en</w:t>
      </w:r>
    </w:p>
    <w:p w:rsidR="00296032" w:rsidRPr="00620047" w:rsidRDefault="00296032">
      <w:pPr>
        <w:pStyle w:val="art2enivo"/>
      </w:pPr>
      <w:r w:rsidRPr="00620047">
        <w:t>b.</w:t>
      </w:r>
      <w:r w:rsidRPr="00620047">
        <w:tab/>
        <w:t>het gehalte aan chemisch zuurstofverbruik in enig steekmonster niet meer dan 200 milligram per liter.</w:t>
      </w:r>
    </w:p>
    <w:p w:rsidR="00296032" w:rsidRPr="00620047" w:rsidRDefault="00296032">
      <w:pPr>
        <w:pStyle w:val="art1enivo"/>
      </w:pPr>
      <w:r w:rsidRPr="00620047">
        <w:t>3.</w:t>
      </w:r>
      <w:r w:rsidRPr="00620047">
        <w:tab/>
        <w:t>Bij het lozen in een vuilwaterriool bedraagt het gehalte aan onopgeloste stoffen niet meer dan 300 milligram per liter.</w:t>
      </w:r>
    </w:p>
    <w:p w:rsidR="00296032" w:rsidRPr="00620047" w:rsidRDefault="00296032">
      <w:pPr>
        <w:pStyle w:val="art1enivo"/>
      </w:pPr>
      <w:r w:rsidRPr="00620047">
        <w:t>4.</w:t>
      </w:r>
      <w:r w:rsidRPr="00620047">
        <w:tab/>
        <w:t>Het te lozen afvalwater kan op doelmatige wijze worden bemonsterd.</w:t>
      </w:r>
    </w:p>
    <w:p w:rsidR="00296032" w:rsidRPr="00296032" w:rsidRDefault="00296032">
      <w:pPr>
        <w:pStyle w:val="artikelkop"/>
      </w:pPr>
      <w:r w:rsidRPr="00296032">
        <w:t>Artikel 4.74l</w:t>
      </w:r>
    </w:p>
    <w:p w:rsidR="00296032" w:rsidRPr="00620047" w:rsidRDefault="00296032">
      <w:pPr>
        <w:pStyle w:val="art1enivo"/>
      </w:pPr>
      <w:r w:rsidRPr="00620047">
        <w:t>1.</w:t>
      </w:r>
      <w:r w:rsidRPr="00620047">
        <w:tab/>
        <w:t>Dit artikel is van toepassing op het mengen van afvalstoffen voor het vervaardigen van betonmortel waarop het Besluit bodemkwaliteit van toepassing is.</w:t>
      </w:r>
    </w:p>
    <w:p w:rsidR="00296032" w:rsidRPr="00620047" w:rsidRDefault="00296032">
      <w:pPr>
        <w:pStyle w:val="art1enivo"/>
      </w:pPr>
      <w:r w:rsidRPr="00620047">
        <w:t>2.</w:t>
      </w:r>
      <w:r w:rsidRPr="00620047">
        <w:tab/>
        <w:t>Onverminderd artikel 2.12 voldoen afvalstoffen die worden toegepast voor het vervaardigen van betonmortel afzonderlijk aan de kwaliteitseisen van hoofdstuk 3 van het Besluit bodemkwaliteit.</w:t>
      </w:r>
    </w:p>
    <w:p w:rsidR="00296032" w:rsidRPr="00620047" w:rsidRDefault="00296032">
      <w:pPr>
        <w:pStyle w:val="art1enivo"/>
      </w:pPr>
      <w:r w:rsidRPr="00620047">
        <w:t>3.</w:t>
      </w:r>
      <w:r w:rsidRPr="00620047">
        <w:tab/>
        <w:t>Onverminderd artikel 2.12 kan het bevoegd gezag in afwijking van het tweede lid bepalen dat afvalstoffen die afzonderlijk niet aan de vereisten uit het Besluit bodemkwaliteit voldoen, voor het vervaardigen van betonmortel kunnen worden toegepast, indien:</w:t>
      </w:r>
    </w:p>
    <w:p w:rsidR="00296032" w:rsidRPr="00620047" w:rsidRDefault="00296032">
      <w:pPr>
        <w:pStyle w:val="art2enivo"/>
      </w:pPr>
      <w:r w:rsidRPr="00620047">
        <w:t>a.</w:t>
      </w:r>
      <w:r w:rsidRPr="00620047">
        <w:tab/>
        <w:t>de nuttige toepassing van de afvalstof is toegestaan, en</w:t>
      </w:r>
    </w:p>
    <w:p w:rsidR="00296032" w:rsidRPr="00620047" w:rsidRDefault="00296032">
      <w:pPr>
        <w:pStyle w:val="art2enivo"/>
      </w:pPr>
      <w:r w:rsidRPr="00620047">
        <w:t>b.</w:t>
      </w:r>
      <w:r w:rsidRPr="00620047">
        <w:tab/>
        <w:t>de toepassing van de afvalstof bijdraagt aan de fysische of bouwtechnische eigenschappen van de bouwstof en daarmee de inzet van primaire grondstoffen uitspaart.</w:t>
      </w:r>
    </w:p>
    <w:p w:rsidR="00177466" w:rsidRDefault="00177466" w:rsidP="00177466">
      <w:pPr>
        <w:pStyle w:val="paragraaf"/>
        <w:shd w:val="clear" w:color="auto" w:fill="D9D9D9" w:themeFill="background1" w:themeFillShade="D9"/>
      </w:pPr>
      <w:bookmarkStart w:id="267" w:name="_Toc431375729"/>
      <w:r>
        <w:t>§ 4.5a.4.</w:t>
      </w:r>
      <w:r>
        <w:tab/>
        <w:t>Het vervaardigen van betonmortel</w:t>
      </w:r>
      <w:bookmarkEnd w:id="267"/>
    </w:p>
    <w:p w:rsidR="00177466" w:rsidRDefault="00177466" w:rsidP="00177466">
      <w:pPr>
        <w:pStyle w:val="artikelkop"/>
        <w:shd w:val="clear" w:color="auto" w:fill="D9D9D9" w:themeFill="background1" w:themeFillShade="D9"/>
      </w:pPr>
      <w:r>
        <w:t xml:space="preserve">Artikel 4.84g </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en het bevorderen van een doelmatige verspreiding van emissies naar de buitenlucht als bedoeld in artikel 4.74j, derde lid, van het besluit, worden bij het doseren en mengen ten behoeve van de vervaardiging van betonmortel de emissies die naar de buitenlucht worden afgevoerd, bovendaks en omhoog gericht afgevoerd, indien binnen 50 meter van een emissiepunt een gevoelig gebouw is gelegen, niet zijnde een gevoelig gebouw op een gezoneerd industrieterrein of op een bedrijventerrein met minder dan één gevoelig gebouw per hectare.</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Het bevoegd gezag kan in het belang van de luchtkwaliteit en  maatwerkvoorschriften stellen aan de ligging en uitvoering van het afvoerpunt van de emissies naar de lucht.</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eerste lid niet van toepassing voor zover er geen verandering van de inrichting plaatsvindt waarvoor een melding krachtens artikel 1.10 van het besluit nodig is en voor zover de emissies als bedoeld in het eerste lid niet toenemen en de wijze van afvoer van die emissies naar de buitenlucht niet verandert.</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In afwijking van het derde lid kan het bevoegd gezag maatwerkvoorschriften als bedoeld in het tweede lid stellen.</w:t>
      </w:r>
    </w:p>
    <w:p w:rsidR="00177466" w:rsidRDefault="00177466" w:rsidP="00177466">
      <w:pPr>
        <w:pStyle w:val="artikelkop"/>
        <w:shd w:val="clear" w:color="auto" w:fill="D9D9D9" w:themeFill="background1" w:themeFillShade="D9"/>
      </w:pPr>
      <w:r>
        <w:t>Artikel 4.84h</w:t>
      </w:r>
    </w:p>
    <w:p w:rsidR="00177466" w:rsidRPr="00177466" w:rsidRDefault="00177466" w:rsidP="00177466">
      <w:pPr>
        <w:pStyle w:val="artplat"/>
        <w:shd w:val="clear" w:color="auto" w:fill="D9D9D9" w:themeFill="background1" w:themeFillShade="D9"/>
        <w:suppressAutoHyphens/>
        <w:rPr>
          <w:rFonts w:cs="Arial"/>
        </w:rPr>
      </w:pPr>
      <w:r>
        <w:rPr>
          <w:rFonts w:cs="Arial"/>
        </w:rPr>
        <w:t>Aan artikel 4.74j, tweede lid, van het besluit wordt bij het doseren en mengen ten behoeve van de vervaardiging van betonmortel in ieder geval voldaan indien de via ontluchtingsopeningen ontwijkende lucht door een filtrerende afscheider wordt gevoerd die in goede staat van onderhoud verkeert, periodiek gecontroleerd wordt en zo vaak als voor de goede werking nodig is, wordt schoongemaakt en vervangen.</w:t>
      </w:r>
    </w:p>
    <w:p w:rsidR="00296032" w:rsidRPr="00296032" w:rsidRDefault="00296032">
      <w:pPr>
        <w:pStyle w:val="paragraaf"/>
      </w:pPr>
      <w:bookmarkStart w:id="268" w:name="_Toc431375730"/>
      <w:r w:rsidRPr="00296032">
        <w:t>§ 4.5a.5.</w:t>
      </w:r>
      <w:r w:rsidRPr="00296032">
        <w:tab/>
        <w:t>Het vormgeven van betonproducten</w:t>
      </w:r>
      <w:bookmarkEnd w:id="268"/>
    </w:p>
    <w:p w:rsidR="00296032" w:rsidRPr="00296032" w:rsidRDefault="00296032">
      <w:pPr>
        <w:pStyle w:val="artikelkop"/>
      </w:pPr>
      <w:r w:rsidRPr="00296032">
        <w:t>Artikel 4.74m</w:t>
      </w:r>
    </w:p>
    <w:p w:rsidR="00296032" w:rsidRPr="00620047" w:rsidRDefault="00296032">
      <w:pPr>
        <w:pStyle w:val="artplat"/>
      </w:pPr>
      <w:r w:rsidRPr="00620047">
        <w:t>Deze paragraaf is van toepassing op het vormgeven van betonproducten.</w:t>
      </w:r>
    </w:p>
    <w:p w:rsidR="00296032" w:rsidRPr="00296032" w:rsidRDefault="00296032">
      <w:pPr>
        <w:pStyle w:val="artikelkop"/>
      </w:pPr>
      <w:r w:rsidRPr="00296032">
        <w:t>Artikel 4.74n</w:t>
      </w:r>
    </w:p>
    <w:p w:rsidR="00296032" w:rsidRPr="00620047" w:rsidRDefault="00296032">
      <w:pPr>
        <w:pStyle w:val="art1enivo"/>
      </w:pPr>
      <w:r w:rsidRPr="00620047">
        <w:t>1.</w:t>
      </w:r>
      <w:r w:rsidRPr="00620047">
        <w:tab/>
        <w:t>Het lozen van afvalwater afkomstig van het uitwassen van beton is uitsluitend toegestaan indien daarbij ten minste wordt voldaan aan de eisen, gesteld bij en krachtens het tweede tot en met vijfde lid.</w:t>
      </w:r>
    </w:p>
    <w:p w:rsidR="00296032" w:rsidRPr="00620047" w:rsidRDefault="00296032">
      <w:pPr>
        <w:pStyle w:val="art1enivo"/>
      </w:pPr>
      <w:r w:rsidRPr="00620047">
        <w:t>2.</w:t>
      </w:r>
      <w:r w:rsidRPr="00620047">
        <w:tab/>
        <w:t>Bij het lozen van afvalwater in een aangewezen oppervlaktewaterlichaam bedraagt:</w:t>
      </w:r>
    </w:p>
    <w:p w:rsidR="00296032" w:rsidRPr="00620047" w:rsidRDefault="00296032">
      <w:pPr>
        <w:pStyle w:val="art2enivo"/>
      </w:pPr>
      <w:r w:rsidRPr="00620047">
        <w:t>a.</w:t>
      </w:r>
      <w:r w:rsidRPr="00620047">
        <w:tab/>
        <w:t>het gehalte aan onopgeloste stoffen in enig steekmonster niet meer dan 100 milligram per liter, en</w:t>
      </w:r>
    </w:p>
    <w:p w:rsidR="00296032" w:rsidRPr="00620047" w:rsidRDefault="00296032">
      <w:pPr>
        <w:pStyle w:val="art2enivo"/>
      </w:pPr>
      <w:r w:rsidRPr="00620047">
        <w:t>b.</w:t>
      </w:r>
      <w:r w:rsidRPr="00620047">
        <w:tab/>
        <w:t>het gehalte aan chemisch zuurstofverbruik in enig steekmonster niet meer dan 200 milligram per liter.</w:t>
      </w:r>
    </w:p>
    <w:p w:rsidR="00296032" w:rsidRPr="00620047" w:rsidRDefault="00296032">
      <w:pPr>
        <w:pStyle w:val="art1enivo"/>
      </w:pPr>
      <w:r w:rsidRPr="00620047">
        <w:t>3.</w:t>
      </w:r>
      <w:r w:rsidRPr="00620047">
        <w:tab/>
        <w:t>Bij het lozen van afvalwater in een vuilwaterriool bevat het afvalwater in enig steekmonster niet meer dan 300 milligram onopgeloste stoffen per liter.</w:t>
      </w:r>
    </w:p>
    <w:p w:rsidR="00296032" w:rsidRPr="00620047" w:rsidRDefault="00296032">
      <w:pPr>
        <w:pStyle w:val="art1enivo"/>
      </w:pPr>
      <w:r w:rsidRPr="00620047">
        <w:t>4.</w:t>
      </w:r>
      <w:r w:rsidRPr="00620047">
        <w:tab/>
        <w:t>Het te lozen afvalwater kan op doelmatige wijze worden bemonsterd.</w:t>
      </w:r>
    </w:p>
    <w:p w:rsidR="00296032" w:rsidRPr="00296032" w:rsidRDefault="00296032">
      <w:pPr>
        <w:pStyle w:val="artikelkop"/>
      </w:pPr>
      <w:r w:rsidRPr="00296032">
        <w:t>Artikel 4.74o</w:t>
      </w:r>
    </w:p>
    <w:p w:rsidR="00296032" w:rsidRPr="00620047" w:rsidRDefault="00296032">
      <w:pPr>
        <w:pStyle w:val="art1enivo"/>
      </w:pPr>
      <w:r w:rsidRPr="00620047">
        <w:t>1.</w:t>
      </w:r>
      <w:r w:rsidRPr="00620047">
        <w:tab/>
        <w:t>Bij het aanbrengen van ontkistingsmiddelen op bekisting wordt voldaan aan de bij ministeriële regeling gestelde eisen inzake de reductie van de emissie van vluchtige organische stoffen, tenzij deze niet kosteneffectief of technisch uitvoerbaar zijn.</w:t>
      </w:r>
    </w:p>
    <w:p w:rsidR="00296032" w:rsidRPr="00620047" w:rsidRDefault="00296032">
      <w:pPr>
        <w:pStyle w:val="art1enivo"/>
      </w:pPr>
      <w:r w:rsidRPr="00620047">
        <w:t>2.</w:t>
      </w:r>
      <w:r w:rsidRPr="00620047">
        <w:tab/>
        <w:t>Het eerste lid is niet van toepassing indien het totaal verbruik van vluchtige organische stoffen bij de activiteit, genoemd in het eerste lid, minder bedraagt dan 1.000 kilogram per jaar.</w:t>
      </w:r>
    </w:p>
    <w:p w:rsidR="00296032" w:rsidRPr="00296032" w:rsidRDefault="00296032">
      <w:pPr>
        <w:pStyle w:val="artikelkop"/>
      </w:pPr>
      <w:r w:rsidRPr="00296032">
        <w:t>Artikel 4.74p</w:t>
      </w:r>
    </w:p>
    <w:p w:rsidR="00296032" w:rsidRPr="00620047" w:rsidRDefault="00296032">
      <w:pPr>
        <w:pStyle w:val="artplat"/>
      </w:pPr>
      <w:r w:rsidRPr="00620047">
        <w:t>Bij het op bekisting aanbrengen van ontkistingsmiddelen en het uitwassen van beton wordt ten behoeve van het realiseren van een verwaarloosbaar bodemrisico voldaan aan de bij ministeriële regeling gestelde eisen.</w:t>
      </w:r>
    </w:p>
    <w:p w:rsidR="00296032" w:rsidRPr="00296032" w:rsidRDefault="00296032">
      <w:pPr>
        <w:pStyle w:val="artikelkop"/>
      </w:pPr>
      <w:r w:rsidRPr="00296032">
        <w:t xml:space="preserve">Artikel 4.74p1 </w:t>
      </w:r>
    </w:p>
    <w:p w:rsidR="00177466" w:rsidRDefault="00296032" w:rsidP="00177466">
      <w:pPr>
        <w:pStyle w:val="artplat"/>
      </w:pPr>
      <w:r w:rsidRPr="00620047">
        <w:t>In afwijking van artikel 6.1, eerste lid, worden voor inrichtingen als bedoeld in categorie 11.3, onderdeel c, onder 2</w:t>
      </w:r>
      <w:r w:rsidR="00C81FCC" w:rsidRPr="00C81FCC">
        <w:t>°</w:t>
      </w:r>
      <w:r w:rsidRPr="00620047">
        <w:t xml:space="preserve"> en 3</w:t>
      </w:r>
      <w:r w:rsidR="00C81FCC" w:rsidRPr="00C81FCC">
        <w:t>°</w:t>
      </w:r>
      <w:r w:rsidRPr="00620047">
        <w:t>, van bijlage I, bij het Besluit omgevingsrecht waarvoor tot de inwerkingtreding van deze paragraaf, een vergunning op grond van artikel 2.1, eerste lid, aanhef en onder e, van de Wet algemene bepalingen omgevingsrecht in werking en onherroepelijk was, de voorschriften van die vergunning in afwijking van artikel 6.1, eerste lid, voor onbepaalde tijd aangemerkt als maatwerkvoorschriften, mits de voorschriften van de vergunning vallen binnen de bevoegdheid van het bevoegd gezag tot het stellen van maatwerkvoorschriften op grond van artikel 2.20.</w:t>
      </w:r>
    </w:p>
    <w:p w:rsidR="00177466" w:rsidRDefault="00177466" w:rsidP="00177466">
      <w:pPr>
        <w:pStyle w:val="paragraaf"/>
        <w:shd w:val="clear" w:color="auto" w:fill="D9D9D9" w:themeFill="background1" w:themeFillShade="D9"/>
      </w:pPr>
      <w:bookmarkStart w:id="269" w:name="_Toc431375731"/>
      <w:r>
        <w:t>§ 4.5a.5.</w:t>
      </w:r>
      <w:r>
        <w:tab/>
        <w:t>Het vormgeven van betonproducten</w:t>
      </w:r>
      <w:bookmarkEnd w:id="269"/>
    </w:p>
    <w:p w:rsidR="00177466" w:rsidRDefault="00177466" w:rsidP="00177466">
      <w:pPr>
        <w:pStyle w:val="artikelkop"/>
        <w:shd w:val="clear" w:color="auto" w:fill="D9D9D9" w:themeFill="background1" w:themeFillShade="D9"/>
      </w:pPr>
      <w:r>
        <w:t xml:space="preserve">Artikel 4.84i </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Ter uitvoering van artikel 4.74o, eerste lid, van het besluit, past degene die de inrichting drijft bij het op bekisting aanbrengen van ontkistingsmiddelen:</w:t>
      </w:r>
    </w:p>
    <w:p w:rsidR="00177466" w:rsidRDefault="00177466" w:rsidP="00177466">
      <w:pPr>
        <w:pStyle w:val="art2enivo"/>
        <w:shd w:val="clear" w:color="auto" w:fill="D9D9D9" w:themeFill="background1" w:themeFillShade="D9"/>
        <w:suppressAutoHyphens/>
        <w:rPr>
          <w:rFonts w:cs="Arial"/>
        </w:rPr>
      </w:pPr>
      <w:r>
        <w:rPr>
          <w:rFonts w:cs="Arial"/>
        </w:rPr>
        <w:t>a.</w:t>
      </w:r>
      <w:r>
        <w:rPr>
          <w:rFonts w:cs="Arial"/>
        </w:rPr>
        <w:tab/>
        <w:t>maatregelen ten aanzien van de bedrijfsvoering ter voorkoming van onnodige emissies van vluchtige organische stoffen;</w:t>
      </w:r>
    </w:p>
    <w:p w:rsidR="00177466" w:rsidRDefault="00177466" w:rsidP="00177466">
      <w:pPr>
        <w:pStyle w:val="art2enivo"/>
        <w:shd w:val="clear" w:color="auto" w:fill="D9D9D9" w:themeFill="background1" w:themeFillShade="D9"/>
        <w:suppressAutoHyphens/>
        <w:rPr>
          <w:rFonts w:cs="Arial"/>
        </w:rPr>
      </w:pPr>
      <w:r>
        <w:rPr>
          <w:rFonts w:cs="Arial"/>
        </w:rPr>
        <w:t>b.</w:t>
      </w:r>
      <w:r>
        <w:rPr>
          <w:rFonts w:cs="Arial"/>
        </w:rPr>
        <w:tab/>
        <w:t>oplosmiddelarme producten en efficiënte applicatiemethoden toe.</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Indien de emissiereducerende maatregelen, bedoeld in het eerste lid, niet of in onvoldoende mate zijn getroffen, kan het bevoegd gezag verzoeken om een motivering waarom de maatregelen niet zijn getroffen. Bij de motivering wordt betrokken de kosteneffectiviteit en de technische uitvoerbaarheid van de maatregelen.</w:t>
      </w:r>
    </w:p>
    <w:p w:rsidR="00177466" w:rsidRDefault="00177466" w:rsidP="00177466">
      <w:pPr>
        <w:pStyle w:val="artikelkop"/>
        <w:shd w:val="clear" w:color="auto" w:fill="D9D9D9" w:themeFill="background1" w:themeFillShade="D9"/>
      </w:pPr>
      <w:r>
        <w:t>Artikel 4.84j</w:t>
      </w:r>
    </w:p>
    <w:p w:rsidR="00177466" w:rsidRDefault="00177466" w:rsidP="00177466">
      <w:pPr>
        <w:pStyle w:val="art1enivo"/>
        <w:shd w:val="clear" w:color="auto" w:fill="D9D9D9" w:themeFill="background1" w:themeFillShade="D9"/>
      </w:pPr>
      <w:r>
        <w:t>1.</w:t>
      </w:r>
      <w:r>
        <w:tab/>
        <w:t>Ten behoeve van het realiseren van een verwaarloosbaar bodemrisico als bedoeld in artikel 4.74p van het besluit vindt:</w:t>
      </w:r>
    </w:p>
    <w:p w:rsidR="00177466" w:rsidRDefault="00177466" w:rsidP="00177466">
      <w:pPr>
        <w:pStyle w:val="art2enivo"/>
        <w:shd w:val="clear" w:color="auto" w:fill="D9D9D9" w:themeFill="background1" w:themeFillShade="D9"/>
      </w:pPr>
      <w:r>
        <w:t>a.</w:t>
      </w:r>
      <w:r>
        <w:tab/>
        <w:t>het op bekisting aanbrengen van ontkistingsmiddelen,</w:t>
      </w:r>
    </w:p>
    <w:p w:rsidR="00177466" w:rsidRDefault="00177466" w:rsidP="00177466">
      <w:pPr>
        <w:pStyle w:val="art2enivo"/>
        <w:shd w:val="clear" w:color="auto" w:fill="D9D9D9" w:themeFill="background1" w:themeFillShade="D9"/>
      </w:pPr>
      <w:r>
        <w:t>b.</w:t>
      </w:r>
      <w:r>
        <w:tab/>
        <w:t xml:space="preserve">het uitwassen van beton, </w:t>
      </w:r>
    </w:p>
    <w:p w:rsidR="00177466" w:rsidRDefault="00177466" w:rsidP="00177466">
      <w:pPr>
        <w:pStyle w:val="artplat"/>
        <w:shd w:val="clear" w:color="auto" w:fill="D9D9D9" w:themeFill="background1" w:themeFillShade="D9"/>
        <w:suppressAutoHyphens/>
        <w:rPr>
          <w:rFonts w:cs="Arial"/>
        </w:rPr>
      </w:pPr>
      <w:r>
        <w:rPr>
          <w:rFonts w:cs="Arial"/>
        </w:rPr>
        <w:tab/>
        <w:t>plaats boven een vloeistofdichte vloer of verharding of een lekbak.</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eerste lid, aanhef en onderdeel a, is niet van toepassing op een inrichting waarvoor tot 1 januari 2013 een vergunning onherroepelijk van kracht was en in die vergunning andere bodembeschermende voorzieningen of bodembeschermende maatregelen zijn voorgeschreven waarmee bij het aanbrengen van ontkistingsmiddelen een verwaarloosbaar bodemrisico wordt gelopen.</w:t>
      </w:r>
    </w:p>
    <w:p w:rsidR="00177466" w:rsidRP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Ten aanzien van een inrichting als bedoeld in het tweede lid blijven, in afwijking van het eerste lid, aanhef en onderdeel a, de voorschriften van de vergunning ten behoeve van het realiseren van een verwaarloosbaar bodemrisico bij het op bekisting aanbrengen van ontkistingsmiddelen van toepassing.</w:t>
      </w:r>
    </w:p>
    <w:p w:rsidR="00296032" w:rsidRPr="00296032" w:rsidRDefault="00296032">
      <w:pPr>
        <w:pStyle w:val="paragraaf"/>
      </w:pPr>
      <w:bookmarkStart w:id="270" w:name="_Toc431375732"/>
      <w:r w:rsidRPr="00296032">
        <w:t>§ 4.5a.6.</w:t>
      </w:r>
      <w:r w:rsidRPr="00296032">
        <w:tab/>
        <w:t>Het breken van steenachtig materiaal</w:t>
      </w:r>
      <w:bookmarkEnd w:id="270"/>
    </w:p>
    <w:p w:rsidR="00296032" w:rsidRPr="00296032" w:rsidRDefault="00296032">
      <w:pPr>
        <w:pStyle w:val="artikelkop"/>
      </w:pPr>
      <w:r w:rsidRPr="00296032">
        <w:t>Artikel 4.74q</w:t>
      </w:r>
    </w:p>
    <w:p w:rsidR="00296032" w:rsidRPr="00620047" w:rsidRDefault="00296032">
      <w:pPr>
        <w:pStyle w:val="artplat"/>
      </w:pPr>
      <w:r w:rsidRPr="00620047">
        <w:t>Deze paragraaf is van toepassing op het breken van steenachtig materiaal.</w:t>
      </w:r>
    </w:p>
    <w:p w:rsidR="00296032" w:rsidRPr="00296032" w:rsidRDefault="00296032">
      <w:pPr>
        <w:pStyle w:val="artikelkop"/>
      </w:pPr>
      <w:r w:rsidRPr="00296032">
        <w:t>Artikel 4.74r</w:t>
      </w:r>
    </w:p>
    <w:p w:rsidR="00296032" w:rsidRPr="00620047" w:rsidRDefault="00296032">
      <w:pPr>
        <w:pStyle w:val="artplat"/>
      </w:pPr>
      <w:r w:rsidRPr="00620047">
        <w:t>Bij het in de buitenlucht breken van steenachtig materiaal wordt:</w:t>
      </w:r>
    </w:p>
    <w:p w:rsidR="00296032" w:rsidRPr="00620047" w:rsidRDefault="00296032">
      <w:pPr>
        <w:pStyle w:val="artplatletter"/>
      </w:pPr>
      <w:r w:rsidRPr="00620047">
        <w:t>a.</w:t>
      </w:r>
      <w:r w:rsidRPr="00620047">
        <w:tab/>
        <w:t>zoveel mogelijk voorkomen dat stofverspreiding optreedt die op een afstand van meer dan 2 meter van de bron met het blote oog waarneembaar is;</w:t>
      </w:r>
    </w:p>
    <w:p w:rsidR="00296032" w:rsidRPr="00620047" w:rsidRDefault="00296032">
      <w:pPr>
        <w:pStyle w:val="artplatletter"/>
      </w:pPr>
      <w:r w:rsidRPr="00620047">
        <w:t>b.</w:t>
      </w:r>
      <w:r w:rsidRPr="00620047">
        <w:tab/>
        <w:t>verontreiniging van de omgeving zoveel mogelijk beperkt;</w:t>
      </w:r>
    </w:p>
    <w:p w:rsidR="00296032" w:rsidRPr="00620047" w:rsidRDefault="00296032">
      <w:pPr>
        <w:pStyle w:val="artplatletter"/>
      </w:pPr>
      <w:r w:rsidRPr="00620047">
        <w:t>c.</w:t>
      </w:r>
      <w:r w:rsidRPr="00620047">
        <w:tab/>
        <w:t>zoveel mogelijk voorkomen dat steenachtig materiaal in een oppervlaktewaterlichaam geraakt, en</w:t>
      </w:r>
    </w:p>
    <w:p w:rsidR="00296032" w:rsidRPr="00620047" w:rsidRDefault="00296032">
      <w:pPr>
        <w:pStyle w:val="artplatletter"/>
      </w:pPr>
      <w:r w:rsidRPr="00620047">
        <w:t>d.</w:t>
      </w:r>
      <w:r w:rsidRPr="00620047">
        <w:tab/>
        <w:t>zoveel mogelijk voorkomen dat steenachtig materiaal in een voorziening voor het beheer van afvalwater geraakt.</w:t>
      </w:r>
    </w:p>
    <w:p w:rsidR="00296032" w:rsidRPr="00296032" w:rsidRDefault="00296032">
      <w:pPr>
        <w:pStyle w:val="artikelkop"/>
      </w:pPr>
      <w:r w:rsidRPr="00296032">
        <w:t>Artikel 4.74s</w:t>
      </w:r>
    </w:p>
    <w:p w:rsidR="00296032" w:rsidRPr="00620047" w:rsidRDefault="00296032">
      <w:pPr>
        <w:pStyle w:val="art1enivo"/>
      </w:pPr>
      <w:r w:rsidRPr="00620047">
        <w:t>1.</w:t>
      </w:r>
      <w:r w:rsidRPr="00620047">
        <w:tab/>
        <w:t>Onverminderd artikel 2.5, eerste, vierde en vijfde lid, en artikel 2.6 is bij het inpandig breken van steenachtig materiaal de emissieconcentratie van stofklasse S niet meer dan:</w:t>
      </w:r>
    </w:p>
    <w:p w:rsidR="00296032" w:rsidRPr="00620047" w:rsidRDefault="00296032">
      <w:pPr>
        <w:pStyle w:val="art2enivo"/>
      </w:pPr>
      <w:r w:rsidRPr="00620047">
        <w:t>a.</w:t>
      </w:r>
      <w:r w:rsidRPr="00620047">
        <w:tab/>
        <w:t>5 milligram per normaal kubieke meter, indien de massastroom van stofklasse S naar de lucht gelijk is aan of groter is dan 200 gram per uur, en</w:t>
      </w:r>
    </w:p>
    <w:p w:rsidR="00296032" w:rsidRPr="00620047" w:rsidRDefault="00296032">
      <w:pPr>
        <w:pStyle w:val="art2enivo"/>
      </w:pPr>
      <w:r w:rsidRPr="00620047">
        <w:t>b.</w:t>
      </w:r>
      <w:r w:rsidRPr="00620047">
        <w:tab/>
        <w:t>50 milligram per normaal kubieke meter, indien de massastroom van stofklasse S kleiner is dan 200 gram per uur.</w:t>
      </w:r>
    </w:p>
    <w:p w:rsidR="00296032" w:rsidRDefault="00296032">
      <w:pPr>
        <w:pStyle w:val="art1enivo"/>
      </w:pPr>
      <w:r w:rsidRPr="00620047">
        <w:t>2.</w:t>
      </w:r>
      <w:r w:rsidRPr="00620047">
        <w:tab/>
        <w:t>Bij het inpandig breken van steenachtig materiaal wordt ten behoeve van het voorkomen dan wel voor zover dat niet mogelijk is het beperken van diffuse emissies en het doelmatig verspreiden van emissies naar de buitenlucht, voldaan aan de bij ministeriële regeling gestelde eisen.</w:t>
      </w:r>
    </w:p>
    <w:p w:rsidR="00177466" w:rsidRDefault="00177466" w:rsidP="00177466"/>
    <w:p w:rsidR="00177466" w:rsidRDefault="00177466" w:rsidP="00177466">
      <w:pPr>
        <w:pStyle w:val="paragraaf"/>
        <w:shd w:val="clear" w:color="auto" w:fill="D9D9D9" w:themeFill="background1" w:themeFillShade="D9"/>
      </w:pPr>
      <w:bookmarkStart w:id="271" w:name="_Toc431375734"/>
      <w:r>
        <w:t>§ 4.5a.6.</w:t>
      </w:r>
      <w:r>
        <w:tab/>
        <w:t>Het breken van steenachtig materiaal</w:t>
      </w:r>
      <w:bookmarkEnd w:id="271"/>
    </w:p>
    <w:p w:rsidR="00177466" w:rsidRDefault="00177466" w:rsidP="00177466">
      <w:pPr>
        <w:pStyle w:val="artikelkop"/>
        <w:shd w:val="clear" w:color="auto" w:fill="D9D9D9" w:themeFill="background1" w:themeFillShade="D9"/>
      </w:pPr>
      <w:r>
        <w:t xml:space="preserve">Artikel 4.84k </w:t>
      </w:r>
    </w:p>
    <w:p w:rsidR="00177466" w:rsidRDefault="00177466" w:rsidP="00177466">
      <w:pPr>
        <w:pStyle w:val="artplat"/>
        <w:shd w:val="clear" w:color="auto" w:fill="D9D9D9" w:themeFill="background1" w:themeFillShade="D9"/>
        <w:suppressAutoHyphens/>
        <w:rPr>
          <w:rFonts w:cs="Arial"/>
        </w:rPr>
      </w:pPr>
      <w:r>
        <w:rPr>
          <w:rFonts w:cs="Arial"/>
        </w:rPr>
        <w:t>Aan artikel 4.74r van het besluit wordt bij het breken van steenachtig materiaal in de buitenlucht in ieder geval voldaan indien het te breken materiaal door besproeiing vochtig wordt gehouden en de dosering van het sproeiwater zodanig is afgestemd op de behoefte dat hierbij geen afvalwater vrijkomt.</w:t>
      </w:r>
    </w:p>
    <w:p w:rsidR="00177466" w:rsidRDefault="00177466" w:rsidP="00177466">
      <w:pPr>
        <w:pStyle w:val="artikelkop"/>
        <w:shd w:val="clear" w:color="auto" w:fill="D9D9D9" w:themeFill="background1" w:themeFillShade="D9"/>
      </w:pPr>
      <w:r>
        <w:t>Artikel 4.84l</w:t>
      </w:r>
    </w:p>
    <w:p w:rsidR="00177466" w:rsidRDefault="00177466" w:rsidP="00177466">
      <w:pPr>
        <w:pStyle w:val="artplat"/>
        <w:shd w:val="clear" w:color="auto" w:fill="D9D9D9" w:themeFill="background1" w:themeFillShade="D9"/>
        <w:suppressAutoHyphens/>
        <w:rPr>
          <w:rFonts w:cs="Arial"/>
        </w:rPr>
      </w:pPr>
      <w:r>
        <w:rPr>
          <w:rFonts w:cs="Arial"/>
        </w:rPr>
        <w:t>Aan artikel 4.74s, eerste lid, van het besluit wordt bij het inpandig breken van steenachtig materiaal in ieder geval voldaan indien de via ontluchtingsopeningen ontwijkende lucht door een filtrerende afscheider wordt gevoerd die in goede staat van onderhoud verkeert, periodiek gecontroleerd wordt en zo vaak als voor de goede werking nodig is, wordt schoongemaakt en vervangen.</w:t>
      </w:r>
    </w:p>
    <w:p w:rsidR="00177466" w:rsidRDefault="00177466" w:rsidP="00177466">
      <w:pPr>
        <w:pStyle w:val="artikelkop"/>
        <w:shd w:val="clear" w:color="auto" w:fill="D9D9D9" w:themeFill="background1" w:themeFillShade="D9"/>
      </w:pPr>
      <w:r>
        <w:t>Artikel 4.84m</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en het bevorderen van een doelmatige verspreiding van emissies naar de buitenlucht, bedoeld in artikel 4.74s van het besluit, worden bij het inpandig breken van steenachtig materiaal de emissies overeenkomstig artikel 4.74s, tweede lid, van het besluit die naar de buitenlucht worden afgevoerd, bovendaks en omhoog gericht afgevoerd, indien binnen 50 meter van een emissiepunt een gevoelig gebouw is gelegen, niet zijnde een gevoelig gebouw op een gezoneerd industrieterrein of op een bedrijventerrein met minder dan één gevoelig gebouw per hectare.</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Het bevoegd gezag kan in het belang van de luchtkwaliteit en  maatwerkvoorschriften stellen aan de ligging en uitvoering van het afvoerpunt van de emissies naar de lucht, bedoeld in artikel 4.74s, tweede lid, van het besluit.</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 xml:space="preserve">3. </w:t>
      </w:r>
      <w:r>
        <w:rPr>
          <w:rFonts w:eastAsiaTheme="minorEastAsia"/>
          <w:lang w:eastAsia="nl-NL"/>
        </w:rPr>
        <w:tab/>
        <w:t xml:space="preserve">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eerste lid niet van toepassing voor zover er geen verandering van de inrichting plaatsvindt waarvoor een melding krachtens artikel 1.10 van het besluit nodig is en voor zover de emissies als bedoeld in het eerste lid niet toenemen en de wijze van afvoer van die emissies naar de buitenlucht niet verandert. </w:t>
      </w:r>
    </w:p>
    <w:p w:rsidR="00177466" w:rsidRDefault="00177466" w:rsidP="00177466">
      <w:pPr>
        <w:shd w:val="clear" w:color="auto" w:fill="D9D9D9" w:themeFill="background1" w:themeFillShade="D9"/>
      </w:pPr>
      <w:r>
        <w:rPr>
          <w:rFonts w:eastAsiaTheme="minorEastAsia"/>
          <w:lang w:eastAsia="nl-NL"/>
        </w:rPr>
        <w:t>4.</w:t>
      </w:r>
      <w:r>
        <w:rPr>
          <w:rFonts w:eastAsiaTheme="minorEastAsia"/>
          <w:lang w:eastAsia="nl-NL"/>
        </w:rPr>
        <w:tab/>
        <w:t xml:space="preserve"> In afwijking van het derde lid kan het bevoegd gezag maatwerkvoorschriften als bedoeld in het tweede lid stellen.</w:t>
      </w:r>
    </w:p>
    <w:p w:rsidR="00177466" w:rsidRPr="00177466" w:rsidRDefault="00177466" w:rsidP="00177466"/>
    <w:p w:rsidR="00296032" w:rsidRPr="00620047" w:rsidRDefault="00296032">
      <w:pPr>
        <w:pStyle w:val="afdeling"/>
        <w:rPr>
          <w:rFonts w:cs="Arial"/>
        </w:rPr>
      </w:pPr>
      <w:bookmarkStart w:id="272" w:name="_Toc277243243"/>
      <w:bookmarkStart w:id="273" w:name="_Toc431375735"/>
      <w:r w:rsidRPr="00620047">
        <w:rPr>
          <w:rFonts w:cs="Arial"/>
        </w:rPr>
        <w:t>Afdeling 4.6. Activiteiten met betrekking tot motoren, motorvoer- en vaartuigen en andere gemotoriseerde apparaten</w:t>
      </w:r>
      <w:bookmarkEnd w:id="272"/>
      <w:bookmarkEnd w:id="273"/>
    </w:p>
    <w:p w:rsidR="00296032" w:rsidRPr="00296032" w:rsidRDefault="00296032">
      <w:pPr>
        <w:pStyle w:val="paragraaf"/>
        <w:rPr>
          <w:rFonts w:cs="Arial"/>
        </w:rPr>
      </w:pPr>
      <w:bookmarkStart w:id="274" w:name="_Toc277243244"/>
      <w:bookmarkStart w:id="275" w:name="_Toc431375736"/>
      <w:r w:rsidRPr="00296032">
        <w:rPr>
          <w:rFonts w:cs="Arial"/>
        </w:rPr>
        <w:t>§ 4.6.1</w:t>
      </w:r>
      <w:r w:rsidRPr="00296032">
        <w:rPr>
          <w:rFonts w:cs="Arial"/>
        </w:rPr>
        <w:tab/>
        <w:t>Lozen van afvalwater (algemeen)</w:t>
      </w:r>
      <w:bookmarkEnd w:id="274"/>
      <w:bookmarkEnd w:id="275"/>
    </w:p>
    <w:p w:rsidR="00296032" w:rsidRPr="00296032" w:rsidRDefault="00296032">
      <w:pPr>
        <w:pStyle w:val="artikelkop"/>
        <w:rPr>
          <w:rFonts w:cs="Arial"/>
        </w:rPr>
      </w:pPr>
      <w:r w:rsidRPr="00296032">
        <w:rPr>
          <w:rFonts w:cs="Arial"/>
        </w:rPr>
        <w:t>Artikel 4.74t</w:t>
      </w:r>
    </w:p>
    <w:p w:rsidR="00296032" w:rsidRPr="00620047" w:rsidRDefault="00296032">
      <w:pPr>
        <w:pStyle w:val="artplat"/>
      </w:pPr>
      <w:r w:rsidRPr="00620047">
        <w:t>Deze paragraaf is van toepassing op activiteiten als bedoeld in de paragrafen 4.6.3., 4.6.5, en 4.6.6.</w:t>
      </w:r>
    </w:p>
    <w:p w:rsidR="00296032" w:rsidRPr="00296032" w:rsidRDefault="00296032">
      <w:pPr>
        <w:pStyle w:val="artikelkop"/>
        <w:rPr>
          <w:rFonts w:cs="Arial"/>
        </w:rPr>
      </w:pPr>
      <w:r w:rsidRPr="00296032">
        <w:rPr>
          <w:rFonts w:cs="Arial"/>
        </w:rPr>
        <w:t>Artikel 4.75</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in het vuilwaterriool lozen van afvalwater afkomstig van een of meer activiteiten als bedoeld in de paragrafen 3.3.4, 4.6.3, 4.6.5 en 4.6.6 wordt ten minste voldaan aan het tweede tot en met het vijfde lid.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 het afvalwater afkomstig van het reviseren van motoren worden de emissiegrenswaarden genoemd in tabel 4.75 niet overschreden:</w:t>
      </w:r>
    </w:p>
    <w:p w:rsidR="00296032" w:rsidRPr="00620047" w:rsidRDefault="00296032">
      <w:pPr>
        <w:pStyle w:val="tabelkop"/>
        <w:rPr>
          <w:rFonts w:cs="Arial"/>
        </w:rPr>
      </w:pPr>
      <w:r w:rsidRPr="00620047">
        <w:rPr>
          <w:rFonts w:cs="Arial"/>
        </w:rPr>
        <w:t>Tabel 4.75</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20" w:firstRow="1" w:lastRow="0" w:firstColumn="0" w:lastColumn="0" w:noHBand="0" w:noVBand="0"/>
      </w:tblPr>
      <w:tblGrid>
        <w:gridCol w:w="6639"/>
        <w:gridCol w:w="2648"/>
      </w:tblGrid>
      <w:tr w:rsidR="00296032" w:rsidRPr="00620047">
        <w:trPr>
          <w:cantSplit/>
          <w:tblHeader/>
        </w:trPr>
        <w:tc>
          <w:tcPr>
            <w:tcW w:w="66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Stoffen </w:t>
            </w:r>
          </w:p>
        </w:tc>
        <w:tc>
          <w:tcPr>
            <w:tcW w:w="26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Emissiegrenswaarde </w:t>
            </w:r>
          </w:p>
        </w:tc>
      </w:tr>
      <w:tr w:rsidR="00296032" w:rsidRPr="00620047">
        <w:trPr>
          <w:cantSplit/>
        </w:trPr>
        <w:tc>
          <w:tcPr>
            <w:tcW w:w="66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BTEX-som </w:t>
            </w:r>
          </w:p>
        </w:tc>
        <w:tc>
          <w:tcPr>
            <w:tcW w:w="26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15 milligram per liter </w:t>
            </w:r>
          </w:p>
        </w:tc>
      </w:tr>
      <w:tr w:rsidR="00296032" w:rsidRPr="00620047">
        <w:trPr>
          <w:cantSplit/>
        </w:trPr>
        <w:tc>
          <w:tcPr>
            <w:tcW w:w="66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Vluchtige organohalogeenverbindingen uitgedrukt als chloor </w:t>
            </w:r>
          </w:p>
        </w:tc>
        <w:tc>
          <w:tcPr>
            <w:tcW w:w="26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100 microgram per liter </w:t>
            </w:r>
          </w:p>
        </w:tc>
      </w:tr>
      <w:tr w:rsidR="00296032" w:rsidRPr="00620047">
        <w:trPr>
          <w:cantSplit/>
        </w:trPr>
        <w:tc>
          <w:tcPr>
            <w:tcW w:w="66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Olie </w:t>
            </w:r>
          </w:p>
        </w:tc>
        <w:tc>
          <w:tcPr>
            <w:tcW w:w="26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20 milligram per liter </w:t>
            </w:r>
          </w:p>
        </w:tc>
      </w:tr>
      <w:tr w:rsidR="00296032" w:rsidRPr="00620047">
        <w:trPr>
          <w:cantSplit/>
        </w:trPr>
        <w:tc>
          <w:tcPr>
            <w:tcW w:w="66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PAK's </w:t>
            </w:r>
          </w:p>
        </w:tc>
        <w:tc>
          <w:tcPr>
            <w:tcW w:w="26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5 microgram per liter </w:t>
            </w:r>
          </w:p>
        </w:tc>
      </w:tr>
      <w:tr w:rsidR="00296032" w:rsidRPr="00620047">
        <w:trPr>
          <w:cantSplit/>
        </w:trPr>
        <w:tc>
          <w:tcPr>
            <w:tcW w:w="66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Koper </w:t>
            </w:r>
          </w:p>
        </w:tc>
        <w:tc>
          <w:tcPr>
            <w:tcW w:w="26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1 milligram per liter </w:t>
            </w:r>
          </w:p>
        </w:tc>
      </w:tr>
      <w:tr w:rsidR="00296032" w:rsidRPr="00620047">
        <w:trPr>
          <w:cantSplit/>
        </w:trPr>
        <w:tc>
          <w:tcPr>
            <w:tcW w:w="66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Nikkel </w:t>
            </w:r>
          </w:p>
        </w:tc>
        <w:tc>
          <w:tcPr>
            <w:tcW w:w="26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 milligram per liter </w:t>
            </w:r>
          </w:p>
        </w:tc>
      </w:tr>
      <w:tr w:rsidR="00296032" w:rsidRPr="00620047">
        <w:trPr>
          <w:cantSplit/>
        </w:trPr>
        <w:tc>
          <w:tcPr>
            <w:tcW w:w="66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Lood </w:t>
            </w:r>
          </w:p>
        </w:tc>
        <w:tc>
          <w:tcPr>
            <w:tcW w:w="26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 milligram per liter </w:t>
            </w:r>
          </w:p>
        </w:tc>
      </w:tr>
      <w:tr w:rsidR="00296032" w:rsidRPr="00620047">
        <w:trPr>
          <w:cantSplit/>
        </w:trPr>
        <w:tc>
          <w:tcPr>
            <w:tcW w:w="66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Zink </w:t>
            </w:r>
          </w:p>
        </w:tc>
        <w:tc>
          <w:tcPr>
            <w:tcW w:w="26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3 milligram per liter </w:t>
            </w:r>
          </w:p>
        </w:tc>
      </w:tr>
      <w:tr w:rsidR="00296032" w:rsidRPr="00620047">
        <w:trPr>
          <w:cantSplit/>
        </w:trPr>
        <w:tc>
          <w:tcPr>
            <w:tcW w:w="6676"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Chroom </w:t>
            </w:r>
          </w:p>
        </w:tc>
        <w:tc>
          <w:tcPr>
            <w:tcW w:w="265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 milligram per liter </w:t>
            </w:r>
          </w:p>
        </w:tc>
      </w:tr>
    </w:tbl>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Ander afvalwater dan het afvalwater, bedoeld in het tweede lid, dat afkomstig is uit een ruimte waar een activiteit als bedoeld in het eerste lid wordt uitgevoerd of van een vloeistofdichte vloer of verharding waarop die activiteit wordt uitgevoerd wordt niet geloosd, indien het in enig steekmonster meer bevat dan:</w:t>
      </w:r>
    </w:p>
    <w:p w:rsidR="00296032" w:rsidRPr="00620047" w:rsidRDefault="00296032">
      <w:pPr>
        <w:pStyle w:val="art2enivo"/>
        <w:rPr>
          <w:rFonts w:cs="Arial"/>
        </w:rPr>
      </w:pPr>
      <w:r w:rsidRPr="00620047">
        <w:rPr>
          <w:rFonts w:cs="Arial"/>
        </w:rPr>
        <w:t>a.</w:t>
      </w:r>
      <w:r w:rsidRPr="00620047">
        <w:rPr>
          <w:rFonts w:cs="Arial"/>
        </w:rPr>
        <w:tab/>
        <w:t>20 milligram olie per liter;</w:t>
      </w:r>
    </w:p>
    <w:p w:rsidR="00296032" w:rsidRPr="00620047" w:rsidRDefault="00296032">
      <w:pPr>
        <w:pStyle w:val="art2enivo"/>
        <w:rPr>
          <w:rFonts w:cs="Arial"/>
        </w:rPr>
      </w:pPr>
      <w:r w:rsidRPr="00620047">
        <w:rPr>
          <w:rFonts w:cs="Arial"/>
        </w:rPr>
        <w:t>b.</w:t>
      </w:r>
      <w:r w:rsidRPr="00620047">
        <w:rPr>
          <w:rFonts w:cs="Arial"/>
        </w:rPr>
        <w:tab/>
        <w:t>300 milligram onopgeloste stoffen per liter.</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In afwijking van het derde lid bedraagt het gehalte aan olie ten hoogste 200 milligram per liter in enig steekmonster, indien het afvalwater voorafgaand aan vermenging met ander afvalwater wordt geleid door een slibvangput en olieafscheider die:</w:t>
      </w:r>
    </w:p>
    <w:p w:rsidR="00296032" w:rsidRPr="00620047" w:rsidRDefault="00296032">
      <w:pPr>
        <w:pStyle w:val="art2enivo"/>
      </w:pPr>
      <w:r w:rsidRPr="00620047">
        <w:t xml:space="preserve">a. </w:t>
      </w:r>
      <w:r w:rsidRPr="00620047">
        <w:tab/>
        <w:t>voldoen aan en worden gebruikt conform NEN-EN 858-1 en 2, of</w:t>
      </w:r>
    </w:p>
    <w:p w:rsidR="00296032" w:rsidRPr="00620047" w:rsidRDefault="00296032">
      <w:pPr>
        <w:pStyle w:val="art2enivo"/>
      </w:pPr>
      <w:r w:rsidRPr="00620047">
        <w:t xml:space="preserve">b. </w:t>
      </w:r>
      <w:r w:rsidRPr="00620047">
        <w:tab/>
        <w:t>zijn geplaatst voor het van toepassing worden van dit besluit of een deel daarvan op een activiteit in de inrichting en op de hoeveelheid afvalwater zijn afgestemd.</w:t>
      </w:r>
    </w:p>
    <w:p w:rsidR="00296032" w:rsidRPr="00620047" w:rsidRDefault="00296032">
      <w:pPr>
        <w:pStyle w:val="art1enivo"/>
      </w:pPr>
      <w:r w:rsidRPr="00620047">
        <w:rPr>
          <w:rFonts w:cs="Arial"/>
          <w:bCs/>
        </w:rPr>
        <w:t>5.</w:t>
      </w:r>
      <w:r w:rsidRPr="00620047">
        <w:rPr>
          <w:rFonts w:cs="Arial"/>
          <w:bCs/>
        </w:rPr>
        <w:tab/>
      </w:r>
      <w:r w:rsidRPr="00620047">
        <w:rPr>
          <w:rFonts w:cs="Arial"/>
        </w:rPr>
        <w:t>Het te lozen afvalwater, bedoeld in het tweede en derde lid, kan op een doelmatige wijze worden bemonsterd.</w:t>
      </w:r>
    </w:p>
    <w:p w:rsidR="00296032" w:rsidRPr="00296032" w:rsidRDefault="00296032">
      <w:pPr>
        <w:pStyle w:val="paragraaf"/>
      </w:pPr>
      <w:bookmarkStart w:id="276" w:name="_Toc277243246"/>
      <w:bookmarkStart w:id="277" w:name="_Toc431375737"/>
      <w:r w:rsidRPr="00296032">
        <w:t>§ 4.6.3</w:t>
      </w:r>
      <w:r w:rsidRPr="00296032">
        <w:tab/>
        <w:t>Afleveren van vloeibare brandstoffen aan vaartuigen</w:t>
      </w:r>
      <w:bookmarkEnd w:id="276"/>
      <w:bookmarkEnd w:id="277"/>
    </w:p>
    <w:p w:rsidR="00296032" w:rsidRPr="00296032" w:rsidRDefault="00296032">
      <w:pPr>
        <w:pStyle w:val="artikelkop"/>
        <w:rPr>
          <w:rFonts w:cs="Arial"/>
        </w:rPr>
      </w:pPr>
      <w:r w:rsidRPr="00296032">
        <w:rPr>
          <w:rFonts w:cs="Arial"/>
        </w:rPr>
        <w:t>Artikel 4.76</w:t>
      </w:r>
    </w:p>
    <w:p w:rsidR="00296032" w:rsidRPr="00620047" w:rsidRDefault="00296032">
      <w:pPr>
        <w:pStyle w:val="artplat"/>
      </w:pPr>
      <w:r w:rsidRPr="00620047">
        <w:t>Deze paragraaf is van toepassing op het afleveren van vloeibare brandstoffen aan vaartuigen.</w:t>
      </w:r>
    </w:p>
    <w:p w:rsidR="00296032" w:rsidRPr="00296032" w:rsidRDefault="00296032">
      <w:pPr>
        <w:pStyle w:val="artikelkop"/>
        <w:rPr>
          <w:rFonts w:cs="Arial"/>
        </w:rPr>
      </w:pPr>
      <w:r w:rsidRPr="00296032">
        <w:rPr>
          <w:rFonts w:cs="Arial"/>
        </w:rPr>
        <w:t>Artikel 4.77</w:t>
      </w:r>
    </w:p>
    <w:p w:rsidR="00296032" w:rsidRPr="00620047" w:rsidRDefault="00296032">
      <w:pPr>
        <w:pStyle w:val="art1enivo"/>
        <w:rPr>
          <w:rFonts w:cs="Arial"/>
        </w:rPr>
      </w:pPr>
      <w:r w:rsidRPr="00620047">
        <w:rPr>
          <w:rFonts w:cs="Arial"/>
        </w:rPr>
        <w:t>1.</w:t>
      </w:r>
      <w:r w:rsidRPr="00620047">
        <w:rPr>
          <w:rFonts w:cs="Arial"/>
        </w:rPr>
        <w:tab/>
        <w:t>Met betrekking tot een bunkerstation waarin lichte olie wordt opgeslagen, wordt ten opzichte van buiten de inrichting gelegen kwetsbare objecten een afstand aangehouden van 20 meter gerekend vanaf de zijden van het bunkerstation alsmede het vulpunt van het bunkerstation.</w:t>
      </w:r>
    </w:p>
    <w:p w:rsidR="00296032" w:rsidRPr="00620047" w:rsidRDefault="00296032">
      <w:pPr>
        <w:pStyle w:val="art1enivo"/>
        <w:rPr>
          <w:rFonts w:cs="Arial"/>
        </w:rPr>
      </w:pPr>
      <w:r w:rsidRPr="00620047">
        <w:rPr>
          <w:rFonts w:cs="Arial"/>
        </w:rPr>
        <w:t>2.</w:t>
      </w:r>
      <w:r w:rsidRPr="00620047">
        <w:rPr>
          <w:rFonts w:cs="Arial"/>
        </w:rPr>
        <w:tab/>
        <w:t>Met betrekking tot een op de wal geplaatste vaste afleverinstallatie voor het afleveren van lichte olie aan vaartuigen wordt ten opzichte van buiten de inrichting gelegen kwetsbare objecten een afstand aangehouden van 20 meter gerekend vanaf het afleverpunt alsmede het vulpunt van de bijbehorende opslagtank.</w:t>
      </w:r>
    </w:p>
    <w:p w:rsidR="00296032" w:rsidRPr="00620047" w:rsidRDefault="00296032">
      <w:pPr>
        <w:pStyle w:val="art1enivo"/>
        <w:rPr>
          <w:rFonts w:cs="Arial"/>
        </w:rPr>
      </w:pPr>
      <w:r w:rsidRPr="00620047">
        <w:rPr>
          <w:rFonts w:cs="Arial"/>
        </w:rPr>
        <w:t>3.</w:t>
      </w:r>
      <w:r w:rsidRPr="00620047">
        <w:rPr>
          <w:rFonts w:cs="Arial"/>
        </w:rPr>
        <w:tab/>
        <w:t>Binnen een afstand van 20 meter van een bunkerstation waarin lichte olie wordt opgeslagen gerekend vanaf de zijden van het bunkerstation alsmede het vulpunt van het bunkerstation en binnen een afstand van 20 meter van een op de wal geplaatste vaste afleverinstallatie voor het afleveren van lichte olie aan vaartuigen gerekend vanaf het afleverpunt alsmede het vulpunt van de bijbehorende opslagtank is overnachting en recreatief verblijf door derden niet toegestaan.</w:t>
      </w:r>
    </w:p>
    <w:p w:rsidR="00296032" w:rsidRPr="00620047" w:rsidRDefault="00296032">
      <w:pPr>
        <w:pStyle w:val="art1enivo"/>
        <w:rPr>
          <w:rFonts w:cs="Arial"/>
        </w:rPr>
      </w:pPr>
      <w:r w:rsidRPr="00620047">
        <w:rPr>
          <w:rFonts w:cs="Arial"/>
        </w:rPr>
        <w:t>4.</w:t>
      </w:r>
      <w:r w:rsidRPr="00620047">
        <w:rPr>
          <w:rFonts w:cs="Arial"/>
        </w:rPr>
        <w:tab/>
        <w:t>Indien een bunkerstation waarin geen lichte olie wordt opgeslagen, is gelegen aan een doorgaande vaarroute, wordt ten opzichte van buiten de inrichting gelegen kwetsbare objecten een afstand aangehouden van 20 meter gerekend vanaf de aan de vaarroute grenzende zijde van het bunkerstation.</w:t>
      </w:r>
    </w:p>
    <w:p w:rsidR="00296032" w:rsidRPr="00620047" w:rsidRDefault="00296032">
      <w:pPr>
        <w:pStyle w:val="art1enivo"/>
      </w:pPr>
      <w:r w:rsidRPr="00620047">
        <w:t>5.</w:t>
      </w:r>
      <w:r w:rsidRPr="00620047">
        <w:tab/>
        <w:t>Het eerste en tweede lid zijn niet van toepassing op bunkerstations en op de wal geplaatste vaste afleverinstallaties die zijn geïnstalleerd voor 1 januari 2011.</w:t>
      </w:r>
    </w:p>
    <w:p w:rsidR="00296032" w:rsidRPr="00620047" w:rsidRDefault="00296032">
      <w:pPr>
        <w:pStyle w:val="art1enivo"/>
      </w:pPr>
      <w:r w:rsidRPr="00620047">
        <w:t>6.</w:t>
      </w:r>
      <w:r w:rsidRPr="00620047">
        <w:tab/>
        <w:t>In het belang van het voorkomen van risico’s voor de omgeving en ongewone voorvallen, dan wel voor zover dat niet mogelijk is het zoveel mogelijk beperken van de risico’s voor de omgeving en de kans dat ongewone voorvallen zich voordoen en de gevolgen hiervan kan het bevoegd gezag bij maatwerkvoorschrift eisen stellen aan de locatie van een bunkerstation of een op de wal geplaatste vaste afleverinstallatie als bedoeld in het vijfde lid.</w:t>
      </w:r>
    </w:p>
    <w:p w:rsidR="00296032" w:rsidRPr="00296032" w:rsidRDefault="00296032">
      <w:pPr>
        <w:pStyle w:val="artikelkop"/>
        <w:rPr>
          <w:rFonts w:cs="Arial"/>
        </w:rPr>
      </w:pPr>
      <w:r w:rsidRPr="00296032">
        <w:rPr>
          <w:rFonts w:cs="Arial"/>
        </w:rPr>
        <w:t>Artikel 4.78</w:t>
      </w:r>
    </w:p>
    <w:p w:rsidR="00296032" w:rsidRPr="00620047" w:rsidRDefault="00296032">
      <w:pPr>
        <w:pStyle w:val="art1enivo"/>
        <w:rPr>
          <w:rFonts w:cs="Arial"/>
        </w:rPr>
      </w:pPr>
      <w:r w:rsidRPr="00620047">
        <w:rPr>
          <w:rFonts w:cs="Arial"/>
        </w:rPr>
        <w:t>1.</w:t>
      </w:r>
      <w:r w:rsidRPr="00620047">
        <w:rPr>
          <w:rFonts w:cs="Arial"/>
        </w:rPr>
        <w:tab/>
        <w:t>Bij het afleveren van vloeibare brandstoffen aan vaartuigen zijn voldoende absorptiemiddelen en andere hulpmiddelen aanwezig voor de eerste bestrijding van een waterverontreiniging ten gevolge van morsingen of een calamiteit bij het afleveren van brandstof.</w:t>
      </w:r>
    </w:p>
    <w:p w:rsidR="00296032" w:rsidRPr="00620047" w:rsidRDefault="00296032">
      <w:pPr>
        <w:pStyle w:val="art1enivo"/>
        <w:rPr>
          <w:rFonts w:cs="Arial"/>
        </w:rPr>
      </w:pPr>
      <w:r w:rsidRPr="00620047">
        <w:rPr>
          <w:rFonts w:cs="Arial"/>
        </w:rPr>
        <w:t>2.</w:t>
      </w:r>
      <w:r w:rsidRPr="00620047">
        <w:rPr>
          <w:rFonts w:cs="Arial"/>
        </w:rPr>
        <w:tab/>
        <w:t>Een installatie voor het afleveren van vloeibare brandstoffen aan vaartuigen alsmede de daarbij behorende tankinstallatie, is zodanig uitgevoerd dat bij wisselende waterstanden, voor zover deze ter plaatse optreden, als gevolg van die waterstanden geen nadelige gevolgen voor het milieu optreden.</w:t>
      </w:r>
    </w:p>
    <w:p w:rsidR="00296032" w:rsidRPr="00620047" w:rsidRDefault="00296032">
      <w:pPr>
        <w:pStyle w:val="art1enivo"/>
        <w:rPr>
          <w:rFonts w:cs="Arial"/>
        </w:rPr>
      </w:pPr>
      <w:r w:rsidRPr="00620047">
        <w:rPr>
          <w:rFonts w:cs="Arial"/>
        </w:rPr>
        <w:t>3.</w:t>
      </w:r>
      <w:r w:rsidRPr="00620047">
        <w:rPr>
          <w:rFonts w:cs="Arial"/>
        </w:rPr>
        <w:tab/>
        <w:t>Het bevoegd gezag kan, indien uit de aard en de ligging van de installatie onduidelijk zou kunnen zijn welke absorptie- en hulpmiddelen het meest zijn aangewezen, maatwerkvoorschriften stellen met betrekking tot de hoeveelheid en de soort middelen, bedoeld in het eerste lid.</w:t>
      </w:r>
    </w:p>
    <w:p w:rsidR="00296032" w:rsidRPr="00296032" w:rsidRDefault="00296032">
      <w:pPr>
        <w:pStyle w:val="artikelkop"/>
        <w:rPr>
          <w:rFonts w:cs="Arial"/>
        </w:rPr>
      </w:pPr>
      <w:r w:rsidRPr="00296032">
        <w:rPr>
          <w:rFonts w:cs="Arial"/>
        </w:rPr>
        <w:t>Artikel 4.79</w:t>
      </w:r>
    </w:p>
    <w:p w:rsidR="00296032" w:rsidRPr="00620047" w:rsidRDefault="00296032">
      <w:pPr>
        <w:rPr>
          <w:rFonts w:cs="Arial"/>
        </w:rPr>
      </w:pPr>
      <w:r w:rsidRPr="00620047">
        <w:rPr>
          <w:rFonts w:cs="Arial"/>
        </w:rPr>
        <w:t>Bij het afleveren van vloeibare brandstoffen aan vaartuigen wordt ten behoeve van:</w:t>
      </w:r>
    </w:p>
    <w:p w:rsidR="00296032" w:rsidRPr="00620047" w:rsidRDefault="00296032">
      <w:pPr>
        <w:pStyle w:val="artplatletter"/>
        <w:rPr>
          <w:rFonts w:cs="Arial"/>
        </w:rPr>
      </w:pPr>
      <w:r w:rsidRPr="00620047">
        <w:rPr>
          <w:rFonts w:cs="Arial"/>
        </w:rPr>
        <w:t>a.</w:t>
      </w:r>
      <w:r w:rsidRPr="00620047">
        <w:rPr>
          <w:rFonts w:cs="Arial"/>
        </w:rPr>
        <w:tab/>
        <w:t>het realiseren van een verwaarloosbaar bodemrisico;</w:t>
      </w:r>
    </w:p>
    <w:p w:rsidR="00296032" w:rsidRPr="00620047" w:rsidRDefault="00296032">
      <w:pPr>
        <w:pStyle w:val="artplatletter"/>
        <w:rPr>
          <w:rFonts w:cs="Arial"/>
        </w:rPr>
      </w:pPr>
      <w:r w:rsidRPr="00620047">
        <w:rPr>
          <w:rFonts w:cs="Arial"/>
        </w:rPr>
        <w:t>b.</w:t>
      </w:r>
      <w:r w:rsidRPr="00620047">
        <w:rPr>
          <w:rFonts w:cs="Arial"/>
        </w:rPr>
        <w:tab/>
        <w:t>het voorkomen van risico's voor de omgeving en ongewone voorvallen, dan wel voor zover dat niet mogelijk is het zoveel mogelijk beperken van de risico's voor de omgeving en de kans dat ongewone voorvallen zich voordoen en de gevolgen hiervan;</w:t>
      </w:r>
    </w:p>
    <w:p w:rsidR="00296032" w:rsidRPr="00620047" w:rsidRDefault="00296032">
      <w:pPr>
        <w:pStyle w:val="artplatletter"/>
        <w:rPr>
          <w:rFonts w:cs="Arial"/>
        </w:rPr>
      </w:pPr>
      <w:r w:rsidRPr="00620047">
        <w:rPr>
          <w:rFonts w:cs="Arial"/>
        </w:rPr>
        <w:t>c.</w:t>
      </w:r>
      <w:r w:rsidRPr="00620047">
        <w:rPr>
          <w:rFonts w:cs="Arial"/>
        </w:rPr>
        <w:tab/>
        <w:t>het voorkomen dan wel voor zover dat niet mogelijk is het zoveel mogelijk beperken van verontreiniging van een oppervlaktewaterlichaam;</w:t>
      </w:r>
    </w:p>
    <w:p w:rsidR="00296032" w:rsidRPr="00620047" w:rsidRDefault="00296032">
      <w:pPr>
        <w:pStyle w:val="artplatletter"/>
        <w:rPr>
          <w:rFonts w:cs="Arial"/>
        </w:rPr>
      </w:pPr>
      <w:r w:rsidRPr="00620047">
        <w:rPr>
          <w:rFonts w:cs="Arial"/>
        </w:rPr>
        <w:t>d.</w:t>
      </w:r>
      <w:r w:rsidRPr="00620047">
        <w:rPr>
          <w:rFonts w:cs="Arial"/>
        </w:rPr>
        <w:tab/>
        <w:t>het voorkomen dan wel beperken van geurhinder,</w:t>
      </w:r>
    </w:p>
    <w:p w:rsidR="00296032" w:rsidRDefault="00296032">
      <w:pPr>
        <w:rPr>
          <w:rFonts w:cs="Arial"/>
        </w:rPr>
      </w:pPr>
      <w:r w:rsidRPr="00620047">
        <w:rPr>
          <w:rFonts w:cs="Arial"/>
        </w:rPr>
        <w:t>ten minste voldaan aan de bij ministeriële regeling te stellen eisen.</w:t>
      </w:r>
    </w:p>
    <w:p w:rsidR="00177466" w:rsidRDefault="00177466">
      <w:pPr>
        <w:rPr>
          <w:rFonts w:cs="Arial"/>
        </w:rPr>
      </w:pPr>
    </w:p>
    <w:p w:rsidR="00177466" w:rsidRDefault="00177466" w:rsidP="00177466">
      <w:pPr>
        <w:pStyle w:val="paragraaf"/>
        <w:shd w:val="clear" w:color="auto" w:fill="D9D9D9" w:themeFill="background1" w:themeFillShade="D9"/>
      </w:pPr>
      <w:bookmarkStart w:id="278" w:name="_Toc431375738"/>
      <w:r>
        <w:t>§ 4.6.2.</w:t>
      </w:r>
      <w:r>
        <w:tab/>
        <w:t>Afleveren van vloeibare brandstoffen aan vaartuigen</w:t>
      </w:r>
      <w:bookmarkEnd w:id="278"/>
    </w:p>
    <w:p w:rsidR="00177466" w:rsidRDefault="00177466" w:rsidP="00177466">
      <w:pPr>
        <w:pStyle w:val="artikelkop"/>
        <w:shd w:val="clear" w:color="auto" w:fill="D9D9D9" w:themeFill="background1" w:themeFillShade="D9"/>
        <w:rPr>
          <w:rFonts w:eastAsia="Arial Unicode MS"/>
        </w:rPr>
      </w:pPr>
      <w:r>
        <w:t>Artikel 4.86</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en het voorkomen dan wel voor zover dat niet mogelijk is het zoveel mogelijk beperken van verontreiniging van een oppervlaktewaterlichaam wordt bij het afleveren van vloeibare brandstoffen aan vaartuigen ten minste voldaan aan het tweede tot en met tiende lid.</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Het afleveren van vloeibare brandstoffen aan vaartuigen en het vullen van opslagtanks vindt uitsluitend plaats door of onder direct toezicht van deskundig personeel dat op de hoogte is van:</w:t>
      </w:r>
    </w:p>
    <w:p w:rsidR="00177466" w:rsidRDefault="00177466" w:rsidP="00177466">
      <w:pPr>
        <w:pStyle w:val="art2enivo"/>
        <w:shd w:val="clear" w:color="auto" w:fill="D9D9D9" w:themeFill="background1" w:themeFillShade="D9"/>
        <w:suppressAutoHyphens/>
        <w:rPr>
          <w:rFonts w:cs="Arial"/>
        </w:rPr>
      </w:pPr>
      <w:r>
        <w:rPr>
          <w:rFonts w:cs="Arial"/>
        </w:rPr>
        <w:t>a.</w:t>
      </w:r>
      <w:r>
        <w:rPr>
          <w:rFonts w:cs="Arial"/>
        </w:rPr>
        <w:tab/>
        <w:t>de gevaarlijke eigenschappen van de brandstoffen,</w:t>
      </w:r>
    </w:p>
    <w:p w:rsidR="00177466" w:rsidRDefault="00177466" w:rsidP="00177466">
      <w:pPr>
        <w:pStyle w:val="art2enivo"/>
        <w:shd w:val="clear" w:color="auto" w:fill="D9D9D9" w:themeFill="background1" w:themeFillShade="D9"/>
        <w:suppressAutoHyphens/>
        <w:rPr>
          <w:rFonts w:cs="Arial"/>
        </w:rPr>
      </w:pPr>
      <w:r>
        <w:rPr>
          <w:rFonts w:cs="Arial"/>
        </w:rPr>
        <w:t>b.</w:t>
      </w:r>
      <w:r>
        <w:rPr>
          <w:rFonts w:cs="Arial"/>
        </w:rPr>
        <w:tab/>
        <w:t>de absorptie- en hulpmiddelen, bedoeld in artikel 4.78 van het besluit,</w:t>
      </w:r>
    </w:p>
    <w:p w:rsidR="00177466" w:rsidRDefault="00177466" w:rsidP="00177466">
      <w:pPr>
        <w:pStyle w:val="art2enivo"/>
        <w:shd w:val="clear" w:color="auto" w:fill="D9D9D9" w:themeFill="background1" w:themeFillShade="D9"/>
        <w:suppressAutoHyphens/>
        <w:rPr>
          <w:rFonts w:cs="Arial"/>
        </w:rPr>
      </w:pPr>
      <w:r>
        <w:rPr>
          <w:rFonts w:cs="Arial"/>
        </w:rPr>
        <w:t>c.</w:t>
      </w:r>
      <w:r>
        <w:rPr>
          <w:rFonts w:cs="Arial"/>
        </w:rPr>
        <w:tab/>
        <w:t>het noodplan, bedoeld in het zevende lid, en</w:t>
      </w:r>
    </w:p>
    <w:p w:rsidR="00177466" w:rsidRDefault="00177466" w:rsidP="00177466">
      <w:pPr>
        <w:pStyle w:val="art2enivo"/>
        <w:shd w:val="clear" w:color="auto" w:fill="D9D9D9" w:themeFill="background1" w:themeFillShade="D9"/>
        <w:suppressAutoHyphens/>
        <w:rPr>
          <w:rFonts w:cs="Arial"/>
        </w:rPr>
      </w:pPr>
      <w:r>
        <w:rPr>
          <w:rFonts w:cs="Arial"/>
        </w:rPr>
        <w:t>d.</w:t>
      </w:r>
      <w:r>
        <w:rPr>
          <w:rFonts w:cs="Arial"/>
        </w:rPr>
        <w:tab/>
        <w:t>de instructies, bedoeld in artikel 36 van bijlage 3.8 bij de Binnenvaartregeling,</w:t>
      </w:r>
    </w:p>
    <w:p w:rsidR="00177466" w:rsidRDefault="00177466" w:rsidP="00177466">
      <w:pPr>
        <w:pStyle w:val="art2enivo"/>
        <w:shd w:val="clear" w:color="auto" w:fill="D9D9D9" w:themeFill="background1" w:themeFillShade="D9"/>
        <w:suppressAutoHyphens/>
        <w:rPr>
          <w:rFonts w:cs="Arial"/>
          <w:szCs w:val="20"/>
        </w:rPr>
      </w:pPr>
      <w:r>
        <w:rPr>
          <w:rFonts w:cs="Arial"/>
          <w:szCs w:val="20"/>
        </w:rPr>
        <w:t>en dat direct kan ingrijpen bij morsingen, incidenten en calamiteiten.</w:t>
      </w:r>
    </w:p>
    <w:p w:rsidR="00177466" w:rsidRDefault="00177466" w:rsidP="00177466">
      <w:pPr>
        <w:pStyle w:val="art1enivo"/>
        <w:shd w:val="clear" w:color="auto" w:fill="D9D9D9" w:themeFill="background1" w:themeFillShade="D9"/>
        <w:suppressAutoHyphens/>
        <w:rPr>
          <w:rFonts w:cs="Arial"/>
        </w:rPr>
      </w:pPr>
      <w:r>
        <w:rPr>
          <w:rFonts w:cs="Arial"/>
        </w:rPr>
        <w:t>3.</w:t>
      </w:r>
      <w:r>
        <w:rPr>
          <w:rFonts w:cs="Arial"/>
        </w:rPr>
        <w:tab/>
        <w:t>Bij een op de wal geplaatste vaste afleverinstallatie voor het afleveren van vloeibare brandstoffen aan vaartuigen en bij het vulpunt van een bunkerstation indien dit vulpunt op de kant is gelegen, worden voorzieningen getroffen of maatregelen genomen om schade aan de afleverinstallatie en het vulpunt door aanrijdingen te voorkomen.</w:t>
      </w:r>
    </w:p>
    <w:p w:rsidR="00177466" w:rsidRDefault="00177466" w:rsidP="00177466">
      <w:pPr>
        <w:pStyle w:val="art1enivo"/>
        <w:shd w:val="clear" w:color="auto" w:fill="D9D9D9" w:themeFill="background1" w:themeFillShade="D9"/>
        <w:suppressAutoHyphens/>
        <w:rPr>
          <w:rFonts w:cs="Arial"/>
        </w:rPr>
      </w:pPr>
      <w:r>
        <w:rPr>
          <w:rFonts w:cs="Arial"/>
        </w:rPr>
        <w:t>4.</w:t>
      </w:r>
      <w:r>
        <w:rPr>
          <w:rFonts w:cs="Arial"/>
        </w:rPr>
        <w:tab/>
        <w:t>Een op de wal geplaatste vaste afleverinstallatie voor het afleveren van vloeibare brandstoffen aan vaartuigen en een bunkerstation zijn zodanig gelegen, dat de bereikbaarheid voor passerende vaartuigen is gewaarborgd en een zo laag mogelijk aanvaringsrisico wordt bereikt.</w:t>
      </w:r>
    </w:p>
    <w:p w:rsidR="00177466" w:rsidRDefault="00177466" w:rsidP="00177466">
      <w:pPr>
        <w:pStyle w:val="art1enivo"/>
        <w:shd w:val="clear" w:color="auto" w:fill="D9D9D9" w:themeFill="background1" w:themeFillShade="D9"/>
        <w:suppressAutoHyphens/>
        <w:rPr>
          <w:rFonts w:cs="Arial"/>
        </w:rPr>
      </w:pPr>
      <w:r>
        <w:rPr>
          <w:rFonts w:cs="Arial"/>
        </w:rPr>
        <w:t>5.</w:t>
      </w:r>
      <w:r>
        <w:rPr>
          <w:rFonts w:cs="Arial"/>
        </w:rPr>
        <w:tab/>
        <w:t>Een op de wal geplaatste vaste afleverinstallatie voldoet bij het afleveren van vloeibare brandstoffen aan vaartuigen aan de volgende onderdelen van PGS 28:</w:t>
      </w:r>
    </w:p>
    <w:p w:rsidR="00177466" w:rsidRDefault="00177466" w:rsidP="00177466">
      <w:pPr>
        <w:pStyle w:val="art2enivo"/>
        <w:shd w:val="clear" w:color="auto" w:fill="D9D9D9" w:themeFill="background1" w:themeFillShade="D9"/>
      </w:pPr>
      <w:r>
        <w:t>a.</w:t>
      </w:r>
      <w:r>
        <w:tab/>
        <w:t>de voorschriften 2.3.8, 2.3.11 en 2.3.12;</w:t>
      </w:r>
    </w:p>
    <w:p w:rsidR="00177466" w:rsidRDefault="00177466" w:rsidP="00177466">
      <w:pPr>
        <w:pStyle w:val="art2enivo"/>
        <w:shd w:val="clear" w:color="auto" w:fill="D9D9D9" w:themeFill="background1" w:themeFillShade="D9"/>
      </w:pPr>
      <w:r>
        <w:t>b.</w:t>
      </w:r>
      <w:r>
        <w:tab/>
        <w:t>de voorschriften 3.2.5, 3.4.4 en 3.4.6 tot en met 3.4.11, en</w:t>
      </w:r>
    </w:p>
    <w:p w:rsidR="00177466" w:rsidRDefault="00177466" w:rsidP="00177466">
      <w:pPr>
        <w:pStyle w:val="art2enivo"/>
        <w:shd w:val="clear" w:color="auto" w:fill="D9D9D9" w:themeFill="background1" w:themeFillShade="D9"/>
      </w:pPr>
      <w:r>
        <w:t>c.</w:t>
      </w:r>
      <w:r>
        <w:tab/>
        <w:t>de voorschriften 5.5.1, 5.5.3, 5.6.1, 5.6.2 en 5.7.1,</w:t>
      </w:r>
    </w:p>
    <w:p w:rsidR="00177466" w:rsidRDefault="00177466" w:rsidP="00177466">
      <w:pPr>
        <w:pStyle w:val="art2enivo"/>
        <w:shd w:val="clear" w:color="auto" w:fill="D9D9D9" w:themeFill="background1" w:themeFillShade="D9"/>
      </w:pPr>
      <w:r>
        <w:t>waarbij voor 'voertuig' wordt gelezen 'vaartuig'.</w:t>
      </w:r>
    </w:p>
    <w:p w:rsidR="00177466" w:rsidRDefault="00177466" w:rsidP="00177466">
      <w:pPr>
        <w:pStyle w:val="art1enivo"/>
        <w:shd w:val="clear" w:color="auto" w:fill="D9D9D9" w:themeFill="background1" w:themeFillShade="D9"/>
        <w:suppressAutoHyphens/>
        <w:rPr>
          <w:rFonts w:cs="Arial"/>
        </w:rPr>
      </w:pPr>
      <w:r>
        <w:rPr>
          <w:rFonts w:cs="Arial"/>
        </w:rPr>
        <w:t>6.</w:t>
      </w:r>
      <w:r>
        <w:rPr>
          <w:rFonts w:cs="Arial"/>
        </w:rPr>
        <w:tab/>
        <w:t>Op een op de wal geplaatste vaste afleverinstallatie voor het afleveren van vloeibare brandstoffen aan vaartuigen zijn de artikelen 21, 35b, e, f, j en k, 36, 45, 46 en 47 van bijlage 3.8 bij de Binnenvaartregeling van overeenkomstige toepassing.</w:t>
      </w:r>
    </w:p>
    <w:p w:rsidR="00177466" w:rsidRDefault="00177466" w:rsidP="00177466">
      <w:pPr>
        <w:pStyle w:val="art1enivo"/>
        <w:shd w:val="clear" w:color="auto" w:fill="D9D9D9" w:themeFill="background1" w:themeFillShade="D9"/>
        <w:suppressAutoHyphens/>
        <w:rPr>
          <w:rFonts w:cs="Arial"/>
        </w:rPr>
      </w:pPr>
      <w:r>
        <w:rPr>
          <w:rFonts w:cs="Arial"/>
        </w:rPr>
        <w:t>7.</w:t>
      </w:r>
      <w:r>
        <w:rPr>
          <w:rFonts w:cs="Arial"/>
        </w:rPr>
        <w:tab/>
        <w:t>Op verzoek van het bevoegd gezag stelt de houder van een inrichting waar vloeibare brandstof wordt afgeleverd aan vaartuigen aan de hand van de opslagcapaciteit, de aard van de opgeslagen producten en de aard van de inrichting een doelmatig noodplan op om:</w:t>
      </w:r>
    </w:p>
    <w:p w:rsidR="00177466" w:rsidRDefault="00177466" w:rsidP="00177466">
      <w:pPr>
        <w:pStyle w:val="art2enivo"/>
        <w:shd w:val="clear" w:color="auto" w:fill="D9D9D9" w:themeFill="background1" w:themeFillShade="D9"/>
        <w:suppressAutoHyphens/>
        <w:rPr>
          <w:rFonts w:cs="Arial"/>
        </w:rPr>
      </w:pPr>
      <w:r>
        <w:rPr>
          <w:rFonts w:cs="Arial"/>
        </w:rPr>
        <w:t>a.</w:t>
      </w:r>
      <w:r>
        <w:rPr>
          <w:rFonts w:cs="Arial"/>
        </w:rPr>
        <w:tab/>
        <w:t>lekkage zo spoedig mogelijk te stoppen en gelekte brandstof op te ruimen,</w:t>
      </w:r>
    </w:p>
    <w:p w:rsidR="00177466" w:rsidRDefault="00177466" w:rsidP="00177466">
      <w:pPr>
        <w:pStyle w:val="art2enivo"/>
        <w:shd w:val="clear" w:color="auto" w:fill="D9D9D9" w:themeFill="background1" w:themeFillShade="D9"/>
        <w:suppressAutoHyphens/>
        <w:rPr>
          <w:rFonts w:cs="Arial"/>
        </w:rPr>
      </w:pPr>
      <w:r>
        <w:rPr>
          <w:rFonts w:cs="Arial"/>
        </w:rPr>
        <w:t>b.</w:t>
      </w:r>
      <w:r>
        <w:rPr>
          <w:rFonts w:cs="Arial"/>
        </w:rPr>
        <w:tab/>
        <w:t>brand zo spoedig mogelijk onder controle te krijgen waarbij wordt aangegeven in welke gevallen zelf opgetreden wordt en in welke gevallen de brandweer wordt ingeschakeld,</w:t>
      </w:r>
    </w:p>
    <w:p w:rsidR="00177466" w:rsidRDefault="00177466" w:rsidP="00177466">
      <w:pPr>
        <w:pStyle w:val="art2enivo"/>
        <w:shd w:val="clear" w:color="auto" w:fill="D9D9D9" w:themeFill="background1" w:themeFillShade="D9"/>
        <w:suppressAutoHyphens/>
        <w:rPr>
          <w:rFonts w:cs="Arial"/>
        </w:rPr>
      </w:pPr>
      <w:r>
        <w:rPr>
          <w:rFonts w:cs="Arial"/>
        </w:rPr>
        <w:t>c.</w:t>
      </w:r>
      <w:r>
        <w:rPr>
          <w:rFonts w:cs="Arial"/>
        </w:rPr>
        <w:tab/>
        <w:t xml:space="preserve">betrokken personen intern te alarmeren en indien nodig op te roepen, </w:t>
      </w:r>
    </w:p>
    <w:p w:rsidR="00177466" w:rsidRDefault="00177466" w:rsidP="00177466">
      <w:pPr>
        <w:pStyle w:val="art2enivo"/>
        <w:shd w:val="clear" w:color="auto" w:fill="D9D9D9" w:themeFill="background1" w:themeFillShade="D9"/>
        <w:suppressAutoHyphens/>
        <w:rPr>
          <w:rFonts w:cs="Arial"/>
        </w:rPr>
      </w:pPr>
      <w:r>
        <w:rPr>
          <w:rFonts w:cs="Arial"/>
        </w:rPr>
        <w:t>d.</w:t>
      </w:r>
      <w:r>
        <w:rPr>
          <w:rFonts w:cs="Arial"/>
        </w:rPr>
        <w:tab/>
        <w:t xml:space="preserve">indien nodig de installatie stil te leggen of te ontruimen, </w:t>
      </w:r>
    </w:p>
    <w:p w:rsidR="00177466" w:rsidRDefault="00177466" w:rsidP="00177466">
      <w:pPr>
        <w:pStyle w:val="art2enivo"/>
        <w:shd w:val="clear" w:color="auto" w:fill="D9D9D9" w:themeFill="background1" w:themeFillShade="D9"/>
        <w:suppressAutoHyphens/>
        <w:rPr>
          <w:rFonts w:cs="Arial"/>
        </w:rPr>
      </w:pPr>
      <w:r>
        <w:rPr>
          <w:rFonts w:cs="Arial"/>
        </w:rPr>
        <w:t>e.</w:t>
      </w:r>
      <w:r>
        <w:rPr>
          <w:rFonts w:cs="Arial"/>
        </w:rPr>
        <w:tab/>
        <w:t>hulpdiensten, omwonenden en bevoegd gezag te informeren, en</w:t>
      </w:r>
    </w:p>
    <w:p w:rsidR="00177466" w:rsidRDefault="00177466" w:rsidP="00177466">
      <w:pPr>
        <w:pStyle w:val="art2enivo"/>
        <w:shd w:val="clear" w:color="auto" w:fill="D9D9D9" w:themeFill="background1" w:themeFillShade="D9"/>
        <w:suppressAutoHyphens/>
        <w:rPr>
          <w:rFonts w:cs="Arial"/>
        </w:rPr>
      </w:pPr>
      <w:r>
        <w:rPr>
          <w:rFonts w:cs="Arial"/>
        </w:rPr>
        <w:t>f.</w:t>
      </w:r>
      <w:r>
        <w:rPr>
          <w:rFonts w:cs="Arial"/>
        </w:rPr>
        <w:tab/>
        <w:t>zo nodig hulp te kunnen bieden aan degenen die zich op het bedrijfsterrein bevinden en aan omwonenden.</w:t>
      </w:r>
    </w:p>
    <w:p w:rsidR="00177466" w:rsidRDefault="00177466" w:rsidP="00177466">
      <w:pPr>
        <w:pStyle w:val="art1enivo"/>
        <w:shd w:val="clear" w:color="auto" w:fill="D9D9D9" w:themeFill="background1" w:themeFillShade="D9"/>
        <w:suppressAutoHyphens/>
        <w:rPr>
          <w:rFonts w:cs="Arial"/>
        </w:rPr>
      </w:pPr>
      <w:r>
        <w:rPr>
          <w:rFonts w:cs="Arial"/>
        </w:rPr>
        <w:t>8.</w:t>
      </w:r>
      <w:r>
        <w:rPr>
          <w:rFonts w:cs="Arial"/>
        </w:rPr>
        <w:tab/>
        <w:t>Aan een schip dat gevaarlijke stoffen vervoert, bedoeld in artikel 3.14, tweede en derde lid van het Rijnvaartpolitiereglement 1995, wordt geen vloeibare brandstof afgeleverd.</w:t>
      </w:r>
    </w:p>
    <w:p w:rsidR="00177466" w:rsidRDefault="00177466" w:rsidP="00177466">
      <w:pPr>
        <w:pStyle w:val="art1enivo"/>
        <w:shd w:val="clear" w:color="auto" w:fill="D9D9D9" w:themeFill="background1" w:themeFillShade="D9"/>
        <w:suppressAutoHyphens/>
        <w:rPr>
          <w:rFonts w:cs="Arial"/>
        </w:rPr>
      </w:pPr>
      <w:r>
        <w:rPr>
          <w:rFonts w:cs="Arial"/>
        </w:rPr>
        <w:t>9.</w:t>
      </w:r>
      <w:r>
        <w:rPr>
          <w:rFonts w:cs="Arial"/>
        </w:rPr>
        <w:tab/>
        <w:t>Aan een schip dat gevaarlijke stoffen vervoert, bedoeld in artikel 3.14, eerste lid van het Rijnvaartpolitiereglement 1995, wordt geen vloeibare brandstof afgeleverd indien de gevaarlijke stoffen gassen zijn.</w:t>
      </w:r>
    </w:p>
    <w:p w:rsidR="00177466" w:rsidRDefault="00177466" w:rsidP="00177466">
      <w:pPr>
        <w:pStyle w:val="art1enivo"/>
        <w:shd w:val="clear" w:color="auto" w:fill="D9D9D9" w:themeFill="background1" w:themeFillShade="D9"/>
        <w:suppressAutoHyphens/>
        <w:rPr>
          <w:rFonts w:cs="Arial"/>
        </w:rPr>
      </w:pPr>
      <w:r>
        <w:rPr>
          <w:rFonts w:cs="Arial"/>
        </w:rPr>
        <w:t>10.</w:t>
      </w:r>
      <w:r>
        <w:rPr>
          <w:rFonts w:cs="Arial"/>
        </w:rPr>
        <w:tab/>
        <w:t>Bij een bunkerstation waar lichte olie wordt afgeleverd aan vaartuigen, wordt geen vloeibare brandstof afgeleverd aan een schip dat gevaarlijke stoffen vervoert, bedoeld in artikel 3.14, eerste lid, van het Rijnvaartpolitiereglement 1995</w:t>
      </w:r>
    </w:p>
    <w:p w:rsidR="00177466" w:rsidRDefault="00177466" w:rsidP="00177466">
      <w:pPr>
        <w:pStyle w:val="artikelkop"/>
        <w:shd w:val="clear" w:color="auto" w:fill="D9D9D9" w:themeFill="background1" w:themeFillShade="D9"/>
      </w:pPr>
      <w:r>
        <w:t>Artikel 4.86a</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Onverminderd artikel 4.86 voldoet een bunkerstation bij het afleveren van vloeibare brandstof aan vaartuigen ten minste aan:</w:t>
      </w:r>
    </w:p>
    <w:p w:rsidR="00177466" w:rsidRDefault="00177466" w:rsidP="00177466">
      <w:pPr>
        <w:pStyle w:val="art2enivo"/>
        <w:shd w:val="clear" w:color="auto" w:fill="D9D9D9" w:themeFill="background1" w:themeFillShade="D9"/>
      </w:pPr>
      <w:r>
        <w:t>a.</w:t>
      </w:r>
      <w:r>
        <w:tab/>
        <w:t>de volgende onderdelen van PGS 28:</w:t>
      </w:r>
    </w:p>
    <w:p w:rsidR="00177466" w:rsidRDefault="00177466" w:rsidP="00177466">
      <w:pPr>
        <w:pStyle w:val="art3enivo"/>
        <w:shd w:val="clear" w:color="auto" w:fill="D9D9D9" w:themeFill="background1" w:themeFillShade="D9"/>
        <w:tabs>
          <w:tab w:val="clear" w:pos="1134"/>
          <w:tab w:val="left" w:pos="1276"/>
        </w:tabs>
        <w:ind w:left="1276" w:hanging="425"/>
      </w:pPr>
      <w:r>
        <w:t>1°.</w:t>
      </w:r>
      <w:r>
        <w:tab/>
        <w:t>de voorschriften 2.3.8, 2.3.11 en 2.3.12;</w:t>
      </w:r>
    </w:p>
    <w:p w:rsidR="00177466" w:rsidRDefault="00177466" w:rsidP="00177466">
      <w:pPr>
        <w:pStyle w:val="art3enivo"/>
        <w:shd w:val="clear" w:color="auto" w:fill="D9D9D9" w:themeFill="background1" w:themeFillShade="D9"/>
        <w:tabs>
          <w:tab w:val="clear" w:pos="1134"/>
          <w:tab w:val="left" w:pos="1276"/>
        </w:tabs>
        <w:ind w:left="1276" w:hanging="425"/>
      </w:pPr>
      <w:r>
        <w:t>2°.</w:t>
      </w:r>
      <w:r>
        <w:tab/>
        <w:t>de voorschriften 3.4.4 en 3.4.6 tot en met 3.4.11, en</w:t>
      </w:r>
    </w:p>
    <w:p w:rsidR="00177466" w:rsidRDefault="00177466" w:rsidP="00177466">
      <w:pPr>
        <w:pStyle w:val="art3enivo"/>
        <w:shd w:val="clear" w:color="auto" w:fill="D9D9D9" w:themeFill="background1" w:themeFillShade="D9"/>
        <w:tabs>
          <w:tab w:val="clear" w:pos="1134"/>
          <w:tab w:val="left" w:pos="1276"/>
        </w:tabs>
        <w:ind w:left="1276" w:hanging="425"/>
      </w:pPr>
      <w:r>
        <w:t>3°.</w:t>
      </w:r>
      <w:r>
        <w:tab/>
        <w:t>de voorschriften 5.5.1, 5.5.2, 5.5.3, 5.6.1, 5.6.2 en 5.7.1,</w:t>
      </w:r>
    </w:p>
    <w:p w:rsidR="00177466" w:rsidRDefault="00177466" w:rsidP="00177466">
      <w:pPr>
        <w:pStyle w:val="art3enivo"/>
        <w:shd w:val="clear" w:color="auto" w:fill="D9D9D9" w:themeFill="background1" w:themeFillShade="D9"/>
        <w:tabs>
          <w:tab w:val="clear" w:pos="1134"/>
          <w:tab w:val="left" w:pos="1276"/>
        </w:tabs>
        <w:ind w:left="1276" w:hanging="425"/>
      </w:pPr>
      <w:r>
        <w:t>waarbij voor ‘voertuig’ wordt gelezen ‘vaartuig’ en</w:t>
      </w:r>
    </w:p>
    <w:p w:rsidR="00177466" w:rsidRDefault="00177466" w:rsidP="00177466">
      <w:pPr>
        <w:pStyle w:val="art2enivo"/>
        <w:shd w:val="clear" w:color="auto" w:fill="D9D9D9" w:themeFill="background1" w:themeFillShade="D9"/>
        <w:rPr>
          <w:rFonts w:cs="Arial"/>
        </w:rPr>
      </w:pPr>
      <w:r>
        <w:rPr>
          <w:rFonts w:cs="Arial"/>
        </w:rPr>
        <w:t>b.</w:t>
      </w:r>
      <w:r>
        <w:rPr>
          <w:rFonts w:cs="Arial"/>
        </w:rPr>
        <w:tab/>
        <w:t xml:space="preserve">de artikelen 21, 35 </w:t>
      </w:r>
      <w:r>
        <w:t>aanhef</w:t>
      </w:r>
      <w:r>
        <w:rPr>
          <w:rFonts w:cs="Arial"/>
        </w:rPr>
        <w:t xml:space="preserve"> en onder b, e, f, j, k, 36, 45, 46 en 47 van bijlage 3.8 bij de Binnenvaartregeling.</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Het bevoegd gezag kan indien de technische staat van het bunkerstation onvoldoende is bij maatwerkvoorschrift eisen stellen die leiden tot een beschermingsniveau dat gelijkwaardig is aan bijlage 3.8 bij de Binnenvaartregeling.</w:t>
      </w:r>
    </w:p>
    <w:p w:rsidR="00177466" w:rsidRDefault="00177466" w:rsidP="00177466">
      <w:pPr>
        <w:pStyle w:val="art1enivo"/>
        <w:shd w:val="clear" w:color="auto" w:fill="D9D9D9" w:themeFill="background1" w:themeFillShade="D9"/>
        <w:suppressAutoHyphens/>
        <w:rPr>
          <w:rFonts w:cs="Arial"/>
        </w:rPr>
      </w:pPr>
      <w:r>
        <w:rPr>
          <w:rFonts w:cs="Arial"/>
        </w:rPr>
        <w:t>3.</w:t>
      </w:r>
      <w:r>
        <w:rPr>
          <w:rFonts w:cs="Arial"/>
        </w:rPr>
        <w:tab/>
        <w:t>Dit artikel is niet van toepassing op een bunkerstation dat beschikt over een certificaat als bedoeld in artikel 6 van het Binnenvaartbesluit.</w:t>
      </w:r>
    </w:p>
    <w:p w:rsidR="00177466" w:rsidRDefault="00177466" w:rsidP="00177466">
      <w:pPr>
        <w:pStyle w:val="artikelkop"/>
        <w:shd w:val="clear" w:color="auto" w:fill="D9D9D9" w:themeFill="background1" w:themeFillShade="D9"/>
      </w:pPr>
      <w:r>
        <w:t>Artikel 4.87</w:t>
      </w:r>
    </w:p>
    <w:p w:rsidR="00177466" w:rsidRDefault="00177466" w:rsidP="00177466">
      <w:pPr>
        <w:pStyle w:val="artplat"/>
        <w:shd w:val="clear" w:color="auto" w:fill="D9D9D9" w:themeFill="background1" w:themeFillShade="D9"/>
        <w:suppressAutoHyphens/>
        <w:rPr>
          <w:rFonts w:cs="Arial"/>
        </w:rPr>
      </w:pPr>
      <w:r>
        <w:rPr>
          <w:rFonts w:cs="Arial"/>
        </w:rPr>
        <w:t>Ten behoeve van het realiseren van een verwaarloosbaar bodemrisico wordt een op de wal geplaatste vaste installatie voor het afleveren van vloeibare brandstoffen aan vaartuigen opgesteld boven een lekbak of een vloeistofdichte vloer of verharding.</w:t>
      </w:r>
    </w:p>
    <w:p w:rsidR="00177466" w:rsidRDefault="00177466" w:rsidP="00177466">
      <w:pPr>
        <w:pStyle w:val="artikelkop"/>
        <w:shd w:val="clear" w:color="auto" w:fill="D9D9D9" w:themeFill="background1" w:themeFillShade="D9"/>
      </w:pPr>
      <w:r>
        <w:t>Artikel 4.87a</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Ten behoeve van het voorkomen dan wel voor zover dat niet mogelijk is het zoveel mogelijk beperken van verontreiniging van een oppervlaktewaterlichaam wordt bij het afleveren van vloeibare brandstoffen aan vaartuigen voldaan aan het tweede tot en met het vijfde lid.</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Het afleveren van vloeibare brandstoffen aan vaartuigen vindt zodanig plaats dat morsen van brandstof zoveel mogelijk wordt voorkomen. De gemorste brandstof wordt direct opgenomen met daarvoor geschikte absorptiemiddelen.</w:t>
      </w:r>
    </w:p>
    <w:p w:rsidR="00177466" w:rsidRDefault="00177466" w:rsidP="00177466">
      <w:pPr>
        <w:pStyle w:val="art1enivo"/>
        <w:shd w:val="clear" w:color="auto" w:fill="D9D9D9" w:themeFill="background1" w:themeFillShade="D9"/>
        <w:suppressAutoHyphens/>
        <w:rPr>
          <w:rFonts w:cs="Arial"/>
        </w:rPr>
      </w:pPr>
      <w:r>
        <w:rPr>
          <w:rFonts w:cs="Arial"/>
        </w:rPr>
        <w:t>3.</w:t>
      </w:r>
      <w:r>
        <w:rPr>
          <w:rFonts w:cs="Arial"/>
        </w:rPr>
        <w:tab/>
        <w:t>Het vulpistool of het uiteinde van de vulleiding van een installatie voor het afleveren van vloeibare brandstoffen aan vaartuigen op een bunkerstation wordt weggehangen boven een lekbak.</w:t>
      </w:r>
    </w:p>
    <w:p w:rsidR="00177466" w:rsidRDefault="00177466" w:rsidP="00177466">
      <w:pPr>
        <w:pStyle w:val="art1enivo"/>
        <w:shd w:val="clear" w:color="auto" w:fill="D9D9D9" w:themeFill="background1" w:themeFillShade="D9"/>
        <w:suppressAutoHyphens/>
        <w:rPr>
          <w:rFonts w:cs="Arial"/>
        </w:rPr>
      </w:pPr>
      <w:r>
        <w:rPr>
          <w:rFonts w:cs="Arial"/>
        </w:rPr>
        <w:t>4.</w:t>
      </w:r>
      <w:r>
        <w:rPr>
          <w:rFonts w:cs="Arial"/>
        </w:rPr>
        <w:tab/>
        <w:t>Een installatie voor het afleveren van vloeibare brandstoffen aan vaartuigen wordt niet gebruikt voor het vullen van jerrycans en andere vaten met vloeibare brandstoffen.</w:t>
      </w:r>
    </w:p>
    <w:p w:rsidR="00177466" w:rsidRDefault="00177466" w:rsidP="00177466">
      <w:pPr>
        <w:pStyle w:val="art1enivo"/>
        <w:shd w:val="clear" w:color="auto" w:fill="D9D9D9" w:themeFill="background1" w:themeFillShade="D9"/>
        <w:suppressAutoHyphens/>
        <w:rPr>
          <w:rFonts w:cs="Arial"/>
        </w:rPr>
      </w:pPr>
      <w:r>
        <w:rPr>
          <w:rFonts w:cs="Arial"/>
        </w:rPr>
        <w:t>5.</w:t>
      </w:r>
      <w:r>
        <w:rPr>
          <w:rFonts w:cs="Arial"/>
        </w:rPr>
        <w:tab/>
        <w:t>Het afleveren van vloeibare brandstoffen aan vaartuigen vanuit een op de wal geplaatste vaste afleverinstallatie vindt plaats met een vulleiding met overvulbeveiliging en automatisch uitschakelinrichting die het bunkeren bij een tankvulstand van 97% onderbreken of een vulpistool dat is voorzien van een automatisch afslagmechanisme.</w:t>
      </w:r>
    </w:p>
    <w:p w:rsidR="00177466" w:rsidRDefault="00177466" w:rsidP="00177466">
      <w:pPr>
        <w:pStyle w:val="artikelkop"/>
        <w:shd w:val="clear" w:color="auto" w:fill="D9D9D9" w:themeFill="background1" w:themeFillShade="D9"/>
      </w:pPr>
      <w:r>
        <w:t>Artikel 4.87b</w:t>
      </w:r>
    </w:p>
    <w:p w:rsidR="00177466" w:rsidRPr="00620047" w:rsidRDefault="00177466" w:rsidP="00177466">
      <w:pPr>
        <w:pStyle w:val="artplat"/>
        <w:shd w:val="clear" w:color="auto" w:fill="D9D9D9" w:themeFill="background1" w:themeFillShade="D9"/>
        <w:suppressAutoHyphens/>
        <w:rPr>
          <w:rFonts w:cs="Arial"/>
        </w:rPr>
      </w:pPr>
      <w:r>
        <w:rPr>
          <w:rFonts w:cs="Arial"/>
        </w:rPr>
        <w:t>Indien blijkt dat bij het afleveren van vloeibare brandstoffen aan vaartuigen en het vullen van de beladingstanks van een bunkerstation de geurhinder een aanvaardbaar niveau overschrijdt, kan het bevoegd gezag overeenkomstig artikel 2.7a, derde lid, van het besluit maatwerkvoorschriften stellen met betrekking tot de situering van de emissiepunten waar dampen van brandstof vrijkomen, of de toepassing van dampretourvoorzieningen of andere systemen om de dampen gericht af te zuigen.</w:t>
      </w:r>
    </w:p>
    <w:p w:rsidR="00296032" w:rsidRPr="00296032" w:rsidRDefault="00296032">
      <w:pPr>
        <w:pStyle w:val="paragraaf"/>
      </w:pPr>
      <w:bookmarkStart w:id="279" w:name="_Toc431375739"/>
      <w:bookmarkStart w:id="280" w:name="_Toc277243247"/>
      <w:r w:rsidRPr="00296032">
        <w:t>§ 4.6.4.</w:t>
      </w:r>
      <w:r w:rsidRPr="00296032">
        <w:tab/>
        <w:t>Afleveren van vloeibare brandstof of gecomprimeerd aardgas anders dan aan motorvoertuigen voor het wegverkeer, vaartuigen of spoorvoertuigen.</w:t>
      </w:r>
      <w:bookmarkEnd w:id="279"/>
    </w:p>
    <w:bookmarkEnd w:id="280"/>
    <w:p w:rsidR="00296032" w:rsidRPr="00296032" w:rsidRDefault="00296032">
      <w:pPr>
        <w:pStyle w:val="artikelkop"/>
        <w:rPr>
          <w:rFonts w:cs="Arial"/>
        </w:rPr>
      </w:pPr>
      <w:r w:rsidRPr="00296032">
        <w:rPr>
          <w:rFonts w:cs="Arial"/>
        </w:rPr>
        <w:t>Artikel 4.80</w:t>
      </w:r>
    </w:p>
    <w:p w:rsidR="00296032" w:rsidRPr="00620047" w:rsidRDefault="00296032">
      <w:pPr>
        <w:pStyle w:val="artplat"/>
        <w:rPr>
          <w:rFonts w:cs="Arial"/>
        </w:rPr>
      </w:pPr>
      <w:r w:rsidRPr="00620047">
        <w:rPr>
          <w:rFonts w:cs="Arial"/>
        </w:rPr>
        <w:t>Deze paragraaf is van toepassing op inrichtingen voor het afleveren van vloeibare brandstof en gecomprimeerd aardgas, indien uitsluitend wordt afgeleverd anders dan aan motorvoertuigen voor het wegverkeer, vaartuigen of spoorvoertuigen.</w:t>
      </w:r>
    </w:p>
    <w:p w:rsidR="00296032" w:rsidRPr="00296032" w:rsidRDefault="00296032">
      <w:pPr>
        <w:pStyle w:val="artikelkop"/>
        <w:rPr>
          <w:rFonts w:cs="Arial"/>
        </w:rPr>
      </w:pPr>
      <w:r w:rsidRPr="00296032">
        <w:rPr>
          <w:rFonts w:cs="Arial"/>
        </w:rPr>
        <w:t>Artikel 4.80a</w:t>
      </w:r>
    </w:p>
    <w:p w:rsidR="00296032" w:rsidRPr="00620047" w:rsidRDefault="00296032">
      <w:pPr>
        <w:pStyle w:val="art1enivo"/>
      </w:pPr>
      <w:r w:rsidRPr="00620047">
        <w:t>1.</w:t>
      </w:r>
      <w:r w:rsidRPr="00620047">
        <w:tab/>
        <w:t>Het inpandig afleveren van lichte olie vindt niet plaats.</w:t>
      </w:r>
    </w:p>
    <w:p w:rsidR="00296032" w:rsidRPr="00620047" w:rsidRDefault="00296032">
      <w:pPr>
        <w:pStyle w:val="art1enivo"/>
      </w:pPr>
      <w:r w:rsidRPr="00620047">
        <w:t>2.</w:t>
      </w:r>
      <w:r w:rsidRPr="00620047">
        <w:tab/>
        <w:t>Het eerste lid is niet van toepassing op inpandige afleverinstallaties voor lichte olie die zijn geïnstalleerd voor 1 januari 2011.</w:t>
      </w:r>
    </w:p>
    <w:p w:rsidR="00296032" w:rsidRPr="00620047" w:rsidRDefault="00296032">
      <w:pPr>
        <w:pStyle w:val="art1enivo"/>
      </w:pPr>
      <w:r w:rsidRPr="00620047">
        <w:t>3.</w:t>
      </w:r>
      <w:r w:rsidRPr="00620047">
        <w:tab/>
        <w:t>In de gevallen, bedoeld in het tweede lid, waarin het inpandig afleveren van lichte olie is toegestaan, vindt het inpandig afleveren in het belang van het voorkomen van risico’s voor de omgeving en ongewone voorvallen dan wel voor zover dat niet mogelijk is het zoveel mogelijk beperken van de risico’s voor de omgeving en de kans dat ongewone voorvallen zich voordoen en de gevolgen hiervan, ten minste plaats via een EU-systeem voor dampretour fase-II.</w:t>
      </w:r>
    </w:p>
    <w:p w:rsidR="00296032" w:rsidRPr="00620047" w:rsidRDefault="00296032">
      <w:pPr>
        <w:pStyle w:val="art1enivo"/>
      </w:pPr>
      <w:r w:rsidRPr="00620047">
        <w:t>4.</w:t>
      </w:r>
      <w:r w:rsidRPr="00620047">
        <w:tab/>
        <w:t>Op het inpandig afleveren van lichte olie, bedoeld in het derde lid, zijn artikel 3.20, derde tot en met achtste lid, alsmede de krachtens die leden en krachtens artikel 4.83 gestelde regels van toepassing.</w:t>
      </w:r>
    </w:p>
    <w:p w:rsidR="00296032" w:rsidRPr="00296032" w:rsidRDefault="00296032">
      <w:pPr>
        <w:pStyle w:val="artikelkop"/>
        <w:rPr>
          <w:rFonts w:cs="Arial"/>
        </w:rPr>
      </w:pPr>
      <w:r w:rsidRPr="00296032">
        <w:rPr>
          <w:rFonts w:cs="Arial"/>
        </w:rPr>
        <w:t>Artikel 4.81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 installatie voor het afleveren van gecomprimeerd aardgas, anders dan aan motorvoertuigen voor het wegverkeer en vaartuigen, bevindt zich op een afstand van ten minste 10 meter van kwetsbare en beperkt kwetsbare objecten.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szCs w:val="20"/>
        </w:rPr>
        <w:t>Een aardgas-afleverinstallatie voor het afleveren van gecomprimeerd aardgas, anders dan aan motorvoertuigen voor het wegverkeer en vaartuigen voldoet ten behoeve van het voorkomen van risico's voor de omgeving en ongewone voorvallen, dan wel voor zover dat niet mogelijk is het zoveel mogelijk beperken van de risico's voor de omgeving en de kans dat ongewone voorvallen zich voordoen en de gevolgen hiervan, aan de bij ministeriële regeling te stellen eisen</w:t>
      </w:r>
      <w:r w:rsidRPr="00620047">
        <w:rPr>
          <w:rFonts w:cs="Arial"/>
        </w:rPr>
        <w:t>.</w:t>
      </w:r>
    </w:p>
    <w:p w:rsidR="00296032" w:rsidRPr="00296032" w:rsidRDefault="00296032">
      <w:pPr>
        <w:pStyle w:val="artikelkop"/>
        <w:rPr>
          <w:rFonts w:cs="Arial"/>
        </w:rPr>
      </w:pPr>
      <w:r w:rsidRPr="00296032">
        <w:rPr>
          <w:rFonts w:cs="Arial"/>
        </w:rPr>
        <w:t>Artikel 4.82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in het vuilwaterriool lozen van afvalwater afkomstig van een vloeistofdichte vloer of verharding waarboven het afleveren van motorbrandstof, anders dan aan motorvoertuigen voor het wegverkeer, vaartuigen of spoorvoertuigen plaatsvindt, wordt ten minste voldaan aan het tweede tot en met het vierde lid.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afvalwater wordt geleid door een slibvangput en olieafscheider die voldoen aan NEN-EN 858-1 en 2.</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gehalte aan olie in het afvalwater na de afscheider bedraagt niet meer dan 200 milligram per liter in enig steekmonster bepaald overeenkomstig de bepalingsmethode.</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te lozen afvalwater kan op een doelmatige wijze worden bemonsterd.</w:t>
      </w:r>
    </w:p>
    <w:p w:rsidR="00296032" w:rsidRPr="00620047" w:rsidRDefault="00296032">
      <w:pPr>
        <w:pStyle w:val="art1enivo"/>
      </w:pPr>
      <w:r w:rsidRPr="00620047">
        <w:t xml:space="preserve">5. </w:t>
      </w:r>
      <w:r w:rsidRPr="00620047">
        <w:tab/>
        <w:t>Het tweede lid is niet van toepassing indien voor het van toepassing worden van dit besluit of een deel daarvan op een activiteit in de inrichting een slibvangput of een olieafscheider is geplaatst die op de hoeveelheid afvalwater is afgestemd.</w:t>
      </w:r>
    </w:p>
    <w:p w:rsidR="00296032" w:rsidRPr="00296032" w:rsidRDefault="00296032">
      <w:pPr>
        <w:pStyle w:val="artikelkop"/>
        <w:rPr>
          <w:rFonts w:cs="Arial"/>
        </w:rPr>
      </w:pPr>
      <w:r w:rsidRPr="00296032">
        <w:rPr>
          <w:rFonts w:cs="Arial"/>
        </w:rPr>
        <w:t>Artikel 4.83</w:t>
      </w:r>
    </w:p>
    <w:p w:rsidR="00296032" w:rsidRPr="00620047" w:rsidRDefault="00296032">
      <w:pPr>
        <w:rPr>
          <w:rFonts w:cs="Arial"/>
        </w:rPr>
      </w:pPr>
      <w:r w:rsidRPr="00620047">
        <w:rPr>
          <w:rFonts w:cs="Arial"/>
        </w:rPr>
        <w:t>Bij het afleveren van vloeibare brandstof, anders dan aan motorvoertuigen voor het wegverkeer, vaartuigen of spoorvoertuigen, wordt:</w:t>
      </w:r>
    </w:p>
    <w:p w:rsidR="00296032" w:rsidRPr="00620047" w:rsidRDefault="00296032">
      <w:pPr>
        <w:pStyle w:val="artplatletter"/>
        <w:rPr>
          <w:rFonts w:cs="Arial"/>
        </w:rPr>
      </w:pPr>
      <w:r w:rsidRPr="00620047">
        <w:rPr>
          <w:rFonts w:cs="Arial"/>
        </w:rPr>
        <w:t>a.</w:t>
      </w:r>
      <w:r w:rsidRPr="00620047">
        <w:rPr>
          <w:rFonts w:cs="Arial"/>
        </w:rPr>
        <w:tab/>
        <w:t>ten behoeve van het realiseren van een verwaarloosbaar bodemrisico en het voorkomen dan wel voor zover dat niet mogelijk is het zoveel mogelijk beperken van luchtverontreiniging voldaan aan de bij ministeriële regeling te stellen eisen; en</w:t>
      </w:r>
    </w:p>
    <w:p w:rsidR="00296032" w:rsidRPr="00620047" w:rsidRDefault="00296032">
      <w:pPr>
        <w:pStyle w:val="artplatletter"/>
      </w:pPr>
      <w:r w:rsidRPr="00620047">
        <w:t>b.</w:t>
      </w:r>
      <w:r w:rsidRPr="00620047">
        <w:tab/>
        <w:t xml:space="preserve">ten behoeve van het voorkomen van risico's voor de omgeving en ongewone voorvallen, dan wel, voor zover dat niet mogelijk is, het zoveel mogelijk beperken van de risico's voor de omgeving en de kans dat ongewone voorvallen zich voordoen en de gevolgen hiervan, </w:t>
      </w:r>
    </w:p>
    <w:p w:rsidR="00296032" w:rsidRPr="00620047" w:rsidRDefault="00296032">
      <w:pPr>
        <w:pStyle w:val="artplatletter"/>
      </w:pPr>
      <w:r w:rsidRPr="00620047">
        <w:t>ten minste voldaan aan de bij ministeriële regeling gestelde eisen.</w:t>
      </w:r>
    </w:p>
    <w:p w:rsidR="00177466" w:rsidRDefault="00177466" w:rsidP="00177466">
      <w:pPr>
        <w:pStyle w:val="paragraaf"/>
        <w:shd w:val="clear" w:color="auto" w:fill="D9D9D9" w:themeFill="background1" w:themeFillShade="D9"/>
      </w:pPr>
      <w:bookmarkStart w:id="281" w:name="_Toc431375740"/>
      <w:bookmarkStart w:id="282" w:name="_Toc277243248"/>
      <w:r>
        <w:t>§ 4.6.3.</w:t>
      </w:r>
      <w:r>
        <w:tab/>
        <w:t>Afleveren van vloeibare brandstof of gecomprimeerd aardgas anders dan aan motorvoertuigen voor het wegverkeer, vaartuigen of spoorwegvoertuigen</w:t>
      </w:r>
      <w:bookmarkEnd w:id="281"/>
      <w:r>
        <w:t xml:space="preserve"> </w:t>
      </w:r>
    </w:p>
    <w:p w:rsidR="00177466" w:rsidRDefault="00177466" w:rsidP="00177466">
      <w:pPr>
        <w:pStyle w:val="artikelkop"/>
        <w:shd w:val="clear" w:color="auto" w:fill="D9D9D9" w:themeFill="background1" w:themeFillShade="D9"/>
      </w:pPr>
      <w:r>
        <w:t>Artikel 4.88</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wordt bij het afleveren van vloeibare brandstof en gecomprimeerd aardgas, anders dan aan motorvoertuigen voor het wegverkeer, spoorvoertuigen en vaartuigen, ten minste voldaan aan de artikelen 4.91 tot en met 4.93a.</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Ten behoeve van het realiseren van een verwaarloosbaar bodemrisico wordt bij het afleveren van vloeibare brandstof, anders dan aan motorvoertuigen voor het wegverkeer, spoorvoertuigen en vaartuigen, voldaan aan de artikelen 4.91 en 4.94a.</w:t>
      </w:r>
    </w:p>
    <w:p w:rsidR="00177466" w:rsidRDefault="00177466" w:rsidP="00177466">
      <w:pPr>
        <w:pStyle w:val="art1enivo"/>
        <w:shd w:val="clear" w:color="auto" w:fill="D9D9D9" w:themeFill="background1" w:themeFillShade="D9"/>
        <w:suppressAutoHyphens/>
        <w:rPr>
          <w:rFonts w:cs="Arial"/>
        </w:rPr>
      </w:pPr>
      <w:r>
        <w:rPr>
          <w:rFonts w:cs="Arial"/>
        </w:rPr>
        <w:t>3.</w:t>
      </w:r>
      <w:r>
        <w:rPr>
          <w:rFonts w:cs="Arial"/>
        </w:rPr>
        <w:tab/>
        <w:t>Ten behoeve van het voorkomen dan wel voor zover dat niet mogelijk is het zoveel mogelijk beperken van luchtverontreiniging wordt bij het afleveren van lichte olie voldaan aan artikel 4.89.</w:t>
      </w:r>
    </w:p>
    <w:p w:rsidR="00177466" w:rsidRDefault="00177466" w:rsidP="002F3040">
      <w:pPr>
        <w:pStyle w:val="artikelkop"/>
        <w:shd w:val="clear" w:color="auto" w:fill="D9D9D9" w:themeFill="background1" w:themeFillShade="D9"/>
      </w:pPr>
      <w:r>
        <w:t xml:space="preserve">Artikel 4.89 </w:t>
      </w:r>
      <w:r w:rsidR="002F3040" w:rsidRPr="002F3040">
        <w:t>[Vervallen per 01-01-2016]</w:t>
      </w:r>
    </w:p>
    <w:p w:rsidR="00177466" w:rsidRDefault="00177466" w:rsidP="00177466">
      <w:pPr>
        <w:pStyle w:val="artikelkop"/>
        <w:shd w:val="clear" w:color="auto" w:fill="D9D9D9" w:themeFill="background1" w:themeFillShade="D9"/>
      </w:pPr>
      <w:r>
        <w:t>Artikel 4.90 [vervallen per 1-1-2012]</w:t>
      </w:r>
    </w:p>
    <w:p w:rsidR="00177466" w:rsidRDefault="00177466" w:rsidP="00177466">
      <w:pPr>
        <w:pStyle w:val="artikelkop"/>
        <w:shd w:val="clear" w:color="auto" w:fill="D9D9D9" w:themeFill="background1" w:themeFillShade="D9"/>
      </w:pPr>
      <w:r>
        <w:t>Artikel 4.91</w:t>
      </w:r>
    </w:p>
    <w:p w:rsidR="00177466" w:rsidRDefault="00177466" w:rsidP="00177466">
      <w:pPr>
        <w:pStyle w:val="artplat"/>
        <w:shd w:val="clear" w:color="auto" w:fill="D9D9D9" w:themeFill="background1" w:themeFillShade="D9"/>
        <w:suppressAutoHyphens/>
        <w:rPr>
          <w:rFonts w:cs="Arial"/>
        </w:rPr>
      </w:pPr>
      <w:r>
        <w:rPr>
          <w:rFonts w:cs="Arial"/>
        </w:rPr>
        <w:t>Een vaste afleverinstallatie voldoet bij het afleveren van vloeibare brandstof anders dan aan motorvoertuigen voor het wegverkeer, spoorvoertuigen en vaartuigen aan de volgende onderdelen van PGS 28:</w:t>
      </w:r>
    </w:p>
    <w:p w:rsidR="00177466" w:rsidRDefault="00177466" w:rsidP="00177466">
      <w:pPr>
        <w:pStyle w:val="artplatletter"/>
        <w:shd w:val="clear" w:color="auto" w:fill="D9D9D9" w:themeFill="background1" w:themeFillShade="D9"/>
      </w:pPr>
      <w:r>
        <w:t>a.</w:t>
      </w:r>
      <w:r>
        <w:tab/>
        <w:t>de voorschriften 2.3.8 en 2.3.11 tot en met 2.3.13;</w:t>
      </w:r>
    </w:p>
    <w:p w:rsidR="00177466" w:rsidRDefault="00177466" w:rsidP="00177466">
      <w:pPr>
        <w:pStyle w:val="artplatletter"/>
        <w:shd w:val="clear" w:color="auto" w:fill="D9D9D9" w:themeFill="background1" w:themeFillShade="D9"/>
      </w:pPr>
      <w:r>
        <w:t>b.</w:t>
      </w:r>
      <w:r>
        <w:tab/>
        <w:t>de voorschriften 3.2.5 en 3.4.2 tot en met 3.4.11;</w:t>
      </w:r>
    </w:p>
    <w:p w:rsidR="00177466" w:rsidRDefault="00177466" w:rsidP="00177466">
      <w:pPr>
        <w:pStyle w:val="artplatletter"/>
        <w:shd w:val="clear" w:color="auto" w:fill="D9D9D9" w:themeFill="background1" w:themeFillShade="D9"/>
      </w:pPr>
      <w:r>
        <w:t>c.</w:t>
      </w:r>
      <w:r>
        <w:tab/>
        <w:t>voorschrift 4.5.8;</w:t>
      </w:r>
    </w:p>
    <w:p w:rsidR="00177466" w:rsidRDefault="00177466" w:rsidP="00177466">
      <w:pPr>
        <w:pStyle w:val="artplatletter"/>
        <w:shd w:val="clear" w:color="auto" w:fill="D9D9D9" w:themeFill="background1" w:themeFillShade="D9"/>
      </w:pPr>
      <w:r>
        <w:t>d.</w:t>
      </w:r>
      <w:r>
        <w:tab/>
        <w:t>de voorschriften 5.5.1 en 5.5.3, en</w:t>
      </w:r>
    </w:p>
    <w:p w:rsidR="00177466" w:rsidRDefault="00177466" w:rsidP="00177466">
      <w:pPr>
        <w:pStyle w:val="artplatletter"/>
        <w:shd w:val="clear" w:color="auto" w:fill="D9D9D9" w:themeFill="background1" w:themeFillShade="D9"/>
      </w:pPr>
      <w:r>
        <w:t>e.</w:t>
      </w:r>
      <w:r>
        <w:tab/>
        <w:t>de paragrafen 5.6 en 5.7.</w:t>
      </w:r>
    </w:p>
    <w:p w:rsidR="00177466" w:rsidRDefault="00177466" w:rsidP="00177466">
      <w:pPr>
        <w:pStyle w:val="artikelkop"/>
        <w:shd w:val="clear" w:color="auto" w:fill="D9D9D9" w:themeFill="background1" w:themeFillShade="D9"/>
      </w:pPr>
      <w:r>
        <w:t>Artikel 4.92</w:t>
      </w:r>
    </w:p>
    <w:p w:rsidR="00177466" w:rsidRDefault="00177466" w:rsidP="00177466">
      <w:pPr>
        <w:pStyle w:val="artplat"/>
        <w:shd w:val="clear" w:color="auto" w:fill="D9D9D9" w:themeFill="background1" w:themeFillShade="D9"/>
      </w:pPr>
      <w:r>
        <w:t>In afwijking van artikel 4.91 voldoet het afleveren van vloeibare brandstof anders dan aan motorvoertuigen voor het wegverkeer, spoorvoertuigen en vaartuigen, waarbij minder dan 25 kubieke meter per jaar wordt afgeleverd, aan de voorschriften 3.4.1, 3.4.4, 3.4.5 en 3.4.8 van PGS 30.</w:t>
      </w:r>
    </w:p>
    <w:p w:rsidR="00177466" w:rsidRDefault="00177466" w:rsidP="00177466">
      <w:pPr>
        <w:pStyle w:val="artikelkop"/>
        <w:shd w:val="clear" w:color="auto" w:fill="D9D9D9" w:themeFill="background1" w:themeFillShade="D9"/>
      </w:pPr>
      <w:r>
        <w:t>Artikel 4.92a</w:t>
      </w:r>
    </w:p>
    <w:p w:rsidR="00177466" w:rsidRDefault="00177466" w:rsidP="00177466">
      <w:pPr>
        <w:pStyle w:val="art1enivo"/>
        <w:shd w:val="clear" w:color="auto" w:fill="D9D9D9" w:themeFill="background1" w:themeFillShade="D9"/>
      </w:pPr>
      <w:r>
        <w:t>1.</w:t>
      </w:r>
      <w:r>
        <w:tab/>
        <w:t>Een mobiele afleverinstallatie voldoet bij het afleveren van lichte olie, anders dan aan motorvoertuigen voor het wegverkeer, spoorvoertuigen en vaartuigen, aan bijlage D van PGS 28.</w:t>
      </w:r>
    </w:p>
    <w:p w:rsidR="00177466" w:rsidRDefault="00177466" w:rsidP="00177466">
      <w:pPr>
        <w:pStyle w:val="art1enivo"/>
        <w:shd w:val="clear" w:color="auto" w:fill="D9D9D9" w:themeFill="background1" w:themeFillShade="D9"/>
      </w:pPr>
      <w:r>
        <w:t>2.</w:t>
      </w:r>
      <w:r>
        <w:tab/>
        <w:t>Een mobiele afleverinstallatie voldoet bij het afleveren van gasolie, anders dan aan motorvoertuigen voor het wegverkeer, spoorvoertuigen en vaartuigen, aan bijlage D van PGS 30.</w:t>
      </w:r>
    </w:p>
    <w:p w:rsidR="00177466" w:rsidRDefault="00177466" w:rsidP="00177466">
      <w:pPr>
        <w:pStyle w:val="artikelkop"/>
        <w:shd w:val="clear" w:color="auto" w:fill="D9D9D9" w:themeFill="background1" w:themeFillShade="D9"/>
      </w:pPr>
      <w:r>
        <w:t>Artikel 4.92b</w:t>
      </w:r>
    </w:p>
    <w:p w:rsidR="00177466" w:rsidRDefault="00177466" w:rsidP="00177466">
      <w:pPr>
        <w:pStyle w:val="artplat"/>
        <w:shd w:val="clear" w:color="auto" w:fill="D9D9D9" w:themeFill="background1" w:themeFillShade="D9"/>
      </w:pPr>
      <w:r>
        <w:t>Onverminderd de artikelen 4.91 en 4.92 is een vaste afleverinstallatie voor het inpandig afleveren van lichte olie, anders dan aan motorvoertuigen voor het wegverkeer, spoorvoertuigen en vaartuigen, die is toegestaan op grond van artikel 6.34, van het besluit, voorzien van een thermische brandmelder die is aangesloten op een akoestisch signaal.</w:t>
      </w:r>
    </w:p>
    <w:p w:rsidR="00177466" w:rsidRDefault="00177466" w:rsidP="00177466">
      <w:pPr>
        <w:pStyle w:val="artikelkop"/>
        <w:shd w:val="clear" w:color="auto" w:fill="D9D9D9" w:themeFill="background1" w:themeFillShade="D9"/>
      </w:pPr>
      <w:r>
        <w:t>Artikel 4.93</w:t>
      </w:r>
    </w:p>
    <w:p w:rsidR="00177466" w:rsidRDefault="00177466" w:rsidP="00177466">
      <w:pPr>
        <w:pStyle w:val="art1enivo"/>
        <w:shd w:val="clear" w:color="auto" w:fill="D9D9D9" w:themeFill="background1" w:themeFillShade="D9"/>
      </w:pPr>
      <w:r>
        <w:rPr>
          <w:rStyle w:val="lidnr"/>
          <w:szCs w:val="20"/>
        </w:rPr>
        <w:t>1.</w:t>
      </w:r>
      <w:r>
        <w:rPr>
          <w:rStyle w:val="lidnr"/>
          <w:szCs w:val="20"/>
        </w:rPr>
        <w:tab/>
      </w:r>
      <w:r>
        <w:t>Voor zover de nominale compressorcapaciteit per compressor ten minste 14,3 Nm</w:t>
      </w:r>
      <w:r>
        <w:rPr>
          <w:vertAlign w:val="superscript"/>
        </w:rPr>
        <w:t>3</w:t>
      </w:r>
      <w:r>
        <w:t xml:space="preserve"> per uur bedraagt, voldoet een aardgas-afleverinstallatie voor het afleveren van gecomprimeerd aardgas anders dan aan motorvoertuigen voor het wegverkeer, spoorvoertuigen en vaartuigen aan:</w:t>
      </w:r>
    </w:p>
    <w:p w:rsidR="00177466" w:rsidRDefault="00177466" w:rsidP="00177466">
      <w:pPr>
        <w:pStyle w:val="art2enivo"/>
        <w:shd w:val="clear" w:color="auto" w:fill="D9D9D9" w:themeFill="background1" w:themeFillShade="D9"/>
      </w:pPr>
      <w:r>
        <w:rPr>
          <w:rStyle w:val="ol1"/>
          <w:szCs w:val="20"/>
        </w:rPr>
        <w:t>a.</w:t>
      </w:r>
      <w:r>
        <w:rPr>
          <w:rStyle w:val="ol1"/>
          <w:szCs w:val="20"/>
        </w:rPr>
        <w:tab/>
      </w:r>
      <w:r>
        <w:t>de paragrafen 5.1 tot 5.3, met uitzondering van subparagraaf 5.1.6, eerste en tweede alinea, en de paragrafen 5.5 en 5.7 tot en met 5.11, met uitzondering van subparagraaf 5.10.1 van PGS 25;</w:t>
      </w:r>
    </w:p>
    <w:p w:rsidR="00177466" w:rsidRDefault="00177466" w:rsidP="00177466">
      <w:pPr>
        <w:pStyle w:val="art2enivo"/>
        <w:shd w:val="clear" w:color="auto" w:fill="D9D9D9" w:themeFill="background1" w:themeFillShade="D9"/>
      </w:pPr>
      <w:r>
        <w:rPr>
          <w:rStyle w:val="ol1"/>
          <w:szCs w:val="20"/>
        </w:rPr>
        <w:t>b.</w:t>
      </w:r>
      <w:r>
        <w:rPr>
          <w:rStyle w:val="ol1"/>
          <w:szCs w:val="20"/>
        </w:rPr>
        <w:tab/>
      </w:r>
      <w:r>
        <w:t>de paragrafen 6.1 en 6.2 van PGS 25;</w:t>
      </w:r>
    </w:p>
    <w:p w:rsidR="00177466" w:rsidRDefault="00177466" w:rsidP="00177466">
      <w:pPr>
        <w:pStyle w:val="art2enivo"/>
        <w:shd w:val="clear" w:color="auto" w:fill="D9D9D9" w:themeFill="background1" w:themeFillShade="D9"/>
      </w:pPr>
      <w:r>
        <w:rPr>
          <w:rStyle w:val="ol1"/>
          <w:szCs w:val="20"/>
        </w:rPr>
        <w:t>c.</w:t>
      </w:r>
      <w:r>
        <w:rPr>
          <w:rStyle w:val="ol1"/>
          <w:szCs w:val="20"/>
        </w:rPr>
        <w:tab/>
      </w:r>
      <w:r>
        <w:t>de paragrafen 7.1 en 7.3 tot en met 7.7 van PGS 25;</w:t>
      </w:r>
    </w:p>
    <w:p w:rsidR="00177466" w:rsidRDefault="00177466" w:rsidP="00177466">
      <w:pPr>
        <w:pStyle w:val="art2enivo"/>
        <w:shd w:val="clear" w:color="auto" w:fill="D9D9D9" w:themeFill="background1" w:themeFillShade="D9"/>
      </w:pPr>
      <w:r>
        <w:rPr>
          <w:rStyle w:val="ol1"/>
          <w:szCs w:val="20"/>
        </w:rPr>
        <w:t>d.</w:t>
      </w:r>
      <w:r>
        <w:rPr>
          <w:rStyle w:val="ol1"/>
          <w:szCs w:val="20"/>
        </w:rPr>
        <w:tab/>
      </w:r>
      <w:r>
        <w:t>de paragrafen 8.1 tot en met 8.7, 8.10 en 8.11 van PGS 25, en</w:t>
      </w:r>
    </w:p>
    <w:p w:rsidR="00177466" w:rsidRDefault="00177466" w:rsidP="00177466">
      <w:pPr>
        <w:pStyle w:val="art2enivo"/>
        <w:shd w:val="clear" w:color="auto" w:fill="D9D9D9" w:themeFill="background1" w:themeFillShade="D9"/>
      </w:pPr>
      <w:r>
        <w:rPr>
          <w:rStyle w:val="ol1"/>
          <w:szCs w:val="20"/>
        </w:rPr>
        <w:t>e.</w:t>
      </w:r>
      <w:r>
        <w:rPr>
          <w:rStyle w:val="ol1"/>
          <w:szCs w:val="20"/>
        </w:rPr>
        <w:tab/>
      </w:r>
      <w:r>
        <w:t>de hoofdstukken 9 tot en met 12, met uitzondering van paragraaf 11.4, van PGS 25.</w:t>
      </w:r>
    </w:p>
    <w:p w:rsidR="00177466" w:rsidRDefault="00177466" w:rsidP="00177466">
      <w:pPr>
        <w:pStyle w:val="art1enivo"/>
        <w:shd w:val="clear" w:color="auto" w:fill="D9D9D9" w:themeFill="background1" w:themeFillShade="D9"/>
      </w:pPr>
      <w:r>
        <w:rPr>
          <w:rStyle w:val="lidnr"/>
          <w:szCs w:val="20"/>
        </w:rPr>
        <w:t>2.</w:t>
      </w:r>
      <w:r>
        <w:rPr>
          <w:rStyle w:val="lidnr"/>
          <w:szCs w:val="20"/>
        </w:rPr>
        <w:tab/>
      </w:r>
      <w:r>
        <w:t>Inpandig afleveren van gecomprimeerd aardgas vindt plaats overeenkomstig de paragrafen 13.1, 13.2 en 13.4 van PGS 25.</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 xml:space="preserve">3. </w:t>
      </w:r>
      <w:r>
        <w:rPr>
          <w:rFonts w:eastAsiaTheme="minorEastAsia"/>
          <w:lang w:eastAsia="nl-NL"/>
        </w:rPr>
        <w:tab/>
        <w:t>Het eerste lid is niet van toepassing op een aardgas-afleverinstallatie voor gecomprimeerd aardgas die in werking was voor 1 december 2013, tot het moment waarop de aardgas-afleverinstallatie uitgebreid wordt gerenoveerd, voor wat betreft:</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 xml:space="preserve">a. </w:t>
      </w:r>
      <w:r>
        <w:rPr>
          <w:rFonts w:eastAsiaTheme="minorEastAsia"/>
          <w:lang w:eastAsia="nl-NL"/>
        </w:rPr>
        <w:tab/>
        <w:t>de dimensionering van de afblaasveiligheid, bedoeld in paragraaf 5.3.2 van PGS 25;</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 xml:space="preserve">b. </w:t>
      </w:r>
      <w:r>
        <w:rPr>
          <w:rFonts w:eastAsiaTheme="minorEastAsia"/>
          <w:lang w:eastAsia="nl-NL"/>
        </w:rPr>
        <w:tab/>
        <w:t>de gronddekking van ondergrondse leidingen, bedoeld in paragraaf 5.3.10 van PGS 25;</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 xml:space="preserve"> de interne veiligheidsafstanden, bedoeld in paragraaf 5.5 van PGS 25;</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 xml:space="preserve">d. </w:t>
      </w:r>
      <w:r>
        <w:rPr>
          <w:rFonts w:eastAsiaTheme="minorEastAsia"/>
          <w:lang w:eastAsia="nl-NL"/>
        </w:rPr>
        <w:tab/>
        <w:t>het temperatuurgevoelig element in de afleverzuil bij onbemand afleveren, bedoeld in paragraaf 5.11.1 van PGS 25;</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 xml:space="preserve">e. </w:t>
      </w:r>
      <w:r>
        <w:rPr>
          <w:rFonts w:eastAsiaTheme="minorEastAsia"/>
          <w:lang w:eastAsia="nl-NL"/>
        </w:rPr>
        <w:tab/>
        <w:t>de veiligheidsafsluiter voor het gasnet, bedoeld in paragraaf 5.11.1 van PGS 25;</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f.</w:t>
      </w:r>
      <w:r>
        <w:rPr>
          <w:rFonts w:eastAsiaTheme="minorEastAsia"/>
          <w:lang w:eastAsia="nl-NL"/>
        </w:rPr>
        <w:tab/>
        <w:t>de bouwkundige eisen aan een bufferopslag, bedoeld in paragraaf 7.3 van PGS 25, en</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 xml:space="preserve">g. </w:t>
      </w:r>
      <w:r>
        <w:rPr>
          <w:rFonts w:eastAsiaTheme="minorEastAsia"/>
          <w:lang w:eastAsia="nl-NL"/>
        </w:rPr>
        <w:tab/>
        <w:t>de uitstroomrichting van de afblaasleiding, bedoeld in paragraaf 9.4 van PGS 25,</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ab/>
        <w:t>indien de afleverinstallatie volgens het eerste lid met deze voorzieningen is uitgevoerd.</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 xml:space="preserve">4. </w:t>
      </w:r>
      <w:r>
        <w:rPr>
          <w:rFonts w:eastAsiaTheme="minorEastAsia"/>
          <w:lang w:eastAsia="nl-NL"/>
        </w:rPr>
        <w:tab/>
        <w:t>Indien het derde lid van toepassing is, voldoet de aardgas-afleverinstallatie voor gecomprimeerd aardgas aan dit artikel zoals dat luidde tot 1 december 2013, voor zover het betreft de voorzieningen, bedoeld in het derde lid, onderdelen a tot en met g.</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Het tweede lid is tot het moment waarop de aardgas-afleverinstallatie uitgebreid wordt gerenoveerd dan wel uiterlijk tot 1 december 2023 niet van toepassing op het inpandig afleveren van gecomprimeerd aardgas. Tot dat moment of die datum voldoet een inpandige aardgas-afleverinstallatie voor gecomprimeerd aardgas aan de eisen die daaraan tot 1 december 2013 bij maatwerkvoorschrift werden gesteld.</w:t>
      </w:r>
    </w:p>
    <w:p w:rsidR="00177466" w:rsidRDefault="00177466" w:rsidP="00177466">
      <w:pPr>
        <w:pStyle w:val="artikelkop"/>
        <w:shd w:val="clear" w:color="auto" w:fill="D9D9D9" w:themeFill="background1" w:themeFillShade="D9"/>
      </w:pPr>
      <w:r>
        <w:t>Artikel 4.93a</w:t>
      </w:r>
    </w:p>
    <w:p w:rsidR="00177466" w:rsidRDefault="00177466" w:rsidP="00177466">
      <w:pPr>
        <w:pStyle w:val="art1enivo"/>
        <w:shd w:val="clear" w:color="auto" w:fill="D9D9D9" w:themeFill="background1" w:themeFillShade="D9"/>
      </w:pPr>
      <w:r>
        <w:t>1.</w:t>
      </w:r>
      <w:r>
        <w:tab/>
        <w:t>Een aardgas-afleverinstallatie voldoet bij het afleveren van gecomprimeerd aardgas anders dan aan motorvoertuigen voor het wegverkeer, spoorvoertuigen en vaartuigen, voor zover de nominale compressorcapaciteit per compressor minder dan 14,3 Nm</w:t>
      </w:r>
      <w:r>
        <w:rPr>
          <w:vertAlign w:val="superscript"/>
        </w:rPr>
        <w:t>3</w:t>
      </w:r>
      <w:r>
        <w:t xml:space="preserve"> per uur bedraagt en voor zover de installatie is voorzien van een bufferopslag of van meerdere compressoren waarvan de uitlaatzijden zijn gekoppeld, aan het tweede tot en met vierde lid.</w:t>
      </w:r>
    </w:p>
    <w:p w:rsidR="00177466" w:rsidRDefault="00177466" w:rsidP="00177466">
      <w:pPr>
        <w:pStyle w:val="art1enivo"/>
        <w:shd w:val="clear" w:color="auto" w:fill="D9D9D9" w:themeFill="background1" w:themeFillShade="D9"/>
      </w:pPr>
      <w:r>
        <w:t>2.</w:t>
      </w:r>
      <w:r>
        <w:tab/>
        <w:t>Een installatie als bedoeld in het eerste lid, die is voorzien van meerdere compressoren waarvan de uitlaatzijden zijn gekoppeld, voldoet aan de volgende onderdelen van PGS 25:</w:t>
      </w:r>
    </w:p>
    <w:p w:rsidR="00177466" w:rsidRDefault="00177466" w:rsidP="00177466">
      <w:pPr>
        <w:pStyle w:val="art2enivo"/>
        <w:shd w:val="clear" w:color="auto" w:fill="D9D9D9" w:themeFill="background1" w:themeFillShade="D9"/>
      </w:pPr>
      <w:r>
        <w:t>a.</w:t>
      </w:r>
      <w:r>
        <w:tab/>
        <w:t>de paragrafen 5.1 tot en met 5.3, met uitzondering van de subparagrafen 5.1.1 en 5.1.6, eerste en tweede alinea, en de paragrafen 5.5 en 5.7 tot en met 5.11, met uitzondering van de subparagraaf 5.10.1;</w:t>
      </w:r>
    </w:p>
    <w:p w:rsidR="00177466" w:rsidRDefault="00177466" w:rsidP="00177466">
      <w:pPr>
        <w:pStyle w:val="art2enivo"/>
        <w:shd w:val="clear" w:color="auto" w:fill="D9D9D9" w:themeFill="background1" w:themeFillShade="D9"/>
      </w:pPr>
      <w:r>
        <w:t>b.</w:t>
      </w:r>
      <w:r>
        <w:tab/>
        <w:t>de paragrafen 6.1 en 6.2;</w:t>
      </w:r>
    </w:p>
    <w:p w:rsidR="00177466" w:rsidRDefault="00177466" w:rsidP="00177466">
      <w:pPr>
        <w:pStyle w:val="art2enivo"/>
        <w:shd w:val="clear" w:color="auto" w:fill="D9D9D9" w:themeFill="background1" w:themeFillShade="D9"/>
      </w:pPr>
      <w:r>
        <w:t>c.</w:t>
      </w:r>
      <w:r>
        <w:tab/>
        <w:t>de paragrafen 8.1 tot en met 8.7, 8.10 en 8.11, en</w:t>
      </w:r>
    </w:p>
    <w:p w:rsidR="00177466" w:rsidRDefault="00177466" w:rsidP="00177466">
      <w:pPr>
        <w:pStyle w:val="art2enivo"/>
        <w:shd w:val="clear" w:color="auto" w:fill="D9D9D9" w:themeFill="background1" w:themeFillShade="D9"/>
      </w:pPr>
      <w:r>
        <w:t>d.</w:t>
      </w:r>
      <w:r>
        <w:tab/>
        <w:t>de hoofdstukken 9 tot en met 12, met uitzondering van de paragrafen 11.4 en 12.2.</w:t>
      </w:r>
    </w:p>
    <w:p w:rsidR="00177466" w:rsidRDefault="00177466" w:rsidP="00177466">
      <w:pPr>
        <w:pStyle w:val="art1enivo"/>
        <w:shd w:val="clear" w:color="auto" w:fill="D9D9D9" w:themeFill="background1" w:themeFillShade="D9"/>
        <w:rPr>
          <w:rFonts w:cs="Arial"/>
        </w:rPr>
      </w:pPr>
      <w:r>
        <w:rPr>
          <w:rFonts w:cs="Arial"/>
        </w:rPr>
        <w:t>3.</w:t>
      </w:r>
      <w:r>
        <w:rPr>
          <w:rFonts w:cs="Arial"/>
        </w:rPr>
        <w:tab/>
        <w:t>Indien een installatie als bedoeld in het tweede lid is voorzien van een bufferopslag, voldoet de installatie tevens aan de paragrafen 7.1 en 7.3 tot en met 7.7 van PGS 25.</w:t>
      </w:r>
    </w:p>
    <w:p w:rsidR="00177466" w:rsidRDefault="00177466" w:rsidP="00177466">
      <w:pPr>
        <w:pStyle w:val="art1enivo"/>
        <w:shd w:val="clear" w:color="auto" w:fill="D9D9D9" w:themeFill="background1" w:themeFillShade="D9"/>
        <w:rPr>
          <w:rFonts w:cs="Arial"/>
        </w:rPr>
      </w:pPr>
      <w:r>
        <w:rPr>
          <w:rFonts w:cs="Arial"/>
        </w:rPr>
        <w:t>4.</w:t>
      </w:r>
      <w:r>
        <w:rPr>
          <w:rFonts w:cs="Arial"/>
        </w:rPr>
        <w:tab/>
        <w:t>Een installatie als bedoeld in het eerste lid, die niet is voorzien van compressoren die aan de uitlaatzijde zijn gekoppeld maar die is voorzien van een bufferopslag, voldoet aan de volgende onderdelen van PGS 25:</w:t>
      </w:r>
    </w:p>
    <w:p w:rsidR="00177466" w:rsidRDefault="00177466" w:rsidP="00177466">
      <w:pPr>
        <w:pStyle w:val="art2enivo"/>
        <w:shd w:val="clear" w:color="auto" w:fill="D9D9D9" w:themeFill="background1" w:themeFillShade="D9"/>
      </w:pPr>
      <w:r>
        <w:t>a.</w:t>
      </w:r>
      <w:r>
        <w:tab/>
        <w:t>de paragrafen 5.1 tot en met 5.3, met uitzondering van de subparagrafen 5.1.1 en 5.1.6, eerste en tweede alinea, en de paragrafen 5.5, 5.7 en 5.9 tot en met 5.11, met uitzondering van de subparagraaf 5.10.1;</w:t>
      </w:r>
    </w:p>
    <w:p w:rsidR="00177466" w:rsidRDefault="00177466" w:rsidP="00177466">
      <w:pPr>
        <w:pStyle w:val="art2enivo"/>
        <w:shd w:val="clear" w:color="auto" w:fill="D9D9D9" w:themeFill="background1" w:themeFillShade="D9"/>
      </w:pPr>
      <w:r>
        <w:t>b.</w:t>
      </w:r>
      <w:r>
        <w:tab/>
        <w:t>paragraaf 7.1 en de paragrafen 7.3 tot en met 7.7;</w:t>
      </w:r>
    </w:p>
    <w:p w:rsidR="00177466" w:rsidRDefault="00177466" w:rsidP="00177466">
      <w:pPr>
        <w:pStyle w:val="art2enivo"/>
        <w:shd w:val="clear" w:color="auto" w:fill="D9D9D9" w:themeFill="background1" w:themeFillShade="D9"/>
      </w:pPr>
      <w:r>
        <w:t>c.</w:t>
      </w:r>
      <w:r>
        <w:tab/>
        <w:t>de paragrafen 8.1 tot en met 8.7, 8.10 en 8.11, en</w:t>
      </w:r>
    </w:p>
    <w:p w:rsidR="00177466" w:rsidRDefault="00177466" w:rsidP="00177466">
      <w:pPr>
        <w:pStyle w:val="art2enivo"/>
        <w:shd w:val="clear" w:color="auto" w:fill="D9D9D9" w:themeFill="background1" w:themeFillShade="D9"/>
      </w:pPr>
      <w:r>
        <w:t>d.</w:t>
      </w:r>
      <w:r>
        <w:tab/>
        <w:t>de hoofdstukken 9 tot en met 12, met uitzondering van de paragrafen 9.1, 11.4 en 12.2.</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 xml:space="preserve">5. </w:t>
      </w:r>
      <w:r>
        <w:rPr>
          <w:rFonts w:eastAsiaTheme="minorEastAsia"/>
          <w:lang w:eastAsia="nl-NL"/>
        </w:rPr>
        <w:tab/>
        <w:t>Het tweede, derde en vierde lid zijn niet van toepassing op een aardgas-afleverinstallatie voor gecomprimeerd aardgas die in werking was voor 1 december 2013, tot het moment waarop de aardgas-afleverinstallatie uitgebreid wordt gerenoveerd, voor wat betreft:</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 xml:space="preserve">a. </w:t>
      </w:r>
      <w:r>
        <w:rPr>
          <w:rFonts w:eastAsiaTheme="minorEastAsia"/>
          <w:lang w:eastAsia="nl-NL"/>
        </w:rPr>
        <w:tab/>
        <w:t>de dimensionering van de afblaasveiligheid, bedoeld in paragraaf 5.3.2 van PGS 25;</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 xml:space="preserve">b. </w:t>
      </w:r>
      <w:r>
        <w:rPr>
          <w:rFonts w:eastAsiaTheme="minorEastAsia"/>
          <w:lang w:eastAsia="nl-NL"/>
        </w:rPr>
        <w:tab/>
        <w:t>de gronddekking van ondergrondse leidingen, bedoeld in paragraaf 5.3.10 van PGS 25;</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 xml:space="preserve"> de interne veiligheidsafstanden, bedoeld in paragraaf 5.5 van PGS 25;</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 xml:space="preserve">d. </w:t>
      </w:r>
      <w:r>
        <w:rPr>
          <w:rFonts w:eastAsiaTheme="minorEastAsia"/>
          <w:lang w:eastAsia="nl-NL"/>
        </w:rPr>
        <w:tab/>
        <w:t>het temperatuurgevoelig element in de afleverzuil bij onbemand afleveren, bedoeld in paragraaf 5.11.1 van PGS 25;</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 xml:space="preserve">e. </w:t>
      </w:r>
      <w:r>
        <w:rPr>
          <w:rFonts w:eastAsiaTheme="minorEastAsia"/>
          <w:lang w:eastAsia="nl-NL"/>
        </w:rPr>
        <w:tab/>
        <w:t>de veiligheidsafsluiter voor het gasnet, bedoeld in paragraaf 5.11.1 van PGS 25;</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f.</w:t>
      </w:r>
      <w:r>
        <w:rPr>
          <w:rFonts w:eastAsiaTheme="minorEastAsia"/>
          <w:lang w:eastAsia="nl-NL"/>
        </w:rPr>
        <w:tab/>
        <w:t>de bouwkundige eisen aan een bufferopslag, bedoeld in paragraaf 7.3 van PGS 25, en</w:t>
      </w:r>
    </w:p>
    <w:p w:rsidR="00177466" w:rsidRDefault="00177466" w:rsidP="00177466">
      <w:pPr>
        <w:pStyle w:val="art2enivo"/>
        <w:shd w:val="clear" w:color="auto" w:fill="D9D9D9" w:themeFill="background1" w:themeFillShade="D9"/>
        <w:rPr>
          <w:rFonts w:eastAsiaTheme="minorEastAsia"/>
          <w:lang w:eastAsia="nl-NL"/>
        </w:rPr>
      </w:pPr>
      <w:r>
        <w:rPr>
          <w:rFonts w:eastAsiaTheme="minorEastAsia"/>
          <w:lang w:eastAsia="nl-NL"/>
        </w:rPr>
        <w:t xml:space="preserve">g. </w:t>
      </w:r>
      <w:r>
        <w:rPr>
          <w:rFonts w:eastAsiaTheme="minorEastAsia"/>
          <w:lang w:eastAsia="nl-NL"/>
        </w:rPr>
        <w:tab/>
        <w:t>de uitstroomrichting van de afblaasleiding, bedoeld in paragraaf 9.4 van PGS 25,</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ab/>
        <w:t>indien de afleverinstallatie volgens het tweede, derde en vierde lid met deze voorzieningen is uitgevoerd.</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 xml:space="preserve">6. </w:t>
      </w:r>
      <w:r>
        <w:rPr>
          <w:rFonts w:eastAsiaTheme="minorEastAsia"/>
          <w:lang w:eastAsia="nl-NL"/>
        </w:rPr>
        <w:tab/>
        <w:t>Indien het vijfde lid van toepassing is, voldoet de aardgas-afleverinstallatie voor gecomprimeerd aardgas aan artikel 4.93, zoals dat luidde tot 1 december 2013, voor zover dat artikel betrekking heeft op de voorzieningen, bedoeld in het vijfde lid, onderdelen a tot en met g.</w:t>
      </w:r>
    </w:p>
    <w:p w:rsidR="00177466" w:rsidRDefault="00177466" w:rsidP="00177466">
      <w:pPr>
        <w:pStyle w:val="artikelkop"/>
        <w:shd w:val="clear" w:color="auto" w:fill="D9D9D9" w:themeFill="background1" w:themeFillShade="D9"/>
      </w:pPr>
      <w:r>
        <w:t>Artikel 4.94</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Het afleveren van vloeibare brandstof anders dan aan motorvoertuigen voor het wegverkeer, spoorvoertuigen en vaartuigen vindt plaats boven een vloeistofdichte vloer of verharding.</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De vloeistofdichte vloer of verharding, bedoeld in het eerste lid, is aangelegd overeenkomstig het daartoe krachtens het Besluit bodemkwaliteit aangewezen normdocument door een bedrijf, dat daartoe beschikt over een erkenning op grond van dat besluit, en strekt zich, voor zover erfafscheidingen, gebouwen en andere fysieke begrenzingen dit toelaten, vanaf de afleverzuil uit over een afstand van ten minste de lengte van de afleverslang plus 1 meter, met een minimum van 5 meter. Indien de vloeistofdichte vloer of verharding zich daardoor zou uitstrekken tot over de openbare weg dan strekt deze vloer of verharding zich uit tot de openbare weg met dien verstande dat deze afstand niet minder bedraagt dan 3 meter. In de laatste situatie is de afleverslang niet langer dan 4 meter. Aan de zijde waar geen tankende voertuigen kunnen worden opgesteld, strekt de vloeistofdichte vloer of verharding zich uit tot een afstand van ten minste 1 meter vanaf het hart van de afleverzuil.</w:t>
      </w:r>
    </w:p>
    <w:p w:rsidR="00177466" w:rsidRDefault="00177466" w:rsidP="00177466">
      <w:pPr>
        <w:pStyle w:val="art1enivo"/>
        <w:shd w:val="clear" w:color="auto" w:fill="D9D9D9" w:themeFill="background1" w:themeFillShade="D9"/>
      </w:pPr>
      <w:r>
        <w:t>3.</w:t>
      </w:r>
      <w:r>
        <w:tab/>
        <w:t>De afwateringssystemen van de vloeistofdichte vloer of verharding zijn vloeistofdicht uitgevoerd overeenkomstig het daartoe krachtens het Besluit bodemkwaliteit aangewezen normdocument, door een instelling, die daartoe beschikt over een erkenning op grond van dat besluit. Terstond na de installatie en beproeving op dichtheid wordt de riolering afgedekt.</w:t>
      </w:r>
    </w:p>
    <w:p w:rsidR="00177466" w:rsidRDefault="00177466" w:rsidP="00177466">
      <w:pPr>
        <w:pStyle w:val="art1enivo"/>
        <w:shd w:val="clear" w:color="auto" w:fill="D9D9D9" w:themeFill="background1" w:themeFillShade="D9"/>
      </w:pPr>
      <w:r>
        <w:t>4.</w:t>
      </w:r>
      <w:r>
        <w:tab/>
        <w:t>Een afleverinstallatie is geplaatst boven een vloeistofdichte vloer of verharding. Doorvoeringen en afsluitingen van deze vloeistofdichte vloer of verharding zijn eveneens vloeistofdicht.</w:t>
      </w:r>
    </w:p>
    <w:p w:rsidR="00177466" w:rsidRDefault="00177466" w:rsidP="00177466">
      <w:pPr>
        <w:pStyle w:val="art1enivo"/>
        <w:shd w:val="clear" w:color="auto" w:fill="D9D9D9" w:themeFill="background1" w:themeFillShade="D9"/>
      </w:pPr>
      <w:r>
        <w:t>5.</w:t>
      </w:r>
      <w:r>
        <w:tab/>
        <w:t>Gelekte vloeistoffen worden vanaf de in het vierde lid bedoelde vloeistofdichte vloer afgevoerd naar het afwateringssysteem of naar de in het eerste lid bedoelde vloeistofdichte vloer of verharding. Indien gebruik wordt gemaakt van afsluiters of terugslagkleppen zijn deze geplaatst boven een vloeistofdichte vloer of verharding.</w:t>
      </w:r>
    </w:p>
    <w:p w:rsidR="00177466" w:rsidRDefault="00177466" w:rsidP="00177466">
      <w:pPr>
        <w:pStyle w:val="art1enivo"/>
        <w:shd w:val="clear" w:color="auto" w:fill="D9D9D9" w:themeFill="background1" w:themeFillShade="D9"/>
      </w:pPr>
      <w:r>
        <w:t>6.</w:t>
      </w:r>
      <w:r>
        <w:tab/>
        <w:t>Pompeilanden en aanwezige doorvoeren zijn vloeistofdicht en zijn aangelegd overeenkomstig het daartoe krachtens het Besluit bodemkwaliteit aangewezen normdocument, door een instelling, die daartoe beschikt over een erkenning op grond van dat besluit.</w:t>
      </w:r>
    </w:p>
    <w:p w:rsidR="00177466" w:rsidRDefault="00177466" w:rsidP="00177466">
      <w:pPr>
        <w:pStyle w:val="art1enivo"/>
        <w:shd w:val="clear" w:color="auto" w:fill="D9D9D9" w:themeFill="background1" w:themeFillShade="D9"/>
        <w:suppressAutoHyphens/>
        <w:rPr>
          <w:rFonts w:cs="Arial"/>
        </w:rPr>
      </w:pPr>
      <w:r>
        <w:rPr>
          <w:rFonts w:cs="Arial"/>
        </w:rPr>
        <w:t>7.</w:t>
      </w:r>
      <w:r>
        <w:rPr>
          <w:rFonts w:cs="Arial"/>
        </w:rPr>
        <w:tab/>
        <w:t>In afwijking van het eerste tot en met het zesde lid vindt het afleveren van vloeibare brandstof anders dan aan motorvoertuigen voor het wegverkeer, spoorvoertuigen en vaartuigen, waarbij minder dan 25 kubieke meter per jaar wordt afgeleverd, plaats boven een bodembeschermende voorziening.</w:t>
      </w:r>
    </w:p>
    <w:p w:rsidR="00177466" w:rsidRDefault="00177466" w:rsidP="00177466">
      <w:pPr>
        <w:pStyle w:val="art1enivo"/>
        <w:shd w:val="clear" w:color="auto" w:fill="D9D9D9" w:themeFill="background1" w:themeFillShade="D9"/>
        <w:rPr>
          <w:rFonts w:eastAsiaTheme="minorEastAsia"/>
          <w:lang w:eastAsia="nl-NL"/>
        </w:rPr>
      </w:pPr>
      <w:r>
        <w:rPr>
          <w:rFonts w:eastAsiaTheme="minorEastAsia"/>
          <w:lang w:eastAsia="nl-NL"/>
        </w:rPr>
        <w:t xml:space="preserve">8. </w:t>
      </w:r>
      <w:r>
        <w:rPr>
          <w:rFonts w:eastAsiaTheme="minorEastAsia"/>
          <w:lang w:eastAsia="nl-NL"/>
        </w:rPr>
        <w:tab/>
        <w:t>Het derde lid is niet van toepassing totdat er een algehele renovatie van de tankinstallatie plaatsvindt waarbij de vloeistofdichte verharding wordt opengebroken of indien de afleverinstallaties worden vervangen.</w:t>
      </w:r>
    </w:p>
    <w:p w:rsidR="00177466" w:rsidRDefault="00177466" w:rsidP="00177466">
      <w:pPr>
        <w:pStyle w:val="artikelkop"/>
        <w:shd w:val="clear" w:color="auto" w:fill="D9D9D9" w:themeFill="background1" w:themeFillShade="D9"/>
      </w:pPr>
      <w:r>
        <w:t>Artikel 4.94a</w:t>
      </w:r>
    </w:p>
    <w:p w:rsidR="00177466" w:rsidRDefault="00177466" w:rsidP="00177466">
      <w:pPr>
        <w:pStyle w:val="art1enivo"/>
        <w:shd w:val="clear" w:color="auto" w:fill="D9D9D9" w:themeFill="background1" w:themeFillShade="D9"/>
        <w:suppressAutoHyphens/>
        <w:rPr>
          <w:rFonts w:cs="Arial"/>
        </w:rPr>
      </w:pPr>
      <w:r>
        <w:rPr>
          <w:rFonts w:cs="Arial"/>
        </w:rPr>
        <w:t>1.</w:t>
      </w:r>
      <w:r>
        <w:rPr>
          <w:rFonts w:cs="Arial"/>
        </w:rPr>
        <w:tab/>
        <w:t>In afwijking van artikel 4.94, eerste tot en met zesde lid, kan het afleveren van vloeibare brandstof, anders dan aan motorvoertuigen voor het wegverkeer en vaartuigen, plaatsvinden boven een geomembraanbaksysteem, indien:</w:t>
      </w:r>
    </w:p>
    <w:p w:rsidR="00177466" w:rsidRDefault="00177466" w:rsidP="00177466">
      <w:pPr>
        <w:pStyle w:val="art2enivo"/>
        <w:shd w:val="clear" w:color="auto" w:fill="D9D9D9" w:themeFill="background1" w:themeFillShade="D9"/>
        <w:suppressAutoHyphens/>
        <w:rPr>
          <w:rFonts w:cs="Arial"/>
        </w:rPr>
      </w:pPr>
      <w:r>
        <w:rPr>
          <w:rFonts w:cs="Arial"/>
        </w:rPr>
        <w:t>a.</w:t>
      </w:r>
      <w:r>
        <w:rPr>
          <w:rFonts w:cs="Arial"/>
        </w:rPr>
        <w:tab/>
        <w:t>de inrichting is gelegen binnen de bebouwde kom waarbij de afleverzuilen in een rij parallel aan de naastgelegen weg staan opgesteld en het afleveren uitsluitend aan de wegzijde op of aan de openbare weg plaatsvindt, of</w:t>
      </w:r>
    </w:p>
    <w:p w:rsidR="00177466" w:rsidRDefault="00177466" w:rsidP="00177466">
      <w:pPr>
        <w:pStyle w:val="art2enivo"/>
        <w:shd w:val="clear" w:color="auto" w:fill="D9D9D9" w:themeFill="background1" w:themeFillShade="D9"/>
        <w:suppressAutoHyphens/>
        <w:rPr>
          <w:rFonts w:cs="Arial"/>
        </w:rPr>
      </w:pPr>
      <w:r>
        <w:rPr>
          <w:rFonts w:cs="Arial"/>
        </w:rPr>
        <w:t>b.</w:t>
      </w:r>
      <w:r>
        <w:rPr>
          <w:rFonts w:cs="Arial"/>
        </w:rPr>
        <w:tab/>
        <w:t>op basis van een onderzoek naar de grondmechanica dat voor het aanbrengen van het geomembraanbaksysteem is uitgevoerd, is gebleken dat het aanbrengen van een vloeistofdichte vloer of verharding onevenredig hoge kosten met zich meebrengt.</w:t>
      </w:r>
    </w:p>
    <w:p w:rsidR="00177466" w:rsidRDefault="00177466" w:rsidP="00177466">
      <w:pPr>
        <w:pStyle w:val="art1enivo"/>
        <w:shd w:val="clear" w:color="auto" w:fill="D9D9D9" w:themeFill="background1" w:themeFillShade="D9"/>
        <w:suppressAutoHyphens/>
        <w:rPr>
          <w:rFonts w:cs="Arial"/>
        </w:rPr>
      </w:pPr>
      <w:r>
        <w:rPr>
          <w:rFonts w:cs="Arial"/>
        </w:rPr>
        <w:t>2.</w:t>
      </w:r>
      <w:r>
        <w:rPr>
          <w:rFonts w:cs="Arial"/>
        </w:rPr>
        <w:tab/>
        <w:t>Een geomembraanbaksysteem als bedoeld in het eerste lid is aangelegd overeenkomstig het daartoe krachtens het Besluit bodemkwaliteit aangewezen normdocument door een bedrijf, dat daartoe beschikt over een erkenning op grond van dat besluit.</w:t>
      </w:r>
    </w:p>
    <w:p w:rsidR="005D7626" w:rsidRDefault="005D7626">
      <w:pPr>
        <w:pStyle w:val="paragraaf"/>
        <w:rPr>
          <w:rFonts w:cs="Arial"/>
        </w:rPr>
      </w:pPr>
    </w:p>
    <w:p w:rsidR="00296032" w:rsidRPr="00296032" w:rsidRDefault="00296032">
      <w:pPr>
        <w:pStyle w:val="paragraaf"/>
        <w:rPr>
          <w:rFonts w:cs="Arial"/>
        </w:rPr>
      </w:pPr>
      <w:bookmarkStart w:id="283" w:name="_Toc431375741"/>
      <w:r w:rsidRPr="00296032">
        <w:rPr>
          <w:rFonts w:cs="Arial"/>
        </w:rPr>
        <w:t>§ 4.6.5.</w:t>
      </w:r>
      <w:r w:rsidRPr="00296032">
        <w:rPr>
          <w:rFonts w:cs="Arial"/>
        </w:rPr>
        <w:tab/>
        <w:t>Onderhouden of repareren van motoren, motorvoertuigen, spoorvoertuigen of andere gemotoriseerde apparaten of proefdraaien van verbrandingsmotoren</w:t>
      </w:r>
      <w:bookmarkEnd w:id="283"/>
      <w:bookmarkEnd w:id="282"/>
    </w:p>
    <w:p w:rsidR="00296032" w:rsidRPr="00296032" w:rsidRDefault="00296032">
      <w:pPr>
        <w:pStyle w:val="artikelkop"/>
        <w:rPr>
          <w:rFonts w:cs="Arial"/>
        </w:rPr>
      </w:pPr>
      <w:r w:rsidRPr="00296032">
        <w:rPr>
          <w:rFonts w:cs="Arial"/>
        </w:rPr>
        <w:t>Artikel 4.83a</w:t>
      </w:r>
    </w:p>
    <w:p w:rsidR="00296032" w:rsidRPr="00620047" w:rsidRDefault="00296032">
      <w:pPr>
        <w:pStyle w:val="artplat"/>
      </w:pPr>
      <w:r w:rsidRPr="00620047">
        <w:t>Deze paragraaf is van toepassing op het onderhouden of repareren van motoren, motorvoertuigen, spoorvoertuigen of andere gemotoriseerde apparaten of proefdraaien van verbrandingsmotoren.</w:t>
      </w:r>
    </w:p>
    <w:p w:rsidR="00296032" w:rsidRPr="00296032" w:rsidRDefault="00296032">
      <w:pPr>
        <w:pStyle w:val="artikelkop"/>
        <w:rPr>
          <w:rFonts w:cs="Arial"/>
        </w:rPr>
      </w:pPr>
      <w:r w:rsidRPr="00296032">
        <w:rPr>
          <w:rFonts w:cs="Arial"/>
        </w:rPr>
        <w:t>Artikel 4.84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In een inrichting voor onderhoud en reparatie van motorvoertuigen, niet zijnde een autodemontagebedrijf of een inrichting voor het opslaan van autowrakken in het kader van hulpverlening aan kentekenhouders door een daartoe aangewezen instantie of in het kader van onderzoek door politie of justitie, zijn niet meer dan vier autowrakken aanwezig.</w:t>
      </w:r>
    </w:p>
    <w:p w:rsidR="00296032" w:rsidRPr="00620047" w:rsidRDefault="00296032">
      <w:pPr>
        <w:pStyle w:val="art1enivo"/>
      </w:pPr>
      <w:r w:rsidRPr="00620047">
        <w:t>2.</w:t>
      </w:r>
      <w:r w:rsidRPr="00620047">
        <w:tab/>
        <w:t>In een inrichting voor onderhoud en reparatie van motorvoertuigen, niet zijnde een demontagebedrijf voor tweewielige motorvoertuigen of een inrichting voor het opslaan van wrakken van tweewielige motorvoertuigen in het kader van hulpverlening aan kentekenhouders door een daartoe aangewezen instantie of in het kader van onderzoek door politie of justitie, zijn niet meer dan vier wrakken van tweewielige motorvoertuigen aanwezig.</w:t>
      </w:r>
    </w:p>
    <w:p w:rsidR="00296032" w:rsidRPr="00620047" w:rsidRDefault="00296032">
      <w:pPr>
        <w:pStyle w:val="art1enivo"/>
        <w:rPr>
          <w:rFonts w:cs="Arial"/>
          <w:bCs/>
        </w:rPr>
      </w:pPr>
      <w:r w:rsidRPr="00620047">
        <w:rPr>
          <w:rFonts w:cs="Arial"/>
          <w:bCs/>
        </w:rPr>
        <w:t>3.</w:t>
      </w:r>
      <w:r w:rsidRPr="00620047">
        <w:rPr>
          <w:rFonts w:cs="Arial"/>
          <w:bCs/>
        </w:rPr>
        <w:tab/>
        <w:t>Het is niet toegestaan, anders dan bij een autodemontagebedrijf of een demontagebedrijf voor tweewielige motorvoertuigen, een autowrak onderscheidenlijk een wrak van een tweewielig motorvoertuig en de daarin aanwezige materialen of onderdelen te verwijderen of nuttig toe te passen, tenzij het betreft:</w:t>
      </w:r>
    </w:p>
    <w:p w:rsidR="00296032" w:rsidRPr="00620047" w:rsidRDefault="00296032">
      <w:pPr>
        <w:pStyle w:val="art2enivo"/>
      </w:pPr>
      <w:r w:rsidRPr="00620047">
        <w:t>1°.</w:t>
      </w:r>
      <w:r w:rsidRPr="00620047">
        <w:tab/>
        <w:t>de opslag, of</w:t>
      </w:r>
    </w:p>
    <w:p w:rsidR="00296032" w:rsidRPr="00620047" w:rsidRDefault="00296032">
      <w:pPr>
        <w:pStyle w:val="art2enivo"/>
      </w:pPr>
      <w:r w:rsidRPr="00620047">
        <w:t>2°.</w:t>
      </w:r>
      <w:r w:rsidRPr="00620047">
        <w:tab/>
        <w:t>accessoires die worden gedemonteerd omdat de laatste eigenaar of houder van het autowrak of wrak van een tweewielig motorvoertuig hierom anders dan in de uitoefening van zijn beroep of bedrijf heeft verzocht en met als doel die accessoires opnieuw te gebruiken ten behoeve van een ander motorvoertuig waarvan hij eigenaar of houder is.</w:t>
      </w:r>
    </w:p>
    <w:p w:rsidR="00296032" w:rsidRPr="00620047" w:rsidRDefault="00296032">
      <w:pPr>
        <w:pStyle w:val="art1enivo"/>
      </w:pPr>
      <w:r w:rsidRPr="00620047">
        <w:t>4.</w:t>
      </w:r>
      <w:r w:rsidRPr="00620047">
        <w:tab/>
        <w:t>Het proefdraaien van verbrandingsmotoren vindt niet in de buitenlucht plaats.</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Bij het onderhouden of repareren van motoren, motorvoertuigen, spoorvoertuigen of andere gemotoriseerde apparaten of bij het proefdraaien van verbrandingsmotoren wordt ten behoeve van:</w:t>
      </w:r>
    </w:p>
    <w:p w:rsidR="00296032" w:rsidRPr="00620047" w:rsidRDefault="00296032">
      <w:pPr>
        <w:pStyle w:val="art2enivo"/>
        <w:rPr>
          <w:rFonts w:cs="Arial"/>
        </w:rPr>
      </w:pPr>
      <w:r w:rsidRPr="00620047">
        <w:rPr>
          <w:rFonts w:cs="Arial"/>
        </w:rPr>
        <w:t>a.</w:t>
      </w:r>
      <w:r w:rsidRPr="00620047">
        <w:rPr>
          <w:rFonts w:cs="Arial"/>
        </w:rPr>
        <w:tab/>
        <w:t>het voorkomen of beperken van risico's voor de omgeving en ongewone voorvallen, dan wel voor zover dat niet mogelijk is het zoveel mogelijk beperken van de risico's voor de omgeving en de kans dat ongewone voorvallen zich voordoen en de gevolgen hiervan;</w:t>
      </w:r>
    </w:p>
    <w:p w:rsidR="00296032" w:rsidRPr="00620047" w:rsidRDefault="00296032">
      <w:pPr>
        <w:pStyle w:val="art2enivo"/>
        <w:rPr>
          <w:rFonts w:cs="Arial"/>
        </w:rPr>
      </w:pPr>
      <w:r w:rsidRPr="00620047">
        <w:rPr>
          <w:rFonts w:cs="Arial"/>
        </w:rPr>
        <w:t>b.</w:t>
      </w:r>
      <w:r w:rsidRPr="00620047">
        <w:rPr>
          <w:rFonts w:cs="Arial"/>
        </w:rPr>
        <w:tab/>
        <w:t>het voorkomen of beperken van geurhinder;</w:t>
      </w:r>
    </w:p>
    <w:p w:rsidR="00296032" w:rsidRPr="00620047" w:rsidRDefault="00296032">
      <w:pPr>
        <w:pStyle w:val="art2enivo"/>
        <w:rPr>
          <w:rFonts w:cs="Arial"/>
        </w:rPr>
      </w:pPr>
      <w:r w:rsidRPr="00620047">
        <w:rPr>
          <w:rFonts w:cs="Arial"/>
        </w:rPr>
        <w:t>c.</w:t>
      </w:r>
      <w:r w:rsidRPr="00620047">
        <w:rPr>
          <w:rFonts w:cs="Arial"/>
        </w:rPr>
        <w:tab/>
        <w:t>het doelmatig verspreiden van emissies naar de buitenlucht;</w:t>
      </w:r>
    </w:p>
    <w:p w:rsidR="00296032" w:rsidRPr="00620047" w:rsidRDefault="00296032">
      <w:pPr>
        <w:pStyle w:val="art2enivo"/>
        <w:rPr>
          <w:rFonts w:cs="Arial"/>
        </w:rPr>
      </w:pPr>
      <w:r w:rsidRPr="00620047">
        <w:rPr>
          <w:rFonts w:cs="Arial"/>
        </w:rPr>
        <w:t>d.</w:t>
      </w:r>
      <w:r w:rsidRPr="00620047">
        <w:rPr>
          <w:rFonts w:cs="Arial"/>
        </w:rPr>
        <w:tab/>
        <w:t>het realiseren van een verwaarloosbaar bodemrisico,</w:t>
      </w:r>
    </w:p>
    <w:p w:rsidR="00296032" w:rsidRPr="00620047" w:rsidRDefault="00296032">
      <w:pPr>
        <w:pStyle w:val="art2enivo"/>
        <w:rPr>
          <w:rFonts w:cs="Arial"/>
        </w:rPr>
      </w:pPr>
      <w:r w:rsidRPr="00620047">
        <w:rPr>
          <w:rFonts w:cs="Arial"/>
        </w:rPr>
        <w:t>ten minste voldaan aan de bij ministeriële regeling te stellen eisen.</w:t>
      </w:r>
    </w:p>
    <w:p w:rsidR="00296032" w:rsidRPr="00296032" w:rsidRDefault="00296032">
      <w:pPr>
        <w:pStyle w:val="artikelkop"/>
        <w:rPr>
          <w:rFonts w:cs="Arial"/>
        </w:rPr>
      </w:pPr>
      <w:r w:rsidRPr="00296032">
        <w:rPr>
          <w:rFonts w:cs="Arial"/>
        </w:rPr>
        <w:t>Artikel 4.85</w:t>
      </w:r>
    </w:p>
    <w:p w:rsidR="00296032" w:rsidRDefault="00296032">
      <w:pPr>
        <w:rPr>
          <w:rFonts w:cs="Arial"/>
        </w:rPr>
      </w:pPr>
      <w:r w:rsidRPr="00620047">
        <w:rPr>
          <w:rFonts w:cs="Arial"/>
        </w:rPr>
        <w:t>In afwijking van artikel 4.84, vierde lid, is het proefdraaien van motoren van pleziervaartuigen in de buitenlucht toegestaan voor zover de motor zich in het vaartuig bevindt.</w:t>
      </w:r>
    </w:p>
    <w:p w:rsidR="00C606E7" w:rsidRDefault="00C606E7">
      <w:pPr>
        <w:rPr>
          <w:rFonts w:cs="Arial"/>
        </w:rPr>
      </w:pPr>
    </w:p>
    <w:p w:rsidR="00C606E7" w:rsidRDefault="00C606E7" w:rsidP="00C606E7">
      <w:pPr>
        <w:pStyle w:val="paragraaf"/>
        <w:shd w:val="clear" w:color="auto" w:fill="D9D9D9" w:themeFill="background1" w:themeFillShade="D9"/>
      </w:pPr>
      <w:bookmarkStart w:id="284" w:name="_Toc431375742"/>
      <w:r>
        <w:t>§ 4.6.4.</w:t>
      </w:r>
      <w:r>
        <w:tab/>
        <w:t>Onderhouden of repareren van motoren, motorvoertuigen, spoorvoertuigen of andere gemotoriseerde apparaten of proefdraaien van verbrandingsmotoren</w:t>
      </w:r>
      <w:bookmarkEnd w:id="284"/>
    </w:p>
    <w:p w:rsidR="00C606E7" w:rsidRDefault="00C606E7" w:rsidP="00C606E7">
      <w:pPr>
        <w:pStyle w:val="artikelkop"/>
        <w:shd w:val="clear" w:color="auto" w:fill="D9D9D9" w:themeFill="background1" w:themeFillShade="D9"/>
      </w:pPr>
      <w:r>
        <w:t>Artikel 4.95</w:t>
      </w:r>
    </w:p>
    <w:p w:rsidR="00C606E7" w:rsidRDefault="00C606E7" w:rsidP="00C606E7">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wordt bij het onderhouden en repareren van motoren, motorvoertuigen, spoorvoertuigen en andere gemotoriseerde apparaten en het proefdraaien van verbrandingsmotoren bij het werken met gevaarlijke stoffen ten minste aan het tweede en derde lid voldaan.</w:t>
      </w:r>
    </w:p>
    <w:p w:rsidR="00C606E7" w:rsidRDefault="00C606E7" w:rsidP="00C606E7">
      <w:pPr>
        <w:pStyle w:val="art1enivo"/>
        <w:shd w:val="clear" w:color="auto" w:fill="D9D9D9" w:themeFill="background1" w:themeFillShade="D9"/>
        <w:suppressAutoHyphens/>
        <w:rPr>
          <w:rFonts w:cs="Arial"/>
        </w:rPr>
      </w:pPr>
      <w:r>
        <w:rPr>
          <w:rFonts w:cs="Arial"/>
        </w:rPr>
        <w:t>2.</w:t>
      </w:r>
      <w:r>
        <w:rPr>
          <w:rFonts w:cs="Arial"/>
        </w:rPr>
        <w:tab/>
        <w:t>Werkzaamheden waarbij vuur wordt gebruikt, worden niet verricht aan of in de onmiddellijke nabijheid van een brandstofreservoir of andere delen van een motor die brandstof bevatten. De brandstofreservoirs zijn, behoudens tijdens de aan de reservoirs te verrichten werkzaamheden, goed gesloten.</w:t>
      </w:r>
    </w:p>
    <w:p w:rsidR="00C606E7" w:rsidRDefault="00C606E7" w:rsidP="00C606E7">
      <w:pPr>
        <w:pStyle w:val="art1enivo"/>
        <w:shd w:val="clear" w:color="auto" w:fill="D9D9D9" w:themeFill="background1" w:themeFillShade="D9"/>
        <w:suppressAutoHyphens/>
        <w:rPr>
          <w:rFonts w:cs="Arial"/>
        </w:rPr>
      </w:pPr>
      <w:r>
        <w:rPr>
          <w:rFonts w:cs="Arial"/>
        </w:rPr>
        <w:t>3.</w:t>
      </w:r>
      <w:r>
        <w:rPr>
          <w:rFonts w:cs="Arial"/>
        </w:rPr>
        <w:tab/>
        <w:t>Aan een tankwagen worden geen werkzaamheden verricht alvorens de zekerheid is verkregen dat geen gevaarlijke stoffen of brandbare vloeistoffen in de opslagtank aanwezig zijn.</w:t>
      </w:r>
    </w:p>
    <w:p w:rsidR="00C606E7" w:rsidRDefault="00C606E7" w:rsidP="00C606E7">
      <w:pPr>
        <w:pStyle w:val="art1enivo"/>
        <w:shd w:val="clear" w:color="auto" w:fill="D9D9D9" w:themeFill="background1" w:themeFillShade="D9"/>
        <w:suppressAutoHyphens/>
        <w:rPr>
          <w:rFonts w:cs="Arial"/>
        </w:rPr>
      </w:pPr>
      <w:r>
        <w:rPr>
          <w:rFonts w:cs="Arial"/>
        </w:rPr>
        <w:t>4.</w:t>
      </w:r>
      <w:r>
        <w:rPr>
          <w:rFonts w:cs="Arial"/>
        </w:rPr>
        <w:tab/>
        <w:t>Het derde lid is niet van toepassing op de uitvoering van noodreparaties, mits:</w:t>
      </w:r>
    </w:p>
    <w:p w:rsidR="00C606E7" w:rsidRDefault="00C606E7" w:rsidP="00C606E7">
      <w:pPr>
        <w:pStyle w:val="art2enivo"/>
        <w:shd w:val="clear" w:color="auto" w:fill="D9D9D9" w:themeFill="background1" w:themeFillShade="D9"/>
        <w:suppressAutoHyphens/>
        <w:rPr>
          <w:rFonts w:cs="Arial"/>
        </w:rPr>
      </w:pPr>
      <w:r>
        <w:rPr>
          <w:rFonts w:cs="Arial"/>
        </w:rPr>
        <w:t>a.</w:t>
      </w:r>
      <w:r>
        <w:rPr>
          <w:rFonts w:cs="Arial"/>
        </w:rPr>
        <w:tab/>
        <w:t>reparaties niet worden uitgevoerd aan de opslagtank zelf; en</w:t>
      </w:r>
    </w:p>
    <w:p w:rsidR="00C606E7" w:rsidRDefault="00C606E7" w:rsidP="00C606E7">
      <w:pPr>
        <w:pStyle w:val="art2enivo"/>
        <w:shd w:val="clear" w:color="auto" w:fill="D9D9D9" w:themeFill="background1" w:themeFillShade="D9"/>
        <w:suppressAutoHyphens/>
        <w:rPr>
          <w:rFonts w:cs="Arial"/>
        </w:rPr>
      </w:pPr>
      <w:r>
        <w:rPr>
          <w:rFonts w:cs="Arial"/>
        </w:rPr>
        <w:t>b.</w:t>
      </w:r>
      <w:r>
        <w:rPr>
          <w:rFonts w:cs="Arial"/>
        </w:rPr>
        <w:tab/>
        <w:t>vooraf het bevoegd gezag en de brandweer zijn geïnformeerd over de soort gevaarlijke stof die in de opslagtank is opgeslagen en de eigenschappen ervan.</w:t>
      </w:r>
    </w:p>
    <w:p w:rsidR="00C606E7" w:rsidRDefault="00C606E7" w:rsidP="00C606E7">
      <w:pPr>
        <w:pStyle w:val="artikelkop"/>
        <w:shd w:val="clear" w:color="auto" w:fill="D9D9D9" w:themeFill="background1" w:themeFillShade="D9"/>
      </w:pPr>
      <w:r>
        <w:t>Artikel 4.96</w:t>
      </w:r>
    </w:p>
    <w:p w:rsidR="00C606E7" w:rsidRDefault="00C606E7" w:rsidP="00C606E7">
      <w:pPr>
        <w:pStyle w:val="art1enivo"/>
        <w:shd w:val="clear" w:color="auto" w:fill="D9D9D9" w:themeFill="background1" w:themeFillShade="D9"/>
        <w:suppressAutoHyphens/>
        <w:rPr>
          <w:rFonts w:cs="Arial"/>
        </w:rPr>
      </w:pPr>
      <w:r>
        <w:rPr>
          <w:rFonts w:cs="Arial"/>
        </w:rPr>
        <w:t>1.</w:t>
      </w:r>
      <w:r>
        <w:rPr>
          <w:rFonts w:cs="Arial"/>
        </w:rPr>
        <w:tab/>
        <w:t>Ten behoeve van het doelmatig verspreiden van emissies naar de buitenlucht, worden ten minste afgezogen dampen en gassen van een ruimte waarin vanwege onderhoud of reparatie van motoren, motorvoertuigen, spoorvoertuigen of andere gemotoriseerde apparaten, verbrandingsmotoren worden proefgedraaid, bovendaks afgevoerd, indien binnen 50 meter van een emissiepunt een gevoelig gebouw, niet zijnde een gevoelig gebouw op een gezoneerd industrieterrein dan wel op een bedrijventerrein met minder dan één gevoelig gebouw per hectare, is gelegen.</w:t>
      </w:r>
    </w:p>
    <w:p w:rsidR="00C606E7" w:rsidRDefault="00C606E7" w:rsidP="00C606E7">
      <w:pPr>
        <w:pStyle w:val="art1enivo"/>
        <w:shd w:val="clear" w:color="auto" w:fill="D9D9D9" w:themeFill="background1" w:themeFillShade="D9"/>
        <w:suppressAutoHyphens/>
        <w:rPr>
          <w:rFonts w:cs="Arial"/>
        </w:rPr>
      </w:pPr>
      <w:r>
        <w:rPr>
          <w:rFonts w:cs="Arial"/>
        </w:rPr>
        <w:t>2.</w:t>
      </w:r>
      <w:r>
        <w:rPr>
          <w:rFonts w:cs="Arial"/>
        </w:rPr>
        <w:tab/>
        <w:t>Het bevoegd gezag kan in het belang van de luchtkwaliteit maatwerkvoorschriften stellen aan de ligging en uitvoering van het afvoerpunt van de emissies naar de buitenlucht, als bedoeld in het eerste lid.</w:t>
      </w:r>
    </w:p>
    <w:p w:rsidR="00C606E7" w:rsidRDefault="00C606E7" w:rsidP="00C606E7">
      <w:pPr>
        <w:pStyle w:val="art1enivo"/>
        <w:shd w:val="clear" w:color="auto" w:fill="D9D9D9" w:themeFill="background1" w:themeFillShade="D9"/>
        <w:rPr>
          <w:rFonts w:eastAsiaTheme="minorEastAsia"/>
          <w:lang w:eastAsia="nl-NL"/>
        </w:rPr>
      </w:pPr>
      <w:r>
        <w:rPr>
          <w:rFonts w:eastAsiaTheme="minorEastAsia"/>
          <w:lang w:eastAsia="nl-NL"/>
        </w:rPr>
        <w:t xml:space="preserve">3. </w:t>
      </w:r>
      <w:r>
        <w:rPr>
          <w:rFonts w:eastAsiaTheme="minorEastAsia"/>
          <w:lang w:eastAsia="nl-NL"/>
        </w:rPr>
        <w:tab/>
        <w:t xml:space="preserve">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eerste lid niet van toepassing voor zover er geen verandering van de inrichting plaatsvindt waarvoor een melding krachtens artikel 1.10 van het besluit nodig is en voor zover de emissies als bedoeld in het eerste lid niet toenemen en de wijze van afvoer van die emissies naar de buitenlucht niet verandert. </w:t>
      </w:r>
    </w:p>
    <w:p w:rsidR="00C606E7" w:rsidRDefault="00C606E7" w:rsidP="00C606E7">
      <w:pPr>
        <w:pStyle w:val="art1enivo"/>
        <w:shd w:val="clear" w:color="auto" w:fill="D9D9D9" w:themeFill="background1" w:themeFillShade="D9"/>
        <w:rPr>
          <w:rFonts w:eastAsiaTheme="minorEastAsia"/>
          <w:lang w:eastAsia="nl-NL"/>
        </w:rPr>
      </w:pPr>
      <w:r>
        <w:rPr>
          <w:rFonts w:eastAsiaTheme="minorEastAsia"/>
          <w:lang w:eastAsia="nl-NL"/>
        </w:rPr>
        <w:t xml:space="preserve">4. </w:t>
      </w:r>
      <w:r>
        <w:rPr>
          <w:rFonts w:eastAsiaTheme="minorEastAsia"/>
          <w:lang w:eastAsia="nl-NL"/>
        </w:rPr>
        <w:tab/>
        <w:t>In afwijking van het derde lid kan het bevoegd gezag maatwerkvoorschriften als bedoeld in het tweede lid stellen.</w:t>
      </w:r>
    </w:p>
    <w:p w:rsidR="00C606E7" w:rsidRDefault="00C606E7" w:rsidP="00C606E7">
      <w:pPr>
        <w:pStyle w:val="artikelkop"/>
        <w:shd w:val="clear" w:color="auto" w:fill="D9D9D9" w:themeFill="background1" w:themeFillShade="D9"/>
      </w:pPr>
      <w:r>
        <w:t>Artikel 4.97</w:t>
      </w:r>
    </w:p>
    <w:p w:rsidR="00C606E7" w:rsidRDefault="00C606E7" w:rsidP="00C606E7">
      <w:pPr>
        <w:shd w:val="clear" w:color="auto" w:fill="D9D9D9" w:themeFill="background1" w:themeFillShade="D9"/>
      </w:pPr>
      <w:r>
        <w:rPr>
          <w:rFonts w:cs="Arial"/>
        </w:rPr>
        <w:t>Ten behoeve van het realiseren van een verwaarloosbaar bodemrisico vindt het onderhouden, repareren of behandelen van de oppervlakte en het deconserveren en het voorzien van een antiroestbehandeling van motoren, motorvoertuigen, spoorvoertuigen, andere gemotoriseerde apparaten of onderdelen daarvan, waarbij vloeistoffen vrij kunnen komen, ten minste plaats boven een bodembeschermende voorziening.</w:t>
      </w:r>
    </w:p>
    <w:p w:rsidR="00C606E7" w:rsidRPr="00620047" w:rsidRDefault="00C606E7">
      <w:pPr>
        <w:rPr>
          <w:rFonts w:cs="Arial"/>
        </w:rPr>
      </w:pPr>
    </w:p>
    <w:p w:rsidR="00296032" w:rsidRPr="00296032" w:rsidRDefault="00296032">
      <w:pPr>
        <w:pStyle w:val="paragraaf"/>
        <w:rPr>
          <w:rFonts w:cs="Arial"/>
        </w:rPr>
      </w:pPr>
      <w:bookmarkStart w:id="285" w:name="_Toc277243249"/>
      <w:bookmarkStart w:id="286" w:name="_Toc431375743"/>
      <w:r w:rsidRPr="00296032">
        <w:rPr>
          <w:rFonts w:cs="Arial"/>
        </w:rPr>
        <w:t>§ 4.6.6</w:t>
      </w:r>
      <w:r w:rsidRPr="00296032">
        <w:rPr>
          <w:rFonts w:cs="Arial"/>
        </w:rPr>
        <w:tab/>
        <w:t>Onderhouden, repareren of afspuiten van pleziervaartuigen</w:t>
      </w:r>
      <w:bookmarkEnd w:id="285"/>
      <w:bookmarkEnd w:id="286"/>
    </w:p>
    <w:p w:rsidR="00296032" w:rsidRPr="00296032" w:rsidRDefault="00296032">
      <w:pPr>
        <w:pStyle w:val="artikelkop"/>
        <w:rPr>
          <w:rFonts w:cs="Arial"/>
        </w:rPr>
      </w:pPr>
      <w:r w:rsidRPr="00296032">
        <w:rPr>
          <w:rFonts w:cs="Arial"/>
        </w:rPr>
        <w:t>Artikel 4.85a</w:t>
      </w:r>
    </w:p>
    <w:p w:rsidR="00296032" w:rsidRPr="00620047" w:rsidRDefault="00296032">
      <w:pPr>
        <w:pStyle w:val="artplat"/>
      </w:pPr>
      <w:r w:rsidRPr="00620047">
        <w:t>Deze paragraaf is van toepassing op het onderhouden, repareren of afspuiten van pleziervaartuigen.</w:t>
      </w:r>
    </w:p>
    <w:p w:rsidR="00296032" w:rsidRPr="00296032" w:rsidRDefault="00296032">
      <w:pPr>
        <w:pStyle w:val="artikelkop"/>
        <w:rPr>
          <w:rFonts w:cs="Arial"/>
        </w:rPr>
      </w:pPr>
      <w:r w:rsidRPr="00296032">
        <w:rPr>
          <w:rFonts w:cs="Arial"/>
        </w:rPr>
        <w:t>Artikel 4.86</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In afwijking van de artikelen 4.32 en 4.39 is het niet beroepsmatig onderhouden en repareren van pleziervaartuigen in de buitenlucht bij een jachthaven toegestaan.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 afwijking van de artikelen 4.22, 4.28 en 4.53 vinden niet beroepsmatige verfspuitwerkzaamheden bij een jachthaven waarbij verf met een nevelspuit wordt opgebracht plaats in een daartoe bestemde ruimte.</w:t>
      </w:r>
    </w:p>
    <w:p w:rsidR="00296032" w:rsidRPr="00296032" w:rsidRDefault="00296032">
      <w:pPr>
        <w:pStyle w:val="artikelkop"/>
        <w:rPr>
          <w:rFonts w:cs="Arial"/>
        </w:rPr>
      </w:pPr>
      <w:r w:rsidRPr="00296032">
        <w:rPr>
          <w:rFonts w:cs="Arial"/>
        </w:rPr>
        <w:t>Artikel 4.87</w:t>
      </w:r>
    </w:p>
    <w:p w:rsidR="00296032" w:rsidRPr="00620047" w:rsidRDefault="00296032">
      <w:pPr>
        <w:rPr>
          <w:rFonts w:cs="Arial"/>
        </w:rPr>
      </w:pPr>
      <w:r w:rsidRPr="00620047">
        <w:rPr>
          <w:rFonts w:cs="Arial"/>
        </w:rPr>
        <w:t>Degene die een inrichting drijft waar gelegenheid wordt geboden voor het niet beroepsmatig onderhouden, repareren of afspuiten van pleziervaartuigen voldoet ten behoeve van het voorkomen van milieuverontreiniging bij die werkzaamheden ten minste aan de bij ministeriële regeling te stellen eisen.</w:t>
      </w:r>
    </w:p>
    <w:p w:rsidR="00296032" w:rsidRPr="00296032" w:rsidRDefault="00296032">
      <w:pPr>
        <w:pStyle w:val="artikelkop"/>
        <w:rPr>
          <w:rFonts w:cs="Arial"/>
        </w:rPr>
      </w:pPr>
      <w:r w:rsidRPr="00296032">
        <w:rPr>
          <w:rFonts w:cs="Arial"/>
        </w:rPr>
        <w:t>Artikel 4.88</w:t>
      </w:r>
    </w:p>
    <w:p w:rsidR="00296032" w:rsidRDefault="00296032">
      <w:pPr>
        <w:rPr>
          <w:rFonts w:cs="Arial"/>
        </w:rPr>
      </w:pPr>
      <w:r w:rsidRPr="00620047">
        <w:rPr>
          <w:rFonts w:cs="Arial"/>
        </w:rPr>
        <w:t>Bij het onderhouden, repareren of afspuiten van pleziervaartuigen wordt ten behoeve van het realiseren van een verwaarloosbaar bodemrisico voldaan aan de bij ministeriële regeling te stellen eisen.</w:t>
      </w:r>
    </w:p>
    <w:p w:rsidR="00C606E7" w:rsidRDefault="00C606E7">
      <w:pPr>
        <w:rPr>
          <w:rFonts w:cs="Arial"/>
        </w:rPr>
      </w:pPr>
    </w:p>
    <w:p w:rsidR="00C606E7" w:rsidRDefault="00C606E7" w:rsidP="00C606E7">
      <w:pPr>
        <w:pStyle w:val="paragraaf"/>
        <w:shd w:val="clear" w:color="auto" w:fill="D9D9D9" w:themeFill="background1" w:themeFillShade="D9"/>
      </w:pPr>
      <w:bookmarkStart w:id="287" w:name="_Toc431375744"/>
      <w:r>
        <w:t>§ 4.6.5.</w:t>
      </w:r>
      <w:r>
        <w:tab/>
        <w:t>Onderhouden, repareren of afspuiten van pleziervaartuigen</w:t>
      </w:r>
      <w:bookmarkEnd w:id="287"/>
    </w:p>
    <w:p w:rsidR="00C606E7" w:rsidRDefault="00C606E7" w:rsidP="00C606E7">
      <w:pPr>
        <w:pStyle w:val="artikelkop"/>
        <w:shd w:val="clear" w:color="auto" w:fill="D9D9D9" w:themeFill="background1" w:themeFillShade="D9"/>
      </w:pPr>
      <w:r>
        <w:t>Artikel 4.98</w:t>
      </w:r>
    </w:p>
    <w:p w:rsidR="00C606E7" w:rsidRDefault="00C606E7" w:rsidP="00C606E7">
      <w:pPr>
        <w:pStyle w:val="art1enivo"/>
        <w:shd w:val="clear" w:color="auto" w:fill="D9D9D9" w:themeFill="background1" w:themeFillShade="D9"/>
        <w:suppressAutoHyphens/>
        <w:rPr>
          <w:rFonts w:cs="Arial"/>
        </w:rPr>
      </w:pPr>
      <w:r>
        <w:rPr>
          <w:rFonts w:cs="Arial"/>
        </w:rPr>
        <w:t>1.</w:t>
      </w:r>
      <w:r>
        <w:rPr>
          <w:rFonts w:cs="Arial"/>
        </w:rPr>
        <w:tab/>
        <w:t>Ten behoeve van het voorkomen van milieuverontreiniging draagt degene die de inrichting drijft er bij het onderhouden, repareren en afspuiten van pleziervaartuigen ten minste zorg voor dat:</w:t>
      </w:r>
    </w:p>
    <w:p w:rsidR="00C606E7" w:rsidRDefault="00C606E7" w:rsidP="00C606E7">
      <w:pPr>
        <w:pStyle w:val="art2enivo"/>
        <w:shd w:val="clear" w:color="auto" w:fill="D9D9D9" w:themeFill="background1" w:themeFillShade="D9"/>
        <w:suppressAutoHyphens/>
        <w:rPr>
          <w:rFonts w:cs="Arial"/>
        </w:rPr>
      </w:pPr>
      <w:r>
        <w:rPr>
          <w:rFonts w:cs="Arial"/>
        </w:rPr>
        <w:t>a.</w:t>
      </w:r>
      <w:r>
        <w:rPr>
          <w:rFonts w:cs="Arial"/>
        </w:rPr>
        <w:tab/>
        <w:t>binnen de inrichting gedragsvoorschriften aanwezig zijn, die zijn gericht op het voorkomen van milieuverontreiniging door de houders van pleziervaartuigen en ziet toe op de naleving daarvan. De gedragsvoorschriften bevatten in elk geval instructies ten aanzien van het uitvoeren van onderhoud en reparatie van pleziervaartuigen;</w:t>
      </w:r>
    </w:p>
    <w:p w:rsidR="00C606E7" w:rsidRDefault="00C606E7" w:rsidP="00C606E7">
      <w:pPr>
        <w:pStyle w:val="art2enivo"/>
        <w:shd w:val="clear" w:color="auto" w:fill="D9D9D9" w:themeFill="background1" w:themeFillShade="D9"/>
        <w:suppressAutoHyphens/>
        <w:rPr>
          <w:rFonts w:cs="Arial"/>
        </w:rPr>
      </w:pPr>
      <w:r>
        <w:rPr>
          <w:rFonts w:cs="Arial"/>
        </w:rPr>
        <w:t>b.</w:t>
      </w:r>
      <w:r>
        <w:rPr>
          <w:rFonts w:cs="Arial"/>
        </w:rPr>
        <w:tab/>
        <w:t>machinaal schuren geschiedt met mechanische stofafzuiging waarbij het vrijkomende schuurstof in een stofzak wordt opgevangen.</w:t>
      </w:r>
    </w:p>
    <w:p w:rsidR="00C606E7" w:rsidRDefault="00C606E7" w:rsidP="00C606E7">
      <w:pPr>
        <w:pStyle w:val="art1enivo"/>
        <w:shd w:val="clear" w:color="auto" w:fill="D9D9D9" w:themeFill="background1" w:themeFillShade="D9"/>
        <w:suppressAutoHyphens/>
        <w:rPr>
          <w:rFonts w:cs="Arial"/>
        </w:rPr>
      </w:pPr>
      <w:r>
        <w:rPr>
          <w:rFonts w:cs="Arial"/>
        </w:rPr>
        <w:t>2.</w:t>
      </w:r>
      <w:r>
        <w:rPr>
          <w:rFonts w:cs="Arial"/>
        </w:rPr>
        <w:tab/>
        <w:t>De gedragsvoorschriften als bedoeld in eerste lid onderdeel a, zijn binnen de inrichting zodanig aanwezig dat een ieder daarvan op eenvoudige wijze kennis kan nemen.</w:t>
      </w:r>
    </w:p>
    <w:p w:rsidR="00C606E7" w:rsidRDefault="00C606E7" w:rsidP="00C606E7">
      <w:pPr>
        <w:pStyle w:val="artikelkop"/>
        <w:shd w:val="clear" w:color="auto" w:fill="D9D9D9" w:themeFill="background1" w:themeFillShade="D9"/>
      </w:pPr>
      <w:r>
        <w:t>Artikel 4.99</w:t>
      </w:r>
    </w:p>
    <w:p w:rsidR="00C606E7" w:rsidRDefault="00C606E7" w:rsidP="00C606E7">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vindt bij het onderhouden, repareren en afspuiten van pleziervaartuigen, het repareren, onderhouden en behandelen van de oppervlakte van pleziervaartuigen of onderdelen daarvan, waarbij vloeistoffen vrij kunnen komen, plaats boven een bodembeschermende voorziening.</w:t>
      </w:r>
    </w:p>
    <w:p w:rsidR="00C606E7" w:rsidRDefault="00C606E7" w:rsidP="00C606E7">
      <w:pPr>
        <w:pStyle w:val="art1enivo"/>
        <w:shd w:val="clear" w:color="auto" w:fill="D9D9D9" w:themeFill="background1" w:themeFillShade="D9"/>
        <w:suppressAutoHyphens/>
        <w:rPr>
          <w:rFonts w:cs="Arial"/>
        </w:rPr>
      </w:pPr>
      <w:r>
        <w:rPr>
          <w:rFonts w:cs="Arial"/>
        </w:rPr>
        <w:t>2.</w:t>
      </w:r>
      <w:r>
        <w:rPr>
          <w:rFonts w:cs="Arial"/>
        </w:rPr>
        <w:tab/>
        <w:t>Het eerste lid is niet van toepassing indien deze werkzaamheden worden verricht binnen het vaartuig.</w:t>
      </w:r>
    </w:p>
    <w:p w:rsidR="00C606E7" w:rsidRDefault="00C606E7" w:rsidP="00C606E7">
      <w:pPr>
        <w:pStyle w:val="art1enivo"/>
        <w:shd w:val="clear" w:color="auto" w:fill="D9D9D9" w:themeFill="background1" w:themeFillShade="D9"/>
        <w:suppressAutoHyphens/>
        <w:rPr>
          <w:rFonts w:cs="Arial"/>
        </w:rPr>
      </w:pPr>
      <w:r>
        <w:rPr>
          <w:rFonts w:cs="Arial"/>
        </w:rPr>
        <w:t>3.</w:t>
      </w:r>
      <w:r>
        <w:rPr>
          <w:rFonts w:cs="Arial"/>
        </w:rPr>
        <w:tab/>
        <w:t>Het op de wal met water onder hoge druk reinigen van de romp onder de waterlijn van een pleziervaartuig, geschiedt boven een vloeistofkerende vloer of verharding.</w:t>
      </w:r>
    </w:p>
    <w:p w:rsidR="00C606E7" w:rsidRDefault="00C606E7" w:rsidP="00C606E7">
      <w:pPr>
        <w:pStyle w:val="art1enivo"/>
        <w:shd w:val="clear" w:color="auto" w:fill="D9D9D9" w:themeFill="background1" w:themeFillShade="D9"/>
        <w:suppressAutoHyphens/>
        <w:rPr>
          <w:rFonts w:cs="Arial"/>
        </w:rPr>
      </w:pPr>
      <w:r>
        <w:rPr>
          <w:rFonts w:cs="Arial"/>
        </w:rPr>
        <w:t>4.</w:t>
      </w:r>
      <w:r>
        <w:rPr>
          <w:rFonts w:cs="Arial"/>
        </w:rPr>
        <w:tab/>
        <w:t>Windwerende voorzieningen worden toegepast indien dat nodig is om verwaaien van afvalwater of afvalstoffen te voorkomen.</w:t>
      </w:r>
    </w:p>
    <w:p w:rsidR="00C606E7" w:rsidRDefault="00C606E7" w:rsidP="00C606E7">
      <w:pPr>
        <w:shd w:val="clear" w:color="auto" w:fill="D9D9D9" w:themeFill="background1" w:themeFillShade="D9"/>
      </w:pPr>
    </w:p>
    <w:p w:rsidR="00C606E7" w:rsidRPr="00620047" w:rsidRDefault="00C606E7">
      <w:pPr>
        <w:rPr>
          <w:rFonts w:cs="Arial"/>
        </w:rPr>
      </w:pPr>
    </w:p>
    <w:p w:rsidR="00296032" w:rsidRPr="00620047" w:rsidRDefault="00296032">
      <w:pPr>
        <w:pStyle w:val="afdeling"/>
        <w:rPr>
          <w:rFonts w:cs="Arial"/>
        </w:rPr>
      </w:pPr>
      <w:bookmarkStart w:id="288" w:name="_Toc431375745"/>
      <w:bookmarkStart w:id="289" w:name="_Toc277243250"/>
      <w:r w:rsidRPr="00620047">
        <w:rPr>
          <w:rFonts w:cs="Arial"/>
        </w:rPr>
        <w:t>Afdeling 4.7. Activiteiten met betrekking tot grafische processen</w:t>
      </w:r>
      <w:bookmarkEnd w:id="288"/>
      <w:bookmarkEnd w:id="289"/>
    </w:p>
    <w:p w:rsidR="00296032" w:rsidRPr="00296032" w:rsidRDefault="00296032">
      <w:pPr>
        <w:pStyle w:val="paragraaf"/>
        <w:rPr>
          <w:rFonts w:cs="Arial"/>
        </w:rPr>
      </w:pPr>
      <w:bookmarkStart w:id="290" w:name="_Toc277243251"/>
      <w:bookmarkStart w:id="291" w:name="_Toc431375746"/>
      <w:r w:rsidRPr="00296032">
        <w:rPr>
          <w:rFonts w:cs="Arial"/>
        </w:rPr>
        <w:t>§ 4.7.1</w:t>
      </w:r>
      <w:r w:rsidRPr="00296032">
        <w:rPr>
          <w:rFonts w:cs="Arial"/>
        </w:rPr>
        <w:tab/>
        <w:t>Ontwikkelen of afdrukken van fotografisch materiaal</w:t>
      </w:r>
      <w:bookmarkEnd w:id="290"/>
      <w:bookmarkEnd w:id="291"/>
    </w:p>
    <w:p w:rsidR="00296032" w:rsidRPr="00296032" w:rsidRDefault="00296032">
      <w:pPr>
        <w:pStyle w:val="artikelkop"/>
        <w:rPr>
          <w:rFonts w:cs="Arial"/>
        </w:rPr>
      </w:pPr>
      <w:r w:rsidRPr="00296032">
        <w:rPr>
          <w:rFonts w:cs="Arial"/>
        </w:rPr>
        <w:t>Artikel 4.88a</w:t>
      </w:r>
    </w:p>
    <w:p w:rsidR="00296032" w:rsidRPr="00620047" w:rsidRDefault="00296032">
      <w:pPr>
        <w:pStyle w:val="artplat"/>
      </w:pPr>
      <w:r w:rsidRPr="00620047">
        <w:t>Deze paragraaf is van toepassing op het ontwikkelen of afdrukken van fotografisch materiaal.</w:t>
      </w:r>
    </w:p>
    <w:p w:rsidR="00296032" w:rsidRPr="00296032" w:rsidRDefault="00296032">
      <w:pPr>
        <w:pStyle w:val="artikelkop"/>
        <w:rPr>
          <w:rFonts w:cs="Arial"/>
        </w:rPr>
      </w:pPr>
      <w:r w:rsidRPr="00296032">
        <w:rPr>
          <w:rFonts w:cs="Arial"/>
        </w:rPr>
        <w:t>Artikel 4.89</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in het vuilwaterriool lozen van afvalwater afkomstig van het ontwikkelen of afdrukken van fotografisch materiaal wordt ten minste voldaan aan het tweede tot en met het vijfde lid.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het ontwikkelen of afdrukken van fotografisch materiaal worden in goede staat verkerende afkwetsrollen gebruikt en een doelmatige zilverterugwininstallatie toegepast.</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 afwijking van het tweede lid behoeft geen zilverterugwininstallatie te worden toegepast indien per jaar minder dan 700 liter aan gebruiksklare fixeer wordt gebruikt en in de inrichting gedragsvoorschriften aanwezig zijn en worden nageleefd gericht op de beperking van de zilveremissie.</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Het gehalte aan zilver in het afvalwater afkomstig van het ontwikkelen of afdrukken van fotografisch materiaal bedraagt in enig steekmonster minder dan 4 milligram per liter.</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Het te lozen afvalwater kan op een doelmatige wijze worden bemonsterd.</w:t>
      </w:r>
    </w:p>
    <w:p w:rsidR="00296032" w:rsidRPr="00296032" w:rsidRDefault="00296032">
      <w:pPr>
        <w:pStyle w:val="paragraaf"/>
        <w:rPr>
          <w:rFonts w:cs="Arial"/>
        </w:rPr>
      </w:pPr>
      <w:bookmarkStart w:id="292" w:name="_Toc277243252"/>
      <w:bookmarkStart w:id="293" w:name="_Toc431375747"/>
      <w:r w:rsidRPr="00296032">
        <w:rPr>
          <w:rFonts w:cs="Arial"/>
        </w:rPr>
        <w:t>§ 4.7.2</w:t>
      </w:r>
      <w:r w:rsidRPr="00296032">
        <w:rPr>
          <w:rFonts w:cs="Arial"/>
        </w:rPr>
        <w:tab/>
        <w:t>Zeefdrukken</w:t>
      </w:r>
      <w:bookmarkEnd w:id="292"/>
      <w:bookmarkEnd w:id="293"/>
    </w:p>
    <w:p w:rsidR="00296032" w:rsidRPr="00296032" w:rsidRDefault="00296032">
      <w:pPr>
        <w:pStyle w:val="artikelkop"/>
        <w:rPr>
          <w:rFonts w:cs="Arial"/>
        </w:rPr>
      </w:pPr>
      <w:r w:rsidRPr="00296032">
        <w:rPr>
          <w:rFonts w:cs="Arial"/>
        </w:rPr>
        <w:t>Artikel 4.89a</w:t>
      </w:r>
    </w:p>
    <w:p w:rsidR="00296032" w:rsidRPr="00620047" w:rsidRDefault="00296032">
      <w:pPr>
        <w:pStyle w:val="artplat"/>
      </w:pPr>
      <w:r w:rsidRPr="00620047">
        <w:t>Deze paragraaf is van toepassing op het zeefdrukken.</w:t>
      </w:r>
    </w:p>
    <w:p w:rsidR="00296032" w:rsidRPr="00296032" w:rsidRDefault="00296032">
      <w:pPr>
        <w:pStyle w:val="artikelkop"/>
        <w:rPr>
          <w:rFonts w:cs="Arial"/>
        </w:rPr>
      </w:pPr>
      <w:r w:rsidRPr="00296032">
        <w:rPr>
          <w:rFonts w:cs="Arial"/>
        </w:rPr>
        <w:t>Artikel 4.90</w:t>
      </w:r>
    </w:p>
    <w:p w:rsidR="00296032" w:rsidRPr="00620047" w:rsidRDefault="00296032">
      <w:r w:rsidRPr="00620047">
        <w:t>Voor de eindreiniging van zeefdrukramen worden uitsluitend reinigingsmiddelen gebruikt met een vlampunt groter dan 55 graden Celsius of op waterbasis.</w:t>
      </w:r>
    </w:p>
    <w:p w:rsidR="00296032" w:rsidRPr="00296032" w:rsidRDefault="00296032">
      <w:pPr>
        <w:pStyle w:val="artikelkop"/>
        <w:rPr>
          <w:rFonts w:cs="Arial"/>
        </w:rPr>
      </w:pPr>
      <w:r w:rsidRPr="00296032">
        <w:rPr>
          <w:rFonts w:cs="Arial"/>
        </w:rPr>
        <w:t>Artikel 4.91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in het vuilwaterriool lozen van afvalwater afkomstig van zeefdruk wordt ten minste voldaan aan het tweede en derde lid en artikel 4.92.</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het reinigen van zeefdrukramen wordt het lozen van oplosmiddelen en inkten zoveel mogelijk voorkomen door het verwijderen van inkt en het strippen van de sjabloon procesmatig te scheiden. Het lozen mag uitsluitend bestaan uit het lozen van spoelwater afkomstig van het polijsten, ontvetten of ontwikkelen van het zeefdrukgaas, sjabloonverwijdering of schaduwbeeldverwijdering.</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te lozen afvalwater kan op een doelmatige wijze worden bemonsterd.</w:t>
      </w:r>
    </w:p>
    <w:p w:rsidR="00296032" w:rsidRPr="00296032" w:rsidRDefault="00296032">
      <w:pPr>
        <w:pStyle w:val="artikelkop"/>
        <w:rPr>
          <w:rFonts w:cs="Arial"/>
        </w:rPr>
      </w:pPr>
      <w:r w:rsidRPr="00296032">
        <w:rPr>
          <w:rFonts w:cs="Arial"/>
        </w:rPr>
        <w:t>Artikel 4.92</w:t>
      </w:r>
    </w:p>
    <w:p w:rsidR="00296032" w:rsidRPr="00620047" w:rsidRDefault="00296032">
      <w:pPr>
        <w:rPr>
          <w:rFonts w:cs="Arial"/>
        </w:rPr>
      </w:pPr>
      <w:r w:rsidRPr="00620047">
        <w:rPr>
          <w:rFonts w:cs="Arial"/>
        </w:rPr>
        <w:t>Bij het lozen als bedoeld in artikel 4.91 wordt rekening gehouden met de beschikbare milieu-informatie van de stoffen die in het afvalwater kunnen geraken. Indien op grond van die informatie uit de algemene beoordelingsmethodiek voor stoffen en preparaten zoals opgenomen in de nota "Het beoordelen van stoffen en preparaten voor de uitvoering van het emissiebeleid water" van de Commissie Integraal Waterbeheer blijkt dat de stof wordt aangemerkt als een stof met saneringsinspanning A, wordt deze niet geloosd.</w:t>
      </w:r>
    </w:p>
    <w:p w:rsidR="00296032" w:rsidRPr="00296032" w:rsidRDefault="00296032">
      <w:pPr>
        <w:pStyle w:val="artikelkop"/>
        <w:rPr>
          <w:rFonts w:cs="Arial"/>
        </w:rPr>
      </w:pPr>
      <w:r w:rsidRPr="00296032">
        <w:rPr>
          <w:rFonts w:cs="Arial"/>
        </w:rPr>
        <w:t>Artikel 4.93</w:t>
      </w:r>
    </w:p>
    <w:p w:rsidR="00296032" w:rsidRPr="00620047" w:rsidRDefault="00296032">
      <w:pPr>
        <w:rPr>
          <w:rFonts w:cs="Arial"/>
        </w:rPr>
      </w:pPr>
      <w:r w:rsidRPr="00620047">
        <w:rPr>
          <w:rFonts w:cs="Arial"/>
        </w:rPr>
        <w:t>Bij het zeefdrukken wordt ten behoeve van</w:t>
      </w:r>
    </w:p>
    <w:p w:rsidR="00296032" w:rsidRPr="00620047" w:rsidRDefault="00296032">
      <w:pPr>
        <w:pStyle w:val="artplatletter"/>
        <w:rPr>
          <w:rFonts w:cs="Arial"/>
        </w:rPr>
      </w:pPr>
      <w:r w:rsidRPr="00620047">
        <w:rPr>
          <w:rFonts w:cs="Arial"/>
        </w:rPr>
        <w:t>a.</w:t>
      </w:r>
      <w:r w:rsidRPr="00620047">
        <w:rPr>
          <w:rFonts w:cs="Arial"/>
        </w:rPr>
        <w:tab/>
        <w:t>het voorkomen dan wel voor zover dat niet mogelijk is het tot een aanvaardbaar niveau beperken van geurhinder;</w:t>
      </w:r>
    </w:p>
    <w:p w:rsidR="00296032" w:rsidRPr="00620047" w:rsidRDefault="00296032">
      <w:pPr>
        <w:pStyle w:val="artplatletter"/>
        <w:rPr>
          <w:rFonts w:cs="Arial"/>
        </w:rPr>
      </w:pPr>
      <w:r w:rsidRPr="00620047">
        <w:rPr>
          <w:rFonts w:cs="Arial"/>
        </w:rPr>
        <w:t>b.</w:t>
      </w:r>
      <w:r w:rsidRPr="00620047">
        <w:rPr>
          <w:rFonts w:cs="Arial"/>
        </w:rPr>
        <w:tab/>
        <w:t>het realiseren van een verwaarloosbaar bodemrisico,</w:t>
      </w:r>
    </w:p>
    <w:p w:rsidR="00296032" w:rsidRDefault="00296032">
      <w:pPr>
        <w:rPr>
          <w:rFonts w:cs="Arial"/>
        </w:rPr>
      </w:pPr>
      <w:r w:rsidRPr="00620047">
        <w:rPr>
          <w:rFonts w:cs="Arial"/>
        </w:rPr>
        <w:t>voldaan aan de bij ministeriële regeling te stellen eisen.</w:t>
      </w:r>
    </w:p>
    <w:p w:rsidR="00C606E7" w:rsidRDefault="00C606E7">
      <w:pPr>
        <w:rPr>
          <w:rFonts w:cs="Arial"/>
        </w:rPr>
      </w:pPr>
    </w:p>
    <w:p w:rsidR="00C606E7" w:rsidRDefault="00C606E7" w:rsidP="00C606E7">
      <w:pPr>
        <w:pStyle w:val="paragraaf"/>
        <w:shd w:val="clear" w:color="auto" w:fill="D9D9D9" w:themeFill="background1" w:themeFillShade="D9"/>
      </w:pPr>
      <w:bookmarkStart w:id="294" w:name="_Toc431375748"/>
      <w:r>
        <w:t>§ 4.7.1.</w:t>
      </w:r>
      <w:r>
        <w:tab/>
        <w:t>Zeefdrukken</w:t>
      </w:r>
      <w:bookmarkEnd w:id="294"/>
    </w:p>
    <w:p w:rsidR="00C606E7" w:rsidRDefault="00C606E7" w:rsidP="00C606E7">
      <w:pPr>
        <w:pStyle w:val="artikelkop"/>
        <w:shd w:val="clear" w:color="auto" w:fill="D9D9D9" w:themeFill="background1" w:themeFillShade="D9"/>
      </w:pPr>
      <w:r>
        <w:t>Artikel 4.100</w:t>
      </w:r>
    </w:p>
    <w:p w:rsidR="00C606E7" w:rsidRDefault="00C606E7" w:rsidP="00C606E7">
      <w:pPr>
        <w:pStyle w:val="art1enivo"/>
        <w:shd w:val="clear" w:color="auto" w:fill="D9D9D9" w:themeFill="background1" w:themeFillShade="D9"/>
        <w:suppressAutoHyphens/>
        <w:rPr>
          <w:rFonts w:cs="Arial"/>
        </w:rPr>
      </w:pPr>
      <w:r>
        <w:rPr>
          <w:rFonts w:cs="Arial"/>
        </w:rPr>
        <w:t>1.</w:t>
      </w:r>
      <w:r>
        <w:rPr>
          <w:rFonts w:cs="Arial"/>
        </w:rPr>
        <w:tab/>
        <w:t>Ten behoeve van het voorkomen, dan wel voor zover dat niet mogelijk is het tot een aanvaardbaar niveau beperken van geurhinder, worden afgezogen dampen en gassen van het zeefdrukken die op de buitenlucht worden geëmitteerd, ten minste 2 meter boven de hoogste daklijn van de binnen 25 meter van de uitmonding gelegen bebouwing, afgevoerd.</w:t>
      </w:r>
    </w:p>
    <w:p w:rsidR="00C606E7" w:rsidRDefault="00C606E7" w:rsidP="00C606E7">
      <w:pPr>
        <w:pStyle w:val="art1enivo"/>
        <w:shd w:val="clear" w:color="auto" w:fill="D9D9D9" w:themeFill="background1" w:themeFillShade="D9"/>
        <w:suppressAutoHyphens/>
        <w:rPr>
          <w:rFonts w:cs="Arial"/>
        </w:rPr>
      </w:pPr>
      <w:r>
        <w:rPr>
          <w:rFonts w:cs="Arial"/>
        </w:rPr>
        <w:t>2.</w:t>
      </w:r>
      <w:r>
        <w:rPr>
          <w:rFonts w:cs="Arial"/>
        </w:rPr>
        <w:tab/>
        <w:t>Het eerste lid is niet van toepassing indien het mogelijke effect van de geuremissie van de uittredende lucht van een afzuiginstallatie beperkt blijft tot een gezoneerd industrieterrein of een bedrijventerrein met minder dan één gevoelig gebouw per hectare.</w:t>
      </w:r>
    </w:p>
    <w:p w:rsidR="00C606E7" w:rsidRDefault="00C606E7" w:rsidP="00C606E7">
      <w:pPr>
        <w:pStyle w:val="art1enivo"/>
        <w:shd w:val="clear" w:color="auto" w:fill="D9D9D9" w:themeFill="background1" w:themeFillShade="D9"/>
        <w:suppressAutoHyphens/>
        <w:rPr>
          <w:rFonts w:cs="Arial"/>
        </w:rPr>
      </w:pPr>
      <w:r>
        <w:rPr>
          <w:rFonts w:cs="Arial"/>
        </w:rPr>
        <w:t>3.</w:t>
      </w:r>
      <w:r>
        <w:rPr>
          <w:rFonts w:cs="Arial"/>
        </w:rPr>
        <w:tab/>
        <w:t>Het bevoegd gezag kan indien blijkt dat de geurhinder een aanvaardbaar niveau overschrijdt vanwege onvoldoende verspreiding van afgezogen dampen, vanwege geuremissies die niet via de afzuiging worden afgevoerd of vanwege incidentele geurpieken in aanvulling op het eerste lid overeenkomstig artikel 2.7a, derde lid, van het besluit maatwerkvoorschriften stellen met betrekking tot:</w:t>
      </w:r>
    </w:p>
    <w:p w:rsidR="00C606E7" w:rsidRDefault="00C606E7" w:rsidP="00C606E7">
      <w:pPr>
        <w:pStyle w:val="art2enivo"/>
        <w:shd w:val="clear" w:color="auto" w:fill="D9D9D9" w:themeFill="background1" w:themeFillShade="D9"/>
        <w:suppressAutoHyphens/>
        <w:rPr>
          <w:rFonts w:cs="Arial"/>
        </w:rPr>
      </w:pPr>
      <w:r>
        <w:rPr>
          <w:rFonts w:cs="Arial"/>
        </w:rPr>
        <w:t>a.</w:t>
      </w:r>
      <w:r>
        <w:rPr>
          <w:rFonts w:cs="Arial"/>
        </w:rPr>
        <w:tab/>
        <w:t>de situering van de afvoerpijp;</w:t>
      </w:r>
    </w:p>
    <w:p w:rsidR="00C606E7" w:rsidRDefault="00C606E7" w:rsidP="00C606E7">
      <w:pPr>
        <w:pStyle w:val="art2enivo"/>
        <w:shd w:val="clear" w:color="auto" w:fill="D9D9D9" w:themeFill="background1" w:themeFillShade="D9"/>
        <w:suppressAutoHyphens/>
        <w:rPr>
          <w:rFonts w:cs="Arial"/>
        </w:rPr>
      </w:pPr>
      <w:r>
        <w:rPr>
          <w:rFonts w:cs="Arial"/>
        </w:rPr>
        <w:t>b.</w:t>
      </w:r>
      <w:r>
        <w:rPr>
          <w:rFonts w:cs="Arial"/>
        </w:rPr>
        <w:tab/>
        <w:t>het voorkomen of beperken van diffuse geuremissies; of</w:t>
      </w:r>
    </w:p>
    <w:p w:rsidR="00C606E7" w:rsidRDefault="00C606E7" w:rsidP="00C606E7">
      <w:pPr>
        <w:pStyle w:val="art2enivo"/>
        <w:shd w:val="clear" w:color="auto" w:fill="D9D9D9" w:themeFill="background1" w:themeFillShade="D9"/>
        <w:suppressAutoHyphens/>
        <w:rPr>
          <w:rFonts w:cs="Arial"/>
        </w:rPr>
      </w:pPr>
      <w:r>
        <w:rPr>
          <w:rFonts w:cs="Arial"/>
        </w:rPr>
        <w:t>c.</w:t>
      </w:r>
      <w:r>
        <w:rPr>
          <w:rFonts w:cs="Arial"/>
        </w:rPr>
        <w:tab/>
        <w:t>het beperken van incidentele geurpieken tot specifieke tijdstippen.</w:t>
      </w:r>
    </w:p>
    <w:p w:rsidR="00C606E7" w:rsidRDefault="00C606E7" w:rsidP="00C606E7">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eerste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C606E7" w:rsidRDefault="00C606E7" w:rsidP="00C606E7">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kan het bevoegd gezag maatwerkvoorschriften als bedoeld in het derde lid stellen.</w:t>
      </w:r>
    </w:p>
    <w:p w:rsidR="00C606E7" w:rsidRDefault="00C606E7" w:rsidP="00C606E7">
      <w:pPr>
        <w:pStyle w:val="artikelkop"/>
        <w:shd w:val="clear" w:color="auto" w:fill="D9D9D9" w:themeFill="background1" w:themeFillShade="D9"/>
      </w:pPr>
      <w:r>
        <w:t>Artikel 4.101</w:t>
      </w:r>
    </w:p>
    <w:p w:rsidR="00C606E7" w:rsidRDefault="00C606E7" w:rsidP="00C606E7">
      <w:pPr>
        <w:pStyle w:val="artplat"/>
        <w:shd w:val="clear" w:color="auto" w:fill="D9D9D9" w:themeFill="background1" w:themeFillShade="D9"/>
        <w:suppressAutoHyphens/>
        <w:rPr>
          <w:rFonts w:cs="Arial"/>
        </w:rPr>
      </w:pPr>
      <w:r>
        <w:rPr>
          <w:rFonts w:cs="Arial"/>
        </w:rPr>
        <w:t>Aan de procesmatige scheiding als bedoeld in artikel 4.91, tweede lid, van het besluit wordt in ieder geval voldaan indien de inkt aan de zeefdrukmachine wordt verwijderd en één van de volgende technieken wordt toegepast:</w:t>
      </w:r>
    </w:p>
    <w:p w:rsidR="00C606E7" w:rsidRDefault="00C606E7" w:rsidP="00C606E7">
      <w:pPr>
        <w:pStyle w:val="artplatletter"/>
        <w:shd w:val="clear" w:color="auto" w:fill="D9D9D9" w:themeFill="background1" w:themeFillShade="D9"/>
        <w:suppressAutoHyphens/>
        <w:rPr>
          <w:rFonts w:cs="Arial"/>
        </w:rPr>
      </w:pPr>
      <w:r>
        <w:rPr>
          <w:rFonts w:cs="Arial"/>
        </w:rPr>
        <w:t>a.</w:t>
      </w:r>
      <w:r>
        <w:rPr>
          <w:rFonts w:cs="Arial"/>
        </w:rPr>
        <w:tab/>
        <w:t>een automatische drukvormwasinstallatie;</w:t>
      </w:r>
    </w:p>
    <w:p w:rsidR="00C606E7" w:rsidRDefault="00C606E7" w:rsidP="00C606E7">
      <w:pPr>
        <w:pStyle w:val="artplatletter"/>
        <w:shd w:val="clear" w:color="auto" w:fill="D9D9D9" w:themeFill="background1" w:themeFillShade="D9"/>
        <w:suppressAutoHyphens/>
        <w:rPr>
          <w:rFonts w:cs="Arial"/>
        </w:rPr>
      </w:pPr>
      <w:r>
        <w:rPr>
          <w:rFonts w:cs="Arial"/>
        </w:rPr>
        <w:t>b.</w:t>
      </w:r>
      <w:r>
        <w:rPr>
          <w:rFonts w:cs="Arial"/>
        </w:rPr>
        <w:tab/>
        <w:t>een drukvormspoelmeubel.</w:t>
      </w:r>
    </w:p>
    <w:p w:rsidR="00C606E7" w:rsidRDefault="00C606E7" w:rsidP="00C606E7">
      <w:pPr>
        <w:pStyle w:val="artikelkop"/>
        <w:shd w:val="clear" w:color="auto" w:fill="D9D9D9" w:themeFill="background1" w:themeFillShade="D9"/>
      </w:pPr>
      <w:r>
        <w:t>Artikel 4.102</w:t>
      </w:r>
    </w:p>
    <w:p w:rsidR="00C606E7" w:rsidRPr="00620047" w:rsidRDefault="00C606E7" w:rsidP="00C606E7">
      <w:pPr>
        <w:pStyle w:val="artplat"/>
        <w:shd w:val="clear" w:color="auto" w:fill="D9D9D9" w:themeFill="background1" w:themeFillShade="D9"/>
        <w:suppressAutoHyphens/>
        <w:rPr>
          <w:rFonts w:cs="Arial"/>
        </w:rPr>
      </w:pPr>
      <w:r>
        <w:rPr>
          <w:rFonts w:cs="Arial"/>
        </w:rPr>
        <w:t>Ten behoeve van het realiseren van een verwaarloosbaar bodemrisico vindt het zeefdrukken en het verwijderen van inkt van zeefdrukramen door middel van reinigen of andere methoden plaats boven een bodembeschermende voorziening.</w:t>
      </w:r>
    </w:p>
    <w:p w:rsidR="00296032" w:rsidRPr="00296032" w:rsidRDefault="00296032">
      <w:pPr>
        <w:pStyle w:val="paragraaf"/>
        <w:rPr>
          <w:rFonts w:cs="Arial"/>
        </w:rPr>
      </w:pPr>
      <w:bookmarkStart w:id="295" w:name="_Toc277243253"/>
      <w:bookmarkStart w:id="296" w:name="_Toc431375749"/>
      <w:r w:rsidRPr="00296032">
        <w:rPr>
          <w:rFonts w:cs="Arial"/>
        </w:rPr>
        <w:t>§ 4.7.3</w:t>
      </w:r>
      <w:r w:rsidRPr="00296032">
        <w:rPr>
          <w:rFonts w:cs="Arial"/>
        </w:rPr>
        <w:tab/>
        <w:t>Vellenoffset druktechniek</w:t>
      </w:r>
      <w:bookmarkEnd w:id="295"/>
      <w:bookmarkEnd w:id="296"/>
    </w:p>
    <w:p w:rsidR="00296032" w:rsidRPr="00296032" w:rsidRDefault="00296032">
      <w:pPr>
        <w:pStyle w:val="artikelkop"/>
        <w:rPr>
          <w:rFonts w:cs="Arial"/>
        </w:rPr>
      </w:pPr>
      <w:r w:rsidRPr="00296032">
        <w:rPr>
          <w:rFonts w:cs="Arial"/>
        </w:rPr>
        <w:t>Artikel 4.93a</w:t>
      </w:r>
    </w:p>
    <w:p w:rsidR="00296032" w:rsidRPr="00620047" w:rsidRDefault="00296032">
      <w:pPr>
        <w:pStyle w:val="artplat"/>
      </w:pPr>
      <w:r w:rsidRPr="00620047">
        <w:t>Deze paragraaf is van toepassing op het bedrukken met vellenoffset.</w:t>
      </w:r>
    </w:p>
    <w:p w:rsidR="00296032" w:rsidRPr="00296032" w:rsidRDefault="00296032">
      <w:pPr>
        <w:pStyle w:val="artikelkop"/>
        <w:rPr>
          <w:rFonts w:cs="Arial"/>
        </w:rPr>
      </w:pPr>
      <w:r w:rsidRPr="00296032">
        <w:rPr>
          <w:rFonts w:cs="Arial"/>
        </w:rPr>
        <w:t>Artikel 4.94</w:t>
      </w:r>
    </w:p>
    <w:p w:rsidR="00296032" w:rsidRPr="00620047" w:rsidRDefault="00296032">
      <w:pPr>
        <w:rPr>
          <w:rFonts w:cs="Arial"/>
        </w:rPr>
      </w:pPr>
      <w:r w:rsidRPr="00620047">
        <w:rPr>
          <w:rFonts w:cs="Arial"/>
        </w:rPr>
        <w:t>Onverminderd artikel 2.5, eerste, vierde en vijfde lid, en artikel 2.6 is bij het toepassen van anti-smetpoeder in vellenoffsetdrukpersen de emissieconcentratie van stofklasse S niet meer dan:</w:t>
      </w:r>
    </w:p>
    <w:p w:rsidR="00296032" w:rsidRPr="00620047" w:rsidRDefault="00296032">
      <w:pPr>
        <w:pStyle w:val="artplatletter"/>
        <w:rPr>
          <w:rFonts w:cs="Arial"/>
        </w:rPr>
      </w:pPr>
      <w:r w:rsidRPr="00620047">
        <w:rPr>
          <w:rFonts w:cs="Arial"/>
        </w:rPr>
        <w:t>a.</w:t>
      </w:r>
      <w:r w:rsidRPr="00620047">
        <w:rPr>
          <w:rFonts w:cs="Arial"/>
        </w:rPr>
        <w:tab/>
        <w:t>5 milligram per normaal kubieke meter indien de massastroom van stofklasse S gelijk is aan of groter is dan 200 gram per uur;</w:t>
      </w:r>
    </w:p>
    <w:p w:rsidR="00296032" w:rsidRPr="00620047" w:rsidRDefault="00296032">
      <w:pPr>
        <w:pStyle w:val="artplatletter"/>
        <w:rPr>
          <w:rFonts w:cs="Arial"/>
        </w:rPr>
      </w:pPr>
      <w:r w:rsidRPr="00620047">
        <w:rPr>
          <w:rFonts w:cs="Arial"/>
        </w:rPr>
        <w:t>b.</w:t>
      </w:r>
      <w:r w:rsidRPr="00620047">
        <w:rPr>
          <w:rFonts w:cs="Arial"/>
        </w:rPr>
        <w:tab/>
        <w:t>50 milligram per normaal kubieke meter indien de massastroom van stofklasse S kleiner is dan 200 gram per uur.</w:t>
      </w:r>
    </w:p>
    <w:p w:rsidR="00296032" w:rsidRPr="00296032" w:rsidRDefault="00296032">
      <w:pPr>
        <w:pStyle w:val="artikelkop"/>
        <w:rPr>
          <w:rFonts w:cs="Arial"/>
        </w:rPr>
      </w:pPr>
      <w:r w:rsidRPr="00296032">
        <w:rPr>
          <w:rFonts w:cs="Arial"/>
        </w:rPr>
        <w:t>Artikel 4.94a</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de inrichting drijft, neemt bij het bedrukken met vellenoffset met betrekking tot vluchtige organische stoffen de bij ministeriële regeling voorgeschreven emissiereducerende maatregelen, tenzij deze niet kosteneffectief of technisch uitvoerbaar zijn.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eerste lid is niet van toepassing indien het totaal verbruik van vluchtige organische stoffen bij de in het eerste lid genoemde activiteiten minder bedraagt dan 1.000 kilogram per jaar.</w:t>
      </w:r>
    </w:p>
    <w:p w:rsidR="00296032" w:rsidRPr="00620047" w:rsidRDefault="00296032">
      <w:pPr>
        <w:pStyle w:val="art1enivo"/>
        <w:rPr>
          <w:rFonts w:cs="Arial"/>
        </w:rPr>
      </w:pPr>
      <w:r w:rsidRPr="00620047">
        <w:rPr>
          <w:bCs/>
        </w:rPr>
        <w:t>3</w:t>
      </w:r>
      <w:r w:rsidRPr="00620047">
        <w:rPr>
          <w:rFonts w:cs="Arial"/>
          <w:bCs/>
        </w:rPr>
        <w:t>.</w:t>
      </w:r>
      <w:r w:rsidRPr="00620047">
        <w:rPr>
          <w:rFonts w:cs="Arial"/>
          <w:bCs/>
        </w:rPr>
        <w:tab/>
      </w:r>
      <w:r w:rsidRPr="00620047">
        <w:rPr>
          <w:rFonts w:cs="Arial"/>
        </w:rPr>
        <w:t>Indien het bedrukken met vellenoffset plaatsvindt in samenhang met het coaten van het substraat en daarbij de drempelwaarden, genoemd in tabel 2.28a</w:t>
      </w:r>
      <w:r w:rsidR="00244F18">
        <w:rPr>
          <w:rFonts w:cs="Arial"/>
        </w:rPr>
        <w:t xml:space="preserve"> </w:t>
      </w:r>
      <w:r w:rsidRPr="00620047">
        <w:rPr>
          <w:rFonts w:cs="Arial"/>
        </w:rPr>
        <w:t>worden overschreden, zijn het eerste en tweede lid niet van toepassing op het bedrukken met vellenoffset en het reinigen van de daarbij gebruikte apparatuur en is afdeling 2.11 van toepassing.</w:t>
      </w:r>
    </w:p>
    <w:p w:rsidR="00296032" w:rsidRPr="00296032" w:rsidRDefault="00296032">
      <w:pPr>
        <w:pStyle w:val="artikelkop"/>
        <w:rPr>
          <w:rFonts w:cs="Arial"/>
        </w:rPr>
      </w:pPr>
      <w:r w:rsidRPr="00296032">
        <w:rPr>
          <w:rFonts w:cs="Arial"/>
        </w:rPr>
        <w:t>Artikel 4.94b</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in het vuilwaterriool lozen van afvalwater afkomstig van:</w:t>
      </w:r>
    </w:p>
    <w:p w:rsidR="00296032" w:rsidRPr="00620047" w:rsidRDefault="00296032">
      <w:pPr>
        <w:pStyle w:val="art2enivo"/>
        <w:rPr>
          <w:rFonts w:cs="Arial"/>
        </w:rPr>
      </w:pPr>
      <w:r w:rsidRPr="00620047">
        <w:rPr>
          <w:rFonts w:cs="Arial"/>
        </w:rPr>
        <w:t>a.</w:t>
      </w:r>
      <w:r w:rsidRPr="00620047">
        <w:rPr>
          <w:rFonts w:cs="Arial"/>
        </w:rPr>
        <w:tab/>
        <w:t>het toepassen van vellenoffsettechnieken;</w:t>
      </w:r>
    </w:p>
    <w:p w:rsidR="00296032" w:rsidRPr="00620047" w:rsidRDefault="00296032">
      <w:pPr>
        <w:pStyle w:val="art2enivo"/>
        <w:rPr>
          <w:rFonts w:cs="Arial"/>
        </w:rPr>
      </w:pPr>
      <w:r w:rsidRPr="00620047">
        <w:rPr>
          <w:rFonts w:cs="Arial"/>
        </w:rPr>
        <w:t>b.</w:t>
      </w:r>
      <w:r w:rsidRPr="00620047">
        <w:rPr>
          <w:rFonts w:cs="Arial"/>
        </w:rPr>
        <w:tab/>
        <w:t>het reinigen van de daarbij gebruikte apparatuur, of</w:t>
      </w:r>
    </w:p>
    <w:p w:rsidR="00296032" w:rsidRPr="00620047" w:rsidRDefault="00296032">
      <w:pPr>
        <w:pStyle w:val="art2enivo"/>
        <w:rPr>
          <w:rFonts w:cs="Arial"/>
        </w:rPr>
      </w:pPr>
      <w:r w:rsidRPr="00620047">
        <w:rPr>
          <w:rFonts w:cs="Arial"/>
        </w:rPr>
        <w:t>c.</w:t>
      </w:r>
      <w:r w:rsidRPr="00620047">
        <w:rPr>
          <w:rFonts w:cs="Arial"/>
        </w:rPr>
        <w:tab/>
        <w:t>de vormvervaardiging exclusief fotografische processen,</w:t>
      </w:r>
    </w:p>
    <w:p w:rsidR="00296032" w:rsidRPr="00620047" w:rsidRDefault="00296032">
      <w:pPr>
        <w:pStyle w:val="art2enivo"/>
        <w:rPr>
          <w:rFonts w:cs="Arial"/>
        </w:rPr>
      </w:pPr>
      <w:r w:rsidRPr="00620047">
        <w:rPr>
          <w:rFonts w:cs="Arial"/>
        </w:rPr>
        <w:t>wordt ten minste voldaan aan het tweede tot en met het vierde lid.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afvalwater afkomstig van het reinigen van rubberdoeken en drukvormen van vellenoffsetpersen bevat, voor vermenging met ander afvalwater, niet meer dan 200 milligram olie per liter in enig steekmonster.</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te lozen afvalwater kan op een doelmatige wijze worden bemonsterd.</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Bij het lozen, bedoeld in het eerste lid, wordt rekening gehouden met de beschikbare milieu-informatie van de stoffen die in het afvalwater kunnen geraken. Indien op grond van die informatie uit de algemene beoordelingsmethodiek voor stoffen en preparaten zoals opgenomen in de nota "Het beoordelen van stoffen en preparaten voor de uitvoering van het emissiebeleid water" van de Commissie Integraal Waterbeheer, blijkt dat de stof wordt aangemerkt als een stof met saneringsinspanning A, wordt deze niet geloosd.</w:t>
      </w:r>
    </w:p>
    <w:p w:rsidR="00296032" w:rsidRPr="00296032" w:rsidRDefault="00296032">
      <w:pPr>
        <w:pStyle w:val="artikelkop"/>
        <w:rPr>
          <w:rFonts w:cs="Arial"/>
        </w:rPr>
      </w:pPr>
      <w:r w:rsidRPr="00296032">
        <w:rPr>
          <w:rFonts w:cs="Arial"/>
        </w:rPr>
        <w:t>Artikel 4.94c</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de vervaardiging van drukvormen voor het bedrukken met vellenoffset worden geen chroomzouthoudende ets- en correctiemiddelen toegepast.</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het ontwikkelen en naharden van kopieerlagen voor het bedrukken met vellenoffset worden geen chroomhoudende oplossingen gebruikt.</w:t>
      </w:r>
    </w:p>
    <w:p w:rsidR="00296032" w:rsidRPr="00296032" w:rsidRDefault="00296032">
      <w:pPr>
        <w:pStyle w:val="artikelkop"/>
        <w:rPr>
          <w:rFonts w:cs="Arial"/>
        </w:rPr>
      </w:pPr>
      <w:r w:rsidRPr="00296032">
        <w:rPr>
          <w:rFonts w:cs="Arial"/>
        </w:rPr>
        <w:t>Artikel 4.94d</w:t>
      </w:r>
    </w:p>
    <w:p w:rsidR="00296032" w:rsidRPr="00620047" w:rsidRDefault="00296032">
      <w:pPr>
        <w:rPr>
          <w:rFonts w:cs="Arial"/>
        </w:rPr>
      </w:pPr>
      <w:r w:rsidRPr="00620047">
        <w:rPr>
          <w:rFonts w:cs="Arial"/>
        </w:rPr>
        <w:t>Bij het bedrukken met vellenoffset worden ten behoeve van:</w:t>
      </w:r>
    </w:p>
    <w:p w:rsidR="00296032" w:rsidRPr="00620047" w:rsidRDefault="00296032">
      <w:pPr>
        <w:pStyle w:val="artplatletter"/>
        <w:rPr>
          <w:rFonts w:cs="Arial"/>
        </w:rPr>
      </w:pPr>
      <w:r w:rsidRPr="00620047">
        <w:rPr>
          <w:rFonts w:cs="Arial"/>
        </w:rPr>
        <w:t>a.</w:t>
      </w:r>
      <w:r w:rsidRPr="00620047">
        <w:rPr>
          <w:rFonts w:cs="Arial"/>
        </w:rPr>
        <w:tab/>
        <w:t>het voorkomen dan wel beperken van diffuse emissies;</w:t>
      </w:r>
    </w:p>
    <w:p w:rsidR="00296032" w:rsidRPr="00620047" w:rsidRDefault="00296032">
      <w:pPr>
        <w:pStyle w:val="artplatletter"/>
        <w:rPr>
          <w:rFonts w:cs="Arial"/>
        </w:rPr>
      </w:pPr>
      <w:r w:rsidRPr="00620047">
        <w:rPr>
          <w:rFonts w:cs="Arial"/>
        </w:rPr>
        <w:t>b.</w:t>
      </w:r>
      <w:r w:rsidRPr="00620047">
        <w:rPr>
          <w:rFonts w:cs="Arial"/>
        </w:rPr>
        <w:tab/>
        <w:t>het doelmatig verspreiden van emissies naar de buitenlucht;</w:t>
      </w:r>
    </w:p>
    <w:p w:rsidR="00296032" w:rsidRPr="00620047" w:rsidRDefault="00296032">
      <w:pPr>
        <w:pStyle w:val="artplatletter"/>
        <w:rPr>
          <w:rFonts w:cs="Arial"/>
        </w:rPr>
      </w:pPr>
      <w:r w:rsidRPr="00620047">
        <w:rPr>
          <w:rFonts w:cs="Arial"/>
        </w:rPr>
        <w:t>c.</w:t>
      </w:r>
      <w:r w:rsidRPr="00620047">
        <w:rPr>
          <w:rFonts w:cs="Arial"/>
        </w:rPr>
        <w:tab/>
        <w:t>het voorkomen dan wel beperken van geurhinder, en</w:t>
      </w:r>
    </w:p>
    <w:p w:rsidR="00296032" w:rsidRPr="00620047" w:rsidRDefault="00296032">
      <w:pPr>
        <w:pStyle w:val="artplatletter"/>
        <w:rPr>
          <w:rFonts w:cs="Arial"/>
        </w:rPr>
      </w:pPr>
      <w:r w:rsidRPr="00620047">
        <w:rPr>
          <w:rFonts w:cs="Arial"/>
        </w:rPr>
        <w:t>d.</w:t>
      </w:r>
      <w:r w:rsidRPr="00620047">
        <w:rPr>
          <w:rFonts w:cs="Arial"/>
        </w:rPr>
        <w:tab/>
        <w:t>het realiseren van een verwaarloosbaar bodemrisico,</w:t>
      </w:r>
    </w:p>
    <w:p w:rsidR="00296032" w:rsidRDefault="00296032">
      <w:pPr>
        <w:rPr>
          <w:rFonts w:cs="Arial"/>
        </w:rPr>
      </w:pPr>
      <w:r w:rsidRPr="00620047">
        <w:rPr>
          <w:rFonts w:cs="Arial"/>
        </w:rPr>
        <w:t>de bij ministeriële regeling voorgeschreven maatregelen toegepast.</w:t>
      </w:r>
    </w:p>
    <w:p w:rsidR="00C606E7" w:rsidRDefault="00C606E7">
      <w:pPr>
        <w:rPr>
          <w:rFonts w:cs="Arial"/>
        </w:rPr>
      </w:pPr>
    </w:p>
    <w:p w:rsidR="00C606E7" w:rsidRDefault="00C606E7" w:rsidP="00C606E7">
      <w:pPr>
        <w:pStyle w:val="paragraaf"/>
        <w:shd w:val="clear" w:color="auto" w:fill="D9D9D9" w:themeFill="background1" w:themeFillShade="D9"/>
      </w:pPr>
      <w:bookmarkStart w:id="297" w:name="_Toc431375750"/>
      <w:r>
        <w:t>§ 4.7.1a.</w:t>
      </w:r>
      <w:r>
        <w:tab/>
        <w:t>Vellenoffset druktechniek</w:t>
      </w:r>
      <w:bookmarkEnd w:id="297"/>
    </w:p>
    <w:p w:rsidR="00C606E7" w:rsidRDefault="00C606E7" w:rsidP="00C606E7">
      <w:pPr>
        <w:pStyle w:val="artikelkop"/>
        <w:shd w:val="clear" w:color="auto" w:fill="D9D9D9" w:themeFill="background1" w:themeFillShade="D9"/>
      </w:pPr>
      <w:r>
        <w:t>Artikel 4.102a</w:t>
      </w:r>
    </w:p>
    <w:p w:rsidR="00C606E7" w:rsidRDefault="00C606E7" w:rsidP="00C606E7">
      <w:pPr>
        <w:pStyle w:val="art1enivo"/>
        <w:shd w:val="clear" w:color="auto" w:fill="D9D9D9" w:themeFill="background1" w:themeFillShade="D9"/>
        <w:suppressAutoHyphens/>
        <w:rPr>
          <w:rFonts w:cs="Arial"/>
        </w:rPr>
      </w:pPr>
      <w:r>
        <w:rPr>
          <w:rFonts w:cs="Arial"/>
        </w:rPr>
        <w:t>1.</w:t>
      </w:r>
      <w:r>
        <w:rPr>
          <w:rFonts w:cs="Arial"/>
        </w:rPr>
        <w:tab/>
        <w:t>Ten behoeve van het voorkomen dan wel het zoveel mogelijk beperken van diffuse emissies, wordt stofklasse S dat vrijkomt bij het gebruik van anti-smetpoeder bij vellenoffsetdrukpersen, voor zover dat redelijkerwijs mogelijk is, doelmatig aan de bron afgezogen.</w:t>
      </w:r>
    </w:p>
    <w:p w:rsidR="00C606E7" w:rsidRDefault="00C606E7" w:rsidP="00C606E7">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de afgezogen stofemissies die vrijkomen bij vellenoffsetdrukpersen en die naar de buitenlucht worden afgevoerd, bovendaks en omhoog gericht afgevoerd, indien binnen 50 meter van een emissiepunt een gevoelig gebouw is gelegen, niet zijnde een gevoelig gebouw op een gezoneerd industrieterrein, dan wel op een bedrijventerrein met minder dan één gevoelig gebouw per hectare.</w:t>
      </w:r>
    </w:p>
    <w:p w:rsidR="00C606E7" w:rsidRDefault="00C606E7" w:rsidP="00C606E7">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en  maatwerkvoorschriften stellen aan de ligging en uitvoering van het afvoerpunt van emissies naar de buitenlucht, bedoeld in het tweede lid.</w:t>
      </w:r>
    </w:p>
    <w:p w:rsidR="00C606E7" w:rsidRDefault="00C606E7" w:rsidP="00C606E7">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C606E7" w:rsidRDefault="00C606E7" w:rsidP="00C606E7">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kan het bevoegd gezag maatwerkvoorschriften als bedoeld in het derde lid stellen.</w:t>
      </w:r>
    </w:p>
    <w:p w:rsidR="00C606E7" w:rsidRDefault="00C606E7" w:rsidP="00C606E7">
      <w:pPr>
        <w:pStyle w:val="artikelkop"/>
        <w:shd w:val="clear" w:color="auto" w:fill="D9D9D9" w:themeFill="background1" w:themeFillShade="D9"/>
      </w:pPr>
      <w:r>
        <w:t>Artikel 4.102b</w:t>
      </w:r>
    </w:p>
    <w:p w:rsidR="00C606E7" w:rsidRDefault="00C606E7" w:rsidP="00C606E7">
      <w:pPr>
        <w:pStyle w:val="artplat"/>
        <w:shd w:val="clear" w:color="auto" w:fill="D9D9D9" w:themeFill="background1" w:themeFillShade="D9"/>
        <w:suppressAutoHyphens/>
        <w:rPr>
          <w:rFonts w:cs="Arial"/>
        </w:rPr>
      </w:pPr>
      <w:r>
        <w:rPr>
          <w:rFonts w:cs="Arial"/>
        </w:rPr>
        <w:t>Aan artikel 4.94 van het besluit wordt in ieder geval voldaan indien:</w:t>
      </w:r>
    </w:p>
    <w:p w:rsidR="00C606E7" w:rsidRDefault="00C606E7" w:rsidP="00C606E7">
      <w:pPr>
        <w:pStyle w:val="artplatletter"/>
        <w:shd w:val="clear" w:color="auto" w:fill="D9D9D9" w:themeFill="background1" w:themeFillShade="D9"/>
        <w:suppressAutoHyphens/>
        <w:rPr>
          <w:rFonts w:cs="Arial"/>
        </w:rPr>
      </w:pPr>
      <w:r>
        <w:rPr>
          <w:rFonts w:cs="Arial"/>
        </w:rPr>
        <w:t>a.</w:t>
      </w:r>
      <w:r>
        <w:rPr>
          <w:rFonts w:cs="Arial"/>
        </w:rPr>
        <w:tab/>
        <w:t>het gebruik van anti-smetpoeder minder bedraagt dan 500 kg per jaar; of</w:t>
      </w:r>
    </w:p>
    <w:p w:rsidR="00C606E7" w:rsidRDefault="00C606E7" w:rsidP="00C606E7">
      <w:pPr>
        <w:pStyle w:val="artplatletter"/>
        <w:shd w:val="clear" w:color="auto" w:fill="D9D9D9" w:themeFill="background1" w:themeFillShade="D9"/>
        <w:suppressAutoHyphens/>
        <w:rPr>
          <w:rFonts w:cs="Arial"/>
        </w:rPr>
      </w:pPr>
      <w:r>
        <w:rPr>
          <w:rFonts w:cs="Arial"/>
        </w:rPr>
        <w:t>b.</w:t>
      </w:r>
      <w:r>
        <w:rPr>
          <w:rFonts w:cs="Arial"/>
        </w:rPr>
        <w:tab/>
        <w:t>de afgezogen stofemissies die vrijkomen bij vellenoffsetdrukpersen worden gevoerd door een filtrerende afscheider, die geschikt is om aan artikel 4.94 van het besluit te voldoen, in goede staat van onderhoud verkeert, periodiek gecontroleerd wordt en zo vaak als voor de goede werking nodig is, wordt schoongemaakt en vervangen.</w:t>
      </w:r>
    </w:p>
    <w:p w:rsidR="00C606E7" w:rsidRDefault="00C606E7" w:rsidP="00C606E7">
      <w:pPr>
        <w:pStyle w:val="artikelkop"/>
        <w:shd w:val="clear" w:color="auto" w:fill="D9D9D9" w:themeFill="background1" w:themeFillShade="D9"/>
      </w:pPr>
      <w:r>
        <w:t>Artikel 4.102c</w:t>
      </w:r>
    </w:p>
    <w:p w:rsidR="00C606E7" w:rsidRDefault="00C606E7" w:rsidP="00C606E7">
      <w:pPr>
        <w:pStyle w:val="art1enivo"/>
        <w:shd w:val="clear" w:color="auto" w:fill="D9D9D9" w:themeFill="background1" w:themeFillShade="D9"/>
        <w:suppressAutoHyphens/>
        <w:rPr>
          <w:rFonts w:cs="Arial"/>
        </w:rPr>
      </w:pPr>
      <w:r>
        <w:rPr>
          <w:rFonts w:cs="Arial"/>
        </w:rPr>
        <w:t>1.</w:t>
      </w:r>
      <w:r>
        <w:rPr>
          <w:rFonts w:cs="Arial"/>
        </w:rPr>
        <w:tab/>
        <w:t>Ten behoeve van het voorkomen dan wel het zoveel mogelijk beperken van diffuse emissies, worden gassen en dampen die vrijkomen bij het offsetdrukproces, voor zover dat redelijkerwijs mogelijk is, doelmatig aan de bron afgezogen.</w:t>
      </w:r>
    </w:p>
    <w:p w:rsidR="00C606E7" w:rsidRDefault="00C606E7" w:rsidP="00C606E7">
      <w:pPr>
        <w:pStyle w:val="art1enivo"/>
        <w:shd w:val="clear" w:color="auto" w:fill="D9D9D9" w:themeFill="background1" w:themeFillShade="D9"/>
        <w:suppressAutoHyphens/>
        <w:rPr>
          <w:rFonts w:cs="Arial"/>
        </w:rPr>
      </w:pPr>
      <w:r>
        <w:rPr>
          <w:rFonts w:cs="Arial"/>
        </w:rPr>
        <w:t>2.</w:t>
      </w:r>
      <w:r>
        <w:rPr>
          <w:rFonts w:cs="Arial"/>
        </w:rPr>
        <w:tab/>
        <w:t>Ten behoeve van het voorkomen dan wel voor zover dat niet mogelijk is het tot een aanvaardbaar niveau beperken van geurhinder, worden de overeenkomstig het eerste lid afgezogen dampen en gassen, indien deze op de buitenlucht worden geëmitteerd, ten minste twee meter boven de hoogste daklijn van de binnen 25 meter van de uitmonding gelegen gebouwen afgevoerd.</w:t>
      </w:r>
    </w:p>
    <w:p w:rsidR="00C606E7" w:rsidRDefault="00C606E7" w:rsidP="00C606E7">
      <w:pPr>
        <w:pStyle w:val="art1enivo"/>
        <w:shd w:val="clear" w:color="auto" w:fill="D9D9D9" w:themeFill="background1" w:themeFillShade="D9"/>
        <w:suppressAutoHyphens/>
        <w:rPr>
          <w:rFonts w:cs="Arial"/>
        </w:rPr>
      </w:pPr>
      <w:r>
        <w:rPr>
          <w:rFonts w:cs="Arial"/>
        </w:rPr>
        <w:t>3.</w:t>
      </w:r>
      <w:r>
        <w:rPr>
          <w:rFonts w:cs="Arial"/>
        </w:rPr>
        <w:tab/>
        <w:t>Het tweede lid is niet van toepassing indien het mogelijke effect van de geuremissie van de uittredende lucht van een afzuiginstallatie beperkt blijft tot een gezoneerd industrieterrein of een bedrijventerrein met minder dan één gevoelig gebouw per hectare.</w:t>
      </w:r>
    </w:p>
    <w:p w:rsidR="00C606E7" w:rsidRDefault="00C606E7" w:rsidP="00C606E7">
      <w:pPr>
        <w:pStyle w:val="art1enivo"/>
        <w:shd w:val="clear" w:color="auto" w:fill="D9D9D9" w:themeFill="background1" w:themeFillShade="D9"/>
        <w:suppressAutoHyphens/>
        <w:rPr>
          <w:rFonts w:cs="Arial"/>
        </w:rPr>
      </w:pPr>
      <w:r>
        <w:rPr>
          <w:rFonts w:cs="Arial"/>
        </w:rPr>
        <w:t>4.</w:t>
      </w:r>
      <w:r>
        <w:rPr>
          <w:rFonts w:cs="Arial"/>
        </w:rPr>
        <w:tab/>
        <w:t>Het bevoegd gezag kan indien blijkt dat de geurhinder een aanvaardbaar niveau overschrijdt vanwege onvoldoende verspreiding van afgezogen dampen, geuremissies die niet via de afzuiging worden afgevoerd of incidentele geurpieken in aanvulling op het tweede lid overeenkomstig artikel 2.7a, derde lid, van het besluit maatwerkvoorschriften stellen met betrekking tot:</w:t>
      </w:r>
    </w:p>
    <w:p w:rsidR="00C606E7" w:rsidRDefault="00C606E7" w:rsidP="00C606E7">
      <w:pPr>
        <w:pStyle w:val="art2enivo"/>
        <w:shd w:val="clear" w:color="auto" w:fill="D9D9D9" w:themeFill="background1" w:themeFillShade="D9"/>
        <w:suppressAutoHyphens/>
        <w:rPr>
          <w:rFonts w:cs="Arial"/>
        </w:rPr>
      </w:pPr>
      <w:r>
        <w:rPr>
          <w:rFonts w:cs="Arial"/>
        </w:rPr>
        <w:t>a.</w:t>
      </w:r>
      <w:r>
        <w:rPr>
          <w:rFonts w:cs="Arial"/>
        </w:rPr>
        <w:tab/>
        <w:t>de situering van de afvoerpijp;</w:t>
      </w:r>
    </w:p>
    <w:p w:rsidR="00C606E7" w:rsidRDefault="00C606E7" w:rsidP="00C606E7">
      <w:pPr>
        <w:pStyle w:val="art2enivo"/>
        <w:shd w:val="clear" w:color="auto" w:fill="D9D9D9" w:themeFill="background1" w:themeFillShade="D9"/>
        <w:suppressAutoHyphens/>
        <w:rPr>
          <w:rFonts w:cs="Arial"/>
        </w:rPr>
      </w:pPr>
      <w:r>
        <w:rPr>
          <w:rFonts w:cs="Arial"/>
        </w:rPr>
        <w:t>b.</w:t>
      </w:r>
      <w:r>
        <w:rPr>
          <w:rFonts w:cs="Arial"/>
        </w:rPr>
        <w:tab/>
        <w:t>het voorkomen of beperken van diffuse geuremissies; of</w:t>
      </w:r>
    </w:p>
    <w:p w:rsidR="00C606E7" w:rsidRDefault="00C606E7" w:rsidP="00C606E7">
      <w:pPr>
        <w:pStyle w:val="art2enivo"/>
        <w:shd w:val="clear" w:color="auto" w:fill="D9D9D9" w:themeFill="background1" w:themeFillShade="D9"/>
        <w:suppressAutoHyphens/>
        <w:rPr>
          <w:rFonts w:cs="Arial"/>
        </w:rPr>
      </w:pPr>
      <w:r>
        <w:rPr>
          <w:rFonts w:cs="Arial"/>
        </w:rPr>
        <w:t>c.</w:t>
      </w:r>
      <w:r>
        <w:rPr>
          <w:rFonts w:cs="Arial"/>
        </w:rPr>
        <w:tab/>
        <w:t>het beperken van incidentele geurpieken tot specifieke tijdstippen.</w:t>
      </w:r>
    </w:p>
    <w:p w:rsidR="00C606E7" w:rsidRDefault="00C606E7" w:rsidP="00C606E7">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C606E7" w:rsidRDefault="00C606E7" w:rsidP="00C606E7">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In afwijking van het vijfde lid kan het bevoegd gezag maatwerkvoorschriften als bedoeld in het vierde lid stellen.</w:t>
      </w:r>
    </w:p>
    <w:p w:rsidR="00C606E7" w:rsidRDefault="00C606E7" w:rsidP="00C606E7">
      <w:pPr>
        <w:pStyle w:val="artikelkop"/>
        <w:shd w:val="clear" w:color="auto" w:fill="D9D9D9" w:themeFill="background1" w:themeFillShade="D9"/>
      </w:pPr>
      <w:r>
        <w:t>Artikel 4.102d</w:t>
      </w:r>
    </w:p>
    <w:p w:rsidR="00C606E7" w:rsidRDefault="00C606E7" w:rsidP="00C606E7">
      <w:pPr>
        <w:pStyle w:val="art1enivo"/>
        <w:shd w:val="clear" w:color="auto" w:fill="D9D9D9" w:themeFill="background1" w:themeFillShade="D9"/>
        <w:suppressAutoHyphens/>
        <w:rPr>
          <w:rFonts w:cs="Arial"/>
        </w:rPr>
      </w:pPr>
      <w:r>
        <w:rPr>
          <w:rFonts w:cs="Arial"/>
        </w:rPr>
        <w:t>1.</w:t>
      </w:r>
      <w:r>
        <w:rPr>
          <w:rFonts w:cs="Arial"/>
        </w:rPr>
        <w:tab/>
        <w:t>Ter uitvoering van artikel 4.94a, eerste lid, van het besluit, past degene die de inrichting drijft:</w:t>
      </w:r>
    </w:p>
    <w:p w:rsidR="00C606E7" w:rsidRDefault="00C606E7" w:rsidP="00C606E7">
      <w:pPr>
        <w:pStyle w:val="art2enivo"/>
        <w:shd w:val="clear" w:color="auto" w:fill="D9D9D9" w:themeFill="background1" w:themeFillShade="D9"/>
        <w:suppressAutoHyphens/>
        <w:rPr>
          <w:rFonts w:cs="Arial"/>
        </w:rPr>
      </w:pPr>
      <w:r>
        <w:rPr>
          <w:rFonts w:cs="Arial"/>
        </w:rPr>
        <w:t>a.</w:t>
      </w:r>
      <w:r>
        <w:rPr>
          <w:rFonts w:cs="Arial"/>
        </w:rPr>
        <w:tab/>
        <w:t>bij het toepassen van vluchtige organische stoffen in het vochtwater een zo laag als redelijkerwijs mogelijk gehalte aan vluchtige organische stoffen toe;</w:t>
      </w:r>
    </w:p>
    <w:p w:rsidR="00C606E7" w:rsidRDefault="00C606E7" w:rsidP="00C606E7">
      <w:pPr>
        <w:pStyle w:val="art2enivo"/>
        <w:shd w:val="clear" w:color="auto" w:fill="D9D9D9" w:themeFill="background1" w:themeFillShade="D9"/>
        <w:suppressAutoHyphens/>
        <w:rPr>
          <w:rFonts w:cs="Arial"/>
        </w:rPr>
      </w:pPr>
      <w:r>
        <w:rPr>
          <w:rFonts w:cs="Arial"/>
        </w:rPr>
        <w:t>b.</w:t>
      </w:r>
      <w:r>
        <w:rPr>
          <w:rFonts w:cs="Arial"/>
        </w:rPr>
        <w:tab/>
        <w:t>maatregelen ten aanzien van de bedrijfsvoering toe, ter voorkoming van onnodige emissie van vluchtige organische stoffen bij het offsetdrukken en het reinigen van de hierbij gebruikte apparatuur.</w:t>
      </w:r>
    </w:p>
    <w:p w:rsidR="00C606E7" w:rsidRDefault="00C606E7" w:rsidP="00C606E7">
      <w:pPr>
        <w:pStyle w:val="art1enivo"/>
        <w:shd w:val="clear" w:color="auto" w:fill="D9D9D9" w:themeFill="background1" w:themeFillShade="D9"/>
        <w:suppressAutoHyphens/>
        <w:rPr>
          <w:rFonts w:cs="Arial"/>
        </w:rPr>
      </w:pPr>
      <w:r>
        <w:rPr>
          <w:rFonts w:cs="Arial"/>
        </w:rPr>
        <w:t>2.</w:t>
      </w:r>
      <w:r>
        <w:rPr>
          <w:rFonts w:cs="Arial"/>
        </w:rPr>
        <w:tab/>
        <w:t>Ter uitvoering van artikel 4.94a, eerste lid, van het besluit stelt degene die de inrichting drijft een plan op ter reductie van het gebruik van isopropylalcohol of andere vluchtige organische stoffen die aan het vochtwater worden toegevoegd. Dit plan:</w:t>
      </w:r>
    </w:p>
    <w:p w:rsidR="00C606E7" w:rsidRDefault="00C606E7" w:rsidP="00C606E7">
      <w:pPr>
        <w:pStyle w:val="art2enivo"/>
        <w:shd w:val="clear" w:color="auto" w:fill="D9D9D9" w:themeFill="background1" w:themeFillShade="D9"/>
        <w:suppressAutoHyphens/>
        <w:rPr>
          <w:rFonts w:cs="Arial"/>
        </w:rPr>
      </w:pPr>
      <w:r>
        <w:rPr>
          <w:rFonts w:cs="Arial"/>
        </w:rPr>
        <w:t>a.</w:t>
      </w:r>
      <w:r>
        <w:rPr>
          <w:rFonts w:cs="Arial"/>
        </w:rPr>
        <w:tab/>
        <w:t>bevat een beschrijving van de getroffen of te treffen maatregelen ter reductie van het gehalte aan isopropylalcohol of andere vluchtige organische stoffen in het vochtwater;</w:t>
      </w:r>
    </w:p>
    <w:p w:rsidR="00C606E7" w:rsidRDefault="00C606E7" w:rsidP="00C606E7">
      <w:pPr>
        <w:pStyle w:val="art2enivo"/>
        <w:shd w:val="clear" w:color="auto" w:fill="D9D9D9" w:themeFill="background1" w:themeFillShade="D9"/>
        <w:suppressAutoHyphens/>
        <w:rPr>
          <w:rFonts w:cs="Arial"/>
        </w:rPr>
      </w:pPr>
      <w:r>
        <w:rPr>
          <w:rFonts w:cs="Arial"/>
        </w:rPr>
        <w:t>b.</w:t>
      </w:r>
      <w:r>
        <w:rPr>
          <w:rFonts w:cs="Arial"/>
        </w:rPr>
        <w:tab/>
        <w:t>gaat in op de mogelijkheid tot aanschaf van nieuwe persen, die het gehalte aan vluchtige organische stoffen in het vochtwater zo laag mogelijk maken;</w:t>
      </w:r>
    </w:p>
    <w:p w:rsidR="00C606E7" w:rsidRDefault="00C606E7" w:rsidP="00C606E7">
      <w:pPr>
        <w:pStyle w:val="art2enivo"/>
        <w:shd w:val="clear" w:color="auto" w:fill="D9D9D9" w:themeFill="background1" w:themeFillShade="D9"/>
        <w:suppressAutoHyphens/>
        <w:rPr>
          <w:rFonts w:cs="Arial"/>
        </w:rPr>
      </w:pPr>
      <w:r>
        <w:rPr>
          <w:rFonts w:cs="Arial"/>
        </w:rPr>
        <w:t>c.</w:t>
      </w:r>
      <w:r>
        <w:rPr>
          <w:rFonts w:cs="Arial"/>
        </w:rPr>
        <w:tab/>
        <w:t>wordt tweejaarlijks geactualiseerd;</w:t>
      </w:r>
    </w:p>
    <w:p w:rsidR="00C606E7" w:rsidRDefault="00C606E7" w:rsidP="00C606E7">
      <w:pPr>
        <w:pStyle w:val="art2enivo"/>
        <w:shd w:val="clear" w:color="auto" w:fill="D9D9D9" w:themeFill="background1" w:themeFillShade="D9"/>
        <w:suppressAutoHyphens/>
        <w:rPr>
          <w:rFonts w:cs="Arial"/>
        </w:rPr>
      </w:pPr>
      <w:r>
        <w:rPr>
          <w:rFonts w:cs="Arial"/>
        </w:rPr>
        <w:t>d.</w:t>
      </w:r>
      <w:r>
        <w:rPr>
          <w:rFonts w:cs="Arial"/>
        </w:rPr>
        <w:tab/>
        <w:t>is voor inzage door het bevoegd gezag beschikbaar.</w:t>
      </w:r>
    </w:p>
    <w:p w:rsidR="00C606E7" w:rsidRDefault="00C606E7" w:rsidP="00C606E7">
      <w:pPr>
        <w:pStyle w:val="art1enivo"/>
        <w:shd w:val="clear" w:color="auto" w:fill="D9D9D9" w:themeFill="background1" w:themeFillShade="D9"/>
        <w:suppressAutoHyphens/>
        <w:rPr>
          <w:rFonts w:cs="Arial"/>
        </w:rPr>
      </w:pPr>
      <w:r>
        <w:rPr>
          <w:rFonts w:cs="Arial"/>
        </w:rPr>
        <w:t>3.</w:t>
      </w:r>
      <w:r>
        <w:rPr>
          <w:rFonts w:cs="Arial"/>
        </w:rPr>
        <w:tab/>
        <w:t>Indien de emissiereducerende maatregelen, bedoeld in het eerste of tweede lid, niet of in onvoldoende mate zijn getroffen, kan het bevoegd gezag verzoeken om een motivering waarom de maatregelen niet zijn getroffen. Bij de motivering wordt betrokken de kosteneffectiviteit en de technische uitvoerbaarheid van de maatregelen.</w:t>
      </w:r>
    </w:p>
    <w:p w:rsidR="00C606E7" w:rsidRDefault="00C606E7" w:rsidP="00C606E7">
      <w:pPr>
        <w:pStyle w:val="artikelkop"/>
        <w:shd w:val="clear" w:color="auto" w:fill="D9D9D9" w:themeFill="background1" w:themeFillShade="D9"/>
      </w:pPr>
      <w:r>
        <w:t>Artikel 4.102e</w:t>
      </w:r>
    </w:p>
    <w:p w:rsidR="00C606E7" w:rsidRDefault="00C606E7" w:rsidP="00C606E7">
      <w:pPr>
        <w:pStyle w:val="artplat"/>
        <w:shd w:val="clear" w:color="auto" w:fill="D9D9D9" w:themeFill="background1" w:themeFillShade="D9"/>
        <w:suppressAutoHyphens/>
        <w:rPr>
          <w:rFonts w:cs="Arial"/>
        </w:rPr>
      </w:pPr>
      <w:r>
        <w:rPr>
          <w:rFonts w:cs="Arial"/>
        </w:rPr>
        <w:t>Ten behoeve van het realiseren van een verwaarloosbaar bodemrisico vindt bij het offsetdrukken het verwerken van inkten, verdunningsmiddelen, reinigingsmiddelen en toevoegmiddelen plaats boven een bodembeschermende voorziening.</w:t>
      </w:r>
    </w:p>
    <w:p w:rsidR="00C606E7" w:rsidRPr="00620047" w:rsidRDefault="00C606E7">
      <w:pPr>
        <w:rPr>
          <w:rFonts w:cs="Arial"/>
        </w:rPr>
      </w:pPr>
    </w:p>
    <w:p w:rsidR="00296032" w:rsidRPr="00296032" w:rsidRDefault="00296032">
      <w:pPr>
        <w:pStyle w:val="paragraaf"/>
      </w:pPr>
      <w:bookmarkStart w:id="298" w:name="_Toc431375751"/>
      <w:r w:rsidRPr="00296032">
        <w:t>§ 4.7.3a.</w:t>
      </w:r>
      <w:r w:rsidRPr="00296032">
        <w:tab/>
        <w:t>Rotatieoffset druktechniek</w:t>
      </w:r>
      <w:bookmarkEnd w:id="298"/>
    </w:p>
    <w:p w:rsidR="00296032" w:rsidRPr="00296032" w:rsidRDefault="00296032">
      <w:pPr>
        <w:pStyle w:val="artikelkop"/>
      </w:pPr>
      <w:r w:rsidRPr="00296032">
        <w:t>Artikel 4.94da</w:t>
      </w:r>
    </w:p>
    <w:p w:rsidR="00296032" w:rsidRPr="00620047" w:rsidRDefault="00296032">
      <w:pPr>
        <w:pStyle w:val="artplat"/>
      </w:pPr>
      <w:r w:rsidRPr="00620047">
        <w:t>Deze paragraaf is van toepassing op het bedrukken met rotatieoffset druktechniek.</w:t>
      </w:r>
    </w:p>
    <w:p w:rsidR="00296032" w:rsidRPr="00296032" w:rsidRDefault="00296032">
      <w:pPr>
        <w:pStyle w:val="artikelkop"/>
      </w:pPr>
      <w:r w:rsidRPr="00296032">
        <w:t>Artikel 4.94db</w:t>
      </w:r>
    </w:p>
    <w:p w:rsidR="00296032" w:rsidRPr="00620047" w:rsidRDefault="00296032">
      <w:pPr>
        <w:pStyle w:val="artplat"/>
      </w:pPr>
      <w:r w:rsidRPr="00620047">
        <w:t>Indien bij het bedrukken met heatsetrotatieoffset druktechniek de drempelwaarden, genoemd in tabel 2.28a van afdeling 2.11 worden overschreden, is die afdeling van toepassing.</w:t>
      </w:r>
    </w:p>
    <w:p w:rsidR="00296032" w:rsidRPr="00296032" w:rsidRDefault="00296032">
      <w:pPr>
        <w:pStyle w:val="artikelkop"/>
      </w:pPr>
      <w:r w:rsidRPr="00296032">
        <w:t>Artikel 4.94dc</w:t>
      </w:r>
    </w:p>
    <w:p w:rsidR="00296032" w:rsidRPr="00620047" w:rsidRDefault="00296032">
      <w:pPr>
        <w:pStyle w:val="art1enivo"/>
      </w:pPr>
      <w:r w:rsidRPr="00620047">
        <w:t>1.</w:t>
      </w:r>
      <w:r w:rsidRPr="00620047">
        <w:tab/>
        <w:t>Bij het in het vuilwaterriool lozen van afvalwater afkomstig van:</w:t>
      </w:r>
    </w:p>
    <w:p w:rsidR="00296032" w:rsidRPr="00620047" w:rsidRDefault="00296032">
      <w:pPr>
        <w:pStyle w:val="art2enivo"/>
      </w:pPr>
      <w:r w:rsidRPr="00620047">
        <w:t>a.</w:t>
      </w:r>
      <w:r w:rsidRPr="00620047">
        <w:tab/>
        <w:t>het toepassen van rotatieoffset druktechniek;</w:t>
      </w:r>
    </w:p>
    <w:p w:rsidR="00296032" w:rsidRPr="00620047" w:rsidRDefault="00296032">
      <w:pPr>
        <w:pStyle w:val="art2enivo"/>
      </w:pPr>
      <w:r w:rsidRPr="00620047">
        <w:t>b.</w:t>
      </w:r>
      <w:r w:rsidRPr="00620047">
        <w:tab/>
        <w:t>het reinigen van de daarbij gebruikte apparatuur, of</w:t>
      </w:r>
    </w:p>
    <w:p w:rsidR="00296032" w:rsidRPr="00620047" w:rsidRDefault="00296032">
      <w:pPr>
        <w:pStyle w:val="art2enivo"/>
      </w:pPr>
      <w:r w:rsidRPr="00620047">
        <w:t>c.</w:t>
      </w:r>
      <w:r w:rsidRPr="00620047">
        <w:tab/>
        <w:t>de vormvervaardiging exclusief fotografische processen,</w:t>
      </w:r>
    </w:p>
    <w:p w:rsidR="00296032" w:rsidRPr="00620047" w:rsidRDefault="00296032">
      <w:pPr>
        <w:pStyle w:val="art2enivo"/>
      </w:pPr>
      <w:r w:rsidRPr="00620047">
        <w:t>wordt ten minste voldaan aan het tweede tot en met vierde lid.</w:t>
      </w:r>
    </w:p>
    <w:p w:rsidR="00296032" w:rsidRPr="00620047" w:rsidRDefault="00296032">
      <w:pPr>
        <w:pStyle w:val="art1enivo"/>
      </w:pPr>
      <w:r w:rsidRPr="00620047">
        <w:t>2.</w:t>
      </w:r>
      <w:r w:rsidRPr="00620047">
        <w:tab/>
        <w:t>Het afvalwater afkomstig van het reinigen van rubberdoeken en drukvormen van rotatieoffset druktechniekpersen bevat, voor vermenging met ander afvalwater, niet meer dan 200 milligram olie per liter in enig steekmonster.</w:t>
      </w:r>
    </w:p>
    <w:p w:rsidR="00296032" w:rsidRPr="00620047" w:rsidRDefault="00296032">
      <w:pPr>
        <w:pStyle w:val="art1enivo"/>
      </w:pPr>
      <w:r w:rsidRPr="00620047">
        <w:t>3.</w:t>
      </w:r>
      <w:r w:rsidRPr="00620047">
        <w:tab/>
        <w:t>Het te lozen afvalwater kan op een doelmatige wijze worden bemonsterd.</w:t>
      </w:r>
    </w:p>
    <w:p w:rsidR="00296032" w:rsidRPr="00620047" w:rsidRDefault="00296032">
      <w:pPr>
        <w:pStyle w:val="art1enivo"/>
      </w:pPr>
      <w:r w:rsidRPr="00620047">
        <w:t>4.</w:t>
      </w:r>
      <w:r w:rsidRPr="00620047">
        <w:tab/>
        <w:t>Het te lozen afvalwater bevat geen stoffen die op grond van het BBT-informatiedocument over het beoordelen van stoffen en preparaten voor de uitvoering van het emissiebeleid water, aangewezen krachtens artikel 5.4, tweede lid, van het Besluit omgevingsrecht («Beoordeling stoffen en preparaten» van de Commissie Integraal Waterbeheer CIW (4 2000-05)), worden aangemerkt als stoffen waarvoor een saneringsinspanning A geldt.</w:t>
      </w:r>
    </w:p>
    <w:p w:rsidR="00296032" w:rsidRPr="00296032" w:rsidRDefault="00296032">
      <w:pPr>
        <w:pStyle w:val="artikelkop"/>
      </w:pPr>
      <w:r w:rsidRPr="00296032">
        <w:t>Artikel 4.94dd</w:t>
      </w:r>
    </w:p>
    <w:p w:rsidR="00296032" w:rsidRPr="00620047" w:rsidRDefault="00296032">
      <w:pPr>
        <w:pStyle w:val="art1enivo"/>
      </w:pPr>
      <w:r w:rsidRPr="00620047">
        <w:t>1.</w:t>
      </w:r>
      <w:r w:rsidRPr="00620047">
        <w:tab/>
        <w:t>Bij het vervaardigen van drukvormen voor het bedrukken met rotatieoffset druktechniek worden geen chroomzouthoudende ets- en correctiemiddelen toegepast.</w:t>
      </w:r>
    </w:p>
    <w:p w:rsidR="00296032" w:rsidRPr="00620047" w:rsidRDefault="00296032">
      <w:pPr>
        <w:pStyle w:val="art1enivo"/>
      </w:pPr>
      <w:r w:rsidRPr="00620047">
        <w:t>2.</w:t>
      </w:r>
      <w:r w:rsidRPr="00620047">
        <w:tab/>
        <w:t>Bij het ontwikkelen en naharden van kopieerlagen voor het bedrukken met rotatieoffset druktechniek worden geen chroomhoudende oplossingen gebruikt.</w:t>
      </w:r>
    </w:p>
    <w:p w:rsidR="00296032" w:rsidRPr="00296032" w:rsidRDefault="00296032">
      <w:pPr>
        <w:pStyle w:val="artikelkop"/>
      </w:pPr>
      <w:r w:rsidRPr="00296032">
        <w:t>Artikel 4.94de</w:t>
      </w:r>
    </w:p>
    <w:p w:rsidR="00296032" w:rsidRPr="00620047" w:rsidRDefault="00296032">
      <w:pPr>
        <w:pStyle w:val="artplat"/>
      </w:pPr>
      <w:r w:rsidRPr="00620047">
        <w:t>Bij het bedrukken met rotatieoffset druktechniek wordt ten behoeve van:</w:t>
      </w:r>
    </w:p>
    <w:p w:rsidR="00296032" w:rsidRPr="00620047" w:rsidRDefault="00296032">
      <w:pPr>
        <w:pStyle w:val="artplatletter"/>
      </w:pPr>
      <w:r w:rsidRPr="00620047">
        <w:t>a.</w:t>
      </w:r>
      <w:r w:rsidRPr="00620047">
        <w:tab/>
        <w:t>het voorkomen dan wel voor zover dat niet mogelijk is het beperken van diffuse emissies;</w:t>
      </w:r>
    </w:p>
    <w:p w:rsidR="00296032" w:rsidRPr="00620047" w:rsidRDefault="00296032">
      <w:pPr>
        <w:pStyle w:val="artplatletter"/>
      </w:pPr>
      <w:r w:rsidRPr="00620047">
        <w:t>b.</w:t>
      </w:r>
      <w:r w:rsidRPr="00620047">
        <w:tab/>
        <w:t>het voorkomen dan wel voor zover dat niet mogelijk is het beperken van geurhinder, en</w:t>
      </w:r>
    </w:p>
    <w:p w:rsidR="00296032" w:rsidRPr="00620047" w:rsidRDefault="00296032">
      <w:pPr>
        <w:pStyle w:val="artplatletter"/>
      </w:pPr>
      <w:r w:rsidRPr="00620047">
        <w:t>c.</w:t>
      </w:r>
      <w:r w:rsidRPr="00620047">
        <w:tab/>
        <w:t>het realiseren van een verwaarloosbaar bodemrisico,</w:t>
      </w:r>
    </w:p>
    <w:p w:rsidR="00296032" w:rsidRDefault="00296032">
      <w:pPr>
        <w:rPr>
          <w:rFonts w:cs="Arial"/>
        </w:rPr>
      </w:pPr>
      <w:r w:rsidRPr="00620047">
        <w:rPr>
          <w:rFonts w:cs="Arial"/>
        </w:rPr>
        <w:t>voldaan aan de bij ministeriële regeling gestelde eisen.</w:t>
      </w:r>
    </w:p>
    <w:p w:rsidR="00177543" w:rsidRDefault="00177543">
      <w:pPr>
        <w:rPr>
          <w:rFonts w:cs="Arial"/>
        </w:rPr>
      </w:pPr>
    </w:p>
    <w:p w:rsidR="00177543" w:rsidRDefault="00177543" w:rsidP="00177543">
      <w:pPr>
        <w:pStyle w:val="paragraaf"/>
        <w:shd w:val="clear" w:color="auto" w:fill="D9D9D9" w:themeFill="background1" w:themeFillShade="D9"/>
      </w:pPr>
      <w:bookmarkStart w:id="299" w:name="_Toc431375752"/>
      <w:r>
        <w:t>§ 4.7.1b.</w:t>
      </w:r>
      <w:r>
        <w:tab/>
        <w:t>Rotatieoffset druktechniek</w:t>
      </w:r>
      <w:bookmarkEnd w:id="299"/>
    </w:p>
    <w:p w:rsidR="00177543" w:rsidRDefault="00177543" w:rsidP="00177543">
      <w:pPr>
        <w:pStyle w:val="artikelkop"/>
        <w:shd w:val="clear" w:color="auto" w:fill="D9D9D9" w:themeFill="background1" w:themeFillShade="D9"/>
      </w:pPr>
      <w:r>
        <w:t>Artikel 4.102ea</w:t>
      </w:r>
    </w:p>
    <w:p w:rsidR="00177543" w:rsidRDefault="00177543" w:rsidP="00177543">
      <w:pPr>
        <w:pStyle w:val="art1enivo"/>
        <w:shd w:val="clear" w:color="auto" w:fill="D9D9D9" w:themeFill="background1" w:themeFillShade="D9"/>
        <w:suppressAutoHyphens/>
        <w:rPr>
          <w:rFonts w:cs="Arial"/>
        </w:rPr>
      </w:pPr>
      <w:r>
        <w:rPr>
          <w:rFonts w:cs="Arial"/>
        </w:rPr>
        <w:t>1.</w:t>
      </w:r>
      <w:r>
        <w:rPr>
          <w:rFonts w:cs="Arial"/>
        </w:rPr>
        <w:tab/>
        <w:t>Ten behoeve van het voorkomen dan wel het zoveel mogelijk beperken van diffuse emissies als bedoeld in artikel 4.94de van het besluit, worden gassen en dampen die vrijkomen bij het heatsetdrogen, voor zover dat redelijkerwijs mogelijk is, doelmatig aan de bron afgezogen.</w:t>
      </w:r>
    </w:p>
    <w:p w:rsidR="00177543" w:rsidRDefault="00177543" w:rsidP="00177543">
      <w:pPr>
        <w:pStyle w:val="art1enivo"/>
        <w:shd w:val="clear" w:color="auto" w:fill="D9D9D9" w:themeFill="background1" w:themeFillShade="D9"/>
        <w:suppressAutoHyphens/>
        <w:rPr>
          <w:rFonts w:cs="Arial"/>
        </w:rPr>
      </w:pPr>
      <w:r>
        <w:rPr>
          <w:rFonts w:cs="Arial"/>
        </w:rPr>
        <w:t>2.</w:t>
      </w:r>
      <w:r>
        <w:rPr>
          <w:rFonts w:cs="Arial"/>
        </w:rPr>
        <w:tab/>
        <w:t>Ten behoeve van het voorkomen dan wel, voor zover dat niet mogelijk is, het tot een aanvaardbaar niveau beperken van geurhinder als bedoeld in artikel 4.94de van het besluit, worden de afgezogen gassen en dampen, die naar de buitenlucht worden afgevoerd, ten minste twee meter boven de hoogste daklijn van de binnen 25 meter van de uitmonding gelegen gebouwen afgevoerd.</w:t>
      </w:r>
    </w:p>
    <w:p w:rsidR="00177543" w:rsidRDefault="00177543" w:rsidP="00177543">
      <w:pPr>
        <w:pStyle w:val="art1enivo"/>
        <w:shd w:val="clear" w:color="auto" w:fill="D9D9D9" w:themeFill="background1" w:themeFillShade="D9"/>
        <w:suppressAutoHyphens/>
        <w:rPr>
          <w:rFonts w:cs="Arial"/>
        </w:rPr>
      </w:pPr>
      <w:r>
        <w:rPr>
          <w:rFonts w:cs="Arial"/>
        </w:rPr>
        <w:t>3.</w:t>
      </w:r>
      <w:r>
        <w:rPr>
          <w:rFonts w:cs="Arial"/>
        </w:rPr>
        <w:tab/>
        <w:t>Het tweede lid is niet van toepassing indien het mogelijke effect van de geuremissie van de uittredende lucht van een afzuiginstallatie beperkt blijft tot een gezoneerd industrieterrein of een bedrijventerrein met minder dan één geurgevoelig object per hectare.</w:t>
      </w:r>
    </w:p>
    <w:p w:rsidR="00177543" w:rsidRDefault="00177543" w:rsidP="00177543">
      <w:pPr>
        <w:pStyle w:val="art1enivo"/>
        <w:shd w:val="clear" w:color="auto" w:fill="D9D9D9" w:themeFill="background1" w:themeFillShade="D9"/>
        <w:suppressAutoHyphens/>
        <w:rPr>
          <w:rFonts w:cs="Arial"/>
        </w:rPr>
      </w:pPr>
      <w:r>
        <w:rPr>
          <w:rFonts w:cs="Arial"/>
        </w:rPr>
        <w:t>4.</w:t>
      </w:r>
      <w:r>
        <w:rPr>
          <w:rFonts w:cs="Arial"/>
        </w:rPr>
        <w:tab/>
        <w:t>Het bevoegd gezag kan, indien blijkt dat de geurhinder een aanvaardbaar niveau overschrijdt vanwege onvoldoende verspreiding van afgezogen dampen of gassen, met betrekking tot geuremissies die niet via de afzuiging worden afgevoerd of incidentele geurpieken overeenkomstig artikel 2.7a, derde lid, van het besluit in aanvulling op het tweede lid maatwerkvoorschriften stellen inzake:</w:t>
      </w:r>
    </w:p>
    <w:p w:rsidR="00177543" w:rsidRDefault="00177543" w:rsidP="00177543">
      <w:pPr>
        <w:pStyle w:val="art2enivo"/>
        <w:shd w:val="clear" w:color="auto" w:fill="D9D9D9" w:themeFill="background1" w:themeFillShade="D9"/>
        <w:suppressAutoHyphens/>
        <w:rPr>
          <w:rFonts w:cs="Arial"/>
        </w:rPr>
      </w:pPr>
      <w:r>
        <w:rPr>
          <w:rFonts w:cs="Arial"/>
        </w:rPr>
        <w:t>a.</w:t>
      </w:r>
      <w:r>
        <w:rPr>
          <w:rFonts w:cs="Arial"/>
        </w:rPr>
        <w:tab/>
        <w:t>de situering van de afvoerpijp;</w:t>
      </w:r>
    </w:p>
    <w:p w:rsidR="00177543" w:rsidRDefault="00177543" w:rsidP="00177543">
      <w:pPr>
        <w:pStyle w:val="art2enivo"/>
        <w:shd w:val="clear" w:color="auto" w:fill="D9D9D9" w:themeFill="background1" w:themeFillShade="D9"/>
        <w:suppressAutoHyphens/>
        <w:rPr>
          <w:rFonts w:cs="Arial"/>
        </w:rPr>
      </w:pPr>
      <w:r>
        <w:rPr>
          <w:rFonts w:cs="Arial"/>
        </w:rPr>
        <w:t>b.</w:t>
      </w:r>
      <w:r>
        <w:rPr>
          <w:rFonts w:cs="Arial"/>
        </w:rPr>
        <w:tab/>
        <w:t>het voorkomen of beperken van diffuse geuremissies, of</w:t>
      </w:r>
    </w:p>
    <w:p w:rsidR="00177543" w:rsidRDefault="00177543" w:rsidP="00177543">
      <w:pPr>
        <w:pStyle w:val="art2enivo"/>
        <w:shd w:val="clear" w:color="auto" w:fill="D9D9D9" w:themeFill="background1" w:themeFillShade="D9"/>
        <w:suppressAutoHyphens/>
        <w:rPr>
          <w:rFonts w:cs="Arial"/>
        </w:rPr>
      </w:pPr>
      <w:r>
        <w:rPr>
          <w:rFonts w:cs="Arial"/>
        </w:rPr>
        <w:t>c.</w:t>
      </w:r>
      <w:r>
        <w:rPr>
          <w:rFonts w:cs="Arial"/>
        </w:rPr>
        <w:tab/>
        <w:t>het beperken van incidentele geurpieken tot specifieke tijdstippen.</w:t>
      </w:r>
    </w:p>
    <w:p w:rsidR="00177543" w:rsidRDefault="00177543" w:rsidP="00177543">
      <w:pPr>
        <w:pStyle w:val="art1enivo"/>
        <w:shd w:val="clear" w:color="auto" w:fill="D9D9D9" w:themeFill="background1" w:themeFillShade="D9"/>
        <w:suppressAutoHyphens/>
        <w:rPr>
          <w:rFonts w:cs="Arial"/>
        </w:rPr>
      </w:pPr>
      <w:r>
        <w:rPr>
          <w:rFonts w:cs="Arial"/>
        </w:rPr>
        <w:t>5.</w:t>
      </w:r>
      <w:r>
        <w:rPr>
          <w:rFonts w:cs="Arial"/>
        </w:rPr>
        <w:tab/>
        <w:t>In afwijking van het tweede lid, kan het bevoegd gezag indien blijkt dat de geurhinder een aanvaardbaar niveau overschrijdt en de bevoegdheden genoemd in het vierde lid onvoldoende zijn om de overschrijding ongedaan te maken overeenkomstig artikel 2.7a, derde lid, van het besluit maatwerkvoorschriften opstellen met betrekking tot de aanwezigheid van een ontgeuringsinstallatie, of een grotere afvoerhoogte van de afgezogen dampen en gassen.</w:t>
      </w:r>
    </w:p>
    <w:p w:rsidR="00177543" w:rsidRDefault="00177543" w:rsidP="00177543">
      <w:pPr>
        <w:pStyle w:val="artikelkop"/>
        <w:shd w:val="clear" w:color="auto" w:fill="D9D9D9" w:themeFill="background1" w:themeFillShade="D9"/>
      </w:pPr>
      <w:r>
        <w:t>Artikel 4.102eb</w:t>
      </w:r>
    </w:p>
    <w:p w:rsidR="00177543" w:rsidRDefault="00177543" w:rsidP="00177543">
      <w:pPr>
        <w:pStyle w:val="artplat"/>
        <w:shd w:val="clear" w:color="auto" w:fill="D9D9D9" w:themeFill="background1" w:themeFillShade="D9"/>
        <w:suppressAutoHyphens/>
        <w:rPr>
          <w:rFonts w:cs="Arial"/>
        </w:rPr>
      </w:pPr>
      <w:r>
        <w:rPr>
          <w:rFonts w:cs="Arial"/>
        </w:rPr>
        <w:t>Ten behoeve van het realiseren van een verwaarloosbaar bodemrisico als bedoeld in artikel 4.94de van het besluit, vindt bij het bedrukken met rotatieoffset druktechniek het verwerken van inkten, verdunningsmiddelen, reinigingsmiddelen en toevoegingsmiddelen plaats boven een bodembeschermende voorziening.</w:t>
      </w:r>
    </w:p>
    <w:p w:rsidR="00177543" w:rsidRPr="00620047" w:rsidRDefault="00177543">
      <w:pPr>
        <w:rPr>
          <w:rFonts w:cs="Arial"/>
        </w:rPr>
      </w:pPr>
    </w:p>
    <w:p w:rsidR="00296032" w:rsidRPr="00296032" w:rsidRDefault="00296032">
      <w:pPr>
        <w:pStyle w:val="paragraaf"/>
      </w:pPr>
      <w:bookmarkStart w:id="300" w:name="_Toc431375753"/>
      <w:r w:rsidRPr="00296032">
        <w:t>§ 4.7.3b.</w:t>
      </w:r>
      <w:r w:rsidRPr="00296032">
        <w:tab/>
        <w:t>Flexodruk of verpakkingsdiepdruk</w:t>
      </w:r>
      <w:bookmarkEnd w:id="300"/>
    </w:p>
    <w:p w:rsidR="00296032" w:rsidRPr="00296032" w:rsidRDefault="00296032">
      <w:pPr>
        <w:pStyle w:val="artikelkop"/>
      </w:pPr>
      <w:r w:rsidRPr="00296032">
        <w:t>Artikel 4.94df</w:t>
      </w:r>
    </w:p>
    <w:p w:rsidR="00296032" w:rsidRPr="00620047" w:rsidRDefault="00296032">
      <w:pPr>
        <w:pStyle w:val="artplat"/>
      </w:pPr>
      <w:r w:rsidRPr="00620047">
        <w:t>Deze paragraaf is van toepassing op het bedrukken met flexodruktechniek of verpakkingsdiepdruktechniek.</w:t>
      </w:r>
    </w:p>
    <w:p w:rsidR="00296032" w:rsidRPr="00296032" w:rsidRDefault="00296032">
      <w:pPr>
        <w:pStyle w:val="artikelkop"/>
      </w:pPr>
      <w:r w:rsidRPr="00296032">
        <w:t>Artikel 4.94dg</w:t>
      </w:r>
    </w:p>
    <w:p w:rsidR="00296032" w:rsidRPr="00620047" w:rsidRDefault="00296032">
      <w:pPr>
        <w:pStyle w:val="artplat"/>
      </w:pPr>
      <w:r w:rsidRPr="00620047">
        <w:t>Indien bij de toepassing van flexodruktechniek of verpakkingsdiepdruktechniek de drempelwaarden, genoemd in tabel 2.28a van afdeling 2.11 worden overschreden, is die afdeling van toepassing.</w:t>
      </w:r>
    </w:p>
    <w:p w:rsidR="00296032" w:rsidRPr="00296032" w:rsidRDefault="00296032">
      <w:pPr>
        <w:pStyle w:val="artikelkop"/>
      </w:pPr>
      <w:r w:rsidRPr="00296032">
        <w:t>Artikel 4.94dh</w:t>
      </w:r>
    </w:p>
    <w:p w:rsidR="00296032" w:rsidRPr="00620047" w:rsidRDefault="00296032">
      <w:pPr>
        <w:pStyle w:val="art1enivo"/>
      </w:pPr>
      <w:r w:rsidRPr="00620047">
        <w:t>1.</w:t>
      </w:r>
      <w:r w:rsidRPr="00620047">
        <w:tab/>
        <w:t>Bij het in het vuilwaterriool lozen van afvalwater afkomstig van de toepassing van flexodruktechniek of verpakkingsdiepdruktechniek, waarbij gebruik wordt gemaakt van watergedragen inkten, wordt rekening gehouden met de beschikbare milieu-informatie van de stoffen die in het afvalwater kunnen geraken.</w:t>
      </w:r>
    </w:p>
    <w:p w:rsidR="00296032" w:rsidRPr="00620047" w:rsidRDefault="00296032">
      <w:pPr>
        <w:pStyle w:val="art1enivo"/>
      </w:pPr>
      <w:r w:rsidRPr="00620047">
        <w:t>2.</w:t>
      </w:r>
      <w:r w:rsidRPr="00620047">
        <w:tab/>
        <w:t>Het te lozen afvalwater bevat geen stoffen die op grond van het BBT-informatiedocument over het beoordelen van stoffen en preparaten voor de uitvoering van het emissiebeleid water, aangewezen krachtens artikel 5.4, tweede lid, van het Besluit omgevingsrecht («Beoordeling stoffen en preparaten» van de Commissie Integraal Waterbeheer CIW (4 2000-05)), worden aangemerkt als stoffen waarvoor een saneringsinspanning A geldt.</w:t>
      </w:r>
    </w:p>
    <w:p w:rsidR="00296032" w:rsidRPr="00296032" w:rsidRDefault="00296032">
      <w:pPr>
        <w:pStyle w:val="artikelkop"/>
      </w:pPr>
      <w:r w:rsidRPr="00296032">
        <w:t>Artikel 4.94di</w:t>
      </w:r>
    </w:p>
    <w:p w:rsidR="00296032" w:rsidRPr="00620047" w:rsidRDefault="00296032">
      <w:pPr>
        <w:pStyle w:val="artplat"/>
      </w:pPr>
      <w:r w:rsidRPr="00620047">
        <w:t>Bij het toepassen van flexodruktechniek of verpakkingsdiepdruktechniek wordt ten behoeve van:</w:t>
      </w:r>
    </w:p>
    <w:p w:rsidR="00296032" w:rsidRPr="00620047" w:rsidRDefault="00296032">
      <w:pPr>
        <w:pStyle w:val="artplatletter"/>
      </w:pPr>
      <w:r w:rsidRPr="00620047">
        <w:t>a.</w:t>
      </w:r>
      <w:r w:rsidRPr="00620047">
        <w:tab/>
        <w:t>het voorkomen dan wel voor zover dat niet mogelijk is het beperken van diffuse emissies;</w:t>
      </w:r>
    </w:p>
    <w:p w:rsidR="00296032" w:rsidRPr="00620047" w:rsidRDefault="00296032">
      <w:pPr>
        <w:pStyle w:val="artplatletter"/>
      </w:pPr>
      <w:r w:rsidRPr="00620047">
        <w:t>b.</w:t>
      </w:r>
      <w:r w:rsidRPr="00620047">
        <w:tab/>
        <w:t>het voorkomen dan wel voor zover dat niet mogelijk is het beperken van geurhinder;</w:t>
      </w:r>
    </w:p>
    <w:p w:rsidR="00296032" w:rsidRPr="00620047" w:rsidRDefault="00296032">
      <w:pPr>
        <w:pStyle w:val="artplatletter"/>
      </w:pPr>
      <w:r w:rsidRPr="00620047">
        <w:t>c.</w:t>
      </w:r>
      <w:r w:rsidRPr="00620047">
        <w:tab/>
        <w:t>het realiseren van een verwaarloosbaar bodemrisico, of</w:t>
      </w:r>
    </w:p>
    <w:p w:rsidR="00296032" w:rsidRPr="00620047" w:rsidRDefault="00296032">
      <w:pPr>
        <w:pStyle w:val="artplatletter"/>
      </w:pPr>
      <w:r w:rsidRPr="00620047">
        <w:t>d.</w:t>
      </w:r>
      <w:r w:rsidRPr="00620047">
        <w:tab/>
        <w:t>het voorkomen van risico's voor de omgeving en ongewone voorvallen, dan wel voor zover dat niet mogelijk is het zoveel mogelijk beperken van de risico's voor de omgeving en de kans dat ongewone voorvallen zich voordoen en de gevolgen hiervan,</w:t>
      </w:r>
    </w:p>
    <w:p w:rsidR="00296032" w:rsidRDefault="00296032">
      <w:pPr>
        <w:pStyle w:val="artplatletter"/>
      </w:pPr>
      <w:r w:rsidRPr="00620047">
        <w:t>voldaan aan de bij ministeriële regeling gestelde eisen.</w:t>
      </w:r>
    </w:p>
    <w:p w:rsidR="00177543" w:rsidRDefault="00177543">
      <w:pPr>
        <w:pStyle w:val="artplatletter"/>
      </w:pPr>
    </w:p>
    <w:p w:rsidR="00177543" w:rsidRDefault="00177543" w:rsidP="00177543">
      <w:pPr>
        <w:pStyle w:val="paragraaf"/>
        <w:shd w:val="clear" w:color="auto" w:fill="D9D9D9" w:themeFill="background1" w:themeFillShade="D9"/>
      </w:pPr>
      <w:bookmarkStart w:id="301" w:name="_Toc431375754"/>
      <w:r>
        <w:t>§ 4.7.1c.</w:t>
      </w:r>
      <w:r>
        <w:tab/>
        <w:t>Flexodruk of verpakkingsdiepdruk</w:t>
      </w:r>
      <w:bookmarkEnd w:id="301"/>
    </w:p>
    <w:p w:rsidR="00177543" w:rsidRDefault="00177543" w:rsidP="00177543">
      <w:pPr>
        <w:pStyle w:val="artikelkop"/>
        <w:shd w:val="clear" w:color="auto" w:fill="D9D9D9" w:themeFill="background1" w:themeFillShade="D9"/>
      </w:pPr>
      <w:r>
        <w:t>Artikel 4.102ec</w:t>
      </w:r>
    </w:p>
    <w:p w:rsidR="00177543" w:rsidRDefault="00177543" w:rsidP="00177543">
      <w:pPr>
        <w:pStyle w:val="art1enivo"/>
        <w:shd w:val="clear" w:color="auto" w:fill="D9D9D9" w:themeFill="background1" w:themeFillShade="D9"/>
        <w:suppressAutoHyphens/>
        <w:rPr>
          <w:rFonts w:cs="Arial"/>
        </w:rPr>
      </w:pPr>
      <w:r>
        <w:rPr>
          <w:rFonts w:cs="Arial"/>
        </w:rPr>
        <w:t>1.</w:t>
      </w:r>
      <w:r>
        <w:rPr>
          <w:rFonts w:cs="Arial"/>
        </w:rPr>
        <w:tab/>
        <w:t>Ten behoeve van het voorkomen dan wel het zoveel mogelijk beperken van diffuse emissies als bedoeld in artikel 4.94di van het besluit, worden gassen en dampen die vrijkomen bij:</w:t>
      </w:r>
    </w:p>
    <w:p w:rsidR="00177543" w:rsidRDefault="00177543" w:rsidP="00177543">
      <w:pPr>
        <w:pStyle w:val="art2enivo"/>
        <w:shd w:val="clear" w:color="auto" w:fill="D9D9D9" w:themeFill="background1" w:themeFillShade="D9"/>
        <w:suppressAutoHyphens/>
        <w:rPr>
          <w:rFonts w:cs="Arial"/>
        </w:rPr>
      </w:pPr>
      <w:r>
        <w:rPr>
          <w:rFonts w:cs="Arial"/>
        </w:rPr>
        <w:t>a.</w:t>
      </w:r>
      <w:r>
        <w:rPr>
          <w:rFonts w:cs="Arial"/>
        </w:rPr>
        <w:tab/>
        <w:t>het mengen van oplosmiddelhoudende inkt en lak;</w:t>
      </w:r>
    </w:p>
    <w:p w:rsidR="00177543" w:rsidRDefault="00177543" w:rsidP="00177543">
      <w:pPr>
        <w:pStyle w:val="art2enivo"/>
        <w:shd w:val="clear" w:color="auto" w:fill="D9D9D9" w:themeFill="background1" w:themeFillShade="D9"/>
        <w:suppressAutoHyphens/>
        <w:rPr>
          <w:rFonts w:cs="Arial"/>
        </w:rPr>
      </w:pPr>
      <w:r>
        <w:rPr>
          <w:rFonts w:cs="Arial"/>
        </w:rPr>
        <w:t>b.</w:t>
      </w:r>
      <w:r>
        <w:rPr>
          <w:rFonts w:cs="Arial"/>
        </w:rPr>
        <w:tab/>
        <w:t>drukpersen, lakkeer- en lamineermachines;</w:t>
      </w:r>
    </w:p>
    <w:p w:rsidR="00177543" w:rsidRDefault="00177543" w:rsidP="00177543">
      <w:pPr>
        <w:pStyle w:val="art2enivo"/>
        <w:shd w:val="clear" w:color="auto" w:fill="D9D9D9" w:themeFill="background1" w:themeFillShade="D9"/>
        <w:suppressAutoHyphens/>
        <w:rPr>
          <w:rFonts w:cs="Arial"/>
        </w:rPr>
      </w:pPr>
      <w:r>
        <w:rPr>
          <w:rFonts w:cs="Arial"/>
        </w:rPr>
        <w:t>c.</w:t>
      </w:r>
      <w:r>
        <w:rPr>
          <w:rFonts w:cs="Arial"/>
        </w:rPr>
        <w:tab/>
        <w:t>het destilleren van oplosmiddelresten, of</w:t>
      </w:r>
    </w:p>
    <w:p w:rsidR="00177543" w:rsidRDefault="00177543" w:rsidP="00177543">
      <w:pPr>
        <w:pStyle w:val="art2enivo"/>
        <w:shd w:val="clear" w:color="auto" w:fill="D9D9D9" w:themeFill="background1" w:themeFillShade="D9"/>
        <w:suppressAutoHyphens/>
        <w:rPr>
          <w:rFonts w:cs="Arial"/>
        </w:rPr>
      </w:pPr>
      <w:r>
        <w:rPr>
          <w:rFonts w:cs="Arial"/>
        </w:rPr>
        <w:t>d.</w:t>
      </w:r>
      <w:r>
        <w:rPr>
          <w:rFonts w:cs="Arial"/>
        </w:rPr>
        <w:tab/>
        <w:t>het spoelen van verpakkingen van oplosmiddelhoudende inkt, lak of lijm</w:t>
      </w:r>
    </w:p>
    <w:p w:rsidR="00177543" w:rsidRDefault="00177543" w:rsidP="00177543">
      <w:pPr>
        <w:pStyle w:val="artplat"/>
        <w:shd w:val="clear" w:color="auto" w:fill="D9D9D9" w:themeFill="background1" w:themeFillShade="D9"/>
        <w:suppressAutoHyphens/>
        <w:rPr>
          <w:rFonts w:cs="Arial"/>
        </w:rPr>
      </w:pPr>
      <w:r>
        <w:rPr>
          <w:rFonts w:cs="Arial"/>
        </w:rPr>
        <w:tab/>
        <w:t>voor zover dat redelijkerwijs mogelijk is, doelmatig aan de bron afgezogen.</w:t>
      </w:r>
    </w:p>
    <w:p w:rsidR="00177543" w:rsidRDefault="00177543" w:rsidP="00177543">
      <w:pPr>
        <w:pStyle w:val="art1enivo"/>
        <w:shd w:val="clear" w:color="auto" w:fill="D9D9D9" w:themeFill="background1" w:themeFillShade="D9"/>
        <w:suppressAutoHyphens/>
        <w:rPr>
          <w:rFonts w:cs="Arial"/>
        </w:rPr>
      </w:pPr>
      <w:r>
        <w:rPr>
          <w:rFonts w:cs="Arial"/>
        </w:rPr>
        <w:t>2.</w:t>
      </w:r>
      <w:r>
        <w:rPr>
          <w:rFonts w:cs="Arial"/>
        </w:rPr>
        <w:tab/>
        <w:t>Ten behoeve van het voorkomen dan wel voor zover dat niet mogelijk is, het tot een aanvaardbaar niveau beperken van geurhinder als bedoeld in artikel 4.94di van het besluit, worden de afgezogen gassen en dampen, die naar de buitenlucht worden afgevoerd:</w:t>
      </w:r>
    </w:p>
    <w:p w:rsidR="00177543" w:rsidRDefault="00177543" w:rsidP="00177543">
      <w:pPr>
        <w:pStyle w:val="art2enivo"/>
        <w:shd w:val="clear" w:color="auto" w:fill="D9D9D9" w:themeFill="background1" w:themeFillShade="D9"/>
        <w:suppressAutoHyphens/>
        <w:rPr>
          <w:rFonts w:cs="Arial"/>
        </w:rPr>
      </w:pPr>
      <w:r>
        <w:rPr>
          <w:rFonts w:cs="Arial"/>
        </w:rPr>
        <w:t>a.</w:t>
      </w:r>
      <w:r>
        <w:rPr>
          <w:rFonts w:cs="Arial"/>
        </w:rPr>
        <w:tab/>
        <w:t>ten minste twee meter boven de hoogste daklijn van de binnen 25 meter van de uitmonding gelegen gebouwen afgevoerd, of</w:t>
      </w:r>
    </w:p>
    <w:p w:rsidR="00177543" w:rsidRDefault="00177543" w:rsidP="00177543">
      <w:pPr>
        <w:pStyle w:val="art2enivo"/>
        <w:shd w:val="clear" w:color="auto" w:fill="D9D9D9" w:themeFill="background1" w:themeFillShade="D9"/>
        <w:suppressAutoHyphens/>
        <w:rPr>
          <w:rFonts w:cs="Arial"/>
        </w:rPr>
      </w:pPr>
      <w:r>
        <w:rPr>
          <w:rFonts w:cs="Arial"/>
        </w:rPr>
        <w:t>b.</w:t>
      </w:r>
      <w:r>
        <w:rPr>
          <w:rFonts w:cs="Arial"/>
        </w:rPr>
        <w:tab/>
        <w:t>geleid door een doelmatige ontgeuringsinstallatie.</w:t>
      </w:r>
    </w:p>
    <w:p w:rsidR="00177543" w:rsidRDefault="00177543" w:rsidP="00177543">
      <w:pPr>
        <w:pStyle w:val="art1enivo"/>
        <w:shd w:val="clear" w:color="auto" w:fill="D9D9D9" w:themeFill="background1" w:themeFillShade="D9"/>
        <w:suppressAutoHyphens/>
        <w:rPr>
          <w:rFonts w:cs="Arial"/>
        </w:rPr>
      </w:pPr>
      <w:r>
        <w:rPr>
          <w:rFonts w:cs="Arial"/>
        </w:rPr>
        <w:t>3.</w:t>
      </w:r>
      <w:r>
        <w:rPr>
          <w:rFonts w:cs="Arial"/>
        </w:rPr>
        <w:tab/>
        <w:t>Het tweede lid is niet van toepassing indien het mogelijke effect van de geuremissie van de uittredende lucht van een afzuiginstallatie beperkt blijft tot een gezoneerd industrieterrein of een bedrijventerrein met minder dan één geurgevoelig object per hectare.</w:t>
      </w:r>
    </w:p>
    <w:p w:rsidR="00177543" w:rsidRDefault="00177543" w:rsidP="00177543">
      <w:pPr>
        <w:pStyle w:val="art1enivo"/>
        <w:shd w:val="clear" w:color="auto" w:fill="D9D9D9" w:themeFill="background1" w:themeFillShade="D9"/>
        <w:suppressAutoHyphens/>
        <w:rPr>
          <w:rFonts w:cs="Arial"/>
        </w:rPr>
      </w:pPr>
      <w:r>
        <w:rPr>
          <w:rFonts w:cs="Arial"/>
        </w:rPr>
        <w:t>4.</w:t>
      </w:r>
      <w:r>
        <w:rPr>
          <w:rFonts w:cs="Arial"/>
        </w:rPr>
        <w:tab/>
        <w:t>Het bevoegd gezag kan indien blijkt dat de geurhinder een aanvaardbaar niveau overschrijdt vanwege het slecht functioneren van de ontgeuringsinstallatie, onvoldoende spreiding van afgezogen dampen, geuremissies die niet via de afzuiging worden afgevoerd of incidentele geurpieken, overeenkomstig artikel 2.7a, derde lid, van het besluit in aanvulling op het tweede lid maatwerkvoorschriften stellen met betrekking tot:</w:t>
      </w:r>
    </w:p>
    <w:p w:rsidR="00177543" w:rsidRDefault="00177543" w:rsidP="00177543">
      <w:pPr>
        <w:pStyle w:val="art2enivo"/>
        <w:shd w:val="clear" w:color="auto" w:fill="D9D9D9" w:themeFill="background1" w:themeFillShade="D9"/>
        <w:suppressAutoHyphens/>
        <w:rPr>
          <w:rFonts w:cs="Arial"/>
        </w:rPr>
      </w:pPr>
      <w:r>
        <w:rPr>
          <w:rFonts w:cs="Arial"/>
        </w:rPr>
        <w:t>a.</w:t>
      </w:r>
      <w:r>
        <w:rPr>
          <w:rFonts w:cs="Arial"/>
        </w:rPr>
        <w:tab/>
        <w:t>de uitvoering en het onderhoud van een ontgeuringsinstallatie;</w:t>
      </w:r>
    </w:p>
    <w:p w:rsidR="00177543" w:rsidRDefault="00177543" w:rsidP="00177543">
      <w:pPr>
        <w:pStyle w:val="art2enivo"/>
        <w:shd w:val="clear" w:color="auto" w:fill="D9D9D9" w:themeFill="background1" w:themeFillShade="D9"/>
        <w:suppressAutoHyphens/>
        <w:rPr>
          <w:rFonts w:cs="Arial"/>
        </w:rPr>
      </w:pPr>
      <w:r>
        <w:rPr>
          <w:rFonts w:cs="Arial"/>
        </w:rPr>
        <w:t>b.</w:t>
      </w:r>
      <w:r>
        <w:rPr>
          <w:rFonts w:cs="Arial"/>
        </w:rPr>
        <w:tab/>
        <w:t>de situering van de afvoerpijp;</w:t>
      </w:r>
    </w:p>
    <w:p w:rsidR="00177543" w:rsidRDefault="00177543" w:rsidP="00177543">
      <w:pPr>
        <w:pStyle w:val="art2enivo"/>
        <w:shd w:val="clear" w:color="auto" w:fill="D9D9D9" w:themeFill="background1" w:themeFillShade="D9"/>
        <w:suppressAutoHyphens/>
        <w:rPr>
          <w:rFonts w:cs="Arial"/>
        </w:rPr>
      </w:pPr>
      <w:r>
        <w:rPr>
          <w:rFonts w:cs="Arial"/>
        </w:rPr>
        <w:t>c.</w:t>
      </w:r>
      <w:r>
        <w:rPr>
          <w:rFonts w:cs="Arial"/>
        </w:rPr>
        <w:tab/>
        <w:t>het voorkomen of beperken van diffuse geuremissies, of</w:t>
      </w:r>
    </w:p>
    <w:p w:rsidR="00177543" w:rsidRDefault="00177543" w:rsidP="00177543">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177543" w:rsidRDefault="00177543" w:rsidP="00177543">
      <w:pPr>
        <w:pStyle w:val="art1enivo"/>
        <w:shd w:val="clear" w:color="auto" w:fill="D9D9D9" w:themeFill="background1" w:themeFillShade="D9"/>
        <w:suppressAutoHyphens/>
        <w:rPr>
          <w:rFonts w:cs="Arial"/>
        </w:rPr>
      </w:pPr>
      <w:r>
        <w:rPr>
          <w:rFonts w:cs="Arial"/>
        </w:rPr>
        <w:t>5.</w:t>
      </w:r>
      <w:r>
        <w:rPr>
          <w:rFonts w:cs="Arial"/>
        </w:rPr>
        <w:tab/>
        <w:t>In afwijking van het tweede lid, kan het bevoegd gezag indien blijkt dat de geurhinder een aanvaardbaar niveau overschrijdt en de bevoegdheden genoemd in het vierde lid onvoldoende zijn om de overschrijding ongedaan te maken overeenkomstig artikel 2.7a, derde lid, van het besluit maatwerkvoorschriften opstellen met betrekking tot de aanwezigheid van een ontgeuringsinstallatie of grotere afvoerhoogte van de afgezogen dampen en gassen.</w:t>
      </w:r>
    </w:p>
    <w:p w:rsidR="00177543" w:rsidRDefault="00177543" w:rsidP="00177543">
      <w:pPr>
        <w:pStyle w:val="artikelkop"/>
        <w:shd w:val="clear" w:color="auto" w:fill="D9D9D9" w:themeFill="background1" w:themeFillShade="D9"/>
      </w:pPr>
      <w:r>
        <w:t>Artikel 4.102ed</w:t>
      </w:r>
    </w:p>
    <w:p w:rsidR="00177543" w:rsidRDefault="00177543" w:rsidP="00177543">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als bedoeld in artikel 4.94di van het besluit vindt bij het toepassen van verpakkingsdiepdruktechniek:</w:t>
      </w:r>
    </w:p>
    <w:p w:rsidR="00177543" w:rsidRDefault="00177543" w:rsidP="00177543">
      <w:pPr>
        <w:pStyle w:val="art2enivo"/>
        <w:shd w:val="clear" w:color="auto" w:fill="D9D9D9" w:themeFill="background1" w:themeFillShade="D9"/>
        <w:suppressAutoHyphens/>
        <w:rPr>
          <w:rFonts w:cs="Arial"/>
        </w:rPr>
      </w:pPr>
      <w:r>
        <w:rPr>
          <w:rFonts w:cs="Arial"/>
        </w:rPr>
        <w:t>a. het bedrukken, lakken of lamineren;</w:t>
      </w:r>
    </w:p>
    <w:p w:rsidR="00177543" w:rsidRDefault="00177543" w:rsidP="00177543">
      <w:pPr>
        <w:pStyle w:val="art2enivo"/>
        <w:shd w:val="clear" w:color="auto" w:fill="D9D9D9" w:themeFill="background1" w:themeFillShade="D9"/>
        <w:suppressAutoHyphens/>
        <w:rPr>
          <w:rFonts w:cs="Arial"/>
        </w:rPr>
      </w:pPr>
      <w:r>
        <w:rPr>
          <w:rFonts w:cs="Arial"/>
        </w:rPr>
        <w:t xml:space="preserve">b. het mengen van watergedragen inkt of lak, of </w:t>
      </w:r>
    </w:p>
    <w:p w:rsidR="00177543" w:rsidRDefault="00177543" w:rsidP="00177543">
      <w:pPr>
        <w:pStyle w:val="art2enivo"/>
        <w:shd w:val="clear" w:color="auto" w:fill="D9D9D9" w:themeFill="background1" w:themeFillShade="D9"/>
        <w:suppressAutoHyphens/>
        <w:rPr>
          <w:rFonts w:cs="Arial"/>
        </w:rPr>
      </w:pPr>
      <w:r>
        <w:rPr>
          <w:rFonts w:cs="Arial"/>
        </w:rPr>
        <w:t xml:space="preserve">c. het spoelen van verpakkingen van watergedragen inkt, lak of lijm, </w:t>
      </w:r>
    </w:p>
    <w:p w:rsidR="00177543" w:rsidRDefault="00177543" w:rsidP="00177543">
      <w:pPr>
        <w:pStyle w:val="artplat"/>
        <w:shd w:val="clear" w:color="auto" w:fill="D9D9D9" w:themeFill="background1" w:themeFillShade="D9"/>
        <w:suppressAutoHyphens/>
        <w:rPr>
          <w:rFonts w:cs="Arial"/>
        </w:rPr>
      </w:pPr>
      <w:r>
        <w:rPr>
          <w:rFonts w:cs="Arial"/>
        </w:rPr>
        <w:tab/>
        <w:t>plaats boven een bodembeschermende voorziening.</w:t>
      </w:r>
    </w:p>
    <w:p w:rsidR="00177543" w:rsidRDefault="00177543" w:rsidP="00177543">
      <w:pPr>
        <w:pStyle w:val="art1enivo"/>
        <w:shd w:val="clear" w:color="auto" w:fill="D9D9D9" w:themeFill="background1" w:themeFillShade="D9"/>
        <w:suppressAutoHyphens/>
        <w:rPr>
          <w:rFonts w:cs="Arial"/>
        </w:rPr>
      </w:pPr>
      <w:r>
        <w:rPr>
          <w:rFonts w:cs="Arial"/>
        </w:rPr>
        <w:t>2.</w:t>
      </w:r>
      <w:r>
        <w:rPr>
          <w:rFonts w:cs="Arial"/>
        </w:rPr>
        <w:tab/>
        <w:t>Ten behoeve van het realiseren van een verwaarloosbaar bodemrisico als bedoeld in artikel 4.94di van het besluit vindt bij het toepassen van flexodruktechniek:</w:t>
      </w:r>
    </w:p>
    <w:p w:rsidR="00177543" w:rsidRDefault="00177543" w:rsidP="00177543">
      <w:pPr>
        <w:pStyle w:val="art2enivo"/>
        <w:shd w:val="clear" w:color="auto" w:fill="D9D9D9" w:themeFill="background1" w:themeFillShade="D9"/>
        <w:suppressAutoHyphens/>
        <w:rPr>
          <w:rFonts w:cs="Arial"/>
        </w:rPr>
      </w:pPr>
      <w:r>
        <w:rPr>
          <w:rFonts w:cs="Arial"/>
        </w:rPr>
        <w:t>a. het mengen van oplosmiddelhoudende inkt en lak;</w:t>
      </w:r>
    </w:p>
    <w:p w:rsidR="00177543" w:rsidRDefault="00177543" w:rsidP="00177543">
      <w:pPr>
        <w:pStyle w:val="art2enivo"/>
        <w:shd w:val="clear" w:color="auto" w:fill="D9D9D9" w:themeFill="background1" w:themeFillShade="D9"/>
        <w:suppressAutoHyphens/>
        <w:rPr>
          <w:rFonts w:cs="Arial"/>
        </w:rPr>
      </w:pPr>
      <w:r>
        <w:rPr>
          <w:rFonts w:cs="Arial"/>
        </w:rPr>
        <w:t>b. het destilleren van oplosmiddelresten, of</w:t>
      </w:r>
    </w:p>
    <w:p w:rsidR="00177543" w:rsidRDefault="00177543" w:rsidP="00177543">
      <w:pPr>
        <w:pStyle w:val="art2enivo"/>
        <w:shd w:val="clear" w:color="auto" w:fill="D9D9D9" w:themeFill="background1" w:themeFillShade="D9"/>
        <w:suppressAutoHyphens/>
        <w:rPr>
          <w:rFonts w:cs="Arial"/>
        </w:rPr>
      </w:pPr>
      <w:r>
        <w:rPr>
          <w:rFonts w:cs="Arial"/>
        </w:rPr>
        <w:t>c. het spoelen van verpakkingen van oplosmiddelhoudende inkt, lak of lijm</w:t>
      </w:r>
    </w:p>
    <w:p w:rsidR="00177543" w:rsidRDefault="00177543" w:rsidP="00177543">
      <w:pPr>
        <w:pStyle w:val="artplat"/>
        <w:shd w:val="clear" w:color="auto" w:fill="D9D9D9" w:themeFill="background1" w:themeFillShade="D9"/>
        <w:suppressAutoHyphens/>
        <w:rPr>
          <w:rFonts w:cs="Arial"/>
        </w:rPr>
      </w:pPr>
      <w:r>
        <w:rPr>
          <w:rFonts w:cs="Arial"/>
        </w:rPr>
        <w:tab/>
        <w:t>plaats boven een vloeistofdichte vloer of voorziening.</w:t>
      </w:r>
    </w:p>
    <w:p w:rsidR="00177543" w:rsidRDefault="00177543" w:rsidP="00177543">
      <w:pPr>
        <w:pStyle w:val="artikelkop"/>
        <w:shd w:val="clear" w:color="auto" w:fill="D9D9D9" w:themeFill="background1" w:themeFillShade="D9"/>
      </w:pPr>
      <w:r>
        <w:t>Artikel 4.102ef</w:t>
      </w:r>
    </w:p>
    <w:p w:rsidR="00177543" w:rsidRDefault="00177543" w:rsidP="00177543">
      <w:pPr>
        <w:shd w:val="clear" w:color="auto" w:fill="D9D9D9" w:themeFill="background1" w:themeFillShade="D9"/>
      </w:pPr>
      <w:r>
        <w:rPr>
          <w:rFonts w:cs="Arial"/>
        </w:rPr>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4.94di van het besluit, vindt bij de toepassing van verpakkingsdiepdruktechniek de destillatie van oplosmiddelen plaats in een brandcompartiment. In dit brandcompartiment vindt geen opslag van of handelingen met gevaarlijke stoffen of brandbare goederen plaats, uitgezonderd opslag of handelingen die gericht is of zijn op destillatie.</w:t>
      </w:r>
    </w:p>
    <w:p w:rsidR="00177543" w:rsidRPr="00620047" w:rsidRDefault="00177543">
      <w:pPr>
        <w:pStyle w:val="artplatletter"/>
      </w:pPr>
    </w:p>
    <w:p w:rsidR="00296032" w:rsidRPr="00620047" w:rsidRDefault="00296032">
      <w:pPr>
        <w:pStyle w:val="afdeling"/>
      </w:pPr>
      <w:bookmarkStart w:id="302" w:name="_Toc431375755"/>
      <w:r w:rsidRPr="00620047">
        <w:t>Afdeling 4.7a.</w:t>
      </w:r>
      <w:r w:rsidRPr="00620047">
        <w:tab/>
        <w:t>Activiteiten met betrekking tot papier, karton, textiel, leer of bont</w:t>
      </w:r>
      <w:bookmarkEnd w:id="302"/>
    </w:p>
    <w:p w:rsidR="00296032" w:rsidRPr="00296032" w:rsidRDefault="00296032">
      <w:pPr>
        <w:pStyle w:val="paragraaf"/>
        <w:rPr>
          <w:rFonts w:cs="Arial"/>
        </w:rPr>
      </w:pPr>
      <w:bookmarkStart w:id="303" w:name="_Toc277243254"/>
      <w:bookmarkStart w:id="304" w:name="_Toc431375756"/>
      <w:r w:rsidRPr="00296032">
        <w:rPr>
          <w:rFonts w:cs="Arial"/>
        </w:rPr>
        <w:t>§ 4.7a.1</w:t>
      </w:r>
      <w:r w:rsidRPr="00296032">
        <w:rPr>
          <w:rFonts w:cs="Arial"/>
        </w:rPr>
        <w:tab/>
        <w:t>Bewerken, lijmen, coaten of lamineren van papier of karton</w:t>
      </w:r>
      <w:bookmarkEnd w:id="303"/>
      <w:bookmarkEnd w:id="304"/>
    </w:p>
    <w:p w:rsidR="00296032" w:rsidRPr="00296032" w:rsidRDefault="00296032">
      <w:pPr>
        <w:pStyle w:val="artikelkop"/>
        <w:rPr>
          <w:rFonts w:cs="Arial"/>
        </w:rPr>
      </w:pPr>
      <w:r w:rsidRPr="00296032">
        <w:rPr>
          <w:rFonts w:cs="Arial"/>
        </w:rPr>
        <w:t>Artikel 4.94dj</w:t>
      </w:r>
    </w:p>
    <w:p w:rsidR="00296032" w:rsidRPr="00620047" w:rsidRDefault="00296032">
      <w:pPr>
        <w:pStyle w:val="artplat"/>
      </w:pPr>
      <w:r w:rsidRPr="00620047">
        <w:t>Deze paragraaf is van toepassing op het bewerken, lijmen, coaten of lamineren van papier of karton.</w:t>
      </w:r>
    </w:p>
    <w:p w:rsidR="00296032" w:rsidRPr="00296032" w:rsidRDefault="00296032">
      <w:pPr>
        <w:pStyle w:val="artikelkop"/>
        <w:rPr>
          <w:rFonts w:cs="Arial"/>
        </w:rPr>
      </w:pPr>
      <w:r w:rsidRPr="00296032">
        <w:rPr>
          <w:rFonts w:cs="Arial"/>
        </w:rPr>
        <w:t>Artikel 4.94e</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de inrichting drijft neemt bij het lijmen, coaten of lamineren van papier of karton met betrekking tot vluchtige organische stoffen de bij ministeriële regeling voorgeschreven emissiereducerende maatregelen tenzij deze niet kosteneffectief of technisch uitvoerbaar zijn.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 xml:space="preserve">Het eerste lid is niet van toepassing indien het totaal verbruik van vluchtige organische stoffen bij de in het eerste lid genoemde activiteiten minder bedraagt dan 1.000 kilogram per jaar. </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Indien de drempelwaarden, genoemd in tabel 2.28a worden overschreden, zijn het eerste en tweede lid niet van toepassing en is afdeling 2.11 van  toepassing.</w:t>
      </w:r>
    </w:p>
    <w:p w:rsidR="00296032" w:rsidRPr="00296032" w:rsidRDefault="00296032">
      <w:pPr>
        <w:pStyle w:val="artikelkop"/>
        <w:rPr>
          <w:rFonts w:cs="Arial"/>
        </w:rPr>
      </w:pPr>
      <w:r w:rsidRPr="00296032">
        <w:rPr>
          <w:rFonts w:cs="Arial"/>
        </w:rPr>
        <w:t>Artikel 4.94f</w:t>
      </w:r>
    </w:p>
    <w:p w:rsidR="00296032" w:rsidRPr="00620047" w:rsidRDefault="00296032">
      <w:pPr>
        <w:rPr>
          <w:rFonts w:cs="Arial"/>
        </w:rPr>
      </w:pPr>
      <w:r w:rsidRPr="00620047">
        <w:rPr>
          <w:rFonts w:cs="Arial"/>
        </w:rPr>
        <w:t>Bij het lijmen, coaten of lamineren van papier of karton worden ten behoeve van:</w:t>
      </w:r>
    </w:p>
    <w:p w:rsidR="00296032" w:rsidRPr="00620047" w:rsidRDefault="00296032">
      <w:pPr>
        <w:pStyle w:val="artplatletter"/>
        <w:rPr>
          <w:rFonts w:cs="Arial"/>
        </w:rPr>
      </w:pPr>
      <w:r w:rsidRPr="00620047">
        <w:rPr>
          <w:rFonts w:cs="Arial"/>
        </w:rPr>
        <w:t>a.</w:t>
      </w:r>
      <w:r w:rsidRPr="00620047">
        <w:rPr>
          <w:rFonts w:cs="Arial"/>
        </w:rPr>
        <w:tab/>
        <w:t>het voorkomen dan wel beperken van diffuse emissies;</w:t>
      </w:r>
    </w:p>
    <w:p w:rsidR="00296032" w:rsidRPr="00620047" w:rsidRDefault="00296032">
      <w:pPr>
        <w:pStyle w:val="artplatletter"/>
        <w:rPr>
          <w:rFonts w:cs="Arial"/>
        </w:rPr>
      </w:pPr>
      <w:r w:rsidRPr="00620047">
        <w:rPr>
          <w:rFonts w:cs="Arial"/>
        </w:rPr>
        <w:t>b.</w:t>
      </w:r>
      <w:r w:rsidRPr="00620047">
        <w:rPr>
          <w:rFonts w:cs="Arial"/>
        </w:rPr>
        <w:tab/>
        <w:t>het voorkomen dan wel beperken van geurhinder, en</w:t>
      </w:r>
    </w:p>
    <w:p w:rsidR="00296032" w:rsidRPr="00620047" w:rsidRDefault="00296032">
      <w:pPr>
        <w:pStyle w:val="artplatletter"/>
        <w:rPr>
          <w:rFonts w:cs="Arial"/>
        </w:rPr>
      </w:pPr>
      <w:r w:rsidRPr="00620047">
        <w:rPr>
          <w:rFonts w:cs="Arial"/>
        </w:rPr>
        <w:t>c.</w:t>
      </w:r>
      <w:r w:rsidRPr="00620047">
        <w:rPr>
          <w:rFonts w:cs="Arial"/>
        </w:rPr>
        <w:tab/>
        <w:t>het realiseren van een verwaarloosbaar bodemrisico,</w:t>
      </w:r>
    </w:p>
    <w:p w:rsidR="00296032" w:rsidRPr="00620047" w:rsidRDefault="00296032">
      <w:pPr>
        <w:rPr>
          <w:rFonts w:cs="Arial"/>
        </w:rPr>
      </w:pPr>
      <w:r w:rsidRPr="00620047">
        <w:rPr>
          <w:rFonts w:cs="Arial"/>
        </w:rPr>
        <w:t>de bij ministeriële regeling voorgeschreven maatregelen toegepast.</w:t>
      </w:r>
    </w:p>
    <w:p w:rsidR="00296032" w:rsidRPr="00296032" w:rsidRDefault="00296032">
      <w:pPr>
        <w:pStyle w:val="artikelkop"/>
        <w:rPr>
          <w:rFonts w:cs="Arial"/>
        </w:rPr>
      </w:pPr>
      <w:r w:rsidRPr="00296032">
        <w:rPr>
          <w:rFonts w:cs="Arial"/>
        </w:rPr>
        <w:t>Artikel 4.94g</w:t>
      </w:r>
    </w:p>
    <w:p w:rsidR="00296032" w:rsidRPr="00620047" w:rsidRDefault="00296032">
      <w:pPr>
        <w:pStyle w:val="art1enivo"/>
        <w:rPr>
          <w:rFonts w:cs="Arial"/>
        </w:rPr>
      </w:pPr>
      <w:r w:rsidRPr="00620047">
        <w:rPr>
          <w:rFonts w:cs="Arial"/>
        </w:rPr>
        <w:t>1.</w:t>
      </w:r>
      <w:r w:rsidRPr="00620047">
        <w:rPr>
          <w:rFonts w:cs="Arial"/>
        </w:rPr>
        <w:tab/>
        <w:t>Onverminderd artikel 2.5, eerste, vierde en vijfde lid, en artikel 2.6 is bij het mechanisch verkleinen van papier of karton of van papieren of kartonnen producten de emissieconcentratie van stofklasse S niet meer dan:</w:t>
      </w:r>
    </w:p>
    <w:p w:rsidR="00296032" w:rsidRPr="00620047" w:rsidRDefault="00296032">
      <w:pPr>
        <w:pStyle w:val="art2enivo"/>
        <w:rPr>
          <w:rFonts w:cs="Arial"/>
        </w:rPr>
      </w:pPr>
      <w:r w:rsidRPr="00620047">
        <w:rPr>
          <w:rFonts w:cs="Arial"/>
        </w:rPr>
        <w:t>a.</w:t>
      </w:r>
      <w:r w:rsidRPr="00620047">
        <w:rPr>
          <w:rFonts w:cs="Arial"/>
        </w:rPr>
        <w:tab/>
        <w:t>5 milligram per normaal kubieke meter, indien de massastroom van stofklasse S naar de lucht gelijk is aan of groter is dan 200 gram per uur;</w:t>
      </w:r>
    </w:p>
    <w:p w:rsidR="00296032" w:rsidRPr="00620047" w:rsidRDefault="00296032">
      <w:pPr>
        <w:pStyle w:val="art2enivo"/>
        <w:rPr>
          <w:rFonts w:cs="Arial"/>
        </w:rPr>
      </w:pPr>
      <w:r w:rsidRPr="00620047">
        <w:rPr>
          <w:rFonts w:cs="Arial"/>
        </w:rPr>
        <w:t>b.</w:t>
      </w:r>
      <w:r w:rsidRPr="00620047">
        <w:rPr>
          <w:rFonts w:cs="Arial"/>
        </w:rPr>
        <w:tab/>
        <w:t>50 milligram per normaal kubieke meter indien de massastroom kleiner is dan 200 gram per uur.</w:t>
      </w:r>
    </w:p>
    <w:p w:rsidR="00296032" w:rsidRPr="00620047" w:rsidRDefault="00296032">
      <w:pPr>
        <w:pStyle w:val="art1enivo"/>
        <w:rPr>
          <w:rFonts w:cs="Arial"/>
        </w:rPr>
      </w:pPr>
      <w:r w:rsidRPr="00620047">
        <w:rPr>
          <w:rFonts w:cs="Arial"/>
        </w:rPr>
        <w:t>2.</w:t>
      </w:r>
      <w:r w:rsidRPr="00620047">
        <w:rPr>
          <w:rFonts w:cs="Arial"/>
        </w:rPr>
        <w:tab/>
        <w:t>Bij het mechanisch verkleinen van papier of karton of van papieren of kartonnen producten worden ten behoeve van het voorkomen dan wel beperken van diffuse emissies en het doelmatig verspreiden van emissies naar de buitenlucht de bij ministeriële regeling voorgeschreven maatregelen toegepast.</w:t>
      </w:r>
    </w:p>
    <w:p w:rsidR="00296032" w:rsidRDefault="00296032">
      <w:pPr>
        <w:pStyle w:val="art1enivo"/>
        <w:rPr>
          <w:rFonts w:cs="Arial"/>
        </w:rPr>
      </w:pPr>
      <w:r w:rsidRPr="00620047">
        <w:rPr>
          <w:rFonts w:cs="Arial"/>
        </w:rPr>
        <w:t>3.</w:t>
      </w:r>
      <w:r w:rsidRPr="00620047">
        <w:rPr>
          <w:rFonts w:cs="Arial"/>
        </w:rPr>
        <w:tab/>
        <w:t>Bij het mechanisch verkleinen van papier of karton of van papieren of kartonnen producten wordt ten behoeve van het realiseren van een verwaarloosbaar bodemrisico, voldaan aan de bij ministeriële regeling te stellen eisen.</w:t>
      </w:r>
    </w:p>
    <w:p w:rsidR="003B1034" w:rsidRDefault="003B1034" w:rsidP="003B1034"/>
    <w:p w:rsidR="003B1034" w:rsidRDefault="003B1034" w:rsidP="003B1034">
      <w:pPr>
        <w:pStyle w:val="paragraaf"/>
        <w:shd w:val="clear" w:color="auto" w:fill="D9D9D9" w:themeFill="background1" w:themeFillShade="D9"/>
      </w:pPr>
      <w:bookmarkStart w:id="305" w:name="_Toc431375757"/>
      <w:r>
        <w:t>§ 4.7a.1.</w:t>
      </w:r>
      <w:r>
        <w:tab/>
        <w:t>Bewerken, lijmen, coaten of lamineren van papier of karton</w:t>
      </w:r>
      <w:bookmarkEnd w:id="305"/>
      <w:r>
        <w:t xml:space="preserve"> </w:t>
      </w:r>
    </w:p>
    <w:p w:rsidR="003B1034" w:rsidRDefault="003B1034" w:rsidP="003B1034">
      <w:pPr>
        <w:pStyle w:val="artikelkop"/>
        <w:shd w:val="clear" w:color="auto" w:fill="D9D9D9" w:themeFill="background1" w:themeFillShade="D9"/>
      </w:pPr>
      <w:r>
        <w:t>Artikel 4.102f</w:t>
      </w:r>
    </w:p>
    <w:p w:rsidR="003B1034" w:rsidRDefault="003B1034" w:rsidP="003B1034">
      <w:pPr>
        <w:pStyle w:val="art1enivo"/>
        <w:shd w:val="clear" w:color="auto" w:fill="D9D9D9" w:themeFill="background1" w:themeFillShade="D9"/>
        <w:suppressAutoHyphens/>
        <w:rPr>
          <w:rFonts w:cs="Arial"/>
        </w:rPr>
      </w:pPr>
      <w:r>
        <w:rPr>
          <w:rFonts w:cs="Arial"/>
        </w:rPr>
        <w:t>1.</w:t>
      </w:r>
      <w:r>
        <w:rPr>
          <w:rFonts w:cs="Arial"/>
        </w:rPr>
        <w:tab/>
        <w:t>Ten behoeve van het voorkomen dan wel het zoveel mogelijk beperken van diffuse emissies, worden gassen en dampen die vrijkomen bij:</w:t>
      </w:r>
    </w:p>
    <w:p w:rsidR="003B1034" w:rsidRDefault="003B1034" w:rsidP="003B1034">
      <w:pPr>
        <w:pStyle w:val="art2enivo"/>
        <w:shd w:val="clear" w:color="auto" w:fill="D9D9D9" w:themeFill="background1" w:themeFillShade="D9"/>
        <w:suppressAutoHyphens/>
        <w:rPr>
          <w:rFonts w:cs="Arial"/>
        </w:rPr>
      </w:pPr>
      <w:r>
        <w:rPr>
          <w:rFonts w:cs="Arial"/>
        </w:rPr>
        <w:t>a.</w:t>
      </w:r>
      <w:r>
        <w:rPr>
          <w:rFonts w:cs="Arial"/>
        </w:rPr>
        <w:tab/>
        <w:t>het lijmen, coaten en lamineren van papier of karton met producten welke vluchtige organische stoffen bevatten;</w:t>
      </w:r>
    </w:p>
    <w:p w:rsidR="003B1034" w:rsidRDefault="003B1034" w:rsidP="003B1034">
      <w:pPr>
        <w:pStyle w:val="art2enivo"/>
        <w:shd w:val="clear" w:color="auto" w:fill="D9D9D9" w:themeFill="background1" w:themeFillShade="D9"/>
        <w:suppressAutoHyphens/>
        <w:rPr>
          <w:rFonts w:cs="Arial"/>
        </w:rPr>
      </w:pPr>
      <w:r>
        <w:rPr>
          <w:rFonts w:cs="Arial"/>
        </w:rPr>
        <w:t>b.</w:t>
      </w:r>
      <w:r>
        <w:rPr>
          <w:rFonts w:cs="Arial"/>
        </w:rPr>
        <w:tab/>
        <w:t>het aansluitend aan de onder a genoemde activiteiten drogen dan wel uitharden van met vluchtige organische stoffen behandelde materialen,</w:t>
      </w:r>
    </w:p>
    <w:p w:rsidR="003B1034" w:rsidRDefault="003B1034" w:rsidP="003B1034">
      <w:pPr>
        <w:widowControl w:val="0"/>
        <w:shd w:val="clear" w:color="auto" w:fill="D9D9D9" w:themeFill="background1" w:themeFillShade="D9"/>
        <w:suppressAutoHyphens/>
        <w:autoSpaceDE w:val="0"/>
        <w:autoSpaceDN w:val="0"/>
        <w:adjustRightInd w:val="0"/>
        <w:spacing w:after="240"/>
        <w:ind w:left="426" w:hanging="426"/>
        <w:rPr>
          <w:rFonts w:cs="Arial"/>
          <w:szCs w:val="20"/>
        </w:rPr>
      </w:pPr>
      <w:r>
        <w:rPr>
          <w:rFonts w:cs="Arial"/>
          <w:szCs w:val="20"/>
        </w:rPr>
        <w:tab/>
        <w:t>voor zover dat redelijkerwijs mogelijk is, doelmatig aan de bron afgezogen.</w:t>
      </w:r>
    </w:p>
    <w:p w:rsidR="003B1034" w:rsidRDefault="003B1034" w:rsidP="003B1034">
      <w:pPr>
        <w:pStyle w:val="art1enivo"/>
        <w:shd w:val="clear" w:color="auto" w:fill="D9D9D9" w:themeFill="background1" w:themeFillShade="D9"/>
        <w:suppressAutoHyphens/>
        <w:rPr>
          <w:rFonts w:cs="Arial"/>
        </w:rPr>
      </w:pPr>
      <w:r>
        <w:rPr>
          <w:rFonts w:cs="Arial"/>
        </w:rPr>
        <w:t>2.</w:t>
      </w:r>
      <w:r>
        <w:rPr>
          <w:rFonts w:cs="Arial"/>
        </w:rPr>
        <w:tab/>
        <w:t>Ten behoeve van het voorkomen dan wel tot een aanvaardbaar niveau beperken van geurhinder, worden de overeenkomstig het eerste lid, onderdelen a en b, afgezogen dampen en gassen, indien deze op de buitenlucht worden geëmitteerd:</w:t>
      </w:r>
    </w:p>
    <w:p w:rsidR="003B1034" w:rsidRDefault="003B1034" w:rsidP="003B1034">
      <w:pPr>
        <w:pStyle w:val="art2enivo"/>
        <w:shd w:val="clear" w:color="auto" w:fill="D9D9D9" w:themeFill="background1" w:themeFillShade="D9"/>
        <w:suppressAutoHyphens/>
        <w:rPr>
          <w:rFonts w:cs="Arial"/>
        </w:rPr>
      </w:pPr>
      <w:r>
        <w:rPr>
          <w:rFonts w:cs="Arial"/>
        </w:rPr>
        <w:t>a.</w:t>
      </w:r>
      <w:r>
        <w:rPr>
          <w:rFonts w:cs="Arial"/>
        </w:rPr>
        <w:tab/>
        <w:t>ten minste twee meter boven de hoogste daklijn van de binnen 25 meter van de uitmonding gelegen gebouwen afgevoerd; of</w:t>
      </w:r>
    </w:p>
    <w:p w:rsidR="003B1034" w:rsidRDefault="003B1034" w:rsidP="003B1034">
      <w:pPr>
        <w:pStyle w:val="art2enivo"/>
        <w:shd w:val="clear" w:color="auto" w:fill="D9D9D9" w:themeFill="background1" w:themeFillShade="D9"/>
        <w:suppressAutoHyphens/>
        <w:rPr>
          <w:rFonts w:cs="Arial"/>
        </w:rPr>
      </w:pPr>
      <w:r>
        <w:rPr>
          <w:rFonts w:cs="Arial"/>
        </w:rPr>
        <w:t>b.</w:t>
      </w:r>
      <w:r>
        <w:rPr>
          <w:rFonts w:cs="Arial"/>
        </w:rPr>
        <w:tab/>
        <w:t>geleid door een doelmatige ontgeuringsinstallatie.</w:t>
      </w:r>
    </w:p>
    <w:p w:rsidR="003B1034" w:rsidRDefault="003B1034" w:rsidP="003B1034">
      <w:pPr>
        <w:pStyle w:val="art1enivo"/>
        <w:shd w:val="clear" w:color="auto" w:fill="D9D9D9" w:themeFill="background1" w:themeFillShade="D9"/>
        <w:suppressAutoHyphens/>
        <w:rPr>
          <w:rFonts w:cs="Arial"/>
        </w:rPr>
      </w:pPr>
      <w:r>
        <w:rPr>
          <w:rFonts w:cs="Arial"/>
        </w:rPr>
        <w:t>3.</w:t>
      </w:r>
      <w:r>
        <w:rPr>
          <w:rFonts w:cs="Arial"/>
        </w:rPr>
        <w:tab/>
        <w:t>Het tweede lid is niet van toepassing indien het mogelijke effect van de geuremissie van de uittredende lucht van een afzuiginstallatie beperkt blijft tot een gezoneerd industrieterrein of een bedrijventerrein met minder dan één gevoelig gebouw per hectare.</w:t>
      </w:r>
    </w:p>
    <w:p w:rsidR="003B1034" w:rsidRDefault="003B1034" w:rsidP="003B1034">
      <w:pPr>
        <w:pStyle w:val="art1enivo"/>
        <w:shd w:val="clear" w:color="auto" w:fill="D9D9D9" w:themeFill="background1" w:themeFillShade="D9"/>
        <w:suppressAutoHyphens/>
        <w:rPr>
          <w:rFonts w:cs="Arial"/>
        </w:rPr>
      </w:pPr>
      <w:r>
        <w:rPr>
          <w:rFonts w:cs="Arial"/>
        </w:rPr>
        <w:t>4.</w:t>
      </w:r>
      <w:r>
        <w:rPr>
          <w:rFonts w:cs="Arial"/>
        </w:rPr>
        <w:tab/>
        <w:t>Het bevoegd gezag kan indien blijkt dat de geurhinder een aanvaardbaar niveau overschrijdt vanwege het slecht functioneren van de ontgeuringsinstallatie, onvoldoende verspreiding van afgezogen dampen, geuremissies die niet via de afzuiging worden afgevoerd of incidentele geurpieken in aanvulling op het tweede lid overeenkomstig artikel 2.7a, derde lid, van het besluit maatwerkvoorschriften stellen met betrekking tot:</w:t>
      </w:r>
    </w:p>
    <w:p w:rsidR="003B1034" w:rsidRDefault="003B1034" w:rsidP="003B1034">
      <w:pPr>
        <w:pStyle w:val="art2enivo"/>
        <w:shd w:val="clear" w:color="auto" w:fill="D9D9D9" w:themeFill="background1" w:themeFillShade="D9"/>
        <w:suppressAutoHyphens/>
        <w:rPr>
          <w:rFonts w:cs="Arial"/>
        </w:rPr>
      </w:pPr>
      <w:r>
        <w:rPr>
          <w:rFonts w:cs="Arial"/>
        </w:rPr>
        <w:t>a.</w:t>
      </w:r>
      <w:r>
        <w:rPr>
          <w:rFonts w:cs="Arial"/>
        </w:rPr>
        <w:tab/>
        <w:t>de uitvoering en het onderhoud van een ontgeuringsinstallatie als bedoeld in het tweede lid;</w:t>
      </w:r>
    </w:p>
    <w:p w:rsidR="003B1034" w:rsidRDefault="003B1034" w:rsidP="003B1034">
      <w:pPr>
        <w:pStyle w:val="art2enivo"/>
        <w:shd w:val="clear" w:color="auto" w:fill="D9D9D9" w:themeFill="background1" w:themeFillShade="D9"/>
        <w:suppressAutoHyphens/>
        <w:rPr>
          <w:rFonts w:cs="Arial"/>
        </w:rPr>
      </w:pPr>
      <w:r>
        <w:rPr>
          <w:rFonts w:cs="Arial"/>
        </w:rPr>
        <w:t>b.</w:t>
      </w:r>
      <w:r>
        <w:rPr>
          <w:rFonts w:cs="Arial"/>
        </w:rPr>
        <w:tab/>
        <w:t>de situering van de afvoerpijp;</w:t>
      </w:r>
    </w:p>
    <w:p w:rsidR="003B1034" w:rsidRDefault="003B1034" w:rsidP="003B1034">
      <w:pPr>
        <w:pStyle w:val="art2enivo"/>
        <w:shd w:val="clear" w:color="auto" w:fill="D9D9D9" w:themeFill="background1" w:themeFillShade="D9"/>
        <w:suppressAutoHyphens/>
        <w:rPr>
          <w:rFonts w:cs="Arial"/>
        </w:rPr>
      </w:pPr>
      <w:r>
        <w:rPr>
          <w:rFonts w:cs="Arial"/>
        </w:rPr>
        <w:t>c.</w:t>
      </w:r>
      <w:r>
        <w:rPr>
          <w:rFonts w:cs="Arial"/>
        </w:rPr>
        <w:tab/>
        <w:t>het voorkomen of beperken van diffuse geuremissies; of</w:t>
      </w:r>
    </w:p>
    <w:p w:rsidR="003B1034" w:rsidRDefault="003B1034" w:rsidP="003B1034">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3B1034" w:rsidRDefault="003B1034" w:rsidP="003B1034">
      <w:pPr>
        <w:pStyle w:val="art1enivo"/>
        <w:shd w:val="clear" w:color="auto" w:fill="D9D9D9" w:themeFill="background1" w:themeFillShade="D9"/>
        <w:suppressAutoHyphens/>
        <w:rPr>
          <w:rFonts w:cs="Arial"/>
        </w:rPr>
      </w:pPr>
      <w:r>
        <w:rPr>
          <w:rFonts w:cs="Arial"/>
        </w:rPr>
        <w:t>5.</w:t>
      </w:r>
      <w:r>
        <w:rPr>
          <w:rFonts w:cs="Arial"/>
        </w:rPr>
        <w:tab/>
        <w:t>In afwijking van het tweede lid kan het bevoegd gezag, indien blijkt dat de geurhinder een aanvaardbaar niveau overschrijdt en de bevoegdheden genoemd in het vierde lid onvoldoende zijn om de overschrijding ongedaan te maken, overeenkomstig artikel 2.7a, derde lid, van het besluit maatwerkvoorschriften stellen met betrekking tot de aanwezigheid van een ontgeuringsinstallatie of een grotere afvoerhoogte van de afgezogen dampen en gassen.</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 xml:space="preserve">6. </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7.</w:t>
      </w:r>
      <w:r>
        <w:rPr>
          <w:rFonts w:eastAsiaTheme="minorEastAsia"/>
          <w:lang w:eastAsia="nl-NL"/>
        </w:rPr>
        <w:tab/>
        <w:t>In afwijking van het zesde lid kan het bevoegd gezag maatwerkvoorschriften als bedoeld in het vierde en vijfde lid stellen.</w:t>
      </w:r>
    </w:p>
    <w:p w:rsidR="003B1034" w:rsidRDefault="003B1034" w:rsidP="003B1034">
      <w:pPr>
        <w:pStyle w:val="artikelkop"/>
        <w:shd w:val="clear" w:color="auto" w:fill="D9D9D9" w:themeFill="background1" w:themeFillShade="D9"/>
      </w:pPr>
      <w:r>
        <w:t>Artikel 4.102g</w:t>
      </w:r>
    </w:p>
    <w:p w:rsidR="003B1034" w:rsidRDefault="003B1034" w:rsidP="003B1034">
      <w:pPr>
        <w:pStyle w:val="art1enivo"/>
        <w:shd w:val="clear" w:color="auto" w:fill="D9D9D9" w:themeFill="background1" w:themeFillShade="D9"/>
        <w:suppressAutoHyphens/>
        <w:rPr>
          <w:rFonts w:cs="Arial"/>
        </w:rPr>
      </w:pPr>
      <w:r>
        <w:rPr>
          <w:rFonts w:cs="Arial"/>
        </w:rPr>
        <w:t>1.</w:t>
      </w:r>
      <w:r>
        <w:rPr>
          <w:rFonts w:cs="Arial"/>
        </w:rPr>
        <w:tab/>
        <w:t>Ter uitvoering van artikel 4.94e, eerste lid, van het besluit past degene die de inrichting drijft bij het lijmen, coaten en lamineren van papier of karton:</w:t>
      </w:r>
    </w:p>
    <w:p w:rsidR="003B1034" w:rsidRDefault="003B1034" w:rsidP="003B1034">
      <w:pPr>
        <w:pStyle w:val="art2enivo"/>
        <w:shd w:val="clear" w:color="auto" w:fill="D9D9D9" w:themeFill="background1" w:themeFillShade="D9"/>
        <w:suppressAutoHyphens/>
        <w:rPr>
          <w:rFonts w:cs="Arial"/>
        </w:rPr>
      </w:pPr>
      <w:r>
        <w:rPr>
          <w:rFonts w:cs="Arial"/>
        </w:rPr>
        <w:t>a.</w:t>
      </w:r>
      <w:r>
        <w:rPr>
          <w:rFonts w:cs="Arial"/>
        </w:rPr>
        <w:tab/>
        <w:t>maatregelen ten aanzien van de bedrijfsvoering toe ter voorkoming van onnodige emissie van vluchtige organische stoffen;</w:t>
      </w:r>
    </w:p>
    <w:p w:rsidR="003B1034" w:rsidRDefault="003B1034" w:rsidP="003B1034">
      <w:pPr>
        <w:pStyle w:val="art2enivo"/>
        <w:shd w:val="clear" w:color="auto" w:fill="D9D9D9" w:themeFill="background1" w:themeFillShade="D9"/>
        <w:suppressAutoHyphens/>
        <w:rPr>
          <w:rFonts w:cs="Arial"/>
        </w:rPr>
      </w:pPr>
      <w:r>
        <w:rPr>
          <w:rFonts w:cs="Arial"/>
        </w:rPr>
        <w:t>b.</w:t>
      </w:r>
      <w:r>
        <w:rPr>
          <w:rFonts w:cs="Arial"/>
        </w:rPr>
        <w:tab/>
        <w:t>oplosmiddelarme producten toe.</w:t>
      </w:r>
    </w:p>
    <w:p w:rsidR="003B1034" w:rsidRDefault="003B1034" w:rsidP="003B1034">
      <w:pPr>
        <w:pStyle w:val="art1enivo"/>
        <w:shd w:val="clear" w:color="auto" w:fill="D9D9D9" w:themeFill="background1" w:themeFillShade="D9"/>
        <w:suppressAutoHyphens/>
        <w:rPr>
          <w:rFonts w:cs="Arial"/>
        </w:rPr>
      </w:pPr>
      <w:r>
        <w:rPr>
          <w:rFonts w:cs="Arial"/>
        </w:rPr>
        <w:t>2.</w:t>
      </w:r>
      <w:r>
        <w:rPr>
          <w:rFonts w:cs="Arial"/>
        </w:rPr>
        <w:tab/>
        <w:t>Indien de emissiereducerende maatregelen, bedoeld in het eerste lid, niet of in onvoldoende mate zijn getroffen, kan het bevoegd gezag verzoeken om een motivering waarom de maatregelen niet zijn getroffen. Bij de motivering wordt betrokken de kosteneffectiviteit en de technische uitvoerbaarheid van de maatregelen.</w:t>
      </w:r>
    </w:p>
    <w:p w:rsidR="003B1034" w:rsidRDefault="003B1034" w:rsidP="003B1034">
      <w:pPr>
        <w:pStyle w:val="artikelkop"/>
        <w:shd w:val="clear" w:color="auto" w:fill="D9D9D9" w:themeFill="background1" w:themeFillShade="D9"/>
      </w:pPr>
      <w:r>
        <w:t>Artikel 4.102h</w:t>
      </w:r>
    </w:p>
    <w:p w:rsidR="003B1034" w:rsidRDefault="003B1034" w:rsidP="003B1034">
      <w:pPr>
        <w:pStyle w:val="artplat"/>
        <w:shd w:val="clear" w:color="auto" w:fill="D9D9D9" w:themeFill="background1" w:themeFillShade="D9"/>
        <w:suppressAutoHyphens/>
        <w:rPr>
          <w:rFonts w:cs="Arial"/>
        </w:rPr>
      </w:pPr>
      <w:r>
        <w:rPr>
          <w:rFonts w:cs="Arial"/>
        </w:rPr>
        <w:t>Ten behoeve van het realiseren van een verwaarloosbaar bodemrisico vindt bij het lijmen, coaten en lamineren van papier of karton het verwerken van lijmen en coatings plaats boven een bodembeschermende voorziening.</w:t>
      </w:r>
    </w:p>
    <w:p w:rsidR="003B1034" w:rsidRDefault="003B1034" w:rsidP="003B1034">
      <w:pPr>
        <w:pStyle w:val="artikelkop"/>
        <w:shd w:val="clear" w:color="auto" w:fill="D9D9D9" w:themeFill="background1" w:themeFillShade="D9"/>
      </w:pPr>
      <w:r>
        <w:t>Artikel 4.102i</w:t>
      </w:r>
    </w:p>
    <w:p w:rsidR="003B1034" w:rsidRDefault="003B1034" w:rsidP="003B1034">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wordt stofklasse S dat vrijkomt bij het mechanisch verkleinen van papier en karton en van papieren of kartonnen producten, voor zover dat redelijkerwijs mogelijk is, doelmatig aan de bron afgezogen.</w:t>
      </w:r>
    </w:p>
    <w:p w:rsidR="003B1034" w:rsidRDefault="003B1034" w:rsidP="003B1034">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afgezogen emissies, die vrijkomen bij het mechanisch verkleinen van papier en karton en van papieren of kartonnen producten en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3B1034" w:rsidRDefault="003B1034" w:rsidP="003B1034">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maatwerkvoorschriften stellen aan de ligging en uitvoering van het afvoerpunt van de emissies naar de buitenlucht, bedoeld in het tweede lid.</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kan het bevoegd gezag maatwerkvoorschriften als bedoeld in het derde lid stellen.</w:t>
      </w:r>
    </w:p>
    <w:p w:rsidR="003B1034" w:rsidRDefault="003B1034" w:rsidP="003B1034">
      <w:pPr>
        <w:pStyle w:val="artikelkop"/>
        <w:shd w:val="clear" w:color="auto" w:fill="D9D9D9" w:themeFill="background1" w:themeFillShade="D9"/>
      </w:pPr>
      <w:r>
        <w:t>Artikel 4.102j</w:t>
      </w:r>
    </w:p>
    <w:p w:rsidR="003B1034" w:rsidRDefault="003B1034" w:rsidP="003B1034">
      <w:pPr>
        <w:pStyle w:val="artplat"/>
        <w:shd w:val="clear" w:color="auto" w:fill="D9D9D9" w:themeFill="background1" w:themeFillShade="D9"/>
        <w:suppressAutoHyphens/>
        <w:rPr>
          <w:rFonts w:cs="Arial"/>
        </w:rPr>
      </w:pPr>
      <w:r>
        <w:rPr>
          <w:rFonts w:cs="Arial"/>
        </w:rPr>
        <w:t>Aan artikel 4.94g, eerste lid, van het besluit wordt in ieder geval voldaan indien de afgezogen emissies die vrijkomen bij het versnipperen van papier en karton en van papieren of kartonnen producten worden gevoerd door een filtrerende afscheider die in goede staat van onderhoud verkeert, periodiek wordt gecontroleerd en zo vaak als voor de goede werking nodig is, wordt schoongemaakt en vervangen.</w:t>
      </w:r>
    </w:p>
    <w:p w:rsidR="003B1034" w:rsidRDefault="003B1034" w:rsidP="003B1034">
      <w:pPr>
        <w:pStyle w:val="artikelkop"/>
        <w:shd w:val="clear" w:color="auto" w:fill="D9D9D9" w:themeFill="background1" w:themeFillShade="D9"/>
      </w:pPr>
      <w:r>
        <w:t>Artikel 4.102k</w:t>
      </w:r>
    </w:p>
    <w:p w:rsidR="003B1034" w:rsidRDefault="003B1034" w:rsidP="003B1034">
      <w:pPr>
        <w:shd w:val="clear" w:color="auto" w:fill="D9D9D9" w:themeFill="background1" w:themeFillShade="D9"/>
      </w:pPr>
      <w:r>
        <w:rPr>
          <w:rFonts w:cs="Arial"/>
        </w:rPr>
        <w:t>Ten behoeve van het realiseren van een verwaarloosbaar bodemrisico vindt het mechanisch verkleinen van papier en karton en van papieren of kartonnen producten waarbij gebruik wordt gemaakt van een installatie met een oliecircuit, plaats boven een bodembeschermende voorziening.</w:t>
      </w:r>
    </w:p>
    <w:p w:rsidR="003B1034" w:rsidRPr="003B1034" w:rsidRDefault="003B1034" w:rsidP="003B1034"/>
    <w:p w:rsidR="00296032" w:rsidRPr="00296032" w:rsidRDefault="00296032">
      <w:pPr>
        <w:pStyle w:val="paragraaf"/>
        <w:rPr>
          <w:rFonts w:cs="Arial"/>
        </w:rPr>
      </w:pPr>
      <w:bookmarkStart w:id="306" w:name="_Toc277243255"/>
      <w:bookmarkStart w:id="307" w:name="_Toc431375758"/>
      <w:r w:rsidRPr="00296032">
        <w:rPr>
          <w:rFonts w:cs="Arial"/>
        </w:rPr>
        <w:t>§ 4.7a.2</w:t>
      </w:r>
      <w:r w:rsidRPr="00296032">
        <w:rPr>
          <w:rFonts w:cs="Arial"/>
        </w:rPr>
        <w:tab/>
        <w:t>Reinigen of wassen van textiel</w:t>
      </w:r>
      <w:bookmarkEnd w:id="306"/>
      <w:bookmarkEnd w:id="307"/>
    </w:p>
    <w:p w:rsidR="00296032" w:rsidRPr="00296032" w:rsidRDefault="00296032">
      <w:pPr>
        <w:pStyle w:val="artikelkop"/>
        <w:rPr>
          <w:rFonts w:cs="Arial"/>
        </w:rPr>
      </w:pPr>
      <w:r w:rsidRPr="00296032">
        <w:rPr>
          <w:rFonts w:cs="Arial"/>
        </w:rPr>
        <w:t>Artikel 4.94ga</w:t>
      </w:r>
    </w:p>
    <w:p w:rsidR="00296032" w:rsidRPr="00620047" w:rsidRDefault="00296032">
      <w:pPr>
        <w:pStyle w:val="artplat"/>
      </w:pPr>
      <w:r w:rsidRPr="00620047">
        <w:t>Deze paragraaf is van toepassing op het reinigen of wassen van textiel.</w:t>
      </w:r>
    </w:p>
    <w:p w:rsidR="00296032" w:rsidRPr="00296032" w:rsidRDefault="00296032">
      <w:pPr>
        <w:pStyle w:val="artikelkop"/>
        <w:rPr>
          <w:rFonts w:cs="Arial"/>
        </w:rPr>
      </w:pPr>
      <w:r w:rsidRPr="00296032">
        <w:rPr>
          <w:rFonts w:cs="Arial"/>
        </w:rPr>
        <w:t>Artikel 4.95</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Het reinigen van textiel vindt voor zover daar chemische stoffen bij worden gebruikt, uitsluitend plaats met behulp van PER of niet-gechloreerde alifatische koolwaterstoffen.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Bij ministeriële regeling kunnen andere stoffen dan genoemd in het eerste lid, worden aangewezen.</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 xml:space="preserve">Degene die een inrichting drijft waarin activiteiten worden uitgeoefend als bedoeld in het eerste lid, voert een oplosmiddelenboekhouding overeenkomstig de bij ministeriële regeling gestelde eisen. </w:t>
      </w:r>
    </w:p>
    <w:p w:rsidR="00296032" w:rsidRPr="00296032" w:rsidRDefault="00296032">
      <w:pPr>
        <w:pStyle w:val="artikelkop"/>
        <w:rPr>
          <w:rFonts w:cs="Arial"/>
        </w:rPr>
      </w:pPr>
      <w:r w:rsidRPr="00296032">
        <w:rPr>
          <w:rFonts w:cs="Arial"/>
        </w:rPr>
        <w:t>Artikel 4.96</w:t>
      </w:r>
    </w:p>
    <w:p w:rsidR="00296032" w:rsidRPr="00620047" w:rsidRDefault="000143D4">
      <w:pPr>
        <w:pStyle w:val="art1enivo"/>
        <w:rPr>
          <w:rFonts w:cs="Arial"/>
        </w:rPr>
      </w:pPr>
      <w:r w:rsidRPr="000143D4">
        <w:rPr>
          <w:rFonts w:cs="Arial"/>
          <w:bCs/>
        </w:rPr>
        <w:t>[Vervallen per 01-01-2016]</w:t>
      </w:r>
    </w:p>
    <w:p w:rsidR="00296032" w:rsidRPr="00296032" w:rsidRDefault="00296032">
      <w:pPr>
        <w:pStyle w:val="artikelkop"/>
        <w:rPr>
          <w:rFonts w:cs="Arial"/>
        </w:rPr>
      </w:pPr>
      <w:r w:rsidRPr="00296032">
        <w:rPr>
          <w:rFonts w:cs="Arial"/>
        </w:rPr>
        <w:t>Artikel 4.97</w:t>
      </w:r>
    </w:p>
    <w:p w:rsidR="00296032" w:rsidRPr="00620047" w:rsidRDefault="000143D4">
      <w:pPr>
        <w:pStyle w:val="art1enivo"/>
        <w:rPr>
          <w:rFonts w:cs="Arial"/>
        </w:rPr>
      </w:pPr>
      <w:r w:rsidRPr="000143D4">
        <w:rPr>
          <w:rFonts w:cs="Arial"/>
          <w:bCs/>
        </w:rPr>
        <w:t>[Vervallen per 01-01-2016]</w:t>
      </w:r>
      <w:r w:rsidR="00296032" w:rsidRPr="00620047">
        <w:rPr>
          <w:rFonts w:cs="Arial"/>
        </w:rPr>
        <w:t>.</w:t>
      </w:r>
    </w:p>
    <w:p w:rsidR="00296032" w:rsidRPr="00296032" w:rsidRDefault="00296032">
      <w:pPr>
        <w:pStyle w:val="artikelkop"/>
        <w:rPr>
          <w:rFonts w:cs="Arial"/>
        </w:rPr>
      </w:pPr>
      <w:r w:rsidRPr="00296032">
        <w:rPr>
          <w:rFonts w:cs="Arial"/>
        </w:rPr>
        <w:t>Artikel 4.98</w:t>
      </w:r>
    </w:p>
    <w:p w:rsidR="00296032" w:rsidRPr="00620047" w:rsidRDefault="000143D4">
      <w:pPr>
        <w:pStyle w:val="art1enivo"/>
        <w:rPr>
          <w:rFonts w:cs="Arial"/>
        </w:rPr>
      </w:pPr>
      <w:r w:rsidRPr="000143D4">
        <w:rPr>
          <w:rFonts w:cs="Arial"/>
          <w:bCs/>
        </w:rPr>
        <w:t>[Vervallen per 01-01-2016]</w:t>
      </w:r>
      <w:r w:rsidR="00296032" w:rsidRPr="00620047">
        <w:rPr>
          <w:rFonts w:cs="Arial"/>
        </w:rPr>
        <w:t>.</w:t>
      </w:r>
    </w:p>
    <w:p w:rsidR="00296032" w:rsidRPr="00296032" w:rsidRDefault="00296032">
      <w:pPr>
        <w:pStyle w:val="artikelkop"/>
        <w:rPr>
          <w:rFonts w:cs="Arial"/>
        </w:rPr>
      </w:pPr>
      <w:r w:rsidRPr="00296032">
        <w:rPr>
          <w:rFonts w:cs="Arial"/>
        </w:rPr>
        <w:t>Artikel 4.99</w:t>
      </w:r>
    </w:p>
    <w:p w:rsidR="00296032" w:rsidRPr="00620047" w:rsidRDefault="000143D4">
      <w:pPr>
        <w:pStyle w:val="art1enivo"/>
        <w:rPr>
          <w:rFonts w:cs="Arial"/>
        </w:rPr>
      </w:pPr>
      <w:r w:rsidRPr="000143D4">
        <w:rPr>
          <w:rFonts w:cs="Arial"/>
          <w:bCs/>
        </w:rPr>
        <w:t>[Vervallen per 01-01-2016]</w:t>
      </w:r>
    </w:p>
    <w:p w:rsidR="00296032" w:rsidRPr="00296032" w:rsidRDefault="00296032">
      <w:pPr>
        <w:pStyle w:val="artikelkop"/>
        <w:rPr>
          <w:rFonts w:cs="Arial"/>
        </w:rPr>
      </w:pPr>
      <w:r w:rsidRPr="00296032">
        <w:rPr>
          <w:rFonts w:cs="Arial"/>
        </w:rPr>
        <w:t>Artikel 4.100</w:t>
      </w:r>
    </w:p>
    <w:p w:rsidR="00296032" w:rsidRPr="00620047" w:rsidRDefault="000143D4">
      <w:pPr>
        <w:pStyle w:val="art1enivo"/>
        <w:rPr>
          <w:rFonts w:cs="Arial"/>
        </w:rPr>
      </w:pPr>
      <w:r w:rsidRPr="000143D4">
        <w:rPr>
          <w:rFonts w:cs="Arial"/>
          <w:bCs/>
        </w:rPr>
        <w:t>[Vervallen per 01-01-2016]</w:t>
      </w:r>
    </w:p>
    <w:p w:rsidR="00296032" w:rsidRPr="00296032" w:rsidRDefault="00296032">
      <w:pPr>
        <w:pStyle w:val="artikelkop"/>
        <w:rPr>
          <w:rFonts w:cs="Arial"/>
        </w:rPr>
      </w:pPr>
      <w:r w:rsidRPr="00296032">
        <w:rPr>
          <w:rFonts w:cs="Arial"/>
        </w:rPr>
        <w:t>Artikel 4.101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Een machine bestemd voor het reinigen met een koolwaterstof wordt zo ingesteld, gebruikt en onderhouden dat de hoeveelheid van die koolwaterstof in het gereinigde textiel en in de vrijkomende drooglucht niet meer bedraagt dan 20 gram per kilogram gereinigd textiel.</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Indien bij ministeriële regeling als bedoeld in artikel 4.95, tweede lid, een andere stof wordt aangewezen dan die genoemd in het eerste lid, kan bij die regeling tevens de ten hoogste toelaatbare hoeveelheid van die stof in het gereinigde textiel en in de vrijkomende drooglucht worden aangegeven.</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De drijver van de inrichting bewaart het laatste keurings- en onderhoudsrapport, waaruit mede blijkt wie en wanneer de keuring of het onderhoud heeft onderscheidenlijk is verricht.</w:t>
      </w:r>
    </w:p>
    <w:p w:rsidR="00296032" w:rsidRPr="00296032" w:rsidRDefault="00296032">
      <w:pPr>
        <w:pStyle w:val="artikelkop"/>
        <w:rPr>
          <w:rFonts w:cs="Arial"/>
        </w:rPr>
      </w:pPr>
      <w:r w:rsidRPr="00296032">
        <w:rPr>
          <w:rFonts w:cs="Arial"/>
        </w:rPr>
        <w:t>Artikel 4.102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in het vuilwaterriool lozen van afvalwater afkomstig van het reinigen of wassen van textiel wordt ten minste voldaan aan het tweede en derde lid.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Afvalwater afkomstig van het wasproces bevat in enig steekmonster niet meer dan 0,1 milligram PER per liter.</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te lozen afvalwater kan op een doelmatige wijze worden bemonsterd.</w:t>
      </w:r>
    </w:p>
    <w:p w:rsidR="00296032" w:rsidRPr="00296032" w:rsidRDefault="00296032">
      <w:pPr>
        <w:pStyle w:val="artikelkop"/>
        <w:rPr>
          <w:rFonts w:cs="Arial"/>
        </w:rPr>
      </w:pPr>
      <w:r w:rsidRPr="00296032">
        <w:rPr>
          <w:rFonts w:cs="Arial"/>
        </w:rPr>
        <w:t>Artikel 4.103</w:t>
      </w:r>
    </w:p>
    <w:p w:rsidR="00296032" w:rsidRDefault="00296032">
      <w:pPr>
        <w:rPr>
          <w:rFonts w:cs="Arial"/>
        </w:rPr>
      </w:pPr>
      <w:r w:rsidRPr="00620047">
        <w:rPr>
          <w:rFonts w:cs="Arial"/>
        </w:rPr>
        <w:t>Bij het reinigen of wassen van textiel wordt ten behoeve van het realiseren van een verwaarloosbaar bodemrisico, voldaan aan de bij ministeriële regeling te stellen eisen.</w:t>
      </w:r>
    </w:p>
    <w:p w:rsidR="003B1034" w:rsidRDefault="003B1034">
      <w:pPr>
        <w:rPr>
          <w:rFonts w:cs="Arial"/>
        </w:rPr>
      </w:pPr>
    </w:p>
    <w:p w:rsidR="003B1034" w:rsidRDefault="003B1034" w:rsidP="003B1034">
      <w:pPr>
        <w:pStyle w:val="paragraaf"/>
        <w:shd w:val="clear" w:color="auto" w:fill="D9D9D9" w:themeFill="background1" w:themeFillShade="D9"/>
      </w:pPr>
      <w:bookmarkStart w:id="308" w:name="_Toc431375759"/>
      <w:r>
        <w:t>§ 4.7a.2.</w:t>
      </w:r>
      <w:r>
        <w:tab/>
        <w:t>Reinigen en wassen van textiel</w:t>
      </w:r>
      <w:bookmarkEnd w:id="308"/>
    </w:p>
    <w:p w:rsidR="003B1034" w:rsidRDefault="003B1034" w:rsidP="003B1034">
      <w:pPr>
        <w:pStyle w:val="artikelkop"/>
        <w:shd w:val="clear" w:color="auto" w:fill="D9D9D9" w:themeFill="background1" w:themeFillShade="D9"/>
      </w:pPr>
      <w:r>
        <w:t xml:space="preserve">Artikel 4.103 </w:t>
      </w:r>
      <w:r w:rsidR="002F3040" w:rsidRPr="002F3040">
        <w:t>[Vervallen per 01-01-2016]</w:t>
      </w:r>
    </w:p>
    <w:p w:rsidR="003B1034" w:rsidRDefault="003B1034" w:rsidP="003B1034">
      <w:pPr>
        <w:pStyle w:val="artikelkop"/>
        <w:shd w:val="clear" w:color="auto" w:fill="D9D9D9" w:themeFill="background1" w:themeFillShade="D9"/>
      </w:pPr>
      <w:r>
        <w:t>Artikel 4.104</w:t>
      </w:r>
    </w:p>
    <w:p w:rsidR="003B1034" w:rsidRDefault="003B1034" w:rsidP="003B1034">
      <w:pPr>
        <w:pStyle w:val="art1enivo"/>
        <w:shd w:val="clear" w:color="auto" w:fill="D9D9D9" w:themeFill="background1" w:themeFillShade="D9"/>
        <w:suppressAutoHyphens/>
        <w:rPr>
          <w:rFonts w:cs="Arial"/>
        </w:rPr>
      </w:pPr>
      <w:r>
        <w:rPr>
          <w:rFonts w:cs="Arial"/>
        </w:rPr>
        <w:t>1.</w:t>
      </w:r>
      <w:r>
        <w:rPr>
          <w:rFonts w:cs="Arial"/>
        </w:rPr>
        <w:tab/>
        <w:t>Ten behoeve van het realiseren van een verwaarloosbaar bodemrisico is bij het reinigen en wassen van textiel een textielreinigingsinstallatie voor het reinigen met PER opgesteld boven een vloeistofdichte vloer of verharding, die niet voor PER indringbaar is, of een lekbak.</w:t>
      </w:r>
    </w:p>
    <w:p w:rsidR="003B1034" w:rsidRDefault="003B1034" w:rsidP="003B1034">
      <w:pPr>
        <w:pStyle w:val="art1enivo"/>
        <w:shd w:val="clear" w:color="auto" w:fill="D9D9D9" w:themeFill="background1" w:themeFillShade="D9"/>
        <w:suppressAutoHyphens/>
        <w:rPr>
          <w:rFonts w:cs="Arial"/>
        </w:rPr>
      </w:pPr>
      <w:r>
        <w:rPr>
          <w:rFonts w:cs="Arial"/>
        </w:rPr>
        <w:t>2.</w:t>
      </w:r>
      <w:r>
        <w:rPr>
          <w:rFonts w:cs="Arial"/>
        </w:rPr>
        <w:tab/>
        <w:t>Een textielreinigingsinstallatie voor het reinigen met oplosmiddelen, niet zijnde PER is opgesteld boven een vloeistofdichte vloer of verharding.</w:t>
      </w:r>
    </w:p>
    <w:p w:rsidR="003B1034" w:rsidRPr="00620047" w:rsidRDefault="003B1034">
      <w:pPr>
        <w:rPr>
          <w:rFonts w:cs="Arial"/>
        </w:rPr>
      </w:pPr>
    </w:p>
    <w:p w:rsidR="00296032" w:rsidRPr="00296032" w:rsidRDefault="00296032">
      <w:pPr>
        <w:pStyle w:val="paragraaf"/>
        <w:rPr>
          <w:rFonts w:cs="Arial"/>
        </w:rPr>
      </w:pPr>
      <w:bookmarkStart w:id="309" w:name="_Toc277243256"/>
      <w:bookmarkStart w:id="310" w:name="_Toc431375760"/>
      <w:r w:rsidRPr="00296032">
        <w:rPr>
          <w:rFonts w:cs="Arial"/>
        </w:rPr>
        <w:t>§ 4.7a.3 Mechanische bewerking of verwerking van textiel</w:t>
      </w:r>
      <w:bookmarkEnd w:id="309"/>
      <w:bookmarkEnd w:id="310"/>
    </w:p>
    <w:p w:rsidR="00296032" w:rsidRPr="00296032" w:rsidRDefault="00296032">
      <w:pPr>
        <w:pStyle w:val="artikelkop"/>
        <w:rPr>
          <w:rFonts w:cs="Arial"/>
        </w:rPr>
      </w:pPr>
      <w:r w:rsidRPr="00296032">
        <w:rPr>
          <w:rFonts w:cs="Arial"/>
        </w:rPr>
        <w:t>Artikel 4.103a</w:t>
      </w:r>
    </w:p>
    <w:p w:rsidR="00296032" w:rsidRPr="00620047" w:rsidRDefault="00296032">
      <w:pPr>
        <w:pStyle w:val="artplat"/>
      </w:pPr>
      <w:r w:rsidRPr="00620047">
        <w:t>Deze paragraaf is van toepassing op de mechanische bewerking of verwerking van textiel.</w:t>
      </w:r>
    </w:p>
    <w:p w:rsidR="00296032" w:rsidRPr="00296032" w:rsidRDefault="00296032">
      <w:pPr>
        <w:pStyle w:val="artikelkop"/>
        <w:rPr>
          <w:rFonts w:cs="Arial"/>
        </w:rPr>
      </w:pPr>
      <w:r w:rsidRPr="00296032">
        <w:rPr>
          <w:rFonts w:cs="Arial"/>
        </w:rPr>
        <w:t>Artikel 4.103aa</w:t>
      </w:r>
    </w:p>
    <w:p w:rsidR="00296032" w:rsidRPr="00620047" w:rsidRDefault="00296032">
      <w:pPr>
        <w:rPr>
          <w:rFonts w:cs="Arial"/>
        </w:rPr>
      </w:pPr>
      <w:r w:rsidRPr="00620047">
        <w:rPr>
          <w:rFonts w:cs="Arial"/>
        </w:rPr>
        <w:t>Onverminderd artikel 2.5, eerste, vierde en vijfde lid, en artikel 2.6 is bij het geautomatiseerd weven, spinnen en breien en het verkleinen van textiel en producten van textiel, de emissieconcentratie van stofklasse S niet meer dan:</w:t>
      </w:r>
    </w:p>
    <w:p w:rsidR="00296032" w:rsidRPr="00620047" w:rsidRDefault="00296032">
      <w:pPr>
        <w:pStyle w:val="artplatletter"/>
        <w:rPr>
          <w:rFonts w:cs="Arial"/>
        </w:rPr>
      </w:pPr>
      <w:r w:rsidRPr="00620047">
        <w:rPr>
          <w:rFonts w:cs="Arial"/>
        </w:rPr>
        <w:t>a.</w:t>
      </w:r>
      <w:r w:rsidRPr="00620047">
        <w:rPr>
          <w:rFonts w:cs="Arial"/>
        </w:rPr>
        <w:tab/>
        <w:t>5 milligram per normaal kubieke meter indien de massastroom van stofklasse S gelijk is aan of groter is dan 200 gram per uur;</w:t>
      </w:r>
    </w:p>
    <w:p w:rsidR="00296032" w:rsidRPr="00620047" w:rsidRDefault="00296032">
      <w:pPr>
        <w:pStyle w:val="artplatletter"/>
        <w:rPr>
          <w:rFonts w:cs="Arial"/>
        </w:rPr>
      </w:pPr>
      <w:r w:rsidRPr="00620047">
        <w:rPr>
          <w:rFonts w:cs="Arial"/>
        </w:rPr>
        <w:t>b.</w:t>
      </w:r>
      <w:r w:rsidRPr="00620047">
        <w:rPr>
          <w:rFonts w:cs="Arial"/>
        </w:rPr>
        <w:tab/>
        <w:t>50 milligram per normaal kubieke meter indien de massastroom van stofklasse S kleiner is dan 200 gram per uur.</w:t>
      </w:r>
    </w:p>
    <w:p w:rsidR="00296032" w:rsidRPr="00296032" w:rsidRDefault="00296032">
      <w:pPr>
        <w:pStyle w:val="artikelkop"/>
        <w:rPr>
          <w:rFonts w:cs="Arial"/>
        </w:rPr>
      </w:pPr>
      <w:r w:rsidRPr="00296032">
        <w:rPr>
          <w:rFonts w:cs="Arial"/>
        </w:rPr>
        <w:t>Artikel 4.103b</w:t>
      </w:r>
    </w:p>
    <w:p w:rsidR="00296032" w:rsidRPr="00620047" w:rsidRDefault="00296032">
      <w:pPr>
        <w:rPr>
          <w:rFonts w:cs="Arial"/>
        </w:rPr>
      </w:pPr>
      <w:r w:rsidRPr="00620047">
        <w:rPr>
          <w:rFonts w:cs="Arial"/>
        </w:rPr>
        <w:t>Bij het geautomatiseerd weven, spinnen en breien en verkleinen van textiel en producten van textiel, worden ten behoeve van het voorkomen dan wel beperken van diffuse emissies en het doelmatig verspreiden van emissies naar de buitenlucht, de bij ministeriële regeling voorgeschreven maatregelen toegepast.</w:t>
      </w:r>
    </w:p>
    <w:p w:rsidR="00296032" w:rsidRPr="00296032" w:rsidRDefault="00296032">
      <w:pPr>
        <w:pStyle w:val="artikelkop"/>
        <w:rPr>
          <w:rFonts w:cs="Arial"/>
        </w:rPr>
      </w:pPr>
      <w:r w:rsidRPr="00296032">
        <w:rPr>
          <w:rFonts w:cs="Arial"/>
        </w:rPr>
        <w:t>Artikel 4.103ba</w:t>
      </w:r>
    </w:p>
    <w:p w:rsidR="00296032" w:rsidRDefault="00296032">
      <w:pPr>
        <w:rPr>
          <w:rFonts w:cs="Arial"/>
        </w:rPr>
      </w:pPr>
      <w:r w:rsidRPr="00620047">
        <w:rPr>
          <w:rFonts w:cs="Arial"/>
        </w:rPr>
        <w:t>Bij het verkleinen van textiel en producten van textiel wordt ten behoeve van het realiseren van een verwaarloosbaar bodemrisico voldaan aan de bij ministeriële regeling te stellen eisen.</w:t>
      </w:r>
    </w:p>
    <w:p w:rsidR="003B1034" w:rsidRDefault="003B1034">
      <w:pPr>
        <w:rPr>
          <w:rFonts w:cs="Arial"/>
        </w:rPr>
      </w:pPr>
    </w:p>
    <w:p w:rsidR="003B1034" w:rsidRDefault="003B1034" w:rsidP="003B1034">
      <w:pPr>
        <w:pStyle w:val="paragraaf"/>
        <w:shd w:val="clear" w:color="auto" w:fill="D9D9D9" w:themeFill="background1" w:themeFillShade="D9"/>
      </w:pPr>
      <w:bookmarkStart w:id="311" w:name="_Toc431375761"/>
      <w:r>
        <w:t>§ 4.7a.3.</w:t>
      </w:r>
      <w:r>
        <w:tab/>
        <w:t>Mechanische bewerking of verwerking van textiel</w:t>
      </w:r>
      <w:bookmarkEnd w:id="311"/>
    </w:p>
    <w:p w:rsidR="003B1034" w:rsidRDefault="003B1034" w:rsidP="003B1034">
      <w:pPr>
        <w:pStyle w:val="artikelkop"/>
        <w:shd w:val="clear" w:color="auto" w:fill="D9D9D9" w:themeFill="background1" w:themeFillShade="D9"/>
      </w:pPr>
      <w:r>
        <w:t>Artikel 4.104a</w:t>
      </w:r>
    </w:p>
    <w:p w:rsidR="003B1034" w:rsidRDefault="003B1034" w:rsidP="003B1034">
      <w:pPr>
        <w:pStyle w:val="art1enivo"/>
        <w:shd w:val="clear" w:color="auto" w:fill="D9D9D9" w:themeFill="background1" w:themeFillShade="D9"/>
        <w:suppressAutoHyphens/>
        <w:rPr>
          <w:rFonts w:cs="Arial"/>
        </w:rPr>
      </w:pPr>
      <w:r>
        <w:rPr>
          <w:rFonts w:cs="Arial"/>
        </w:rPr>
        <w:t>1.</w:t>
      </w:r>
      <w:r>
        <w:rPr>
          <w:rFonts w:cs="Arial"/>
        </w:rPr>
        <w:tab/>
        <w:t>Ten behoeve van het voorkomen dan wel het zoveel mogelijk beperken van diffuse emissies, wordt stofklasse S dat vrijkomt bij het geautomatiseerd weven, spinnen en breien van textiel en het verkleinen van textiel en producten van textiel, voor zover dat redelijkerwijs mogelijk is, doelmatig aan de bron afgezogen.</w:t>
      </w:r>
    </w:p>
    <w:p w:rsidR="003B1034" w:rsidRDefault="003B1034" w:rsidP="003B1034">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de afgezogen emissies die vrijkomen bij het geautomatiseerd weven, spinnen en breien van textiel en het verkleinen van textiel en producten van textiel en die naar de buitenlucht worden afgevoerd, bovendaks en omhoog gericht afgevoerd, indien binnen 50 meter van een emissiepunt een gevoelig gebouw is gelegen, niet zijnde een gevoelig gebouw op een gezoneerd industrieterrein, dan wel op een bedrijventerrein met minder dan één gevoelig gebouw per hectare.</w:t>
      </w:r>
    </w:p>
    <w:p w:rsidR="003B1034" w:rsidRDefault="003B1034" w:rsidP="003B1034">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en  maatwerkvoorschriften stellen aan de ligging en uitvoering van het afvoerpunt van emissies naar de buitenlucht, bedoeld in het tweede lid.</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kan het bevoegd gezag maatwerkvoorschriften als bedoeld in het derde lid stellen.</w:t>
      </w:r>
    </w:p>
    <w:p w:rsidR="003B1034" w:rsidRDefault="003B1034" w:rsidP="003B1034">
      <w:pPr>
        <w:pStyle w:val="artikelkop"/>
        <w:shd w:val="clear" w:color="auto" w:fill="D9D9D9" w:themeFill="background1" w:themeFillShade="D9"/>
      </w:pPr>
      <w:r>
        <w:t>Artikel 4.104b</w:t>
      </w:r>
    </w:p>
    <w:p w:rsidR="003B1034" w:rsidRDefault="003B1034" w:rsidP="003B1034">
      <w:pPr>
        <w:pStyle w:val="art1enivo"/>
        <w:shd w:val="clear" w:color="auto" w:fill="D9D9D9" w:themeFill="background1" w:themeFillShade="D9"/>
        <w:rPr>
          <w:lang w:eastAsia="nl-NL"/>
        </w:rPr>
      </w:pPr>
      <w:r>
        <w:rPr>
          <w:lang w:eastAsia="nl-NL"/>
        </w:rPr>
        <w:t>Aan artikel 4.103aa van het besluit wordt in ieder geval voldaan indien:</w:t>
      </w:r>
    </w:p>
    <w:p w:rsidR="003B1034" w:rsidRDefault="003B1034" w:rsidP="003B1034">
      <w:pPr>
        <w:pStyle w:val="artplatletter"/>
        <w:shd w:val="clear" w:color="auto" w:fill="D9D9D9" w:themeFill="background1" w:themeFillShade="D9"/>
        <w:suppressAutoHyphens/>
        <w:rPr>
          <w:rFonts w:cs="Arial"/>
          <w:lang w:eastAsia="nl-NL"/>
        </w:rPr>
      </w:pPr>
      <w:r>
        <w:rPr>
          <w:rFonts w:cs="Arial"/>
          <w:bCs/>
          <w:lang w:eastAsia="nl-NL"/>
        </w:rPr>
        <w:t>a.</w:t>
      </w:r>
      <w:r>
        <w:rPr>
          <w:rFonts w:cs="Arial"/>
          <w:bCs/>
          <w:lang w:eastAsia="nl-NL"/>
        </w:rPr>
        <w:tab/>
      </w:r>
      <w:r>
        <w:rPr>
          <w:rFonts w:cs="Arial"/>
          <w:lang w:eastAsia="nl-NL"/>
        </w:rPr>
        <w:t>de afgezogen stofemissies die vrijkomen bij het geautomatiseerd weven, spinnen en breien van textiel en het verkleinen van textiel en producten van textiel worden gevoerd door een filtrerende afscheider, die geschikt is om aan artikel 4.103aa van het besluit te voldoen; en</w:t>
      </w:r>
    </w:p>
    <w:p w:rsidR="003B1034" w:rsidRDefault="003B1034" w:rsidP="003B1034">
      <w:pPr>
        <w:pStyle w:val="artplatletter"/>
        <w:shd w:val="clear" w:color="auto" w:fill="D9D9D9" w:themeFill="background1" w:themeFillShade="D9"/>
        <w:suppressAutoHyphens/>
        <w:rPr>
          <w:rFonts w:cs="Arial"/>
          <w:lang w:eastAsia="nl-NL"/>
        </w:rPr>
      </w:pPr>
      <w:r>
        <w:rPr>
          <w:rFonts w:cs="Arial"/>
          <w:bCs/>
          <w:lang w:eastAsia="nl-NL"/>
        </w:rPr>
        <w:t>b.</w:t>
      </w:r>
      <w:r>
        <w:rPr>
          <w:rFonts w:cs="Arial"/>
          <w:bCs/>
          <w:lang w:eastAsia="nl-NL"/>
        </w:rPr>
        <w:tab/>
      </w:r>
      <w:r>
        <w:rPr>
          <w:rFonts w:cs="Arial"/>
          <w:lang w:eastAsia="nl-NL"/>
        </w:rPr>
        <w:t>de filtrerende afscheider in goede staat van onderhoud verkeert, periodiek gecontroleerd wordt en zo vaak als voor de goede werking nodig is, wordt schoongemaakt en vervangen.</w:t>
      </w:r>
    </w:p>
    <w:p w:rsidR="003B1034" w:rsidRDefault="003B1034" w:rsidP="003B1034">
      <w:pPr>
        <w:pStyle w:val="artikelkop"/>
        <w:shd w:val="clear" w:color="auto" w:fill="D9D9D9" w:themeFill="background1" w:themeFillShade="D9"/>
      </w:pPr>
      <w:r>
        <w:t>Artikel 4.104ba</w:t>
      </w:r>
    </w:p>
    <w:p w:rsidR="003B1034" w:rsidRPr="003B1034" w:rsidRDefault="003B1034" w:rsidP="003B1034">
      <w:pPr>
        <w:pStyle w:val="artplat"/>
        <w:shd w:val="clear" w:color="auto" w:fill="D9D9D9" w:themeFill="background1" w:themeFillShade="D9"/>
        <w:suppressAutoHyphens/>
        <w:rPr>
          <w:rFonts w:cs="Arial"/>
        </w:rPr>
      </w:pPr>
      <w:r>
        <w:rPr>
          <w:rFonts w:cs="Arial"/>
        </w:rPr>
        <w:t>Ten behoeve van het realiseren van een verwaarloosbaar bodemrisico vindt het verkleinen van textiel en producten van textiel waarbij gebruik wordt gemaakt van een installatie met een oliecircuit, plaats boven een bodembeschermende voorziening.</w:t>
      </w:r>
    </w:p>
    <w:p w:rsidR="003B1034" w:rsidRPr="00620047" w:rsidRDefault="003B1034">
      <w:pPr>
        <w:rPr>
          <w:rFonts w:cs="Arial"/>
        </w:rPr>
      </w:pPr>
    </w:p>
    <w:p w:rsidR="00296032" w:rsidRPr="00296032" w:rsidRDefault="00296032">
      <w:pPr>
        <w:pStyle w:val="paragraaf"/>
        <w:rPr>
          <w:rFonts w:cs="Arial"/>
        </w:rPr>
      </w:pPr>
      <w:bookmarkStart w:id="312" w:name="_Toc277243257"/>
      <w:bookmarkStart w:id="313" w:name="_Toc431375762"/>
      <w:r w:rsidRPr="00296032">
        <w:rPr>
          <w:rFonts w:cs="Arial"/>
        </w:rPr>
        <w:t>§ 4.7a.4</w:t>
      </w:r>
      <w:r w:rsidRPr="00296032">
        <w:rPr>
          <w:rFonts w:cs="Arial"/>
        </w:rPr>
        <w:tab/>
        <w:t>Lassen van textiel</w:t>
      </w:r>
      <w:bookmarkEnd w:id="312"/>
      <w:bookmarkEnd w:id="313"/>
    </w:p>
    <w:p w:rsidR="00296032" w:rsidRPr="00296032" w:rsidRDefault="00296032">
      <w:pPr>
        <w:pStyle w:val="artikelkop"/>
        <w:rPr>
          <w:rFonts w:cs="Arial"/>
        </w:rPr>
      </w:pPr>
      <w:r w:rsidRPr="00296032">
        <w:rPr>
          <w:rFonts w:cs="Arial"/>
        </w:rPr>
        <w:t>Artikel 4.103bb</w:t>
      </w:r>
    </w:p>
    <w:p w:rsidR="00296032" w:rsidRPr="00620047" w:rsidRDefault="00296032">
      <w:pPr>
        <w:pStyle w:val="artplat"/>
      </w:pPr>
      <w:r w:rsidRPr="00620047">
        <w:t>Deze paragraaf is van toepassing op het lassen van textiel.</w:t>
      </w:r>
    </w:p>
    <w:p w:rsidR="00296032" w:rsidRPr="00296032" w:rsidRDefault="00296032">
      <w:pPr>
        <w:pStyle w:val="artikelkop"/>
        <w:rPr>
          <w:rFonts w:cs="Arial"/>
        </w:rPr>
      </w:pPr>
      <w:r w:rsidRPr="00296032">
        <w:rPr>
          <w:rFonts w:cs="Arial"/>
        </w:rPr>
        <w:t>Artikel 4.103c</w:t>
      </w:r>
    </w:p>
    <w:p w:rsidR="00296032" w:rsidRDefault="00296032">
      <w:pPr>
        <w:rPr>
          <w:rFonts w:cs="Arial"/>
        </w:rPr>
      </w:pPr>
      <w:r w:rsidRPr="00620047">
        <w:rPr>
          <w:rFonts w:cs="Arial"/>
        </w:rPr>
        <w:t>Bij het lassen van textiel wordt ten behoeve van het doelmatig verspreiden van emissies naar de buitenlucht ten minste voldaan aan de bij ministeriële regeling te stellen eisen.</w:t>
      </w:r>
    </w:p>
    <w:p w:rsidR="003B1034" w:rsidRDefault="003B1034">
      <w:pPr>
        <w:rPr>
          <w:rFonts w:cs="Arial"/>
        </w:rPr>
      </w:pPr>
    </w:p>
    <w:p w:rsidR="003B1034" w:rsidRDefault="003B1034" w:rsidP="003B1034">
      <w:pPr>
        <w:pStyle w:val="paragraaf"/>
        <w:shd w:val="clear" w:color="auto" w:fill="D9D9D9" w:themeFill="background1" w:themeFillShade="D9"/>
      </w:pPr>
      <w:bookmarkStart w:id="314" w:name="_Toc431375763"/>
      <w:r>
        <w:t>§ 4.7a.4.</w:t>
      </w:r>
      <w:r>
        <w:tab/>
        <w:t>Lassen van textiel</w:t>
      </w:r>
      <w:bookmarkEnd w:id="314"/>
    </w:p>
    <w:p w:rsidR="003B1034" w:rsidRDefault="003B1034" w:rsidP="003B1034">
      <w:pPr>
        <w:pStyle w:val="artikelkop"/>
        <w:shd w:val="clear" w:color="auto" w:fill="D9D9D9" w:themeFill="background1" w:themeFillShade="D9"/>
      </w:pPr>
      <w:r>
        <w:t>Artikel 4.104c</w:t>
      </w:r>
    </w:p>
    <w:p w:rsidR="003B1034" w:rsidRDefault="003B1034" w:rsidP="003B1034">
      <w:pPr>
        <w:pStyle w:val="art1enivo"/>
        <w:shd w:val="clear" w:color="auto" w:fill="D9D9D9" w:themeFill="background1" w:themeFillShade="D9"/>
        <w:suppressAutoHyphens/>
        <w:rPr>
          <w:rFonts w:cs="Arial"/>
        </w:rPr>
      </w:pPr>
      <w:r>
        <w:rPr>
          <w:rFonts w:cs="Arial"/>
        </w:rPr>
        <w:t>1.</w:t>
      </w:r>
      <w:r>
        <w:rPr>
          <w:rFonts w:cs="Arial"/>
        </w:rPr>
        <w:tab/>
        <w:t>Ten behoeve van het doelmatig verspreiden van emissies naar de buitenlucht worden afgezogen dampen en gassen van een ruimte waarin textiel wordt gelast, bovendaks afgevoerd, indien binnen 50 meter van een emissiepunt een gevoelig gebouw is gelegen, niet zijnde een gevoelig gebouw op een gezoneerd industrieterrein of op een bedrijventerrein met minder dan één gevoelig gebouw per hectare.</w:t>
      </w:r>
    </w:p>
    <w:p w:rsidR="003B1034" w:rsidRDefault="003B1034" w:rsidP="003B1034">
      <w:pPr>
        <w:pStyle w:val="art1enivo"/>
        <w:shd w:val="clear" w:color="auto" w:fill="D9D9D9" w:themeFill="background1" w:themeFillShade="D9"/>
        <w:suppressAutoHyphens/>
        <w:rPr>
          <w:rFonts w:cs="Arial"/>
          <w:szCs w:val="20"/>
        </w:rPr>
      </w:pPr>
      <w:r>
        <w:rPr>
          <w:rFonts w:cs="Arial"/>
        </w:rPr>
        <w:t>2.</w:t>
      </w:r>
      <w:r>
        <w:rPr>
          <w:rFonts w:cs="Arial"/>
        </w:rPr>
        <w:tab/>
      </w:r>
      <w:r>
        <w:rPr>
          <w:rFonts w:cs="Arial"/>
          <w:szCs w:val="20"/>
        </w:rPr>
        <w:t>Het bevoegd gezag kan in het belang van de luchtkwaliteit  maatwerkvoorschriften stellen aan de ligging en uitvoering van het afvoerpunt van de emissies naar de buitenlucht, bedoeld in het eerste lid.</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eerste lid niet van toepassing voor zover er geen verandering van de inrichting plaatsvindt waarvoor een melding krachtens artikel 1.10 van het besluit nodig is en voor zover de emissies als bedoeld in het eerste lid niet toenemen en de wijze van afvoer van die emissies naar de buitenlucht niet verandert.</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In afwijking van het derde lid kan het bevoegd gezag maatwerkvoorschriften als bedoeld in het tweede lid stellen.</w:t>
      </w:r>
    </w:p>
    <w:p w:rsidR="003B1034" w:rsidRDefault="003B1034"/>
    <w:p w:rsidR="003B1034" w:rsidRPr="00620047" w:rsidRDefault="003B1034">
      <w:pPr>
        <w:rPr>
          <w:rFonts w:cs="Arial"/>
        </w:rPr>
      </w:pPr>
    </w:p>
    <w:p w:rsidR="00296032" w:rsidRPr="00296032" w:rsidRDefault="00296032">
      <w:pPr>
        <w:pStyle w:val="paragraaf"/>
        <w:rPr>
          <w:rFonts w:cs="Arial"/>
        </w:rPr>
      </w:pPr>
      <w:bookmarkStart w:id="315" w:name="_Toc277243258"/>
      <w:bookmarkStart w:id="316" w:name="_Toc431375764"/>
      <w:r w:rsidRPr="00296032">
        <w:rPr>
          <w:rFonts w:cs="Arial"/>
        </w:rPr>
        <w:t>§ 4.7a.5</w:t>
      </w:r>
      <w:r w:rsidRPr="00296032">
        <w:rPr>
          <w:rFonts w:cs="Arial"/>
        </w:rPr>
        <w:tab/>
        <w:t>Lijmen, coaten of veredelen van textiel</w:t>
      </w:r>
      <w:bookmarkEnd w:id="315"/>
      <w:r w:rsidRPr="00296032">
        <w:rPr>
          <w:rFonts w:cs="Arial"/>
        </w:rPr>
        <w:t>, leer of bont</w:t>
      </w:r>
      <w:bookmarkEnd w:id="316"/>
    </w:p>
    <w:p w:rsidR="00296032" w:rsidRPr="00296032" w:rsidRDefault="00296032">
      <w:pPr>
        <w:pStyle w:val="artikelkop"/>
        <w:rPr>
          <w:rFonts w:cs="Arial"/>
        </w:rPr>
      </w:pPr>
      <w:r w:rsidRPr="00296032">
        <w:rPr>
          <w:rFonts w:cs="Arial"/>
        </w:rPr>
        <w:t>Artikel 4.103ca</w:t>
      </w:r>
    </w:p>
    <w:p w:rsidR="00296032" w:rsidRPr="00620047" w:rsidRDefault="00296032">
      <w:pPr>
        <w:pStyle w:val="artplat"/>
      </w:pPr>
      <w:r w:rsidRPr="00620047">
        <w:t>Deze paragraaf is van toepassing op het lijmen of coaten of veredelen van textiel, leer of bont..</w:t>
      </w:r>
    </w:p>
    <w:p w:rsidR="00296032" w:rsidRPr="00296032" w:rsidRDefault="00296032">
      <w:pPr>
        <w:pStyle w:val="artikelkop"/>
        <w:rPr>
          <w:rFonts w:cs="Arial"/>
        </w:rPr>
      </w:pPr>
      <w:r w:rsidRPr="00296032">
        <w:rPr>
          <w:rFonts w:cs="Arial"/>
        </w:rPr>
        <w:t>Artikel 4.103d</w:t>
      </w:r>
    </w:p>
    <w:p w:rsidR="00296032" w:rsidRPr="00620047" w:rsidRDefault="00296032">
      <w:pPr>
        <w:pStyle w:val="artplat"/>
      </w:pPr>
      <w:r w:rsidRPr="00620047">
        <w:t>Onverminderd artikel 2.5, eerste, vierde en vijfde lid, en artikel 2.6 is bij het aanbrengen van coating of lijmlagen en het veredelen de emissieconcentratie van stofklasse S niet meer dan:</w:t>
      </w:r>
    </w:p>
    <w:p w:rsidR="00296032" w:rsidRPr="00620047" w:rsidRDefault="00296032">
      <w:pPr>
        <w:pStyle w:val="artplatletter"/>
        <w:rPr>
          <w:rFonts w:cs="Arial"/>
        </w:rPr>
      </w:pPr>
      <w:r w:rsidRPr="00620047">
        <w:rPr>
          <w:rFonts w:cs="Arial"/>
        </w:rPr>
        <w:t>a.</w:t>
      </w:r>
      <w:r w:rsidRPr="00620047">
        <w:rPr>
          <w:rFonts w:cs="Arial"/>
        </w:rPr>
        <w:tab/>
        <w:t>5 milligram per normaal kubieke meter indien de massastroom van stofklasse S naar de lucht gelijk is aan of groter is dan 200 gram per uur; en</w:t>
      </w:r>
    </w:p>
    <w:p w:rsidR="00296032" w:rsidRPr="00620047" w:rsidRDefault="00296032">
      <w:pPr>
        <w:pStyle w:val="artplatletter"/>
        <w:rPr>
          <w:rFonts w:cs="Arial"/>
        </w:rPr>
      </w:pPr>
      <w:r w:rsidRPr="00620047">
        <w:rPr>
          <w:rFonts w:cs="Arial"/>
        </w:rPr>
        <w:t>b.</w:t>
      </w:r>
      <w:r w:rsidRPr="00620047">
        <w:rPr>
          <w:rFonts w:cs="Arial"/>
        </w:rPr>
        <w:tab/>
        <w:t>50 milligram per normaal kubieke meter indien de massastroom van stofklasse S naar de lucht kleiner is dan 200 gram per uur.</w:t>
      </w:r>
    </w:p>
    <w:p w:rsidR="00296032" w:rsidRPr="00296032" w:rsidRDefault="00296032">
      <w:pPr>
        <w:pStyle w:val="artikelkop"/>
      </w:pPr>
      <w:r w:rsidRPr="00296032">
        <w:t>Artikel 4.103da</w:t>
      </w:r>
    </w:p>
    <w:p w:rsidR="00296032" w:rsidRPr="00620047" w:rsidRDefault="00296032">
      <w:pPr>
        <w:pStyle w:val="art1enivo"/>
        <w:rPr>
          <w:rFonts w:cs="Arial"/>
        </w:rPr>
      </w:pPr>
      <w:r w:rsidRPr="00620047">
        <w:rPr>
          <w:rFonts w:cs="Arial"/>
        </w:rPr>
        <w:t>1.</w:t>
      </w:r>
      <w:r w:rsidRPr="00620047">
        <w:rPr>
          <w:rFonts w:cs="Arial"/>
        </w:rPr>
        <w:tab/>
        <w:t>Bij het in een vuilwaterriool lozen van afvalwater afkomstig van het veredelen van textiel wordt ten minste voldaan aan het tweede en derde lid.</w:t>
      </w:r>
    </w:p>
    <w:p w:rsidR="00296032" w:rsidRPr="00620047" w:rsidRDefault="00296032">
      <w:pPr>
        <w:pStyle w:val="art1enivo"/>
        <w:rPr>
          <w:rFonts w:cs="Arial"/>
        </w:rPr>
      </w:pPr>
      <w:r w:rsidRPr="00620047">
        <w:rPr>
          <w:rFonts w:cs="Arial"/>
        </w:rPr>
        <w:t>2.</w:t>
      </w:r>
      <w:r w:rsidRPr="00620047">
        <w:rPr>
          <w:rFonts w:cs="Arial"/>
        </w:rPr>
        <w:tab/>
        <w:t>Het te lozen afvalwater bevat geen stoffen die op grond van het BBT-informatiedocument over het beoordelen van stoffen en preparaten voor de uitvoering van het emissiebeleid water, aangewezen krachtens artikel 5.4, tweede lid, van het Besluit omgevingsrecht (‘Beoordeling van stoffen en preparaten’ van de Commissie Integraal Waterbeheer CIW (4 2000-05)), worden aangemerkt als stoffen waarvoor een saneringsinspanning A geldt.</w:t>
      </w:r>
    </w:p>
    <w:p w:rsidR="00296032" w:rsidRPr="00620047" w:rsidRDefault="00296032">
      <w:pPr>
        <w:pStyle w:val="art1enivo"/>
        <w:rPr>
          <w:rFonts w:cs="Arial"/>
        </w:rPr>
      </w:pPr>
      <w:r w:rsidRPr="00620047">
        <w:rPr>
          <w:rFonts w:cs="Arial"/>
        </w:rPr>
        <w:t>3.</w:t>
      </w:r>
      <w:r w:rsidRPr="00620047">
        <w:rPr>
          <w:rFonts w:cs="Arial"/>
        </w:rPr>
        <w:tab/>
        <w:t>Het te lozen afvalwater kan op een doelmatige wijze worden bemonsterd.</w:t>
      </w:r>
    </w:p>
    <w:p w:rsidR="00296032" w:rsidRPr="00296032" w:rsidRDefault="00296032">
      <w:pPr>
        <w:pStyle w:val="artikelkop"/>
      </w:pPr>
      <w:r w:rsidRPr="00296032">
        <w:t>Artikel 4.103e</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de inrichting drijft, neemt bij het lijmen of</w:t>
      </w:r>
      <w:r w:rsidRPr="00620047">
        <w:t xml:space="preserve"> coaten of veredelen van textiel, leer of bont</w:t>
      </w:r>
      <w:r w:rsidRPr="00620047">
        <w:rPr>
          <w:rFonts w:cs="Arial"/>
        </w:rPr>
        <w:t xml:space="preserve"> de bij ministeriële regeling voorgeschreven emissiereducerende maatregelen met betrekking tot vluchtige organische stoffen tenzij deze niet kosteneffectief of technisch uitvoerbaar zijn.</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 xml:space="preserve">Het eerste lid is niet van toepassing indien het totaal verbruik van vluchtige organische stoffen bij de in het eerste lid genoemde activiteiten minder bedraagt dan 1.000 kilogram per jaar. </w:t>
      </w:r>
    </w:p>
    <w:p w:rsidR="00296032" w:rsidRPr="00620047" w:rsidRDefault="000143D4">
      <w:pPr>
        <w:pStyle w:val="art1enivo"/>
        <w:rPr>
          <w:rFonts w:cs="Arial"/>
        </w:rPr>
      </w:pPr>
      <w:r>
        <w:rPr>
          <w:rFonts w:cs="Arial"/>
          <w:bCs/>
        </w:rPr>
        <w:t>5</w:t>
      </w:r>
      <w:r w:rsidR="00296032" w:rsidRPr="00620047">
        <w:rPr>
          <w:rFonts w:cs="Arial"/>
          <w:bCs/>
        </w:rPr>
        <w:t>.</w:t>
      </w:r>
      <w:r w:rsidR="00296032" w:rsidRPr="00620047">
        <w:rPr>
          <w:rFonts w:cs="Arial"/>
          <w:bCs/>
        </w:rPr>
        <w:tab/>
      </w:r>
      <w:r w:rsidR="00296032" w:rsidRPr="00620047">
        <w:rPr>
          <w:rFonts w:cs="Arial"/>
        </w:rPr>
        <w:t>Indien de drempelwaarden, genoemd in tabel 2.28a worden overschreden, zijn het eerste en tweede lid niet van toepassing en is afdeling 2.11 van toepassing.</w:t>
      </w:r>
    </w:p>
    <w:p w:rsidR="00296032" w:rsidRPr="00296032" w:rsidRDefault="00296032">
      <w:pPr>
        <w:pStyle w:val="artikelkop"/>
        <w:rPr>
          <w:rFonts w:cs="Arial"/>
        </w:rPr>
      </w:pPr>
      <w:r w:rsidRPr="00296032">
        <w:rPr>
          <w:rFonts w:cs="Arial"/>
        </w:rPr>
        <w:t>Artikel 4.103f</w:t>
      </w:r>
    </w:p>
    <w:p w:rsidR="00296032" w:rsidRPr="00620047" w:rsidRDefault="00296032">
      <w:pPr>
        <w:pStyle w:val="artplat"/>
      </w:pPr>
      <w:r w:rsidRPr="00620047">
        <w:t>Bij het reinigen, lijmen of coaten of veredelen van textiel, leer of bont worden ten behoeve van:</w:t>
      </w:r>
    </w:p>
    <w:p w:rsidR="00296032" w:rsidRPr="00620047" w:rsidRDefault="00296032">
      <w:pPr>
        <w:pStyle w:val="artplatletter"/>
        <w:rPr>
          <w:rFonts w:cs="Arial"/>
        </w:rPr>
      </w:pPr>
      <w:r w:rsidRPr="00620047">
        <w:rPr>
          <w:rFonts w:cs="Arial"/>
        </w:rPr>
        <w:t>a.</w:t>
      </w:r>
      <w:r w:rsidRPr="00620047">
        <w:rPr>
          <w:rFonts w:cs="Arial"/>
        </w:rPr>
        <w:tab/>
        <w:t>het voorkomen dan wel beperken van diffuse emissies;</w:t>
      </w:r>
    </w:p>
    <w:p w:rsidR="00296032" w:rsidRPr="00620047" w:rsidRDefault="00296032">
      <w:pPr>
        <w:pStyle w:val="artplatletter"/>
        <w:rPr>
          <w:rFonts w:cs="Arial"/>
        </w:rPr>
      </w:pPr>
      <w:r w:rsidRPr="00620047">
        <w:rPr>
          <w:rFonts w:cs="Arial"/>
        </w:rPr>
        <w:t>b.</w:t>
      </w:r>
      <w:r w:rsidRPr="00620047">
        <w:rPr>
          <w:rFonts w:cs="Arial"/>
        </w:rPr>
        <w:tab/>
        <w:t>het voorkomen dan wel beperken van geurhinder;</w:t>
      </w:r>
    </w:p>
    <w:p w:rsidR="00296032" w:rsidRPr="00620047" w:rsidRDefault="00296032">
      <w:pPr>
        <w:pStyle w:val="artplatletter"/>
        <w:rPr>
          <w:rFonts w:cs="Arial"/>
        </w:rPr>
      </w:pPr>
      <w:r w:rsidRPr="00620047">
        <w:rPr>
          <w:rFonts w:cs="Arial"/>
        </w:rPr>
        <w:t>c.</w:t>
      </w:r>
      <w:r w:rsidRPr="00620047">
        <w:rPr>
          <w:rFonts w:cs="Arial"/>
        </w:rPr>
        <w:tab/>
        <w:t>het realiseren van een verwaarloosbaar bodemrisico, of</w:t>
      </w:r>
    </w:p>
    <w:p w:rsidR="00296032" w:rsidRPr="00620047" w:rsidRDefault="00296032">
      <w:pPr>
        <w:pStyle w:val="artplatletter"/>
        <w:rPr>
          <w:rFonts w:cs="Arial"/>
        </w:rPr>
      </w:pPr>
      <w:r w:rsidRPr="00620047">
        <w:rPr>
          <w:rFonts w:cs="Arial"/>
        </w:rPr>
        <w:t>d.</w:t>
      </w:r>
      <w:r w:rsidRPr="00620047">
        <w:rPr>
          <w:rFonts w:cs="Arial"/>
        </w:rPr>
        <w:tab/>
        <w:t>het beperken van het lozen van hulpstoffen,</w:t>
      </w:r>
    </w:p>
    <w:p w:rsidR="00296032" w:rsidRDefault="00296032">
      <w:pPr>
        <w:pStyle w:val="artplat"/>
      </w:pPr>
      <w:r w:rsidRPr="00620047">
        <w:t>de bij ministeriële regeling voorgeschreven maatregelen toegepast.</w:t>
      </w:r>
    </w:p>
    <w:p w:rsidR="003B1034" w:rsidRDefault="003B1034">
      <w:pPr>
        <w:pStyle w:val="artplat"/>
      </w:pPr>
    </w:p>
    <w:p w:rsidR="003B1034" w:rsidRDefault="003B1034" w:rsidP="003B1034">
      <w:pPr>
        <w:pStyle w:val="paragraaf"/>
        <w:shd w:val="clear" w:color="auto" w:fill="D9D9D9" w:themeFill="background1" w:themeFillShade="D9"/>
        <w:rPr>
          <w:rFonts w:eastAsiaTheme="minorEastAsia"/>
          <w:lang w:eastAsia="nl-NL"/>
        </w:rPr>
      </w:pPr>
      <w:bookmarkStart w:id="317" w:name="_Toc431375765"/>
      <w:r>
        <w:rPr>
          <w:rFonts w:eastAsiaTheme="minorEastAsia"/>
          <w:lang w:eastAsia="nl-NL"/>
        </w:rPr>
        <w:t>§ 4.7a.5.</w:t>
      </w:r>
      <w:r>
        <w:rPr>
          <w:rFonts w:eastAsiaTheme="minorEastAsia"/>
          <w:lang w:eastAsia="nl-NL"/>
        </w:rPr>
        <w:tab/>
        <w:t>Lijmen, coaten of veredelen van textiel, leer of bont</w:t>
      </w:r>
      <w:bookmarkEnd w:id="317"/>
    </w:p>
    <w:p w:rsidR="003B1034" w:rsidRDefault="003B1034" w:rsidP="003B1034">
      <w:pPr>
        <w:pStyle w:val="artikelkop"/>
        <w:shd w:val="clear" w:color="auto" w:fill="D9D9D9" w:themeFill="background1" w:themeFillShade="D9"/>
      </w:pPr>
      <w:r>
        <w:t>Artikel 4.104d</w:t>
      </w:r>
    </w:p>
    <w:p w:rsidR="003B1034" w:rsidRDefault="003B1034" w:rsidP="003B1034">
      <w:pPr>
        <w:pStyle w:val="art1enivo"/>
        <w:shd w:val="clear" w:color="auto" w:fill="D9D9D9" w:themeFill="background1" w:themeFillShade="D9"/>
        <w:suppressAutoHyphens/>
        <w:rPr>
          <w:rFonts w:cs="Arial"/>
        </w:rPr>
      </w:pPr>
      <w:r>
        <w:rPr>
          <w:rFonts w:cs="Arial"/>
        </w:rPr>
        <w:t>1.</w:t>
      </w:r>
      <w:r>
        <w:rPr>
          <w:rFonts w:cs="Arial"/>
        </w:rPr>
        <w:tab/>
        <w:t>Ten behoeve van het voorkomen dan wel zoveel mogelijk beperken van diffuse emissies worden dampen en gassen die vrijkomen bij:</w:t>
      </w:r>
    </w:p>
    <w:p w:rsidR="003B1034" w:rsidRDefault="003B1034" w:rsidP="003B1034">
      <w:pPr>
        <w:pStyle w:val="art2enivo"/>
        <w:shd w:val="clear" w:color="auto" w:fill="D9D9D9" w:themeFill="background1" w:themeFillShade="D9"/>
        <w:suppressAutoHyphens/>
        <w:rPr>
          <w:rFonts w:cs="Arial"/>
        </w:rPr>
      </w:pPr>
      <w:r>
        <w:rPr>
          <w:rFonts w:cs="Arial"/>
        </w:rPr>
        <w:t>a.</w:t>
      </w:r>
      <w:r>
        <w:rPr>
          <w:rFonts w:cs="Arial"/>
        </w:rPr>
        <w:tab/>
        <w:t>het coaten, veredelen en lijmen van textiel, leer of bont door middel van vernevelen van vluchtige organische stoffen met een nevelspuit;</w:t>
      </w:r>
    </w:p>
    <w:p w:rsidR="003B1034" w:rsidRDefault="003B1034" w:rsidP="003B1034">
      <w:pPr>
        <w:pStyle w:val="art2enivo"/>
        <w:shd w:val="clear" w:color="auto" w:fill="D9D9D9" w:themeFill="background1" w:themeFillShade="D9"/>
        <w:suppressAutoHyphens/>
        <w:rPr>
          <w:rFonts w:cs="Arial"/>
        </w:rPr>
      </w:pPr>
      <w:r>
        <w:rPr>
          <w:rFonts w:cs="Arial"/>
        </w:rPr>
        <w:t>b.</w:t>
      </w:r>
      <w:r>
        <w:rPr>
          <w:rFonts w:cs="Arial"/>
        </w:rPr>
        <w:tab/>
        <w:t>het aansluitend aan de onder a genoemde activiteiten, drogen dan wel uitharden van met vluchtige organische stoffen behandelde materialen,</w:t>
      </w:r>
    </w:p>
    <w:p w:rsidR="003B1034" w:rsidRDefault="003B1034" w:rsidP="003B1034">
      <w:pPr>
        <w:pStyle w:val="artplat"/>
        <w:shd w:val="clear" w:color="auto" w:fill="D9D9D9" w:themeFill="background1" w:themeFillShade="D9"/>
        <w:suppressAutoHyphens/>
        <w:rPr>
          <w:rFonts w:cs="Arial"/>
        </w:rPr>
      </w:pPr>
      <w:r>
        <w:rPr>
          <w:rFonts w:cs="Arial"/>
        </w:rPr>
        <w:tab/>
        <w:t>voor zover dat redelijkerwijs mogelijk is, doelmatig aan de bron afgezogen.</w:t>
      </w:r>
    </w:p>
    <w:p w:rsidR="003B1034" w:rsidRDefault="003B1034" w:rsidP="003B1034">
      <w:pPr>
        <w:pStyle w:val="art1enivo"/>
        <w:shd w:val="clear" w:color="auto" w:fill="D9D9D9" w:themeFill="background1" w:themeFillShade="D9"/>
        <w:suppressAutoHyphens/>
        <w:rPr>
          <w:rFonts w:cs="Arial"/>
        </w:rPr>
      </w:pPr>
      <w:r>
        <w:rPr>
          <w:rFonts w:cs="Arial"/>
        </w:rPr>
        <w:t>2.</w:t>
      </w:r>
      <w:r>
        <w:rPr>
          <w:rFonts w:cs="Arial"/>
        </w:rPr>
        <w:tab/>
        <w:t>Ten behoeve van het voorkomen dan wel tot een aanvaardbaar niveau beperken van geurhinder worden de overeenkomstig het eerste lid, onderdelen a en b, afgezogen dampen en gassen, die op de buitenlucht worden geëmitteerd:</w:t>
      </w:r>
    </w:p>
    <w:p w:rsidR="003B1034" w:rsidRDefault="003B1034" w:rsidP="003B1034">
      <w:pPr>
        <w:pStyle w:val="art2enivo"/>
        <w:shd w:val="clear" w:color="auto" w:fill="D9D9D9" w:themeFill="background1" w:themeFillShade="D9"/>
        <w:suppressAutoHyphens/>
        <w:rPr>
          <w:rFonts w:cs="Arial"/>
        </w:rPr>
      </w:pPr>
      <w:r>
        <w:rPr>
          <w:rFonts w:cs="Arial"/>
        </w:rPr>
        <w:t>a.</w:t>
      </w:r>
      <w:r>
        <w:rPr>
          <w:rFonts w:cs="Arial"/>
        </w:rPr>
        <w:tab/>
        <w:t>ten minste twee meter boven de hoogste daklijn van de binnen 25 meter van de uitmonding gelegen gebouwen afgevoerd; of</w:t>
      </w:r>
    </w:p>
    <w:p w:rsidR="003B1034" w:rsidRDefault="003B1034" w:rsidP="003B1034">
      <w:pPr>
        <w:pStyle w:val="art2enivo"/>
        <w:shd w:val="clear" w:color="auto" w:fill="D9D9D9" w:themeFill="background1" w:themeFillShade="D9"/>
        <w:suppressAutoHyphens/>
        <w:rPr>
          <w:rFonts w:cs="Arial"/>
        </w:rPr>
      </w:pPr>
      <w:r>
        <w:rPr>
          <w:rFonts w:cs="Arial"/>
        </w:rPr>
        <w:t>b.</w:t>
      </w:r>
      <w:r>
        <w:rPr>
          <w:rFonts w:cs="Arial"/>
        </w:rPr>
        <w:tab/>
        <w:t>geleid door een doelmatige ontgeuringsinstallatie.</w:t>
      </w:r>
    </w:p>
    <w:p w:rsidR="003B1034" w:rsidRDefault="003B1034" w:rsidP="003B1034">
      <w:pPr>
        <w:pStyle w:val="art1enivo"/>
        <w:shd w:val="clear" w:color="auto" w:fill="D9D9D9" w:themeFill="background1" w:themeFillShade="D9"/>
        <w:suppressAutoHyphens/>
        <w:rPr>
          <w:rFonts w:cs="Arial"/>
        </w:rPr>
      </w:pPr>
      <w:r>
        <w:rPr>
          <w:rFonts w:cs="Arial"/>
        </w:rPr>
        <w:t>3.</w:t>
      </w:r>
      <w:r>
        <w:rPr>
          <w:rFonts w:cs="Arial"/>
        </w:rPr>
        <w:tab/>
        <w:t>Het tweede lid is niet van toepassing indien het mogelijke effect van de geuremissie van de uittredende lucht van een afzuiginstallatie beperkt blijft tot een gezoneerd industrieterrein of een bedrijventerrein met minder dan één gevoelig gebouw per hectare.</w:t>
      </w:r>
    </w:p>
    <w:p w:rsidR="003B1034" w:rsidRDefault="003B1034" w:rsidP="003B1034">
      <w:pPr>
        <w:pStyle w:val="art1enivo"/>
        <w:shd w:val="clear" w:color="auto" w:fill="D9D9D9" w:themeFill="background1" w:themeFillShade="D9"/>
        <w:suppressAutoHyphens/>
        <w:rPr>
          <w:rFonts w:cs="Arial"/>
        </w:rPr>
      </w:pPr>
      <w:r>
        <w:rPr>
          <w:rFonts w:cs="Arial"/>
        </w:rPr>
        <w:t>4.</w:t>
      </w:r>
      <w:r>
        <w:rPr>
          <w:rFonts w:cs="Arial"/>
        </w:rPr>
        <w:tab/>
        <w:t>Het bevoegd gezag kan indien blijkt dat de geurhinder een aanvaardbaar niveau overschrijdt vanwege het slecht functioneren van de ontgeuringsinstallatie, onvoldoende verspreiding van afgezogen dampen, geuremissies die niet via de afzuiging worden afgevoerd of incidentele geurpieken overeenkomstig artikel 2.7a, derde lid, van het besluit in aanvulling op het tweede lid maatwerkvoorschriften stellen met betrekking tot:</w:t>
      </w:r>
    </w:p>
    <w:p w:rsidR="003B1034" w:rsidRDefault="003B1034" w:rsidP="003B1034">
      <w:pPr>
        <w:pStyle w:val="art2enivo"/>
        <w:shd w:val="clear" w:color="auto" w:fill="D9D9D9" w:themeFill="background1" w:themeFillShade="D9"/>
        <w:suppressAutoHyphens/>
        <w:rPr>
          <w:rFonts w:cs="Arial"/>
        </w:rPr>
      </w:pPr>
      <w:r>
        <w:rPr>
          <w:rFonts w:cs="Arial"/>
        </w:rPr>
        <w:t>a.</w:t>
      </w:r>
      <w:r>
        <w:rPr>
          <w:rFonts w:cs="Arial"/>
        </w:rPr>
        <w:tab/>
        <w:t>de uitvoering en het onderhoud van een ontgeuringsinstallatie als bedoeld in het tweede lid;</w:t>
      </w:r>
    </w:p>
    <w:p w:rsidR="003B1034" w:rsidRDefault="003B1034" w:rsidP="003B1034">
      <w:pPr>
        <w:pStyle w:val="art2enivo"/>
        <w:shd w:val="clear" w:color="auto" w:fill="D9D9D9" w:themeFill="background1" w:themeFillShade="D9"/>
        <w:suppressAutoHyphens/>
        <w:rPr>
          <w:rFonts w:cs="Arial"/>
        </w:rPr>
      </w:pPr>
      <w:r>
        <w:rPr>
          <w:rFonts w:cs="Arial"/>
        </w:rPr>
        <w:t>b.</w:t>
      </w:r>
      <w:r>
        <w:rPr>
          <w:rFonts w:cs="Arial"/>
        </w:rPr>
        <w:tab/>
        <w:t>de situering van de afvoerpijp;</w:t>
      </w:r>
    </w:p>
    <w:p w:rsidR="003B1034" w:rsidRDefault="003B1034" w:rsidP="003B1034">
      <w:pPr>
        <w:pStyle w:val="art2enivo"/>
        <w:shd w:val="clear" w:color="auto" w:fill="D9D9D9" w:themeFill="background1" w:themeFillShade="D9"/>
        <w:suppressAutoHyphens/>
        <w:rPr>
          <w:rFonts w:cs="Arial"/>
        </w:rPr>
      </w:pPr>
      <w:r>
        <w:rPr>
          <w:rFonts w:cs="Arial"/>
        </w:rPr>
        <w:t>c.</w:t>
      </w:r>
      <w:r>
        <w:rPr>
          <w:rFonts w:cs="Arial"/>
        </w:rPr>
        <w:tab/>
        <w:t>het voorkomen of beperken van diffuse geuremissies; of</w:t>
      </w:r>
    </w:p>
    <w:p w:rsidR="003B1034" w:rsidRDefault="003B1034" w:rsidP="003B1034">
      <w:pPr>
        <w:pStyle w:val="art2enivo"/>
        <w:shd w:val="clear" w:color="auto" w:fill="D9D9D9" w:themeFill="background1" w:themeFillShade="D9"/>
        <w:suppressAutoHyphens/>
        <w:rPr>
          <w:rFonts w:cs="Arial"/>
        </w:rPr>
      </w:pPr>
      <w:r>
        <w:rPr>
          <w:rFonts w:cs="Arial"/>
        </w:rPr>
        <w:t>d.</w:t>
      </w:r>
      <w:r>
        <w:rPr>
          <w:rFonts w:cs="Arial"/>
        </w:rPr>
        <w:tab/>
        <w:t>het beperken van incidentele geurpieken tot specifieke tijdstippen.</w:t>
      </w:r>
    </w:p>
    <w:p w:rsidR="003B1034" w:rsidRDefault="003B1034" w:rsidP="003B1034">
      <w:pPr>
        <w:pStyle w:val="art1enivo"/>
        <w:shd w:val="clear" w:color="auto" w:fill="D9D9D9" w:themeFill="background1" w:themeFillShade="D9"/>
        <w:suppressAutoHyphens/>
        <w:rPr>
          <w:rFonts w:cs="Arial"/>
        </w:rPr>
      </w:pPr>
      <w:r>
        <w:rPr>
          <w:rFonts w:cs="Arial"/>
        </w:rPr>
        <w:t>5.</w:t>
      </w:r>
      <w:r>
        <w:rPr>
          <w:rFonts w:cs="Arial"/>
        </w:rPr>
        <w:tab/>
        <w:t>In afwijking van het tweede lid kan het bevoegd gezag indien blijkt dat de geurhinder een aanvaardbaar niveau overschrijdt en de bevoegdheden genoemd in het vierde lid onvoldoende zijn om de overschrijding ongedaan te maken overeenkomstig artikel 2.7a, derde lid, van het besluit maatwerkvoorschriften stellen met betrekking tot de aanwezigheid van een ontgeuringsinstallatie of een grotere afvoerhoogte van de afgezogen dampen en gassen.</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er geen verandering van de inrichting plaatsvindt die leidt tot een toename van de geurbelasting op gevoelige gebouwen.</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7.</w:t>
      </w:r>
      <w:r>
        <w:rPr>
          <w:rFonts w:eastAsiaTheme="minorEastAsia"/>
          <w:lang w:eastAsia="nl-NL"/>
        </w:rPr>
        <w:tab/>
        <w:t>In afwijking van het zesde lid kan het bevoegd gezag maatwerkvoorschriften als bedoeld in het vierde en vijfde lid stellen.</w:t>
      </w:r>
    </w:p>
    <w:p w:rsidR="003B1034" w:rsidRDefault="003B1034" w:rsidP="003B1034">
      <w:pPr>
        <w:pStyle w:val="artikelkop"/>
        <w:shd w:val="clear" w:color="auto" w:fill="D9D9D9" w:themeFill="background1" w:themeFillShade="D9"/>
      </w:pPr>
      <w:r>
        <w:t>Artikel 4.104e</w:t>
      </w:r>
    </w:p>
    <w:p w:rsidR="003B1034" w:rsidRDefault="003B1034" w:rsidP="003B1034">
      <w:pPr>
        <w:pStyle w:val="artplat"/>
        <w:shd w:val="clear" w:color="auto" w:fill="D9D9D9" w:themeFill="background1" w:themeFillShade="D9"/>
        <w:suppressAutoHyphens/>
        <w:rPr>
          <w:rFonts w:cs="Arial"/>
        </w:rPr>
      </w:pPr>
      <w:r>
        <w:rPr>
          <w:rFonts w:cs="Arial"/>
        </w:rPr>
        <w:t>Aan artikel 4.103d van het besluit wordt in ieder geval voldaan indien:</w:t>
      </w:r>
    </w:p>
    <w:p w:rsidR="003B1034" w:rsidRDefault="003B1034" w:rsidP="003B1034">
      <w:pPr>
        <w:pStyle w:val="artplatletter"/>
        <w:shd w:val="clear" w:color="auto" w:fill="D9D9D9" w:themeFill="background1" w:themeFillShade="D9"/>
        <w:suppressAutoHyphens/>
        <w:rPr>
          <w:rFonts w:cs="Arial"/>
        </w:rPr>
      </w:pPr>
      <w:r>
        <w:rPr>
          <w:rFonts w:cs="Arial"/>
        </w:rPr>
        <w:t>a.</w:t>
      </w:r>
      <w:r>
        <w:rPr>
          <w:rFonts w:cs="Arial"/>
        </w:rPr>
        <w:tab/>
        <w:t>de afgezogen stofemissies die vrijkomen bij het coaten, veredelen en lijmen van textiel, leer of bont door middel van vernevelen met een nevelspuit worden gevoerd door een filtrerende afscheider die geschikt is om aan artikel 4.103d van het besluit te voldoen; en</w:t>
      </w:r>
    </w:p>
    <w:p w:rsidR="003B1034" w:rsidRDefault="003B1034" w:rsidP="003B1034">
      <w:pPr>
        <w:pStyle w:val="artplatletter"/>
        <w:shd w:val="clear" w:color="auto" w:fill="D9D9D9" w:themeFill="background1" w:themeFillShade="D9"/>
        <w:suppressAutoHyphens/>
        <w:rPr>
          <w:rFonts w:cs="Arial"/>
        </w:rPr>
      </w:pPr>
      <w:r>
        <w:rPr>
          <w:rFonts w:cs="Arial"/>
        </w:rPr>
        <w:t>b.</w:t>
      </w:r>
      <w:r>
        <w:rPr>
          <w:rFonts w:cs="Arial"/>
        </w:rPr>
        <w:tab/>
        <w:t>die filtrerende afscheider in goede staat van onderhoud verkeert, periodiek gecontroleerd wordt en zo vaak als voor de goede werking nodig is, wordt schoongemaakt en vervangen.</w:t>
      </w:r>
    </w:p>
    <w:p w:rsidR="003B1034" w:rsidRDefault="003B1034" w:rsidP="003B1034">
      <w:pPr>
        <w:pStyle w:val="artikelkop"/>
        <w:shd w:val="clear" w:color="auto" w:fill="D9D9D9" w:themeFill="background1" w:themeFillShade="D9"/>
      </w:pPr>
      <w:r>
        <w:t>Artikel 4.104f</w:t>
      </w:r>
    </w:p>
    <w:p w:rsidR="003B1034" w:rsidRDefault="003B1034" w:rsidP="003B1034">
      <w:pPr>
        <w:pStyle w:val="art1enivo"/>
        <w:shd w:val="clear" w:color="auto" w:fill="D9D9D9" w:themeFill="background1" w:themeFillShade="D9"/>
        <w:suppressAutoHyphens/>
        <w:rPr>
          <w:rFonts w:cs="Arial"/>
        </w:rPr>
      </w:pPr>
      <w:r>
        <w:rPr>
          <w:rFonts w:cs="Arial"/>
        </w:rPr>
        <w:t>1.</w:t>
      </w:r>
      <w:r>
        <w:rPr>
          <w:rFonts w:cs="Arial"/>
        </w:rPr>
        <w:tab/>
        <w:t>Ter uitvoering van artikel 4.103e, eerste lid, van het besluit, past degene die de inrichting drijft bij het coaten, veredelen en lijmen van textiel, leer of bont:</w:t>
      </w:r>
    </w:p>
    <w:p w:rsidR="003B1034" w:rsidRDefault="003B1034" w:rsidP="003B1034">
      <w:pPr>
        <w:pStyle w:val="art2enivo"/>
        <w:shd w:val="clear" w:color="auto" w:fill="D9D9D9" w:themeFill="background1" w:themeFillShade="D9"/>
        <w:suppressAutoHyphens/>
        <w:rPr>
          <w:rFonts w:cs="Arial"/>
        </w:rPr>
      </w:pPr>
      <w:r>
        <w:rPr>
          <w:rFonts w:cs="Arial"/>
        </w:rPr>
        <w:t>a.</w:t>
      </w:r>
      <w:r>
        <w:rPr>
          <w:rFonts w:cs="Arial"/>
        </w:rPr>
        <w:tab/>
        <w:t>maatregelen toe ten aanzien van de bedrijfsvoering ter voorkoming van onnodige emissie van vluchtige organische stoffen;</w:t>
      </w:r>
    </w:p>
    <w:p w:rsidR="003B1034" w:rsidRDefault="003B1034" w:rsidP="003B1034">
      <w:pPr>
        <w:pStyle w:val="art2enivo"/>
        <w:shd w:val="clear" w:color="auto" w:fill="D9D9D9" w:themeFill="background1" w:themeFillShade="D9"/>
        <w:suppressAutoHyphens/>
        <w:rPr>
          <w:rFonts w:cs="Arial"/>
        </w:rPr>
      </w:pPr>
      <w:r>
        <w:rPr>
          <w:rFonts w:cs="Arial"/>
        </w:rPr>
        <w:t>b.</w:t>
      </w:r>
      <w:r>
        <w:rPr>
          <w:rFonts w:cs="Arial"/>
        </w:rPr>
        <w:tab/>
        <w:t>oplosmiddelarme producten en efficiënte applicatiemethoden toe.</w:t>
      </w:r>
    </w:p>
    <w:p w:rsidR="003B1034" w:rsidRDefault="003B1034" w:rsidP="003B1034">
      <w:pPr>
        <w:pStyle w:val="art1enivo"/>
        <w:shd w:val="clear" w:color="auto" w:fill="D9D9D9" w:themeFill="background1" w:themeFillShade="D9"/>
        <w:suppressAutoHyphens/>
        <w:rPr>
          <w:rFonts w:cs="Arial"/>
        </w:rPr>
      </w:pPr>
      <w:r>
        <w:rPr>
          <w:rFonts w:cs="Arial"/>
        </w:rPr>
        <w:t>2.</w:t>
      </w:r>
      <w:r>
        <w:rPr>
          <w:rFonts w:cs="Arial"/>
        </w:rPr>
        <w:tab/>
        <w:t>Indien de emissiereducerende maatregelen, bedoeld in het eerste lid, niet of in onvoldoende mate zijn getroffen, kan het bevoegd gezag verzoeken om een motivering waarom de maatregelen niet zijn getroffen. Bij de motivering wordt betrokken de kosteneffectiviteit en de technische uitvoerbaarheid van de maatregelen.</w:t>
      </w:r>
    </w:p>
    <w:p w:rsidR="003B1034" w:rsidRDefault="003B1034" w:rsidP="003B1034">
      <w:pPr>
        <w:pStyle w:val="artikelkop"/>
        <w:shd w:val="clear" w:color="auto" w:fill="D9D9D9" w:themeFill="background1" w:themeFillShade="D9"/>
      </w:pPr>
      <w:r>
        <w:t>Artikel 4.104g</w:t>
      </w:r>
    </w:p>
    <w:p w:rsidR="003B1034" w:rsidRDefault="003B1034" w:rsidP="003B1034">
      <w:pPr>
        <w:pStyle w:val="artplat"/>
        <w:shd w:val="clear" w:color="auto" w:fill="D9D9D9" w:themeFill="background1" w:themeFillShade="D9"/>
        <w:suppressAutoHyphens/>
        <w:rPr>
          <w:rFonts w:cs="Arial"/>
        </w:rPr>
      </w:pPr>
      <w:r>
        <w:rPr>
          <w:rFonts w:cs="Arial"/>
        </w:rPr>
        <w:t>Ten behoeve van het realiseren van een verwaarloosbaar bodemrisico vinden bij het coaten, veredelen en lijmen van textiel, leer of bont het verwerken van lakken, verdunners en lijmen en het reinigen van spuitapparatuur plaats boven een bodembeschermende voorziening.</w:t>
      </w:r>
    </w:p>
    <w:p w:rsidR="003B1034" w:rsidRDefault="003B1034" w:rsidP="003B1034">
      <w:pPr>
        <w:pStyle w:val="artikelkop"/>
        <w:shd w:val="clear" w:color="auto" w:fill="D9D9D9" w:themeFill="background1" w:themeFillShade="D9"/>
        <w:rPr>
          <w:rFonts w:eastAsiaTheme="minorEastAsia"/>
          <w:lang w:eastAsia="nl-NL"/>
        </w:rPr>
      </w:pPr>
      <w:r>
        <w:rPr>
          <w:rFonts w:eastAsiaTheme="minorEastAsia"/>
          <w:lang w:eastAsia="nl-NL"/>
        </w:rPr>
        <w:t>Artikel 4.104ga</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Bij het lozen van afvalwater afkomstig van het veredelen van textiel wordt ter beperking van het lozen van hulpstoffen als bedoeld in artikel 4.103f van het besluit ten minste voldaan aan het tweede tot en met het vierde lid.</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Degene die een inrichting drijft, stelt gedragsvoorschriften op die zijn gericht op het voorkomen van nadelige gevolgen voor het milieu en een doelmatige afvoer van het bedrijfsafvalwater en draagt er zorg voor dat de gedragsregels worden nageleefd.</w:t>
      </w:r>
    </w:p>
    <w:p w:rsidR="003B1034" w:rsidRDefault="003B1034" w:rsidP="003B1034">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 de gedragsvoorschriften wordt ten minste aangegeven:</w:t>
      </w:r>
    </w:p>
    <w:p w:rsidR="003B1034" w:rsidRDefault="003B1034" w:rsidP="003B1034">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wanneer en op welke wijze de controle van installaties en onderdelen van de inrichting plaatsvindt, waarvan de werking van invloed kan zijn op het lozen van hulpstoffen;</w:t>
      </w:r>
    </w:p>
    <w:p w:rsidR="003B1034" w:rsidRDefault="003B1034" w:rsidP="003B1034">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op welke wijze invulling wordt gegeven aan maatregelen die voortkomen uit de preventieve aanpak;</w:t>
      </w:r>
    </w:p>
    <w:p w:rsidR="003B1034" w:rsidRDefault="003B1034" w:rsidP="003B1034">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op welke wijze de oversleep tussen veredelingsbaden wordt beperkt;</w:t>
      </w:r>
    </w:p>
    <w:p w:rsidR="003B1034" w:rsidRDefault="003B1034" w:rsidP="003B1034">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op welke wijze te nemen procesgeïntegreerde maatregelen op haalbaarheid worden onderzocht en genomen;</w:t>
      </w:r>
    </w:p>
    <w:p w:rsidR="003B1034" w:rsidRDefault="003B1034" w:rsidP="003B1034">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hoe wordt omgegaan met procesafvalwater en hoe dit doelmatig wordt verwerkt.</w:t>
      </w:r>
    </w:p>
    <w:p w:rsidR="003B1034" w:rsidRDefault="003B1034" w:rsidP="003B1034">
      <w:pPr>
        <w:shd w:val="clear" w:color="auto" w:fill="D9D9D9" w:themeFill="background1" w:themeFillShade="D9"/>
      </w:pPr>
      <w:r>
        <w:rPr>
          <w:rFonts w:eastAsiaTheme="minorEastAsia"/>
          <w:lang w:eastAsia="nl-NL"/>
        </w:rPr>
        <w:t>4.</w:t>
      </w:r>
      <w:r>
        <w:rPr>
          <w:rFonts w:eastAsiaTheme="minorEastAsia"/>
          <w:lang w:eastAsia="nl-NL"/>
        </w:rPr>
        <w:tab/>
        <w:t>Het bevoegd gezag kan, indien het belang van de bescherming van het milieu daartoe noodzaakt, bij maatwerkvoorschrift eisen stellen aan de invulling van de gedragsvoorschriften als bedoeld in het tweede lid.</w:t>
      </w:r>
    </w:p>
    <w:p w:rsidR="003B1034" w:rsidRPr="00620047" w:rsidRDefault="003B1034">
      <w:pPr>
        <w:pStyle w:val="artplat"/>
      </w:pPr>
    </w:p>
    <w:p w:rsidR="00296032" w:rsidRPr="00620047" w:rsidRDefault="00296032">
      <w:pPr>
        <w:pStyle w:val="afdeling"/>
        <w:rPr>
          <w:rFonts w:cs="Arial"/>
        </w:rPr>
      </w:pPr>
      <w:bookmarkStart w:id="318" w:name="_Toc277243259"/>
      <w:bookmarkStart w:id="319" w:name="_Toc431375766"/>
      <w:r w:rsidRPr="00620047">
        <w:rPr>
          <w:rFonts w:cs="Arial"/>
        </w:rPr>
        <w:t>Afdeling 4.8. Overige activiteiten</w:t>
      </w:r>
      <w:bookmarkEnd w:id="318"/>
      <w:bookmarkEnd w:id="319"/>
    </w:p>
    <w:p w:rsidR="00296032" w:rsidRPr="00296032" w:rsidRDefault="00296032">
      <w:pPr>
        <w:pStyle w:val="paragraaf"/>
        <w:rPr>
          <w:rFonts w:cs="Arial"/>
        </w:rPr>
      </w:pPr>
      <w:bookmarkStart w:id="320" w:name="_Toc431375767"/>
      <w:bookmarkStart w:id="321" w:name="_Toc277243260"/>
      <w:r w:rsidRPr="00296032">
        <w:rPr>
          <w:rFonts w:cs="Arial"/>
        </w:rPr>
        <w:t>§ 4.8.1 Inwendig reinigen of ontsmetten van transportmiddelen</w:t>
      </w:r>
      <w:bookmarkEnd w:id="320"/>
    </w:p>
    <w:p w:rsidR="00296032" w:rsidRPr="00296032" w:rsidRDefault="00296032">
      <w:pPr>
        <w:pStyle w:val="artikelkop"/>
        <w:rPr>
          <w:rFonts w:cs="Arial"/>
        </w:rPr>
      </w:pPr>
      <w:r w:rsidRPr="00296032">
        <w:rPr>
          <w:rFonts w:cs="Arial"/>
        </w:rPr>
        <w:t>Artikel 4.103g</w:t>
      </w:r>
    </w:p>
    <w:p w:rsidR="00296032" w:rsidRPr="00620047" w:rsidRDefault="00296032">
      <w:pPr>
        <w:pStyle w:val="artplat"/>
        <w:rPr>
          <w:rFonts w:cs="Arial"/>
        </w:rPr>
      </w:pPr>
      <w:r w:rsidRPr="00620047">
        <w:rPr>
          <w:rFonts w:cs="Arial"/>
        </w:rPr>
        <w:t>Deze paragraaf is van toepassing op het inwendig reinigen of ontsmetten van:</w:t>
      </w:r>
    </w:p>
    <w:p w:rsidR="00296032" w:rsidRPr="00620047" w:rsidRDefault="00296032">
      <w:pPr>
        <w:pStyle w:val="artplatletter"/>
        <w:rPr>
          <w:rFonts w:cs="Arial"/>
        </w:rPr>
      </w:pPr>
      <w:r w:rsidRPr="00620047">
        <w:rPr>
          <w:rFonts w:cs="Arial"/>
        </w:rPr>
        <w:t>a.</w:t>
      </w:r>
      <w:r w:rsidRPr="00620047">
        <w:rPr>
          <w:rFonts w:cs="Arial"/>
        </w:rPr>
        <w:tab/>
        <w:t>tanks,</w:t>
      </w:r>
    </w:p>
    <w:p w:rsidR="00296032" w:rsidRPr="00620047" w:rsidRDefault="00296032">
      <w:pPr>
        <w:pStyle w:val="artplatletter"/>
        <w:rPr>
          <w:rFonts w:cs="Arial"/>
        </w:rPr>
      </w:pPr>
      <w:r w:rsidRPr="00620047">
        <w:rPr>
          <w:rFonts w:cs="Arial"/>
        </w:rPr>
        <w:t>b.</w:t>
      </w:r>
      <w:r w:rsidRPr="00620047">
        <w:rPr>
          <w:rFonts w:cs="Arial"/>
        </w:rPr>
        <w:tab/>
        <w:t>tankwagens,</w:t>
      </w:r>
    </w:p>
    <w:p w:rsidR="00296032" w:rsidRPr="00620047" w:rsidRDefault="00296032">
      <w:pPr>
        <w:pStyle w:val="artplatletter"/>
        <w:rPr>
          <w:rFonts w:cs="Arial"/>
        </w:rPr>
      </w:pPr>
      <w:r w:rsidRPr="00620047">
        <w:rPr>
          <w:rFonts w:cs="Arial"/>
        </w:rPr>
        <w:t>c.</w:t>
      </w:r>
      <w:r w:rsidRPr="00620047">
        <w:rPr>
          <w:rFonts w:cs="Arial"/>
        </w:rPr>
        <w:tab/>
        <w:t>vrachtwagens,</w:t>
      </w:r>
    </w:p>
    <w:p w:rsidR="00296032" w:rsidRPr="00620047" w:rsidRDefault="00296032">
      <w:pPr>
        <w:pStyle w:val="artplatletter"/>
        <w:rPr>
          <w:rFonts w:cs="Arial"/>
        </w:rPr>
      </w:pPr>
      <w:r w:rsidRPr="00620047">
        <w:rPr>
          <w:rFonts w:cs="Arial"/>
        </w:rPr>
        <w:t>d.</w:t>
      </w:r>
      <w:r w:rsidRPr="00620047">
        <w:rPr>
          <w:rFonts w:cs="Arial"/>
        </w:rPr>
        <w:tab/>
        <w:t>andere transportmiddelen, of</w:t>
      </w:r>
    </w:p>
    <w:p w:rsidR="00296032" w:rsidRPr="00620047" w:rsidRDefault="00296032">
      <w:pPr>
        <w:pStyle w:val="artplatletter"/>
        <w:rPr>
          <w:rFonts w:cs="Arial"/>
        </w:rPr>
      </w:pPr>
      <w:r w:rsidRPr="00620047">
        <w:rPr>
          <w:rFonts w:cs="Arial"/>
        </w:rPr>
        <w:t>e.</w:t>
      </w:r>
      <w:r w:rsidRPr="00620047">
        <w:rPr>
          <w:rFonts w:cs="Arial"/>
        </w:rPr>
        <w:tab/>
        <w:t>werktuigen, waarmee gewasbeschermingsmiddelen of meststoffen zijn toegepast.</w:t>
      </w:r>
    </w:p>
    <w:p w:rsidR="00296032" w:rsidRPr="00296032" w:rsidRDefault="00296032">
      <w:pPr>
        <w:pStyle w:val="artikelkop"/>
        <w:rPr>
          <w:rFonts w:cs="Arial"/>
        </w:rPr>
      </w:pPr>
      <w:r w:rsidRPr="00296032">
        <w:rPr>
          <w:rFonts w:cs="Arial"/>
        </w:rPr>
        <w:t>Artikel 4.103h</w:t>
      </w:r>
    </w:p>
    <w:p w:rsidR="00296032" w:rsidRPr="00620047" w:rsidRDefault="00296032">
      <w:pPr>
        <w:pStyle w:val="artplat"/>
        <w:rPr>
          <w:rFonts w:cs="Arial"/>
        </w:rPr>
      </w:pPr>
      <w:r w:rsidRPr="00620047">
        <w:rPr>
          <w:rFonts w:cs="Arial"/>
        </w:rPr>
        <w:t>Bij het in een inrichting inwendig reinigen of ontsmetten van vrachtwagens of andere transportmiddelen wordt, ten behoeve van het realiseren van een verwaarloosbaar bodemrisico, voldaan aan de bij ministeriële regeling gestelde eisen.</w:t>
      </w:r>
    </w:p>
    <w:p w:rsidR="00296032" w:rsidRPr="00296032" w:rsidRDefault="00296032">
      <w:pPr>
        <w:pStyle w:val="artikelkop"/>
        <w:rPr>
          <w:rFonts w:cs="Arial"/>
        </w:rPr>
      </w:pPr>
      <w:r w:rsidRPr="00296032">
        <w:rPr>
          <w:rFonts w:cs="Arial"/>
        </w:rPr>
        <w:t>Artikel 4.104</w:t>
      </w:r>
    </w:p>
    <w:p w:rsidR="00296032" w:rsidRPr="00620047" w:rsidRDefault="00296032">
      <w:pPr>
        <w:pStyle w:val="art1enivo"/>
        <w:rPr>
          <w:rFonts w:cs="Arial"/>
        </w:rPr>
      </w:pPr>
      <w:r w:rsidRPr="00620047">
        <w:rPr>
          <w:rFonts w:cs="Arial"/>
        </w:rPr>
        <w:t>1.</w:t>
      </w:r>
      <w:r w:rsidRPr="00620047">
        <w:rPr>
          <w:rFonts w:cs="Arial"/>
        </w:rPr>
        <w:tab/>
        <w:t>Bij het inwendig reinigen of ontsmetten van tanks of tankwagens wordt het in het afvalwater geraken van het daarin vervoerde product zo veel mogelijk voorkomen.</w:t>
      </w:r>
    </w:p>
    <w:p w:rsidR="00296032" w:rsidRPr="00620047" w:rsidRDefault="00296032">
      <w:pPr>
        <w:pStyle w:val="art1enivo"/>
        <w:rPr>
          <w:rFonts w:cs="Arial"/>
        </w:rPr>
      </w:pPr>
      <w:r w:rsidRPr="00620047">
        <w:rPr>
          <w:rFonts w:cs="Arial"/>
        </w:rPr>
        <w:t>2.</w:t>
      </w:r>
      <w:r w:rsidRPr="00620047">
        <w:rPr>
          <w:rFonts w:cs="Arial"/>
        </w:rPr>
        <w:tab/>
        <w:t>Indien in de inrichting afvalwater ontstaat met een soortgelijke samenstelling, afkomstig van een andere activiteit, als het afvalwater dat ontstaat bij het inwendig reinigen of ontsmetten van tanks of tankwagens, is het toegestaan laatstgenoemd afvalwater te lozen op dezelfde wijze als het afvalwater van soortgelijke samenstelling mits het afvalwater van soortgelijke samenstelling door een zuiveringsvoorziening wordt geleid, die is gedimensioneerd op de totale afvalwaterstroom.</w:t>
      </w:r>
    </w:p>
    <w:p w:rsidR="00296032" w:rsidRPr="00620047" w:rsidRDefault="00296032">
      <w:pPr>
        <w:pStyle w:val="art1enivo"/>
        <w:rPr>
          <w:rFonts w:cs="Arial"/>
        </w:rPr>
      </w:pPr>
      <w:r w:rsidRPr="00620047">
        <w:rPr>
          <w:rFonts w:cs="Arial"/>
        </w:rPr>
        <w:t>3.</w:t>
      </w:r>
      <w:r w:rsidRPr="00620047">
        <w:rPr>
          <w:rFonts w:cs="Arial"/>
        </w:rPr>
        <w:tab/>
        <w:t>Het te lozen afvalwater kan op een doelmatige wijze worden bemonsterd.</w:t>
      </w:r>
    </w:p>
    <w:p w:rsidR="00296032" w:rsidRPr="00296032" w:rsidRDefault="00296032">
      <w:pPr>
        <w:pStyle w:val="artikelkop"/>
        <w:rPr>
          <w:rFonts w:cs="Arial"/>
        </w:rPr>
      </w:pPr>
      <w:r w:rsidRPr="00296032">
        <w:rPr>
          <w:rFonts w:cs="Arial"/>
        </w:rPr>
        <w:t>Artikel 4.104a</w:t>
      </w:r>
    </w:p>
    <w:p w:rsidR="00296032" w:rsidRPr="00620047" w:rsidRDefault="00296032">
      <w:pPr>
        <w:pStyle w:val="art1enivo"/>
        <w:rPr>
          <w:rFonts w:cs="Arial"/>
        </w:rPr>
      </w:pPr>
      <w:r w:rsidRPr="00620047">
        <w:rPr>
          <w:rFonts w:cs="Arial"/>
        </w:rPr>
        <w:t>1.</w:t>
      </w:r>
      <w:r w:rsidRPr="00620047">
        <w:rPr>
          <w:rFonts w:cs="Arial"/>
        </w:rPr>
        <w:tab/>
        <w:t>Bij het in het vuilwaterriool lozen van afvalwater afkomstig van het inwendig reinigen of ontsmetten van vrachtwagens of andere transportmiddelen waarin vlees onverpakt is vervoerd, wordt ten minste voldaan aan het tweede en derde lid.</w:t>
      </w:r>
    </w:p>
    <w:p w:rsidR="00296032" w:rsidRPr="00620047" w:rsidRDefault="00296032">
      <w:pPr>
        <w:pStyle w:val="art1enivo"/>
        <w:rPr>
          <w:rFonts w:cs="Arial"/>
        </w:rPr>
      </w:pPr>
      <w:r w:rsidRPr="00620047">
        <w:rPr>
          <w:rFonts w:cs="Arial"/>
        </w:rPr>
        <w:t>2.</w:t>
      </w:r>
      <w:r w:rsidRPr="00620047">
        <w:rPr>
          <w:rFonts w:cs="Arial"/>
        </w:rPr>
        <w:tab/>
        <w:t>Het afvalwater afkomstig van het inwendig reinigen of ontsmetten van vrachtwagens of andere transportmiddelen waarin vlees onverpakt is vervoerd, wordt voor vermenging met ander niet vethoudend afvalwater, geleid door een vetafscheider en slibvangput die voldoen aan en worden gebruikt conform NEN-EN 1825-1 en 2. In afwijking van NEN-EN 1825-1 en 2 kan met een lagere frequentie van het legen en reinigen dan daarin vermeld worden volstaan, indien een lagere frequentie geen nadelige gevolgen heeft voor het doelmatig functioneren van de afscheider.</w:t>
      </w:r>
    </w:p>
    <w:p w:rsidR="00296032" w:rsidRPr="00620047" w:rsidRDefault="00296032">
      <w:pPr>
        <w:pStyle w:val="art1enivo"/>
        <w:rPr>
          <w:rFonts w:cs="Arial"/>
        </w:rPr>
      </w:pPr>
      <w:r w:rsidRPr="00620047">
        <w:rPr>
          <w:rFonts w:cs="Arial"/>
        </w:rPr>
        <w:t>3.</w:t>
      </w:r>
      <w:r w:rsidRPr="00620047">
        <w:rPr>
          <w:rFonts w:cs="Arial"/>
        </w:rPr>
        <w:tab/>
        <w:t>Het bevoegd gezag kan bij maatwerkvoorschrift het tweede lid niet van toepassing verklaren en het lozen zonder een vetafscheider en slibvangput toestaan indien, gelet op het gehalte aan vet en onopgeloste stoffen in het te lozen afvalwater in combinatie met de hoeveelheid te lozen afvalwater, het lozen geen nadelige gevolgen heeft voor de doelmatige werking van de voorzieningen voor het beheer van afvalwater.</w:t>
      </w:r>
      <w:r w:rsidRPr="00620047">
        <w:rPr>
          <w:rFonts w:cs="Arial"/>
        </w:rPr>
        <w:br/>
        <w:t>Artikel 2.2, vierde lid, is van overeenkomstige toepassing.</w:t>
      </w:r>
    </w:p>
    <w:p w:rsidR="00296032" w:rsidRPr="00620047" w:rsidRDefault="00296032">
      <w:pPr>
        <w:pStyle w:val="art1enivo"/>
      </w:pPr>
      <w:r w:rsidRPr="00620047">
        <w:t>4.</w:t>
      </w:r>
      <w:r w:rsidRPr="00620047">
        <w:tab/>
        <w:t>Het tweede lid is niet van toepassing op een slibvangput en een vetafscheider die zijn geplaatst binnen een inrichting voorafgaand aan het tijdstip waarop die leden op die inrichting van toepassing werden.</w:t>
      </w:r>
    </w:p>
    <w:p w:rsidR="00296032" w:rsidRPr="00620047" w:rsidRDefault="00296032">
      <w:pPr>
        <w:pStyle w:val="art1enivo"/>
      </w:pPr>
      <w:r w:rsidRPr="00620047">
        <w:t>5.</w:t>
      </w:r>
      <w:r w:rsidRPr="00620047">
        <w:tab/>
        <w:t>Het tweede lid is eveneens niet van toepassing op een flocculatieafscheider die binnen een inrichting is geplaatst voorafgaand aan het tijdstip waarop dat artikel op de inrichting van toepassing werd.</w:t>
      </w:r>
    </w:p>
    <w:p w:rsidR="00296032" w:rsidRPr="00296032" w:rsidRDefault="00296032">
      <w:pPr>
        <w:pStyle w:val="artikelkop"/>
        <w:rPr>
          <w:rFonts w:cs="Arial"/>
        </w:rPr>
      </w:pPr>
      <w:r w:rsidRPr="00296032">
        <w:rPr>
          <w:rFonts w:cs="Arial"/>
        </w:rPr>
        <w:t>Artikel 4.104b</w:t>
      </w:r>
    </w:p>
    <w:p w:rsidR="00296032" w:rsidRPr="00620047" w:rsidRDefault="00296032">
      <w:pPr>
        <w:pStyle w:val="art1enivo"/>
        <w:rPr>
          <w:rFonts w:cs="Arial"/>
        </w:rPr>
      </w:pPr>
      <w:r w:rsidRPr="00620047">
        <w:rPr>
          <w:rFonts w:cs="Arial"/>
        </w:rPr>
        <w:t>1.</w:t>
      </w:r>
      <w:r w:rsidRPr="00620047">
        <w:rPr>
          <w:rFonts w:cs="Arial"/>
        </w:rPr>
        <w:tab/>
        <w:t>Bij het lozen van afvalwater, afkomstig van het inwendig reinigen of ontsmetten van vrachtwagens of andere transportmiddelen waarin dieren zijn vervoerd, wordt ten minste voldaan aan het tweede en derde lid.</w:t>
      </w:r>
    </w:p>
    <w:p w:rsidR="00296032" w:rsidRPr="00620047" w:rsidRDefault="00296032">
      <w:pPr>
        <w:pStyle w:val="art1enivo"/>
        <w:rPr>
          <w:rFonts w:cs="Arial"/>
        </w:rPr>
      </w:pPr>
      <w:r w:rsidRPr="00620047">
        <w:rPr>
          <w:rFonts w:cs="Arial"/>
        </w:rPr>
        <w:t>2.</w:t>
      </w:r>
      <w:r w:rsidRPr="00620047">
        <w:rPr>
          <w:rFonts w:cs="Arial"/>
        </w:rPr>
        <w:tab/>
        <w:t>Het lozen, bedoeld in het eerste lid, in een vuilwaterriool bevat in enig steekmonster ten hoogste 300 milligram onopgeloste stoffen per liter.</w:t>
      </w:r>
    </w:p>
    <w:p w:rsidR="00296032" w:rsidRPr="00620047" w:rsidRDefault="00296032">
      <w:pPr>
        <w:pStyle w:val="art1enivo"/>
        <w:rPr>
          <w:rFonts w:cs="Arial"/>
        </w:rPr>
      </w:pPr>
      <w:r w:rsidRPr="00620047">
        <w:rPr>
          <w:rFonts w:cs="Arial"/>
        </w:rPr>
        <w:t>3.</w:t>
      </w:r>
      <w:r w:rsidRPr="00620047">
        <w:rPr>
          <w:rFonts w:cs="Arial"/>
        </w:rPr>
        <w:tab/>
        <w:t>Het lozen, bedoeld in het eerste lid, op of in de bodem is toegestaan indien het afvalwater gelijkmatig wordt verspreid over de onverharde bodem.</w:t>
      </w:r>
    </w:p>
    <w:p w:rsidR="00296032" w:rsidRPr="00296032" w:rsidRDefault="00296032">
      <w:pPr>
        <w:pStyle w:val="artikelkop"/>
        <w:rPr>
          <w:rFonts w:cs="Arial"/>
        </w:rPr>
      </w:pPr>
      <w:r w:rsidRPr="00296032">
        <w:rPr>
          <w:rFonts w:cs="Arial"/>
        </w:rPr>
        <w:t>Artikel 4.104c</w:t>
      </w:r>
    </w:p>
    <w:p w:rsidR="00296032" w:rsidRPr="00620047" w:rsidRDefault="00296032">
      <w:pPr>
        <w:pStyle w:val="art1enivo"/>
        <w:rPr>
          <w:rFonts w:cs="Arial"/>
        </w:rPr>
      </w:pPr>
      <w:r w:rsidRPr="00620047">
        <w:rPr>
          <w:rFonts w:cs="Arial"/>
        </w:rPr>
        <w:t>1.</w:t>
      </w:r>
      <w:r w:rsidRPr="00620047">
        <w:rPr>
          <w:rFonts w:cs="Arial"/>
        </w:rPr>
        <w:tab/>
        <w:t>Bij het lozen van afvalwater afkomstig van het inwendig reinigen van werktuigen, waarmee gewasbeschermingsmiddelen of meststoffen zijn toegepast, wordt ten minste voldaan aan het tweede en derde lid.</w:t>
      </w:r>
    </w:p>
    <w:p w:rsidR="00296032" w:rsidRPr="00620047" w:rsidRDefault="00296032">
      <w:pPr>
        <w:pStyle w:val="art1enivo"/>
        <w:rPr>
          <w:rFonts w:cs="Arial"/>
        </w:rPr>
      </w:pPr>
      <w:r w:rsidRPr="00620047">
        <w:rPr>
          <w:rFonts w:cs="Arial"/>
        </w:rPr>
        <w:t>2.</w:t>
      </w:r>
      <w:r w:rsidRPr="00620047">
        <w:rPr>
          <w:rFonts w:cs="Arial"/>
        </w:rPr>
        <w:tab/>
        <w:t xml:space="preserve">Bij het lozen in een vuilwaterriool wordt het afvalwater afkomstig van het inwendig reinigen van werktuigen waarin gewasbeschermingsmiddelen zijn toegepast geleid door een zuiveringsvoorziening </w:t>
      </w:r>
      <w:r w:rsidRPr="00620047">
        <w:t>waarmee ten minste 95% van de gewasbeschermingsmiddelen wordt verwijderd.</w:t>
      </w:r>
      <w:r w:rsidRPr="00620047">
        <w:rPr>
          <w:rFonts w:cs="Arial"/>
        </w:rPr>
        <w:t>.</w:t>
      </w:r>
    </w:p>
    <w:p w:rsidR="00296032" w:rsidRPr="00620047" w:rsidRDefault="00296032">
      <w:pPr>
        <w:pStyle w:val="art1enivo"/>
        <w:rPr>
          <w:rFonts w:cs="Arial"/>
        </w:rPr>
      </w:pPr>
      <w:r w:rsidRPr="00620047">
        <w:rPr>
          <w:rFonts w:cs="Arial"/>
        </w:rPr>
        <w:t>3.</w:t>
      </w:r>
      <w:r w:rsidRPr="00620047">
        <w:rPr>
          <w:rFonts w:cs="Arial"/>
        </w:rPr>
        <w:tab/>
        <w:t>Het lozen op of in de bodem is toegestaan, indien:</w:t>
      </w:r>
    </w:p>
    <w:p w:rsidR="00296032" w:rsidRPr="00620047" w:rsidRDefault="00296032">
      <w:pPr>
        <w:pStyle w:val="art2enivo"/>
        <w:rPr>
          <w:rFonts w:cs="Arial"/>
        </w:rPr>
      </w:pPr>
      <w:r w:rsidRPr="00620047">
        <w:rPr>
          <w:rFonts w:cs="Arial"/>
        </w:rPr>
        <w:t>a.</w:t>
      </w:r>
      <w:r w:rsidRPr="00620047">
        <w:rPr>
          <w:rFonts w:cs="Arial"/>
        </w:rPr>
        <w:tab/>
        <w:t>het afvalwater gelijkmatig wordt verspreid over de onverharde bodem waarop de gewasbeschermingsmiddelen of meststoffen zijn toegepast, of</w:t>
      </w:r>
    </w:p>
    <w:p w:rsidR="00296032" w:rsidRPr="00620047" w:rsidRDefault="00296032">
      <w:pPr>
        <w:pStyle w:val="art2enivo"/>
        <w:rPr>
          <w:rFonts w:cs="Arial"/>
        </w:rPr>
      </w:pPr>
      <w:r w:rsidRPr="00620047">
        <w:rPr>
          <w:rFonts w:cs="Arial"/>
        </w:rPr>
        <w:t>b.</w:t>
      </w:r>
      <w:r w:rsidRPr="00620047">
        <w:rPr>
          <w:rFonts w:cs="Arial"/>
        </w:rPr>
        <w:tab/>
        <w:t>het afvalwater wordt geleid door een zuiveringsvoorziening</w:t>
      </w:r>
      <w:r w:rsidRPr="00620047">
        <w:t xml:space="preserve"> waarmee ten minste 95% van de gewasbeschermingsmiddelen wordt verwijderd</w:t>
      </w:r>
      <w:r w:rsidR="000143D4">
        <w:t xml:space="preserve"> </w:t>
      </w:r>
      <w:r w:rsidRPr="00620047">
        <w:rPr>
          <w:rFonts w:cs="Arial"/>
        </w:rPr>
        <w:t>en wordt verspreid over een onverharde bodem.</w:t>
      </w:r>
    </w:p>
    <w:p w:rsidR="00296032" w:rsidRPr="00296032" w:rsidRDefault="00296032">
      <w:pPr>
        <w:pStyle w:val="artikelkop"/>
        <w:rPr>
          <w:rFonts w:cs="Arial"/>
        </w:rPr>
      </w:pPr>
      <w:r w:rsidRPr="00296032">
        <w:rPr>
          <w:rFonts w:cs="Arial"/>
        </w:rPr>
        <w:t>Artikel 4.104d</w:t>
      </w:r>
    </w:p>
    <w:p w:rsidR="00296032" w:rsidRPr="00620047" w:rsidRDefault="00296032">
      <w:pPr>
        <w:pStyle w:val="artplat"/>
        <w:rPr>
          <w:rFonts w:cs="Arial"/>
        </w:rPr>
      </w:pPr>
      <w:r w:rsidRPr="00620047">
        <w:rPr>
          <w:rFonts w:cs="Arial"/>
        </w:rPr>
        <w:t>Bij het in het vuilwaterriool lozen van afvalwater afkomstig van het inwendig reinigen of ontsmetten van veegwagens of vuilniswagens, geldt ten minste dat het afvalwater in enig steekmonster niet meer dan 300 milligram onopgeloste stoffen per liter bevat.</w:t>
      </w:r>
    </w:p>
    <w:p w:rsidR="00296032" w:rsidRPr="00296032" w:rsidRDefault="00296032">
      <w:pPr>
        <w:pStyle w:val="artikelkop"/>
      </w:pPr>
      <w:r w:rsidRPr="00296032">
        <w:t>Artikel 4.104e</w:t>
      </w:r>
    </w:p>
    <w:p w:rsidR="00296032" w:rsidRPr="00620047" w:rsidRDefault="00296032">
      <w:pPr>
        <w:pStyle w:val="art1enivo"/>
      </w:pPr>
      <w:r w:rsidRPr="00620047">
        <w:t>1.</w:t>
      </w:r>
      <w:r w:rsidRPr="00620047">
        <w:tab/>
        <w:t>Het lozen van afvalwater afkomstig van het inwendig reinigen van een transportmiddel waarin betonmortel is vervoerd is uitsluitend toegestaan indien daarbij ten minste wordt voldaan aan de eisen, gesteld bij en krachtens het tweede tot en met vijfde lid.</w:t>
      </w:r>
    </w:p>
    <w:p w:rsidR="00296032" w:rsidRPr="00620047" w:rsidRDefault="00296032">
      <w:pPr>
        <w:pStyle w:val="art1enivo"/>
      </w:pPr>
      <w:r w:rsidRPr="00620047">
        <w:t>2.</w:t>
      </w:r>
      <w:r w:rsidRPr="00620047">
        <w:tab/>
        <w:t>Bij het lozen in een aangewezen oppervlaktewaterlichaam of in een voorziening voor de inzameling en het transport van afvalwater, niet zijnde een vuilwaterriool, bedraagt:</w:t>
      </w:r>
    </w:p>
    <w:p w:rsidR="00296032" w:rsidRPr="00620047" w:rsidRDefault="00296032">
      <w:pPr>
        <w:pStyle w:val="art2enivo"/>
      </w:pPr>
      <w:r w:rsidRPr="00620047">
        <w:t>a.</w:t>
      </w:r>
      <w:r w:rsidRPr="00620047">
        <w:tab/>
        <w:t>het gehalte aan onopgeloste stoffen in enig steekmonster niet meer dan 100 milligram per liter, en</w:t>
      </w:r>
    </w:p>
    <w:p w:rsidR="00296032" w:rsidRPr="00620047" w:rsidRDefault="00296032">
      <w:pPr>
        <w:pStyle w:val="art2enivo"/>
      </w:pPr>
      <w:r w:rsidRPr="00620047">
        <w:t>b.</w:t>
      </w:r>
      <w:r w:rsidRPr="00620047">
        <w:tab/>
        <w:t>het gehalte aan chemisch zuurstofverbruik in enig steekmonster niet meer dan 200 milligram per liter.</w:t>
      </w:r>
    </w:p>
    <w:p w:rsidR="00296032" w:rsidRPr="00620047" w:rsidRDefault="00296032">
      <w:pPr>
        <w:pStyle w:val="art1enivo"/>
      </w:pPr>
      <w:r w:rsidRPr="00620047">
        <w:t>3.</w:t>
      </w:r>
      <w:r w:rsidRPr="00620047">
        <w:tab/>
        <w:t>Bij het lozen in een vuilwaterriool bedraagt het gehalte aan onopgeloste stoffen niet meer dan 300 milligram per liter.</w:t>
      </w:r>
    </w:p>
    <w:p w:rsidR="00296032" w:rsidRPr="00620047" w:rsidRDefault="00296032">
      <w:pPr>
        <w:pStyle w:val="art1enivo"/>
      </w:pPr>
      <w:r w:rsidRPr="00620047">
        <w:t>4.</w:t>
      </w:r>
      <w:r w:rsidRPr="00620047">
        <w:tab/>
        <w:t>In afwijking van het tweede lid kan het bevoegd gezag in het belang van de bescherming van het milieu bij maatwerkvoorschrift voor onopgeloste stoffen lagere gehaltes vaststellen.</w:t>
      </w:r>
    </w:p>
    <w:p w:rsidR="00296032" w:rsidRDefault="00296032">
      <w:pPr>
        <w:pStyle w:val="art1enivo"/>
      </w:pPr>
      <w:r w:rsidRPr="00620047">
        <w:t>5.</w:t>
      </w:r>
      <w:r w:rsidRPr="00620047">
        <w:tab/>
        <w:t>Het te lozen afvalwater kan op een doelmatige wijze worden bemonsterd.</w:t>
      </w:r>
    </w:p>
    <w:p w:rsidR="00EE739C" w:rsidRDefault="00EE739C" w:rsidP="00EE739C"/>
    <w:p w:rsidR="00483081" w:rsidRDefault="00483081" w:rsidP="00483081">
      <w:r>
        <w:t>Artikel 4.105  [Vervallen per 01-01-2013]</w:t>
      </w:r>
    </w:p>
    <w:p w:rsidR="00483081" w:rsidRDefault="00483081" w:rsidP="00483081"/>
    <w:p w:rsidR="00483081" w:rsidRDefault="00483081" w:rsidP="00483081">
      <w:r>
        <w:t>Artikel 4.106  [Vervallen per 01-01-2013]</w:t>
      </w:r>
    </w:p>
    <w:p w:rsidR="00483081" w:rsidRDefault="00483081" w:rsidP="00483081"/>
    <w:p w:rsidR="00483081" w:rsidRDefault="00483081" w:rsidP="00483081">
      <w:r>
        <w:t>Artikel 4.107  [Vervallen per 01-01-2013]</w:t>
      </w:r>
    </w:p>
    <w:p w:rsidR="00483081" w:rsidRDefault="00483081" w:rsidP="00483081"/>
    <w:p w:rsidR="00483081" w:rsidRDefault="00483081" w:rsidP="00483081">
      <w:r>
        <w:t>Artikel 4.108  [Vervallen per 01-01-2013]</w:t>
      </w:r>
    </w:p>
    <w:p w:rsidR="00483081" w:rsidRDefault="00483081" w:rsidP="00483081"/>
    <w:p w:rsidR="00483081" w:rsidRDefault="00483081" w:rsidP="00483081">
      <w:r>
        <w:t>§ 4.8.3  [Vervallen per 01-01-2013]</w:t>
      </w:r>
    </w:p>
    <w:p w:rsidR="00483081" w:rsidRDefault="00483081" w:rsidP="00483081"/>
    <w:p w:rsidR="00483081" w:rsidRDefault="00483081" w:rsidP="00483081">
      <w:r>
        <w:t>Artikel 4.109  [Vervallen per 01-01-2013]</w:t>
      </w:r>
    </w:p>
    <w:p w:rsidR="00483081" w:rsidRDefault="00483081" w:rsidP="00483081"/>
    <w:p w:rsidR="00483081" w:rsidRDefault="00483081" w:rsidP="00483081">
      <w:r>
        <w:t>Artikel 4.110  [Vervallen per 01-01-2013]</w:t>
      </w:r>
    </w:p>
    <w:p w:rsidR="00483081" w:rsidRDefault="00483081" w:rsidP="00483081"/>
    <w:p w:rsidR="00483081" w:rsidRDefault="00483081" w:rsidP="00483081">
      <w:r>
        <w:t>§ 4.8.4  [Vervallen per 01-01-2013]</w:t>
      </w:r>
    </w:p>
    <w:p w:rsidR="00483081" w:rsidRDefault="00483081" w:rsidP="00483081"/>
    <w:p w:rsidR="00483081" w:rsidRDefault="00483081" w:rsidP="00483081">
      <w:r>
        <w:t>Artikel 4.111  [Vervallen per 01-01-2013]</w:t>
      </w:r>
    </w:p>
    <w:p w:rsidR="00483081" w:rsidRDefault="00483081" w:rsidP="00483081"/>
    <w:p w:rsidR="00483081" w:rsidRDefault="00483081" w:rsidP="00483081">
      <w:r>
        <w:t>Artikel 4.111a  [Vervallen per 01-01-2013]</w:t>
      </w:r>
    </w:p>
    <w:p w:rsidR="00483081" w:rsidRDefault="00483081" w:rsidP="00483081"/>
    <w:p w:rsidR="00483081" w:rsidRDefault="00483081" w:rsidP="00483081">
      <w:r>
        <w:t>Artikel 4.112  [Vervallen per 01-01-2013]</w:t>
      </w:r>
    </w:p>
    <w:p w:rsidR="00483081" w:rsidRDefault="00483081" w:rsidP="00483081"/>
    <w:p w:rsidR="00483081" w:rsidRDefault="00483081" w:rsidP="00483081">
      <w:r>
        <w:t>§ 4.8.5  [Vervallen per 01-01-2013]</w:t>
      </w:r>
    </w:p>
    <w:p w:rsidR="00483081" w:rsidRDefault="00483081" w:rsidP="00483081"/>
    <w:p w:rsidR="00483081" w:rsidRDefault="00483081" w:rsidP="00483081">
      <w:r>
        <w:t>Artikel 4.113  [Vervallen per 01-01-2013]</w:t>
      </w:r>
    </w:p>
    <w:p w:rsidR="00483081" w:rsidRDefault="00483081" w:rsidP="00483081"/>
    <w:p w:rsidR="00483081" w:rsidRDefault="00483081" w:rsidP="00483081">
      <w:r>
        <w:t>§ 4.8.5a  [Vervallen per 01-01-2013]</w:t>
      </w:r>
    </w:p>
    <w:p w:rsidR="00483081" w:rsidRDefault="00483081" w:rsidP="00483081"/>
    <w:p w:rsidR="00483081" w:rsidRDefault="00483081" w:rsidP="00483081">
      <w:r>
        <w:t>Artikel 4.113a  [Vervallen per 01-01-2013]</w:t>
      </w:r>
    </w:p>
    <w:p w:rsidR="00483081" w:rsidRDefault="00483081" w:rsidP="00483081"/>
    <w:p w:rsidR="00483081" w:rsidRDefault="00483081" w:rsidP="00483081">
      <w:r>
        <w:t>§ 4.8.5b  [Vervallen per 01-01-2013]</w:t>
      </w:r>
    </w:p>
    <w:p w:rsidR="00483081" w:rsidRDefault="00483081" w:rsidP="00483081"/>
    <w:p w:rsidR="00483081" w:rsidRDefault="00483081" w:rsidP="00483081">
      <w:r>
        <w:t>Artikel 4.113b  [Vervallen per 01-01-2013]</w:t>
      </w:r>
    </w:p>
    <w:p w:rsidR="00EE739C" w:rsidRDefault="00EE739C" w:rsidP="00EE739C">
      <w:pPr>
        <w:pStyle w:val="paragraaf"/>
        <w:shd w:val="clear" w:color="auto" w:fill="D9D9D9" w:themeFill="background1" w:themeFillShade="D9"/>
      </w:pPr>
      <w:bookmarkStart w:id="322" w:name="_Toc431375768"/>
      <w:r>
        <w:t>§ 4.8.1.</w:t>
      </w:r>
      <w:r>
        <w:tab/>
        <w:t>Inwendig reinigen of ontsmetten van transportmiddelen</w:t>
      </w:r>
      <w:bookmarkEnd w:id="322"/>
    </w:p>
    <w:p w:rsidR="00EE739C" w:rsidRDefault="00EE739C" w:rsidP="00EE739C">
      <w:pPr>
        <w:pStyle w:val="artikelkop"/>
        <w:shd w:val="clear" w:color="auto" w:fill="D9D9D9" w:themeFill="background1" w:themeFillShade="D9"/>
      </w:pPr>
      <w:r>
        <w:t>Artikel 4.104h</w:t>
      </w:r>
    </w:p>
    <w:p w:rsidR="00EE739C" w:rsidRDefault="00EE739C" w:rsidP="00EE739C">
      <w:pPr>
        <w:pStyle w:val="artplat"/>
        <w:shd w:val="clear" w:color="auto" w:fill="D9D9D9" w:themeFill="background1" w:themeFillShade="D9"/>
        <w:suppressAutoHyphens/>
        <w:rPr>
          <w:rFonts w:cs="Arial"/>
        </w:rPr>
      </w:pPr>
      <w:r>
        <w:rPr>
          <w:rFonts w:cs="Arial"/>
        </w:rPr>
        <w:t>Ten behoeve van het realiseren van een verwaarloosbaar bodemrisico wordt bij het inwendig reinigen en ontsmetten van vrachtwagens en andere transportmiddelen het afvalwater van de vrachtwagen naar het afvoerpunt afgevoerd via een vloeistofdichte vloer of verharding, waarbij ervoor wordt gezorgd dat geen afvalwater buiten de vloer of voorziening terecht kan komen.</w:t>
      </w:r>
    </w:p>
    <w:p w:rsidR="00EE739C" w:rsidRDefault="00EE739C" w:rsidP="00EE739C">
      <w:pPr>
        <w:pStyle w:val="artikelkop"/>
        <w:shd w:val="clear" w:color="auto" w:fill="D9D9D9" w:themeFill="background1" w:themeFillShade="D9"/>
        <w:rPr>
          <w:rFonts w:eastAsiaTheme="minorEastAsia"/>
          <w:lang w:eastAsia="nl-NL"/>
        </w:rPr>
      </w:pPr>
      <w:r>
        <w:rPr>
          <w:rFonts w:eastAsiaTheme="minorEastAsia"/>
          <w:lang w:eastAsia="nl-NL"/>
        </w:rPr>
        <w:t xml:space="preserve">Artikel 4.104i </w:t>
      </w:r>
    </w:p>
    <w:p w:rsidR="00EE739C" w:rsidRDefault="00EE739C" w:rsidP="00EE739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Aan artikel 4.104c, tweede en derde lid, onder b, van het besluit wordt in ieder geval voldaan indien de zuiveringsvoorziening voldoet aan het tweede tot en met vierde lid.</w:t>
      </w:r>
    </w:p>
    <w:p w:rsidR="00EE739C" w:rsidRDefault="00EE739C" w:rsidP="00EE739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zuiveringsvoorziening bestaat uit:</w:t>
      </w:r>
    </w:p>
    <w:p w:rsidR="00EE739C" w:rsidRDefault="00EE739C" w:rsidP="00EE739C">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zuiveringsmateriaal in een deel van de zuiveringsvoorziening die zodanig is uitgevoerd en zodanig wordt onderhouden dat contact van het afvalwater met de bodem wordt voorkomen, en</w:t>
      </w:r>
    </w:p>
    <w:p w:rsidR="00EE739C" w:rsidRDefault="00EE739C" w:rsidP="00EE739C">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een bufferopslag en doseereenheid waarmee het afvalwater geleidelijk en gelijkmatig wordt verspreid over het oppervlak van het zuiveringsmateriaal en waardoor de capaciteit van de zuiveringsvoorziening niet wordt overschreden.</w:t>
      </w:r>
    </w:p>
    <w:p w:rsidR="00EE739C" w:rsidRDefault="00EE739C" w:rsidP="00EE739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zuiveringsvoorziening is zodanig gedimensioneerd dat de capaciteit voldoende is voor de behandeling van de afvalwaterstroom die jaarlijks vrijkomt. Op verzoek van het bevoegd gezag wordt een berekening van de capaciteit van de zuiveringsvoorziening overgelegd.</w:t>
      </w:r>
    </w:p>
    <w:p w:rsidR="00EE739C" w:rsidRDefault="00EE739C" w:rsidP="00EE739C">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Indien het afvalwater dat wordt aangeboden aan de zuiveringsvoorziening meer dat 20 milligram olie per liter bevat, wordt het afvalwater voorafgaand aan de zuiveringsvoorziening geleid door een olieafscheider en slibvangput die voldoen aan en worden gebruikt conform NEN-EN 858-1 en 2.</w:t>
      </w:r>
    </w:p>
    <w:p w:rsidR="00EE739C" w:rsidRDefault="00EE739C"/>
    <w:p w:rsidR="00296032" w:rsidRPr="00296032" w:rsidRDefault="00296032">
      <w:pPr>
        <w:pStyle w:val="paragraaf"/>
        <w:rPr>
          <w:rFonts w:cs="Arial"/>
        </w:rPr>
      </w:pPr>
      <w:bookmarkStart w:id="323" w:name="_Toc277243266"/>
      <w:bookmarkStart w:id="324" w:name="_Toc431375769"/>
      <w:bookmarkEnd w:id="321"/>
      <w:r w:rsidRPr="00296032">
        <w:rPr>
          <w:rFonts w:cs="Arial"/>
        </w:rPr>
        <w:t>§ 4.8.6</w:t>
      </w:r>
      <w:r w:rsidRPr="00296032">
        <w:rPr>
          <w:rFonts w:cs="Arial"/>
        </w:rPr>
        <w:tab/>
        <w:t>In werking hebben van een acculader</w:t>
      </w:r>
      <w:bookmarkEnd w:id="323"/>
      <w:bookmarkEnd w:id="324"/>
    </w:p>
    <w:p w:rsidR="00296032" w:rsidRPr="00296032" w:rsidRDefault="00296032">
      <w:pPr>
        <w:pStyle w:val="artikelkop"/>
        <w:rPr>
          <w:rFonts w:cs="Arial"/>
        </w:rPr>
      </w:pPr>
      <w:r w:rsidRPr="00296032">
        <w:rPr>
          <w:rFonts w:cs="Arial"/>
        </w:rPr>
        <w:t>Artikel 4.113c</w:t>
      </w:r>
    </w:p>
    <w:p w:rsidR="00296032" w:rsidRPr="00620047" w:rsidRDefault="00296032">
      <w:pPr>
        <w:pStyle w:val="artplat"/>
      </w:pPr>
      <w:r w:rsidRPr="00620047">
        <w:t>Deze paragraaf is van toepassing op het in werking hebben van een acculader.</w:t>
      </w:r>
    </w:p>
    <w:p w:rsidR="00296032" w:rsidRPr="00296032" w:rsidRDefault="00296032">
      <w:pPr>
        <w:pStyle w:val="artikelkop"/>
        <w:rPr>
          <w:rFonts w:cs="Arial"/>
        </w:rPr>
      </w:pPr>
      <w:r w:rsidRPr="00296032">
        <w:rPr>
          <w:rFonts w:cs="Arial"/>
        </w:rPr>
        <w:t>Artikel 4.114</w:t>
      </w:r>
    </w:p>
    <w:p w:rsidR="00EE739C" w:rsidRDefault="00296032">
      <w:pPr>
        <w:rPr>
          <w:rFonts w:cs="Arial"/>
        </w:rPr>
      </w:pPr>
      <w:r w:rsidRPr="00620047">
        <w:rPr>
          <w:rFonts w:cs="Arial"/>
        </w:rPr>
        <w:t>Bij het opladen van accu's die vloeibare bodembedreigende stoffen bevatten wordt ten behoeve van het realiseren van een verwaarloosbaar bodemrisico, voldaan aan de bij ministeriële regeling te stellen eisen.</w:t>
      </w:r>
    </w:p>
    <w:p w:rsidR="00483081" w:rsidRDefault="00483081">
      <w:pPr>
        <w:rPr>
          <w:rFonts w:cs="Arial"/>
        </w:rPr>
      </w:pPr>
    </w:p>
    <w:p w:rsidR="00483081" w:rsidRPr="00483081" w:rsidRDefault="00483081" w:rsidP="00483081">
      <w:pPr>
        <w:rPr>
          <w:rFonts w:cs="Arial"/>
        </w:rPr>
      </w:pPr>
      <w:r w:rsidRPr="00483081">
        <w:rPr>
          <w:rFonts w:cs="Arial"/>
        </w:rPr>
        <w:t>§ 4.8.7  [Vervallen per 01-01-2013]</w:t>
      </w:r>
    </w:p>
    <w:p w:rsidR="00483081" w:rsidRPr="00483081" w:rsidRDefault="00483081" w:rsidP="00483081">
      <w:pPr>
        <w:rPr>
          <w:rFonts w:cs="Arial"/>
        </w:rPr>
      </w:pPr>
    </w:p>
    <w:p w:rsidR="00483081" w:rsidRDefault="00483081" w:rsidP="00483081">
      <w:pPr>
        <w:rPr>
          <w:rFonts w:cs="Arial"/>
        </w:rPr>
      </w:pPr>
      <w:r w:rsidRPr="00483081">
        <w:rPr>
          <w:rFonts w:cs="Arial"/>
        </w:rPr>
        <w:t>Artikel 4.115  [Vervallen per 01-01-2013]</w:t>
      </w:r>
    </w:p>
    <w:p w:rsidR="00483081" w:rsidRDefault="00483081" w:rsidP="00483081">
      <w:pPr>
        <w:rPr>
          <w:rFonts w:cs="Arial"/>
        </w:rPr>
      </w:pPr>
    </w:p>
    <w:p w:rsidR="00483081" w:rsidRDefault="00483081" w:rsidP="00483081">
      <w:pPr>
        <w:rPr>
          <w:rFonts w:cs="Arial"/>
        </w:rPr>
      </w:pPr>
      <w:r w:rsidRPr="00483081">
        <w:rPr>
          <w:rFonts w:cs="Arial"/>
        </w:rPr>
        <w:t>§ 4.8.8  [Vervallen per 01-01-2013]</w:t>
      </w:r>
    </w:p>
    <w:p w:rsidR="00EE739C" w:rsidRDefault="00EE739C" w:rsidP="00EE739C">
      <w:pPr>
        <w:pStyle w:val="paragraaf"/>
        <w:shd w:val="clear" w:color="auto" w:fill="D9D9D9" w:themeFill="background1" w:themeFillShade="D9"/>
      </w:pPr>
      <w:r>
        <w:t xml:space="preserve"> </w:t>
      </w:r>
      <w:bookmarkStart w:id="325" w:name="_Toc431375770"/>
      <w:r>
        <w:t>4.8.5.</w:t>
      </w:r>
      <w:r>
        <w:tab/>
        <w:t>In werking hebben van een acculader</w:t>
      </w:r>
      <w:bookmarkEnd w:id="325"/>
    </w:p>
    <w:p w:rsidR="00EE739C" w:rsidRDefault="00EE739C" w:rsidP="00EE739C">
      <w:pPr>
        <w:pStyle w:val="artikelkop"/>
        <w:shd w:val="clear" w:color="auto" w:fill="D9D9D9" w:themeFill="background1" w:themeFillShade="D9"/>
      </w:pPr>
      <w:r>
        <w:t>Artikel 4.109</w:t>
      </w:r>
    </w:p>
    <w:p w:rsidR="00EE739C" w:rsidRDefault="00EE739C" w:rsidP="00EE739C">
      <w:pPr>
        <w:pStyle w:val="art1enivo"/>
        <w:shd w:val="clear" w:color="auto" w:fill="D9D9D9" w:themeFill="background1" w:themeFillShade="D9"/>
        <w:suppressAutoHyphens/>
        <w:rPr>
          <w:rFonts w:cs="Arial"/>
        </w:rPr>
      </w:pPr>
      <w:r>
        <w:rPr>
          <w:rFonts w:cs="Arial"/>
        </w:rPr>
        <w:t>1.</w:t>
      </w:r>
      <w:r>
        <w:rPr>
          <w:rFonts w:cs="Arial"/>
        </w:rPr>
        <w:tab/>
        <w:t xml:space="preserve">Ten behoeve van het realiseren van een verwaarloosbaar bodemrisico vindt het met een acculader laden van een accu die vloeibare bodembedreigende stoffen bevat, plaats boven een bodembeschermende voorziening </w:t>
      </w:r>
    </w:p>
    <w:p w:rsidR="00EE739C" w:rsidRPr="00EE739C" w:rsidRDefault="00EE739C" w:rsidP="00EE739C">
      <w:pPr>
        <w:pStyle w:val="art1enivo"/>
        <w:shd w:val="clear" w:color="auto" w:fill="D9D9D9" w:themeFill="background1" w:themeFillShade="D9"/>
        <w:suppressAutoHyphens/>
        <w:rPr>
          <w:rFonts w:cs="Arial"/>
        </w:rPr>
      </w:pPr>
      <w:r>
        <w:rPr>
          <w:rFonts w:cs="Arial"/>
        </w:rPr>
        <w:t>2.</w:t>
      </w:r>
      <w:r>
        <w:rPr>
          <w:rFonts w:cs="Arial"/>
        </w:rPr>
        <w:tab/>
        <w:t>Artikel 2.11 van het besluit is niet van toepassing op het met een acculader laden van een accu die vloeibare bodembedreigende stoffen bevat.</w:t>
      </w:r>
    </w:p>
    <w:p w:rsidR="00EE739C" w:rsidRPr="00620047" w:rsidRDefault="00EE739C">
      <w:pPr>
        <w:rPr>
          <w:rFonts w:cs="Arial"/>
        </w:rPr>
      </w:pPr>
    </w:p>
    <w:p w:rsidR="00296032" w:rsidRPr="00296032" w:rsidRDefault="00296032">
      <w:pPr>
        <w:pStyle w:val="paragraaf"/>
        <w:rPr>
          <w:rFonts w:cs="Arial"/>
        </w:rPr>
      </w:pPr>
      <w:bookmarkStart w:id="326" w:name="_Toc277243269"/>
      <w:bookmarkStart w:id="327" w:name="_Toc431375771"/>
      <w:r w:rsidRPr="00296032">
        <w:rPr>
          <w:rFonts w:cs="Arial"/>
        </w:rPr>
        <w:t>§ 4.8.9</w:t>
      </w:r>
      <w:r w:rsidRPr="00296032">
        <w:rPr>
          <w:rFonts w:cs="Arial"/>
        </w:rPr>
        <w:tab/>
        <w:t>In werking hebben van een crematorium of het in gebruik hebben van een strooiveld</w:t>
      </w:r>
      <w:bookmarkEnd w:id="326"/>
      <w:bookmarkEnd w:id="327"/>
    </w:p>
    <w:p w:rsidR="00296032" w:rsidRPr="00296032" w:rsidRDefault="00296032">
      <w:pPr>
        <w:pStyle w:val="artikelkop"/>
        <w:rPr>
          <w:rFonts w:cs="Arial"/>
        </w:rPr>
      </w:pPr>
      <w:r w:rsidRPr="00296032">
        <w:rPr>
          <w:rFonts w:cs="Arial"/>
        </w:rPr>
        <w:t>Artikel 4.116</w:t>
      </w:r>
    </w:p>
    <w:p w:rsidR="00296032" w:rsidRPr="00620047" w:rsidRDefault="00296032">
      <w:pPr>
        <w:pStyle w:val="artplat"/>
      </w:pPr>
      <w:r w:rsidRPr="00620047">
        <w:t>Deze paragraaf is van toepassing op het in werking hebben van een crematorium of het in gebruik hebben van een strooiveld.</w:t>
      </w:r>
    </w:p>
    <w:p w:rsidR="00296032" w:rsidRPr="00296032" w:rsidRDefault="00296032">
      <w:pPr>
        <w:pStyle w:val="artikelkop"/>
        <w:rPr>
          <w:rFonts w:cs="Arial"/>
        </w:rPr>
      </w:pPr>
      <w:r w:rsidRPr="00296032">
        <w:rPr>
          <w:rFonts w:cs="Arial"/>
        </w:rPr>
        <w:t>Artikel 4.117</w:t>
      </w:r>
    </w:p>
    <w:p w:rsidR="00296032" w:rsidRPr="00620047" w:rsidRDefault="00296032">
      <w:pPr>
        <w:rPr>
          <w:rFonts w:cs="Arial"/>
        </w:rPr>
      </w:pPr>
      <w:r w:rsidRPr="00620047">
        <w:rPr>
          <w:rFonts w:cs="Arial"/>
        </w:rPr>
        <w:t>Het is verboden in een crematieoven kisten te verbranden die met lood of zink bekleed zijn. Metalen en kunststof handvatten en andere versierselen van kunststof of metaal worden voor invoer van de kist verwijderd.</w:t>
      </w:r>
    </w:p>
    <w:p w:rsidR="00296032" w:rsidRPr="00296032" w:rsidRDefault="00296032">
      <w:pPr>
        <w:pStyle w:val="artikelkop"/>
        <w:rPr>
          <w:rFonts w:cs="Arial"/>
        </w:rPr>
      </w:pPr>
      <w:r w:rsidRPr="00296032">
        <w:rPr>
          <w:rFonts w:cs="Arial"/>
        </w:rPr>
        <w:t>Artikel 4.118</w:t>
      </w:r>
    </w:p>
    <w:p w:rsidR="00296032" w:rsidRPr="00620047" w:rsidRDefault="00296032">
      <w:pPr>
        <w:rPr>
          <w:rFonts w:cs="Arial"/>
        </w:rPr>
      </w:pPr>
      <w:r w:rsidRPr="00620047">
        <w:rPr>
          <w:rFonts w:cs="Arial"/>
        </w:rPr>
        <w:t>Bij het in werking hebben van een crematieoven worden ten behoeve van:</w:t>
      </w:r>
    </w:p>
    <w:p w:rsidR="00296032" w:rsidRPr="00620047" w:rsidRDefault="00296032">
      <w:pPr>
        <w:pStyle w:val="artplatletter"/>
        <w:rPr>
          <w:rFonts w:cs="Arial"/>
        </w:rPr>
      </w:pPr>
      <w:r w:rsidRPr="00620047">
        <w:rPr>
          <w:rFonts w:cs="Arial"/>
        </w:rPr>
        <w:t>a.</w:t>
      </w:r>
      <w:r w:rsidRPr="00620047">
        <w:rPr>
          <w:rFonts w:cs="Arial"/>
        </w:rPr>
        <w:tab/>
        <w:t>het zo volledig mogelijk verbranden van rookgassen, en</w:t>
      </w:r>
    </w:p>
    <w:p w:rsidR="00296032" w:rsidRPr="00620047" w:rsidRDefault="00296032">
      <w:pPr>
        <w:pStyle w:val="artplatletter"/>
        <w:rPr>
          <w:rFonts w:cs="Arial"/>
        </w:rPr>
      </w:pPr>
      <w:r w:rsidRPr="00620047">
        <w:rPr>
          <w:rFonts w:cs="Arial"/>
        </w:rPr>
        <w:t>b.</w:t>
      </w:r>
      <w:r w:rsidRPr="00620047">
        <w:rPr>
          <w:rFonts w:cs="Arial"/>
        </w:rPr>
        <w:tab/>
        <w:t>het zo veel mogelijk beperken van het ontstaan van stikstofoxiden,</w:t>
      </w:r>
    </w:p>
    <w:p w:rsidR="00296032" w:rsidRPr="00620047" w:rsidRDefault="00296032">
      <w:pPr>
        <w:rPr>
          <w:rFonts w:cs="Arial"/>
        </w:rPr>
      </w:pPr>
      <w:r w:rsidRPr="00620047">
        <w:rPr>
          <w:rFonts w:cs="Arial"/>
        </w:rPr>
        <w:t>de bij ministeriële regeling voorgeschreven maatregelen toegepast.</w:t>
      </w:r>
    </w:p>
    <w:p w:rsidR="00296032" w:rsidRPr="00296032" w:rsidRDefault="00296032">
      <w:pPr>
        <w:pStyle w:val="artikelkop"/>
      </w:pPr>
      <w:r w:rsidRPr="00296032">
        <w:t xml:space="preserve">Artikel 4.118a </w:t>
      </w:r>
    </w:p>
    <w:p w:rsidR="00296032" w:rsidRPr="00620047" w:rsidRDefault="00296032">
      <w:pPr>
        <w:pStyle w:val="artplat"/>
      </w:pPr>
      <w:r w:rsidRPr="00620047">
        <w:t>Onverminderd de artikelen 2.5, eerste, vierde en vijfde lid, en 2.6 is bij het in werking hebben van een crematieoven voor dieren de emissieconcentratie van stofklasse S ten hoogste:</w:t>
      </w:r>
    </w:p>
    <w:p w:rsidR="00296032" w:rsidRPr="00620047" w:rsidRDefault="00296032">
      <w:pPr>
        <w:pStyle w:val="artplatletter"/>
      </w:pPr>
      <w:r w:rsidRPr="00620047">
        <w:t>a.</w:t>
      </w:r>
      <w:r w:rsidRPr="00620047">
        <w:tab/>
        <w:t>5 milligram per normaal kubieke meter, indien de massastroom van stofklasse S gelijk is aan of groter is dan 200 gram per uur, en</w:t>
      </w:r>
    </w:p>
    <w:p w:rsidR="00296032" w:rsidRPr="00620047" w:rsidRDefault="00296032">
      <w:pPr>
        <w:pStyle w:val="artplatletter"/>
      </w:pPr>
      <w:r w:rsidRPr="00620047">
        <w:t>b.</w:t>
      </w:r>
      <w:r w:rsidRPr="00620047">
        <w:tab/>
        <w:t>50 milligram per normaal kubieke meter indien de massastroom van stofklasse S kleiner is dan 200 gram per uur.</w:t>
      </w:r>
    </w:p>
    <w:p w:rsidR="00296032" w:rsidRPr="00296032" w:rsidRDefault="00296032">
      <w:pPr>
        <w:pStyle w:val="artikelkop"/>
        <w:rPr>
          <w:rFonts w:cs="Arial"/>
        </w:rPr>
      </w:pPr>
      <w:r w:rsidRPr="00296032">
        <w:rPr>
          <w:rFonts w:cs="Arial"/>
        </w:rPr>
        <w:t>Artikel 4.119</w:t>
      </w:r>
    </w:p>
    <w:p w:rsidR="00296032" w:rsidRPr="00620047" w:rsidRDefault="00296032">
      <w:pPr>
        <w:rPr>
          <w:rFonts w:cs="Arial"/>
        </w:rPr>
      </w:pPr>
      <w:r w:rsidRPr="00620047">
        <w:rPr>
          <w:rFonts w:cs="Arial"/>
        </w:rPr>
        <w:t>Onverminderd artikel 2.5, eerste, vierde en vijfde lid, en artikel 2.6 is bij het in werking hebben van een crematieoven</w:t>
      </w:r>
      <w:r w:rsidRPr="00620047">
        <w:t xml:space="preserve"> niet zijnde een crematieoven voor dieren</w:t>
      </w:r>
      <w:r w:rsidRPr="00620047">
        <w:rPr>
          <w:rFonts w:cs="Arial"/>
        </w:rPr>
        <w:t xml:space="preserve"> de emissieconcentratie van kwik en kwikverbindingen niet meer dan 0,05 milligram per normaal kubieke meter, indien de massastroom van kwik naar de lucht gelijk is aan of groter is dan 0,25 gram per uur.</w:t>
      </w:r>
    </w:p>
    <w:p w:rsidR="00296032" w:rsidRPr="00296032" w:rsidRDefault="00296032">
      <w:pPr>
        <w:pStyle w:val="artikelkop"/>
        <w:rPr>
          <w:rFonts w:cs="Arial"/>
        </w:rPr>
      </w:pPr>
      <w:r w:rsidRPr="00296032">
        <w:rPr>
          <w:rFonts w:cs="Arial"/>
        </w:rPr>
        <w:t>Artikel 4.120</w:t>
      </w:r>
    </w:p>
    <w:p w:rsidR="00296032" w:rsidRDefault="00296032">
      <w:pPr>
        <w:rPr>
          <w:rFonts w:cs="Arial"/>
        </w:rPr>
      </w:pPr>
      <w:r w:rsidRPr="00620047">
        <w:rPr>
          <w:rFonts w:cs="Arial"/>
        </w:rPr>
        <w:t>In afwijking van artikel 2.9, eerste lid, worden bij het verstrooien van crematie-as op een strooiveld ten behoeve van het voorkomen dan wel, voor zover dat niet mogelijk is, zoveel mogelijk beperken van de belasting van de bodem de bij ministeriële regeling voorgeschreven maatregelen toegepast.</w:t>
      </w:r>
    </w:p>
    <w:p w:rsidR="00EE739C" w:rsidRDefault="00EE739C">
      <w:pPr>
        <w:rPr>
          <w:rFonts w:cs="Arial"/>
        </w:rPr>
      </w:pPr>
    </w:p>
    <w:p w:rsidR="00EE739C" w:rsidRDefault="00EE739C"/>
    <w:p w:rsidR="00EE739C" w:rsidRDefault="00EE739C" w:rsidP="00EE739C">
      <w:pPr>
        <w:pStyle w:val="paragraaf"/>
        <w:shd w:val="clear" w:color="auto" w:fill="D9D9D9" w:themeFill="background1" w:themeFillShade="D9"/>
      </w:pPr>
      <w:bookmarkStart w:id="328" w:name="_Toc431375773"/>
      <w:r>
        <w:t>§ 4.8.8.</w:t>
      </w:r>
      <w:r>
        <w:tab/>
        <w:t>In werking hebben van een crematorium of het in gebruik hebben van een strooiveld</w:t>
      </w:r>
      <w:bookmarkEnd w:id="328"/>
    </w:p>
    <w:p w:rsidR="00EE739C" w:rsidRDefault="00EE739C" w:rsidP="00EE739C">
      <w:pPr>
        <w:pStyle w:val="artikelkop"/>
        <w:shd w:val="clear" w:color="auto" w:fill="D9D9D9" w:themeFill="background1" w:themeFillShade="D9"/>
      </w:pPr>
      <w:r>
        <w:t>Artikel 4.112</w:t>
      </w:r>
    </w:p>
    <w:p w:rsidR="00EE739C" w:rsidRDefault="00EE739C" w:rsidP="00EE739C">
      <w:pPr>
        <w:pStyle w:val="art1enivo"/>
        <w:shd w:val="clear" w:color="auto" w:fill="D9D9D9" w:themeFill="background1" w:themeFillShade="D9"/>
        <w:suppressAutoHyphens/>
        <w:rPr>
          <w:rFonts w:cs="Arial"/>
        </w:rPr>
      </w:pPr>
      <w:r>
        <w:rPr>
          <w:rFonts w:cs="Arial"/>
        </w:rPr>
        <w:t>1.</w:t>
      </w:r>
      <w:r>
        <w:rPr>
          <w:rFonts w:cs="Arial"/>
        </w:rPr>
        <w:tab/>
        <w:t>Ten behoeve van het zo volledig mogelijk verbranden van rookgassen en het zo veel mogelijk beperken van het ontstaan van stikstofdioxiden, wordt bij het inwerking hebben van een crematieoven voldaan aan het tweede tot en met het negende lid.</w:t>
      </w:r>
    </w:p>
    <w:p w:rsidR="00EE739C" w:rsidRDefault="00EE739C" w:rsidP="00EE739C">
      <w:pPr>
        <w:pStyle w:val="art1enivo"/>
        <w:shd w:val="clear" w:color="auto" w:fill="D9D9D9" w:themeFill="background1" w:themeFillShade="D9"/>
        <w:suppressAutoHyphens/>
        <w:rPr>
          <w:rFonts w:cs="Arial"/>
        </w:rPr>
      </w:pPr>
      <w:r>
        <w:rPr>
          <w:rFonts w:cs="Arial"/>
        </w:rPr>
        <w:t>2.</w:t>
      </w:r>
      <w:r>
        <w:rPr>
          <w:rFonts w:cs="Arial"/>
        </w:rPr>
        <w:tab/>
        <w:t>Een crematieoven is voorzien van een naverbrandingsruimte voorzien van een naverbrander, waarin de rookgassen uit de hoofdkamer worden naverbrand.</w:t>
      </w:r>
    </w:p>
    <w:p w:rsidR="00EE739C" w:rsidRDefault="00EE739C" w:rsidP="00EE739C">
      <w:pPr>
        <w:pStyle w:val="art1enivo"/>
        <w:shd w:val="clear" w:color="auto" w:fill="D9D9D9" w:themeFill="background1" w:themeFillShade="D9"/>
        <w:suppressAutoHyphens/>
        <w:rPr>
          <w:rFonts w:cs="Arial"/>
        </w:rPr>
      </w:pPr>
      <w:r>
        <w:rPr>
          <w:rFonts w:cs="Arial"/>
        </w:rPr>
        <w:t>3.</w:t>
      </w:r>
      <w:r>
        <w:rPr>
          <w:rFonts w:cs="Arial"/>
        </w:rPr>
        <w:tab/>
        <w:t>Bij het in werking hebben van een crematieoven wordt de vorming van stikstofoxiden beperkt door het toepassen van een low-NO</w:t>
      </w:r>
      <w:r>
        <w:rPr>
          <w:rFonts w:cs="Arial"/>
          <w:vertAlign w:val="subscript"/>
        </w:rPr>
        <w:t>X</w:t>
      </w:r>
      <w:r>
        <w:rPr>
          <w:rFonts w:cs="Arial"/>
        </w:rPr>
        <w:t xml:space="preserve"> brander in de hoofdkamer van de oven en de naverbrander in de naverbrandingsruimte.</w:t>
      </w:r>
    </w:p>
    <w:p w:rsidR="00EE739C" w:rsidRDefault="00EE739C" w:rsidP="00EE739C">
      <w:pPr>
        <w:pStyle w:val="art1enivo"/>
        <w:shd w:val="clear" w:color="auto" w:fill="D9D9D9" w:themeFill="background1" w:themeFillShade="D9"/>
        <w:suppressAutoHyphens/>
        <w:rPr>
          <w:rFonts w:cs="Arial"/>
        </w:rPr>
      </w:pPr>
      <w:r>
        <w:rPr>
          <w:rFonts w:cs="Arial"/>
        </w:rPr>
        <w:t>4.</w:t>
      </w:r>
      <w:r>
        <w:rPr>
          <w:rFonts w:cs="Arial"/>
        </w:rPr>
        <w:tab/>
        <w:t>In de naverbrandingsruimte, bedoeld in het tweede lid, vindt een zodanige menging van de rookgassen plaats dat deze zo volledig mogelijk worden verbrand.</w:t>
      </w:r>
    </w:p>
    <w:p w:rsidR="00EE739C" w:rsidRDefault="00EE739C" w:rsidP="00EE739C">
      <w:pPr>
        <w:pStyle w:val="art1enivo"/>
        <w:shd w:val="clear" w:color="auto" w:fill="D9D9D9" w:themeFill="background1" w:themeFillShade="D9"/>
        <w:suppressAutoHyphens/>
        <w:rPr>
          <w:rFonts w:cs="Arial"/>
        </w:rPr>
      </w:pPr>
      <w:r>
        <w:rPr>
          <w:rFonts w:cs="Arial"/>
        </w:rPr>
        <w:t>5.</w:t>
      </w:r>
      <w:r>
        <w:rPr>
          <w:rFonts w:cs="Arial"/>
        </w:rPr>
        <w:tab/>
        <w:t>Op verzoek van het bevoegd gezag wordt aangetoond dat het ontwerp van de crematieoven zodanig is, dat onder normale bedrijfsomstandigheden de verblijftijd van de afgassen in de naverbrandingsruimte ten minste 1,5 seconde bedraagt bij een temperatuur van ten minste 800 graden Celsius.</w:t>
      </w:r>
    </w:p>
    <w:p w:rsidR="00EE739C" w:rsidRDefault="00EE739C" w:rsidP="00EE739C">
      <w:pPr>
        <w:pStyle w:val="art1enivo"/>
        <w:shd w:val="clear" w:color="auto" w:fill="D9D9D9" w:themeFill="background1" w:themeFillShade="D9"/>
        <w:suppressAutoHyphens/>
        <w:rPr>
          <w:rFonts w:cs="Arial"/>
        </w:rPr>
      </w:pPr>
      <w:r>
        <w:rPr>
          <w:rFonts w:cs="Arial"/>
        </w:rPr>
        <w:t>6.</w:t>
      </w:r>
      <w:r>
        <w:rPr>
          <w:rFonts w:cs="Arial"/>
        </w:rPr>
        <w:tab/>
        <w:t>De temperatuur van de rookgassen in de naverbrandingsruimte wordt door middel van een brander boven de 800 graden Celsius gehouden. Hiertoe is de brander van een automatische regeling voorzien.</w:t>
      </w:r>
    </w:p>
    <w:p w:rsidR="00EE739C" w:rsidRDefault="00EE739C" w:rsidP="00EE739C">
      <w:pPr>
        <w:pStyle w:val="art1enivo"/>
        <w:shd w:val="clear" w:color="auto" w:fill="D9D9D9" w:themeFill="background1" w:themeFillShade="D9"/>
        <w:suppressAutoHyphens/>
        <w:rPr>
          <w:rFonts w:cs="Arial"/>
        </w:rPr>
      </w:pPr>
      <w:r>
        <w:rPr>
          <w:rFonts w:cs="Arial"/>
        </w:rPr>
        <w:t>7.</w:t>
      </w:r>
      <w:r>
        <w:rPr>
          <w:rFonts w:cs="Arial"/>
        </w:rPr>
        <w:tab/>
        <w:t>Het zuurstofgehalte in de naverbrandingsruimte bedraagt ten minste 6%. Kortdurende onderschrijdingen van dit gehalte zijn toegestaan met dien verstande dat deze onderschrijdingen nooit langer dan één minuut duren en dat het zuurstofgehalte altijd boven de 3% blijft.</w:t>
      </w:r>
    </w:p>
    <w:p w:rsidR="00EE739C" w:rsidRDefault="00EE739C" w:rsidP="00EE739C">
      <w:pPr>
        <w:pStyle w:val="art1enivo"/>
        <w:shd w:val="clear" w:color="auto" w:fill="D9D9D9" w:themeFill="background1" w:themeFillShade="D9"/>
        <w:suppressAutoHyphens/>
        <w:rPr>
          <w:rFonts w:cs="Arial"/>
        </w:rPr>
      </w:pPr>
      <w:r>
        <w:rPr>
          <w:rFonts w:cs="Arial"/>
        </w:rPr>
        <w:t>8.</w:t>
      </w:r>
      <w:r>
        <w:rPr>
          <w:rFonts w:cs="Arial"/>
        </w:rPr>
        <w:tab/>
        <w:t>De temperatuur en het zuurstofgehalte in de naverbrandingsruimte worden continu gemeten en geregistreerd.</w:t>
      </w:r>
    </w:p>
    <w:p w:rsidR="00EE739C" w:rsidRDefault="00EE739C" w:rsidP="00EE739C">
      <w:pPr>
        <w:pStyle w:val="art1enivo"/>
        <w:shd w:val="clear" w:color="auto" w:fill="D9D9D9" w:themeFill="background1" w:themeFillShade="D9"/>
        <w:suppressAutoHyphens/>
        <w:rPr>
          <w:rFonts w:cs="Arial"/>
        </w:rPr>
      </w:pPr>
      <w:r>
        <w:rPr>
          <w:rFonts w:cs="Arial"/>
        </w:rPr>
        <w:t>9.</w:t>
      </w:r>
      <w:r>
        <w:rPr>
          <w:rFonts w:cs="Arial"/>
        </w:rPr>
        <w:tab/>
        <w:t>Uiterlijk zes maanden na in gebruikname van de installatie en daarna jaarlijks wordt de goede werking van de installatie gecontroleerd door een deskundige. Hierbij wordt ten minste de werking van de automatische regelingen en de continue meetapparatuur gecontroleerd.</w:t>
      </w:r>
    </w:p>
    <w:p w:rsidR="00EE739C" w:rsidRDefault="00EE739C" w:rsidP="00EE739C">
      <w:pPr>
        <w:pStyle w:val="artikelkop"/>
        <w:shd w:val="clear" w:color="auto" w:fill="D9D9D9" w:themeFill="background1" w:themeFillShade="D9"/>
        <w:rPr>
          <w:rFonts w:eastAsiaTheme="minorEastAsia"/>
          <w:lang w:eastAsia="nl-NL"/>
        </w:rPr>
      </w:pPr>
      <w:r>
        <w:rPr>
          <w:rFonts w:eastAsiaTheme="minorEastAsia"/>
          <w:lang w:eastAsia="nl-NL"/>
        </w:rPr>
        <w:t xml:space="preserve">Artikel 4.112a </w:t>
      </w:r>
    </w:p>
    <w:p w:rsidR="00EE739C" w:rsidRDefault="00EE739C" w:rsidP="00EE739C">
      <w:pPr>
        <w:pStyle w:val="artplat"/>
        <w:shd w:val="clear" w:color="auto" w:fill="D9D9D9" w:themeFill="background1" w:themeFillShade="D9"/>
        <w:rPr>
          <w:rFonts w:eastAsiaTheme="minorEastAsia"/>
          <w:lang w:eastAsia="nl-NL"/>
        </w:rPr>
      </w:pPr>
      <w:r>
        <w:rPr>
          <w:rFonts w:eastAsiaTheme="minorEastAsia"/>
          <w:lang w:eastAsia="nl-NL"/>
        </w:rPr>
        <w:t>Aan artikel 4.118a van het besluit wordt in ieder geval voldaan indien:</w:t>
      </w:r>
    </w:p>
    <w:p w:rsidR="00EE739C" w:rsidRDefault="00EE739C" w:rsidP="00EE739C">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afgezogen stofemissies die vrijkomen bij crematieprocessen worden gevoerd door een afscheider die geschikt is om aan artikel 4.118a van het besluit te voldoen, en</w:t>
      </w:r>
    </w:p>
    <w:p w:rsidR="00EE739C" w:rsidRDefault="00EE739C" w:rsidP="00EE739C">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die afscheider in goede staat van onderhoud verkeert, periodiek wordt gecontroleerd en zo vaak als voor de goede werking nodig is, wordt schoongemaakt en vervangen.</w:t>
      </w:r>
    </w:p>
    <w:p w:rsidR="00EE739C" w:rsidRDefault="00EE739C" w:rsidP="00EE739C">
      <w:pPr>
        <w:pStyle w:val="artikelkop"/>
        <w:shd w:val="clear" w:color="auto" w:fill="D9D9D9" w:themeFill="background1" w:themeFillShade="D9"/>
      </w:pPr>
      <w:r>
        <w:t>Artikel 4.113</w:t>
      </w:r>
    </w:p>
    <w:p w:rsidR="00EE739C" w:rsidRDefault="00EE739C" w:rsidP="00EE739C">
      <w:pPr>
        <w:pStyle w:val="art1enivo"/>
        <w:shd w:val="clear" w:color="auto" w:fill="D9D9D9" w:themeFill="background1" w:themeFillShade="D9"/>
        <w:suppressAutoHyphens/>
        <w:rPr>
          <w:rFonts w:cs="Arial"/>
        </w:rPr>
      </w:pPr>
      <w:r>
        <w:rPr>
          <w:rFonts w:cs="Arial"/>
        </w:rPr>
        <w:t>1.</w:t>
      </w:r>
      <w:r>
        <w:rPr>
          <w:rFonts w:cs="Arial"/>
        </w:rPr>
        <w:tab/>
        <w:t>Aan artikel 4.119 van het besluit wordt in ieder geval voldaan indien:</w:t>
      </w:r>
    </w:p>
    <w:p w:rsidR="00EE739C" w:rsidRDefault="00EE739C" w:rsidP="00EE739C">
      <w:pPr>
        <w:pStyle w:val="art2enivo"/>
        <w:shd w:val="clear" w:color="auto" w:fill="D9D9D9" w:themeFill="background1" w:themeFillShade="D9"/>
        <w:suppressAutoHyphens/>
        <w:rPr>
          <w:rFonts w:cs="Arial"/>
        </w:rPr>
      </w:pPr>
      <w:r>
        <w:rPr>
          <w:rFonts w:cs="Arial"/>
        </w:rPr>
        <w:t>a.</w:t>
      </w:r>
      <w:r>
        <w:rPr>
          <w:rFonts w:cs="Arial"/>
        </w:rPr>
        <w:tab/>
        <w:t>de afgezogen emissies die vrijkomen bij crematieprocessen worden gevoerd door een adsorptiemedium en filtrerende afscheider, welke combinatie geschikt is om aan artikel 4.119 van het besluit te voldoen; en</w:t>
      </w:r>
    </w:p>
    <w:p w:rsidR="00EE739C" w:rsidRDefault="00EE739C" w:rsidP="00EE739C">
      <w:pPr>
        <w:pStyle w:val="art2enivo"/>
        <w:shd w:val="clear" w:color="auto" w:fill="D9D9D9" w:themeFill="background1" w:themeFillShade="D9"/>
        <w:suppressAutoHyphens/>
        <w:rPr>
          <w:rFonts w:cs="Arial"/>
        </w:rPr>
      </w:pPr>
      <w:r>
        <w:rPr>
          <w:rFonts w:cs="Arial"/>
        </w:rPr>
        <w:t>b.</w:t>
      </w:r>
      <w:r>
        <w:rPr>
          <w:rFonts w:cs="Arial"/>
        </w:rPr>
        <w:tab/>
        <w:t>het adsorptiemedium en filtrerende afscheider in goede staat van onderhoud verkeren, periodiek worden gecontroleerd en zo vaak als voor de goede werking nodig is, worden schoongemaakt en vervangen.</w:t>
      </w:r>
    </w:p>
    <w:p w:rsidR="00EE739C" w:rsidRDefault="00EE739C" w:rsidP="00EE739C">
      <w:pPr>
        <w:pStyle w:val="art1enivo"/>
        <w:shd w:val="clear" w:color="auto" w:fill="D9D9D9" w:themeFill="background1" w:themeFillShade="D9"/>
        <w:suppressAutoHyphens/>
        <w:rPr>
          <w:rFonts w:cs="Arial"/>
        </w:rPr>
      </w:pPr>
      <w:r>
        <w:rPr>
          <w:rFonts w:cs="Arial"/>
        </w:rPr>
        <w:t>2.</w:t>
      </w:r>
      <w:r>
        <w:rPr>
          <w:rFonts w:cs="Arial"/>
        </w:rPr>
        <w:tab/>
        <w:t>Bij het ontwerp, de uitvoering en het onderhoud van het adsorptiemedium en de filtrerende afscheider, bedoeld in het eerste lid, is rekening gehouden met het voorkomen van dioxine- en furanenvorming in het filter, en het afvangen van de eventueel in de afgassen aanwezige dioxinen en furanen.</w:t>
      </w:r>
    </w:p>
    <w:p w:rsidR="00EE739C" w:rsidRDefault="00EE739C" w:rsidP="00EE739C">
      <w:pPr>
        <w:pStyle w:val="art1enivo"/>
        <w:shd w:val="clear" w:color="auto" w:fill="D9D9D9" w:themeFill="background1" w:themeFillShade="D9"/>
        <w:suppressAutoHyphens/>
        <w:rPr>
          <w:rFonts w:cs="Arial"/>
        </w:rPr>
      </w:pPr>
      <w:r>
        <w:rPr>
          <w:rFonts w:cs="Arial"/>
        </w:rPr>
        <w:t>3.</w:t>
      </w:r>
      <w:r>
        <w:rPr>
          <w:rFonts w:cs="Arial"/>
        </w:rPr>
        <w:tab/>
        <w:t>Het afgevangen stof uit de filtrerende afscheider mag niet als crematie-as worden behandeld, maar wordt afgegeven aan een daartoe erkende inzamelaar.</w:t>
      </w:r>
    </w:p>
    <w:p w:rsidR="00EE739C" w:rsidRDefault="00EE739C" w:rsidP="00EE739C">
      <w:pPr>
        <w:pStyle w:val="art1enivo"/>
        <w:shd w:val="clear" w:color="auto" w:fill="D9D9D9" w:themeFill="background1" w:themeFillShade="D9"/>
        <w:suppressAutoHyphens/>
        <w:rPr>
          <w:rFonts w:cs="Arial"/>
        </w:rPr>
      </w:pPr>
      <w:r>
        <w:rPr>
          <w:rFonts w:cs="Arial"/>
        </w:rPr>
        <w:t>4.</w:t>
      </w:r>
      <w:r>
        <w:rPr>
          <w:rFonts w:cs="Arial"/>
        </w:rPr>
        <w:tab/>
        <w:t>Bij de berekening van een emissieconcentratie wordt deze betrokken op een zuurstofgehalte van 11% onder normaalcondities en voor droog rookgas.</w:t>
      </w:r>
    </w:p>
    <w:p w:rsidR="00EE739C" w:rsidRDefault="00EE739C" w:rsidP="00EE739C">
      <w:pPr>
        <w:pStyle w:val="artikelkop"/>
        <w:shd w:val="clear" w:color="auto" w:fill="D9D9D9" w:themeFill="background1" w:themeFillShade="D9"/>
      </w:pPr>
      <w:r>
        <w:t>Artikel 4.114</w:t>
      </w:r>
    </w:p>
    <w:p w:rsidR="00EE739C" w:rsidRDefault="00EE739C" w:rsidP="00EE739C">
      <w:pPr>
        <w:pStyle w:val="art1enivo"/>
        <w:shd w:val="clear" w:color="auto" w:fill="D9D9D9" w:themeFill="background1" w:themeFillShade="D9"/>
        <w:suppressAutoHyphens/>
        <w:rPr>
          <w:rFonts w:cs="Arial"/>
        </w:rPr>
      </w:pPr>
      <w:r>
        <w:rPr>
          <w:rFonts w:cs="Arial"/>
        </w:rPr>
        <w:t>1.</w:t>
      </w:r>
      <w:r>
        <w:rPr>
          <w:rFonts w:cs="Arial"/>
        </w:rPr>
        <w:tab/>
        <w:t>Ten behoeve van het voorkomen dan wel voor zover dat niet mogelijk is het zoveel mogelijk beperken van de belasting van de bodem wordt bij het verstrooien van crematie-as op een strooiveld voldaan aan het tweede tot en met het negende lid.</w:t>
      </w:r>
    </w:p>
    <w:p w:rsidR="00EE739C" w:rsidRDefault="00EE739C" w:rsidP="00EE739C">
      <w:pPr>
        <w:pStyle w:val="art1enivo"/>
        <w:shd w:val="clear" w:color="auto" w:fill="D9D9D9" w:themeFill="background1" w:themeFillShade="D9"/>
        <w:suppressAutoHyphens/>
        <w:rPr>
          <w:rFonts w:cs="Arial"/>
        </w:rPr>
      </w:pPr>
      <w:r>
        <w:rPr>
          <w:rFonts w:cs="Arial"/>
        </w:rPr>
        <w:t>2.</w:t>
      </w:r>
      <w:r>
        <w:rPr>
          <w:rFonts w:cs="Arial"/>
        </w:rPr>
        <w:tab/>
        <w:t>Verstrooiing van crematie-as geschiedt gelijkmatig en zodanig dat de as niet door verwaaiing buiten het terrein van de inrichting of het strooiveld terechtkomt of terecht kan komen.</w:t>
      </w:r>
    </w:p>
    <w:p w:rsidR="00EE739C" w:rsidRDefault="00EE739C" w:rsidP="00EE739C">
      <w:pPr>
        <w:pStyle w:val="art1enivo"/>
        <w:shd w:val="clear" w:color="auto" w:fill="D9D9D9" w:themeFill="background1" w:themeFillShade="D9"/>
        <w:suppressAutoHyphens/>
        <w:rPr>
          <w:rFonts w:cs="Arial"/>
        </w:rPr>
      </w:pPr>
      <w:r>
        <w:rPr>
          <w:rFonts w:cs="Arial"/>
        </w:rPr>
        <w:t>3.</w:t>
      </w:r>
      <w:r>
        <w:rPr>
          <w:rFonts w:cs="Arial"/>
        </w:rPr>
        <w:tab/>
        <w:t>Indien er meer dan 90 maar minder dan 370 verstrooiingen per hectare per jaar plaatsvinden, worden de volgende maatregelen getroffen:</w:t>
      </w:r>
    </w:p>
    <w:p w:rsidR="00EE739C" w:rsidRDefault="00EE739C" w:rsidP="00EE739C">
      <w:pPr>
        <w:pStyle w:val="art2enivo"/>
        <w:shd w:val="clear" w:color="auto" w:fill="D9D9D9" w:themeFill="background1" w:themeFillShade="D9"/>
        <w:suppressAutoHyphens/>
        <w:rPr>
          <w:rFonts w:cs="Arial"/>
        </w:rPr>
      </w:pPr>
      <w:r>
        <w:rPr>
          <w:rFonts w:cs="Arial"/>
        </w:rPr>
        <w:t>a.</w:t>
      </w:r>
      <w:r>
        <w:rPr>
          <w:rFonts w:cs="Arial"/>
        </w:rPr>
        <w:tab/>
        <w:t>het onderzoek naar de bodemkwaliteit, bedoeld in artikel 2.11, eerste lid, van het besluit, vindt tevens plaats voordat een strooiveld in gebruik wordt genomen. Een rapport met de resultaten van het onderzoek wordt uiterlijk binnen drie maanden nadat het strooiveld in gebruik is genomen, toegestuurd aan het bevoegd gezag;</w:t>
      </w:r>
    </w:p>
    <w:p w:rsidR="00EE739C" w:rsidRDefault="00EE739C" w:rsidP="00EE739C">
      <w:pPr>
        <w:pStyle w:val="art2enivo"/>
        <w:shd w:val="clear" w:color="auto" w:fill="D9D9D9" w:themeFill="background1" w:themeFillShade="D9"/>
        <w:suppressAutoHyphens/>
        <w:rPr>
          <w:rFonts w:cs="Arial"/>
        </w:rPr>
      </w:pPr>
      <w:r>
        <w:rPr>
          <w:rFonts w:cs="Arial"/>
        </w:rPr>
        <w:t>b.</w:t>
      </w:r>
      <w:r>
        <w:rPr>
          <w:rFonts w:cs="Arial"/>
        </w:rPr>
        <w:tab/>
        <w:t>onverminderd artikel 2.11, tweede en derde lid, van het besluit, wordt ten minste eenmaal per 25 jaar de bodemkwaliteit ter plaatse van het strooiveld bepaald. Een rapport met de resultaten van het onderzoek wordt uiterlijk binnen drie maanden na uitvoering van het onderzoek toegestuurd aan het bevoegd gezag;</w:t>
      </w:r>
    </w:p>
    <w:p w:rsidR="00EE739C" w:rsidRDefault="00EE739C" w:rsidP="00EE739C">
      <w:pPr>
        <w:pStyle w:val="art2enivo"/>
        <w:shd w:val="clear" w:color="auto" w:fill="D9D9D9" w:themeFill="background1" w:themeFillShade="D9"/>
        <w:suppressAutoHyphens/>
        <w:rPr>
          <w:rFonts w:cs="Arial"/>
        </w:rPr>
      </w:pPr>
      <w:r>
        <w:rPr>
          <w:rFonts w:cs="Arial"/>
        </w:rPr>
        <w:t>c.</w:t>
      </w:r>
      <w:r>
        <w:rPr>
          <w:rFonts w:cs="Arial"/>
        </w:rPr>
        <w:tab/>
        <w:t>de immissie van fosfaat naar de bodem wordt bepaald door middel van uitloogproeven. Deze proeven worden uitgevoerd op een representatief bodemmonster van het strooiveld. Deze bepaling wordt uiterlijk binnen drie maanden na oprichting van het strooiveld en daarna telkens tenminste eenmaal per 25 jaar verricht. De immissie is niet hoger dan 1.000 milligram per vierkante meter per jaar.</w:t>
      </w:r>
    </w:p>
    <w:p w:rsidR="00EE739C" w:rsidRDefault="00EE739C" w:rsidP="00EE739C">
      <w:pPr>
        <w:pStyle w:val="art1enivo"/>
        <w:shd w:val="clear" w:color="auto" w:fill="D9D9D9" w:themeFill="background1" w:themeFillShade="D9"/>
        <w:suppressAutoHyphens/>
        <w:rPr>
          <w:rFonts w:cs="Arial"/>
        </w:rPr>
      </w:pPr>
      <w:r>
        <w:rPr>
          <w:rFonts w:cs="Arial"/>
        </w:rPr>
        <w:t>4.</w:t>
      </w:r>
      <w:r>
        <w:rPr>
          <w:rFonts w:cs="Arial"/>
        </w:rPr>
        <w:tab/>
        <w:t>Indien er meer dan 370 verstrooiingen per hectare per jaar plaatsvinden, worden de volgende maatregelen getroffen:</w:t>
      </w:r>
    </w:p>
    <w:p w:rsidR="00EE739C" w:rsidRDefault="00EE739C" w:rsidP="00EE739C">
      <w:pPr>
        <w:pStyle w:val="art2enivo"/>
        <w:shd w:val="clear" w:color="auto" w:fill="D9D9D9" w:themeFill="background1" w:themeFillShade="D9"/>
        <w:suppressAutoHyphens/>
        <w:rPr>
          <w:rFonts w:cs="Arial"/>
        </w:rPr>
      </w:pPr>
      <w:r>
        <w:rPr>
          <w:rFonts w:cs="Arial"/>
        </w:rPr>
        <w:t>a.</w:t>
      </w:r>
      <w:r>
        <w:rPr>
          <w:rFonts w:cs="Arial"/>
        </w:rPr>
        <w:tab/>
        <w:t>het onderzoek naar de bodemkwaliteit, bedoeld in artikel 2.11, eerste lid, van het besluit, vindt tevens plaats voordat een strooiveld in gebruik wordt genomen. Een rapport met de resultaten van het onderzoek wordt uiterlijk binnen drie maanden nadat het strooiveld in gebruik is genomen, toegestuurd aan het bevoegd gezag;</w:t>
      </w:r>
    </w:p>
    <w:p w:rsidR="00EE739C" w:rsidRDefault="00EE739C" w:rsidP="00EE739C">
      <w:pPr>
        <w:pStyle w:val="art2enivo"/>
        <w:shd w:val="clear" w:color="auto" w:fill="D9D9D9" w:themeFill="background1" w:themeFillShade="D9"/>
        <w:suppressAutoHyphens/>
        <w:rPr>
          <w:rFonts w:cs="Arial"/>
        </w:rPr>
      </w:pPr>
      <w:r>
        <w:rPr>
          <w:rFonts w:cs="Arial"/>
        </w:rPr>
        <w:t>b.</w:t>
      </w:r>
      <w:r>
        <w:rPr>
          <w:rFonts w:cs="Arial"/>
        </w:rPr>
        <w:tab/>
        <w:t>onverminderd artikel 2.11, tweede en derde lid, van het besluit, wordt ten minste eenmaal per vijf jaar de bodemkwaliteit ter plaatse van het strooiveld bepaald. Een rapport met de resultaten van het onderzoek wordt uiterlijk binnen drie maanden na uitvoering van het onderzoek toegestuurd aan het bevoegd gezag;</w:t>
      </w:r>
    </w:p>
    <w:p w:rsidR="00EE739C" w:rsidRDefault="00EE739C" w:rsidP="00EE739C">
      <w:pPr>
        <w:pStyle w:val="art2enivo"/>
        <w:shd w:val="clear" w:color="auto" w:fill="D9D9D9" w:themeFill="background1" w:themeFillShade="D9"/>
        <w:suppressAutoHyphens/>
        <w:rPr>
          <w:rFonts w:cs="Arial"/>
        </w:rPr>
      </w:pPr>
      <w:r>
        <w:rPr>
          <w:rFonts w:cs="Arial"/>
        </w:rPr>
        <w:t>c.</w:t>
      </w:r>
      <w:r>
        <w:rPr>
          <w:rFonts w:cs="Arial"/>
        </w:rPr>
        <w:tab/>
        <w:t>de immissie van fosfaat naar de bodem wordt bepaald door middel van uitloogproeven. Deze proeven worden uitgevoerd op een representatief bodemmonster van het strooiveld. Deze bepaling wordt uiterlijk binnen drie maanden na oprichting van het strooiveld en daarna telkens tenminste eenmaal per vijf jaar verricht. De immissie is niet hoger dan 1.000 milligram per vierkante meter per jaar.</w:t>
      </w:r>
    </w:p>
    <w:p w:rsidR="00EE739C" w:rsidRDefault="00EE739C" w:rsidP="00EE739C">
      <w:pPr>
        <w:pStyle w:val="art1enivo"/>
        <w:shd w:val="clear" w:color="auto" w:fill="D9D9D9" w:themeFill="background1" w:themeFillShade="D9"/>
        <w:suppressAutoHyphens/>
        <w:rPr>
          <w:rFonts w:cs="Arial"/>
        </w:rPr>
      </w:pPr>
      <w:r>
        <w:rPr>
          <w:rFonts w:cs="Arial"/>
        </w:rPr>
        <w:t>5.</w:t>
      </w:r>
      <w:r>
        <w:rPr>
          <w:rFonts w:cs="Arial"/>
        </w:rPr>
        <w:tab/>
        <w:t>Indien er meer dan 3200 verstrooiingen per hectare per jaar plaatsvinden, kan het bevoegd gezag maatwerkvoorschriften stellen ten aanzien van het voorkomen dan wel zoveel mogelijk beperken van de belasting van de bodem.</w:t>
      </w:r>
    </w:p>
    <w:p w:rsidR="00EE739C" w:rsidRDefault="00EE739C" w:rsidP="00EE739C">
      <w:pPr>
        <w:pStyle w:val="art1enivo"/>
        <w:shd w:val="clear" w:color="auto" w:fill="D9D9D9" w:themeFill="background1" w:themeFillShade="D9"/>
        <w:suppressAutoHyphens/>
        <w:rPr>
          <w:rFonts w:cs="Arial"/>
        </w:rPr>
      </w:pPr>
      <w:r>
        <w:rPr>
          <w:rFonts w:cs="Arial"/>
        </w:rPr>
        <w:t>6.</w:t>
      </w:r>
      <w:r>
        <w:rPr>
          <w:rFonts w:cs="Arial"/>
        </w:rPr>
        <w:tab/>
        <w:t>De onderzoeken en rapporten, bedoeld in het derde en het vierde lid, worden uitgevoerd onderscheidenlijk opgesteld door een persoon of een instelling die daartoe beschikt over een erkenning op grond van het Besluit bodemkwaliteit.</w:t>
      </w:r>
    </w:p>
    <w:p w:rsidR="00EE739C" w:rsidRDefault="00EE739C" w:rsidP="00EE739C">
      <w:pPr>
        <w:pStyle w:val="art1enivo"/>
        <w:shd w:val="clear" w:color="auto" w:fill="D9D9D9" w:themeFill="background1" w:themeFillShade="D9"/>
        <w:suppressAutoHyphens/>
        <w:rPr>
          <w:rFonts w:cs="Arial"/>
        </w:rPr>
      </w:pPr>
      <w:r>
        <w:rPr>
          <w:rFonts w:cs="Arial"/>
        </w:rPr>
        <w:t>7.</w:t>
      </w:r>
      <w:r>
        <w:rPr>
          <w:rFonts w:cs="Arial"/>
        </w:rPr>
        <w:tab/>
        <w:t>De bepaling van de onderzoeksstrategie bij de bepaling van de bodemkwaliteit, bedoeld in het derde en het vierde lid, gebeurt conform NEN 5740.</w:t>
      </w:r>
    </w:p>
    <w:p w:rsidR="00EE739C" w:rsidRDefault="00EE739C" w:rsidP="00EE739C">
      <w:pPr>
        <w:pStyle w:val="art1enivo"/>
        <w:shd w:val="clear" w:color="auto" w:fill="D9D9D9" w:themeFill="background1" w:themeFillShade="D9"/>
        <w:suppressAutoHyphens/>
        <w:rPr>
          <w:rFonts w:cs="Arial"/>
        </w:rPr>
      </w:pPr>
      <w:r>
        <w:rPr>
          <w:rFonts w:cs="Arial"/>
        </w:rPr>
        <w:t>8.</w:t>
      </w:r>
      <w:r>
        <w:rPr>
          <w:rFonts w:cs="Arial"/>
        </w:rPr>
        <w:tab/>
        <w:t>Indien uit rapporten als bedoeld in het derde en het vierde lid blijkt dat de belasting van de bodem is toegenomen ten opzichte van de eerder vastgestelde kwaliteit van de bodem wordt overeenkomstig artikel 2.11, vijfde lid, van het besluit, de bodemkwaliteit hersteld.</w:t>
      </w:r>
    </w:p>
    <w:p w:rsidR="00EE739C" w:rsidRDefault="00EE739C" w:rsidP="00EE739C">
      <w:pPr>
        <w:pStyle w:val="art1enivo"/>
        <w:shd w:val="clear" w:color="auto" w:fill="D9D9D9" w:themeFill="background1" w:themeFillShade="D9"/>
        <w:suppressAutoHyphens/>
        <w:rPr>
          <w:rFonts w:cs="Arial"/>
        </w:rPr>
      </w:pPr>
      <w:r>
        <w:rPr>
          <w:rFonts w:cs="Arial"/>
        </w:rPr>
        <w:t>9.</w:t>
      </w:r>
      <w:r>
        <w:rPr>
          <w:rFonts w:cs="Arial"/>
        </w:rPr>
        <w:tab/>
        <w:t>Bij het gebruik van wisselvelden kan het bevoegd gezag bij maatwerkvoorschrift in afwijking van het derde lid, onderdelen b en c, en het vierde lid, onderdelen b en c, een afwijkende onderzoeksfrequentie voorschrijven voor het bepalen van de bodemkwaliteit en het bepalen van de immissie van fosfaat.</w:t>
      </w:r>
    </w:p>
    <w:p w:rsidR="00EE739C" w:rsidRDefault="00EE739C" w:rsidP="00EE739C">
      <w:pPr>
        <w:pStyle w:val="art1enivo"/>
        <w:shd w:val="clear" w:color="auto" w:fill="D9D9D9" w:themeFill="background1" w:themeFillShade="D9"/>
      </w:pPr>
      <w:r>
        <w:t>10.</w:t>
      </w:r>
      <w:r>
        <w:tab/>
        <w:t>Voor de toepassing van het derde tot en met het vijfde lid op de verstrooiing van crematie-as van dieren wordt de hoeveelheid asresten die vergelijkbaar is met de asresten afkomstig van de crematie van één volwassen mens aangemerkt als één verstrooiing.</w:t>
      </w:r>
    </w:p>
    <w:p w:rsidR="00EE739C" w:rsidRDefault="00EE739C" w:rsidP="00EE739C">
      <w:pPr>
        <w:pStyle w:val="art1enivo"/>
        <w:shd w:val="clear" w:color="auto" w:fill="D9D9D9" w:themeFill="background1" w:themeFillShade="D9"/>
      </w:pPr>
      <w:r>
        <w:t>11.</w:t>
      </w:r>
      <w:r>
        <w:tab/>
        <w:t>In afwijking van het derde lid, onderdelen b en c, geldt voor strooivelden die voor 1 januari 2010 in gebruik zijn genomen, dat het onderzoek naar de bodemkwaliteit en de bepaling van de immissie van fosfaat naar de bodem in ieder geval wordt uitgevoerd binnen 25 jaar nadat het strooiveld in gebruik is genomen, dan wel, indien het strooiveld voor 1 januari 1985 in gebruik is genomen, voor 1 juli 2010 en daarna telkens ten minste eenmaal per 25 jaar.</w:t>
      </w:r>
    </w:p>
    <w:p w:rsidR="00EE739C" w:rsidRDefault="00EE739C" w:rsidP="00EE739C">
      <w:pPr>
        <w:pStyle w:val="art1enivo"/>
        <w:shd w:val="clear" w:color="auto" w:fill="D9D9D9" w:themeFill="background1" w:themeFillShade="D9"/>
      </w:pPr>
      <w:r>
        <w:t>12.</w:t>
      </w:r>
      <w:r>
        <w:tab/>
        <w:t>In afwijking van het vierde lid, onderdelen b en c, geldt voor strooivelden die voor 1 januari 2010 in gebruik zijn genomen, dat het onderzoek naar de bodemkwaliteit en de bepaling van de immissie van fosfaat naar de bodem in ieder geval wordt uitgevoerd binnen vijf jaar nadat het strooiveld in gebruik is genomen, dan wel, indien het strooiveld voor 1 januari 2005 in gebruik is genomen, voor 1 juli 2010 en daarna telkens ten minste eenmaal per vijf jaar.</w:t>
      </w:r>
    </w:p>
    <w:p w:rsidR="00EE739C" w:rsidRDefault="00EE739C" w:rsidP="00EE739C">
      <w:pPr>
        <w:pStyle w:val="artikelkop"/>
        <w:shd w:val="clear" w:color="auto" w:fill="D9D9D9" w:themeFill="background1" w:themeFillShade="D9"/>
      </w:pPr>
      <w:r>
        <w:t>Artikel 4.115</w:t>
      </w:r>
    </w:p>
    <w:p w:rsidR="00EE739C" w:rsidRDefault="00EE739C" w:rsidP="00EE739C">
      <w:pPr>
        <w:pStyle w:val="art1enivo"/>
        <w:shd w:val="clear" w:color="auto" w:fill="D9D9D9" w:themeFill="background1" w:themeFillShade="D9"/>
        <w:suppressAutoHyphens/>
        <w:rPr>
          <w:rFonts w:cs="Arial"/>
        </w:rPr>
      </w:pPr>
      <w:r>
        <w:rPr>
          <w:rFonts w:cs="Arial"/>
        </w:rPr>
        <w:t>1.</w:t>
      </w:r>
      <w:r>
        <w:rPr>
          <w:rFonts w:cs="Arial"/>
        </w:rPr>
        <w:tab/>
        <w:t>Binnen de inrichting is een logboek of systeem aanwezig waarin de volgende zaken worden vastgelegd:</w:t>
      </w:r>
    </w:p>
    <w:p w:rsidR="00EE739C" w:rsidRDefault="00EE739C" w:rsidP="00EE739C">
      <w:pPr>
        <w:pStyle w:val="art2enivo"/>
        <w:shd w:val="clear" w:color="auto" w:fill="D9D9D9" w:themeFill="background1" w:themeFillShade="D9"/>
        <w:suppressAutoHyphens/>
        <w:rPr>
          <w:rFonts w:cs="Arial"/>
        </w:rPr>
      </w:pPr>
      <w:r>
        <w:rPr>
          <w:rFonts w:cs="Arial"/>
        </w:rPr>
        <w:t>a.</w:t>
      </w:r>
      <w:r>
        <w:rPr>
          <w:rFonts w:cs="Arial"/>
        </w:rPr>
        <w:tab/>
        <w:t>de onderhouds- en controleresultaten, bedoeld in artikel 4.112, negende lid, en de meetwaarden, bedoeld in artikel 4.112, achtste lid;</w:t>
      </w:r>
    </w:p>
    <w:p w:rsidR="00EE739C" w:rsidRDefault="00EE739C" w:rsidP="00EE739C">
      <w:pPr>
        <w:pStyle w:val="art2enivo"/>
        <w:shd w:val="clear" w:color="auto" w:fill="D9D9D9" w:themeFill="background1" w:themeFillShade="D9"/>
        <w:suppressAutoHyphens/>
        <w:rPr>
          <w:rFonts w:cs="Arial"/>
        </w:rPr>
      </w:pPr>
      <w:r>
        <w:rPr>
          <w:rFonts w:cs="Arial"/>
        </w:rPr>
        <w:t>b.</w:t>
      </w:r>
      <w:r>
        <w:rPr>
          <w:rFonts w:cs="Arial"/>
        </w:rPr>
        <w:tab/>
        <w:t>de opgetreden storingen of andere onregelmatigheden die van invloed kunnen zijn op de luchtemissie, onder vermelding van de datum, het tijdstip en de aard van de storing alsmede de genomen acties om de storing ongedaan te maken en voor de toekomst te voorkomen;</w:t>
      </w:r>
    </w:p>
    <w:p w:rsidR="00EE739C" w:rsidRDefault="00EE739C" w:rsidP="00EE739C">
      <w:pPr>
        <w:pStyle w:val="art2enivo"/>
        <w:shd w:val="clear" w:color="auto" w:fill="D9D9D9" w:themeFill="background1" w:themeFillShade="D9"/>
        <w:suppressAutoHyphens/>
        <w:rPr>
          <w:rFonts w:cs="Arial"/>
        </w:rPr>
      </w:pPr>
      <w:r>
        <w:rPr>
          <w:rFonts w:cs="Arial"/>
        </w:rPr>
        <w:t>c.</w:t>
      </w:r>
      <w:r>
        <w:rPr>
          <w:rFonts w:cs="Arial"/>
        </w:rPr>
        <w:tab/>
        <w:t>de gebruiksintensiteit van de strooivelden, bedoeld in artikel 4.114, derde, vierde en vijfde lid;</w:t>
      </w:r>
    </w:p>
    <w:p w:rsidR="00EE739C" w:rsidRDefault="00EE739C" w:rsidP="00EE739C">
      <w:pPr>
        <w:pStyle w:val="art2enivo"/>
        <w:shd w:val="clear" w:color="auto" w:fill="D9D9D9" w:themeFill="background1" w:themeFillShade="D9"/>
        <w:suppressAutoHyphens/>
        <w:rPr>
          <w:rFonts w:cs="Arial"/>
        </w:rPr>
      </w:pPr>
      <w:r>
        <w:rPr>
          <w:rFonts w:cs="Arial"/>
        </w:rPr>
        <w:t>d.</w:t>
      </w:r>
      <w:r>
        <w:rPr>
          <w:rFonts w:cs="Arial"/>
        </w:rPr>
        <w:tab/>
        <w:t>de rapporten, bedoeld in artikel 4.114, derde en vierde lid.</w:t>
      </w:r>
    </w:p>
    <w:p w:rsidR="00EE739C" w:rsidRDefault="00EE739C" w:rsidP="00EE739C">
      <w:pPr>
        <w:shd w:val="clear" w:color="auto" w:fill="D9D9D9" w:themeFill="background1" w:themeFillShade="D9"/>
      </w:pPr>
      <w:r>
        <w:rPr>
          <w:rFonts w:cs="Arial"/>
        </w:rPr>
        <w:t>2.</w:t>
      </w:r>
      <w:r>
        <w:rPr>
          <w:rFonts w:cs="Arial"/>
        </w:rPr>
        <w:tab/>
        <w:t>Het logboek is voor inzage door het bevoegd gezag beschikbaar.</w:t>
      </w:r>
    </w:p>
    <w:p w:rsidR="00EE739C" w:rsidRPr="00620047" w:rsidRDefault="00EE739C">
      <w:pPr>
        <w:rPr>
          <w:rFonts w:cs="Arial"/>
        </w:rPr>
      </w:pPr>
    </w:p>
    <w:p w:rsidR="00296032" w:rsidRPr="00296032" w:rsidRDefault="00296032">
      <w:pPr>
        <w:pStyle w:val="paragraaf"/>
        <w:rPr>
          <w:rFonts w:cs="Arial"/>
        </w:rPr>
      </w:pPr>
      <w:bookmarkStart w:id="329" w:name="_Toc277243270"/>
      <w:bookmarkStart w:id="330" w:name="_Toc431375774"/>
      <w:r w:rsidRPr="00296032">
        <w:rPr>
          <w:rFonts w:cs="Arial"/>
        </w:rPr>
        <w:t>§ 4.8.10</w:t>
      </w:r>
      <w:r w:rsidRPr="00296032">
        <w:rPr>
          <w:rFonts w:cs="Arial"/>
        </w:rPr>
        <w:tab/>
        <w:t>In werking hebben van een laboratorium of een praktijkruimte</w:t>
      </w:r>
      <w:bookmarkEnd w:id="329"/>
      <w:bookmarkEnd w:id="330"/>
    </w:p>
    <w:p w:rsidR="00296032" w:rsidRPr="00296032" w:rsidRDefault="00296032">
      <w:pPr>
        <w:pStyle w:val="artikelkop"/>
        <w:rPr>
          <w:rFonts w:cs="Arial"/>
        </w:rPr>
      </w:pPr>
      <w:r w:rsidRPr="00296032">
        <w:rPr>
          <w:rFonts w:cs="Arial"/>
        </w:rPr>
        <w:t>Artikel 4.122</w:t>
      </w:r>
    </w:p>
    <w:p w:rsidR="00296032" w:rsidRPr="00620047" w:rsidRDefault="00296032">
      <w:pPr>
        <w:rPr>
          <w:rFonts w:cs="Arial"/>
        </w:rPr>
      </w:pPr>
      <w:r w:rsidRPr="00620047">
        <w:rPr>
          <w:rFonts w:cs="Arial"/>
        </w:rPr>
        <w:t>Deze paragraaf is van toepassing op inrichtingen waarbij sprake is van een laboratorium of een praktijkruimte, met uitzondering van praktijkruimten voor het middelbaar onderwijs en laboratoria ten behoeve van huisartsen, dierenartsen, apothekers, tandartsen of tandtechnici.</w:t>
      </w:r>
    </w:p>
    <w:p w:rsidR="00296032" w:rsidRPr="00296032" w:rsidRDefault="00296032">
      <w:pPr>
        <w:pStyle w:val="artikelkop"/>
        <w:rPr>
          <w:rFonts w:cs="Arial"/>
        </w:rPr>
      </w:pPr>
      <w:r w:rsidRPr="00296032">
        <w:rPr>
          <w:rFonts w:cs="Arial"/>
        </w:rPr>
        <w:t>Artikel 4.123</w:t>
      </w:r>
    </w:p>
    <w:p w:rsidR="00296032" w:rsidRPr="00620047" w:rsidRDefault="00296032">
      <w:pPr>
        <w:rPr>
          <w:rFonts w:cs="Arial"/>
        </w:rPr>
      </w:pPr>
      <w:r w:rsidRPr="00620047">
        <w:rPr>
          <w:rFonts w:cs="Arial"/>
        </w:rPr>
        <w:t>Bij het lozen van afvalwater afkomstig van een laboratorium of een praktijkruimte op het vuilwaterriool wordt ten behoeve van de bescherming van het milieu ten minste voldaan aan de bij ministeriële regeling te stellen eisen.</w:t>
      </w:r>
    </w:p>
    <w:p w:rsidR="00296032" w:rsidRPr="00296032" w:rsidRDefault="00296032">
      <w:pPr>
        <w:pStyle w:val="artikelkop"/>
        <w:rPr>
          <w:rFonts w:cs="Arial"/>
        </w:rPr>
      </w:pPr>
      <w:r w:rsidRPr="00296032">
        <w:rPr>
          <w:rFonts w:cs="Arial"/>
        </w:rPr>
        <w:t>Artikel 4.124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Bij het lozen van afvalwater afkomstig van een laboratorium of een praktijkruimte in een vuilwaterriool worden de emissiegrenswaarden, vermeld in tabel 4.124, niet overschreden.</w:t>
      </w:r>
    </w:p>
    <w:p w:rsidR="00296032" w:rsidRPr="00620047" w:rsidRDefault="00296032">
      <w:pPr>
        <w:pStyle w:val="tabelkop"/>
        <w:rPr>
          <w:rFonts w:cs="Arial"/>
        </w:rPr>
      </w:pPr>
      <w:r w:rsidRPr="00620047">
        <w:rPr>
          <w:rFonts w:cs="Arial"/>
        </w:rPr>
        <w:t>Tabel 4.124</w:t>
      </w:r>
    </w:p>
    <w:tbl>
      <w:tblPr>
        <w:tblW w:w="93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077"/>
        <w:gridCol w:w="5253"/>
      </w:tblGrid>
      <w:tr w:rsidR="00296032" w:rsidRPr="00620047">
        <w:trPr>
          <w:cantSplit/>
          <w:tblHeader/>
        </w:trPr>
        <w:tc>
          <w:tcPr>
            <w:tcW w:w="407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Stof </w:t>
            </w:r>
          </w:p>
        </w:tc>
        <w:tc>
          <w:tcPr>
            <w:tcW w:w="525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b/>
              </w:rPr>
            </w:pPr>
            <w:r w:rsidRPr="00620047">
              <w:rPr>
                <w:rFonts w:cs="Arial"/>
                <w:b/>
              </w:rPr>
              <w:t xml:space="preserve">Emissiegrenswaarde in milligram per liter </w:t>
            </w:r>
          </w:p>
        </w:tc>
      </w:tr>
      <w:tr w:rsidR="00296032" w:rsidRPr="00620047">
        <w:trPr>
          <w:cantSplit/>
        </w:trPr>
        <w:tc>
          <w:tcPr>
            <w:tcW w:w="407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Kwik </w:t>
            </w:r>
          </w:p>
        </w:tc>
        <w:tc>
          <w:tcPr>
            <w:tcW w:w="525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0,01 </w:t>
            </w:r>
          </w:p>
        </w:tc>
      </w:tr>
      <w:tr w:rsidR="00296032" w:rsidRPr="00620047">
        <w:trPr>
          <w:cantSplit/>
        </w:trPr>
        <w:tc>
          <w:tcPr>
            <w:tcW w:w="407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Cadmium </w:t>
            </w:r>
          </w:p>
        </w:tc>
        <w:tc>
          <w:tcPr>
            <w:tcW w:w="525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0,02 </w:t>
            </w:r>
          </w:p>
        </w:tc>
      </w:tr>
      <w:tr w:rsidR="00296032" w:rsidRPr="00620047">
        <w:trPr>
          <w:cantSplit/>
        </w:trPr>
        <w:tc>
          <w:tcPr>
            <w:tcW w:w="407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Overige metalen, som van 5 metalen</w:t>
            </w:r>
            <w:r w:rsidRPr="00620047">
              <w:rPr>
                <w:rFonts w:cs="Arial"/>
                <w:vertAlign w:val="superscript"/>
              </w:rPr>
              <w:t>1)</w:t>
            </w:r>
          </w:p>
        </w:tc>
        <w:tc>
          <w:tcPr>
            <w:tcW w:w="525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2 </w:t>
            </w:r>
          </w:p>
        </w:tc>
      </w:tr>
      <w:tr w:rsidR="00296032" w:rsidRPr="00620047">
        <w:trPr>
          <w:cantSplit/>
        </w:trPr>
        <w:tc>
          <w:tcPr>
            <w:tcW w:w="407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Chloorkoolwaterstoffen CKW</w:t>
            </w:r>
            <w:r w:rsidRPr="00620047">
              <w:rPr>
                <w:rFonts w:cs="Arial"/>
                <w:vertAlign w:val="superscript"/>
              </w:rPr>
              <w:t>2)</w:t>
            </w:r>
          </w:p>
        </w:tc>
        <w:tc>
          <w:tcPr>
            <w:tcW w:w="525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0,1 </w:t>
            </w:r>
          </w:p>
        </w:tc>
      </w:tr>
      <w:tr w:rsidR="00296032" w:rsidRPr="00620047">
        <w:trPr>
          <w:cantSplit/>
        </w:trPr>
        <w:tc>
          <w:tcPr>
            <w:tcW w:w="4077"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BTEX </w:t>
            </w:r>
          </w:p>
        </w:tc>
        <w:tc>
          <w:tcPr>
            <w:tcW w:w="5253"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rPr>
                <w:rFonts w:cs="Arial"/>
              </w:rPr>
            </w:pPr>
            <w:r w:rsidRPr="00620047">
              <w:rPr>
                <w:rFonts w:cs="Arial"/>
              </w:rPr>
              <w:t xml:space="preserve">0,1 </w:t>
            </w:r>
          </w:p>
        </w:tc>
      </w:tr>
    </w:tbl>
    <w:p w:rsidR="00296032" w:rsidRPr="00620047" w:rsidRDefault="00296032">
      <w:pPr>
        <w:pStyle w:val="art2enivo"/>
        <w:rPr>
          <w:rFonts w:cs="Arial"/>
        </w:rPr>
      </w:pPr>
      <w:r w:rsidRPr="00620047">
        <w:rPr>
          <w:rFonts w:cs="Arial"/>
          <w:vertAlign w:val="superscript"/>
        </w:rPr>
        <w:t>1)</w:t>
      </w:r>
      <w:r w:rsidRPr="00620047">
        <w:rPr>
          <w:rFonts w:cs="Arial"/>
          <w:vertAlign w:val="superscript"/>
        </w:rPr>
        <w:tab/>
      </w:r>
      <w:r w:rsidRPr="00620047">
        <w:rPr>
          <w:rFonts w:cs="Arial"/>
        </w:rPr>
        <w:t>Als som van 5 willekeurige metalen uit de volgende reeks: Ni, Cr, Pb, Se, As, Mo, Ti, Sn, Ba, Be, B, U, V, Co, Ag.</w:t>
      </w:r>
    </w:p>
    <w:p w:rsidR="00296032" w:rsidRPr="00620047" w:rsidRDefault="00296032">
      <w:pPr>
        <w:pStyle w:val="art2enivo"/>
        <w:rPr>
          <w:rFonts w:cs="Arial"/>
        </w:rPr>
      </w:pPr>
      <w:r w:rsidRPr="00620047">
        <w:rPr>
          <w:rFonts w:cs="Arial"/>
          <w:vertAlign w:val="superscript"/>
        </w:rPr>
        <w:t>2)</w:t>
      </w:r>
      <w:r w:rsidRPr="00620047">
        <w:rPr>
          <w:rFonts w:cs="Arial"/>
          <w:vertAlign w:val="superscript"/>
        </w:rPr>
        <w:tab/>
      </w:r>
      <w:r w:rsidRPr="00620047">
        <w:rPr>
          <w:rFonts w:cs="Arial"/>
        </w:rPr>
        <w:t>De 11 CKW die standaard bepaald worden in afvalwater betreffen: Dichloormethaan, Trichloormethaan, Tetrachloormethaan, Trichlooretheen, Tetrachlooretheen, 1,1-dichloorethaan, 1,2-dichloorethaan, 1,1,1-trichloorethaan, 1,1,2-trichloorethaan, cis-1,2-dichlooretheen, trans-1,2-dichlooretheen. De chloorkoolwaterstoffen worden als som bepaald.</w:t>
      </w:r>
    </w:p>
    <w:p w:rsidR="00296032" w:rsidRPr="00620047" w:rsidRDefault="00296032">
      <w:pPr>
        <w:pStyle w:val="art2enivo"/>
        <w:rPr>
          <w:rFonts w:cs="Arial"/>
        </w:rPr>
      </w:pPr>
      <w:r w:rsidRPr="00620047">
        <w:rPr>
          <w:rFonts w:cs="Arial"/>
        </w:rPr>
        <w:tab/>
        <w:t>De in tabel 4.124 genoemde emissiewaarden gelden voor steekmonsters. Indien sprake is van representatieve etmaalbemonstering geldt voor de 'overige metalen, som van 5 metalen' een factor 2 lagere waarde (1 mg/l).</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Het bevoegd gezag kan bij maatwerkvoorschrift:</w:t>
      </w:r>
    </w:p>
    <w:p w:rsidR="00296032" w:rsidRPr="00620047" w:rsidRDefault="00296032">
      <w:pPr>
        <w:pStyle w:val="art2enivo"/>
        <w:rPr>
          <w:rFonts w:cs="Arial"/>
        </w:rPr>
      </w:pPr>
      <w:r w:rsidRPr="00620047">
        <w:rPr>
          <w:rFonts w:cs="Arial"/>
        </w:rPr>
        <w:t>a.</w:t>
      </w:r>
      <w:r w:rsidRPr="00620047">
        <w:rPr>
          <w:rFonts w:cs="Arial"/>
        </w:rPr>
        <w:tab/>
        <w:t>de emissiegrenswaarden, bedoeld in het eerste lid, niet van toepassing verklaren en lagere emissiegrenswaarden vaststellen dan de emissiegrenswaarden, bedoeld in dat lid, indien het te lozen afvalwater meer dan 10.000 kubieke meter per jaar bedraagt en met toepassing van de beste beschikbare technieken aan deze lagere emissiegrenswaarden kan worden voldaan;</w:t>
      </w:r>
    </w:p>
    <w:p w:rsidR="00296032" w:rsidRPr="00620047" w:rsidRDefault="00296032">
      <w:pPr>
        <w:pStyle w:val="art2enivo"/>
        <w:rPr>
          <w:rFonts w:cs="Arial"/>
        </w:rPr>
      </w:pPr>
      <w:r w:rsidRPr="00620047">
        <w:rPr>
          <w:rFonts w:cs="Arial"/>
        </w:rPr>
        <w:t>b.</w:t>
      </w:r>
      <w:r w:rsidRPr="00620047">
        <w:rPr>
          <w:rFonts w:cs="Arial"/>
        </w:rPr>
        <w:tab/>
        <w:t>de emissiegrenswaarden, bedoeld in het eerste lid, niet van toepassing verklaren en hogere emissiegrenswaarden bepalen dan de emissiegrenswaarden, bedoeld in dat lid, indien aan de emissiegrenswaarden, bedoeld in het eerste lid met toepassing van de beste beschikbare technieken niet kan worden voldaan en het belang van de bescherming van het milieu zich niet tegen het lozen met hogere emissiegrenswaarden verzet.</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Het te lozen afvalwater, bedoeld in het eerste lid, kan op een doelmatige wijze worden bemonsterd.</w:t>
      </w:r>
    </w:p>
    <w:p w:rsidR="00296032" w:rsidRPr="00620047" w:rsidRDefault="00296032">
      <w:pPr>
        <w:pStyle w:val="art1enivo"/>
      </w:pPr>
      <w:r w:rsidRPr="00620047">
        <w:t>4.</w:t>
      </w:r>
      <w:r w:rsidRPr="00620047">
        <w:tab/>
        <w:t>Het derde lid is niet van toepassing op inrichtingen waarbinnen, in overeenstemming met de vergunningvoorschriften zoals die luidden tot 1 januari 2010, geen voorzieningen zijn geplaatst voor het afzonderlijk bemonsteren van het te lozen afvalwater als bedoeld in het eerste lid.</w:t>
      </w:r>
    </w:p>
    <w:p w:rsidR="00296032" w:rsidRPr="00296032" w:rsidRDefault="00296032">
      <w:pPr>
        <w:pStyle w:val="artikelkop"/>
        <w:rPr>
          <w:rFonts w:cs="Arial"/>
        </w:rPr>
      </w:pPr>
      <w:r w:rsidRPr="00296032">
        <w:rPr>
          <w:rFonts w:cs="Arial"/>
        </w:rPr>
        <w:t>Artikel 4.125</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Onverminderd artikel 2.5, eerste, vierde en vijfde lid, en artikel 2.6 is bij activiteiten die leiden tot stofvormige emissies afkomstig van een laboratorium of een praktijkruimte naar de lucht, de emissieconcentratie van de stoffen behorend tot de stofklassen S, sO, sA1, sA2 en sA3 naar de lucht niet meer dan de voor die betreffende stofklasse genoemde emissieconcentratie-eis in artikel 2.5 indien de massastroom gelijk is aan of groter is dan de in artikel 2.5 voor de betreffende stofklasse genoemde grensmassastroom.</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Onverminderd artikel 2.5, eerste, vierde en vijfde lid, en artikel 2.6 is bij activiteiten die leiden tot gasvormige emissies afkomstig van een laboratorium of praktijkruimte naar de lucht, de emissieconcentratie van de stoffen behorend tot de stofklassen gA.1, gA.2, gA.3, gO.1, gO.2 en gO.3, naar de lucht niet meer dan de voor die betreffende stofklasse genoemde emissieconcentratie-eis in artikel 2.5 indien de massastroom gelijk is aan of groter is dan de in artikel 2.5 voor de betreffende stofklasse genoemde grensmassastroom.</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Indien bij activiteiten emissies van Extreem risicovolle stoffen of MVP, afkomstig van een laboratorium of praktijkruimte, kunnen vrijkomen, kan het bevoegd gezag in het belang van de luchtkwaliteit maatwerkvoorschriften stellen aan de minimalisatie van die emissies. Artikel 2.4 is van overeenkomstige toepassing.</w:t>
      </w:r>
    </w:p>
    <w:p w:rsidR="00296032" w:rsidRPr="00296032" w:rsidRDefault="00296032">
      <w:pPr>
        <w:pStyle w:val="artikelkop"/>
        <w:rPr>
          <w:rFonts w:cs="Arial"/>
        </w:rPr>
      </w:pPr>
      <w:r w:rsidRPr="00296032">
        <w:rPr>
          <w:rFonts w:cs="Arial"/>
        </w:rPr>
        <w:t>Artikel 4.126</w:t>
      </w:r>
    </w:p>
    <w:p w:rsidR="00296032" w:rsidRPr="00620047" w:rsidRDefault="00296032">
      <w:pPr>
        <w:rPr>
          <w:rFonts w:cs="Arial"/>
        </w:rPr>
      </w:pPr>
      <w:r w:rsidRPr="00620047">
        <w:rPr>
          <w:rFonts w:cs="Arial"/>
        </w:rPr>
        <w:t>Bij activiteiten in een laboratorium of een praktijkruimte worden ten behoeve van het realiseren van een verwaarloosbaar bodemrisico en het voorkomen dan wel beperken van diffuse emissies en het doelmatig verspreiden van die emissies naar de buitenlucht de bij ministeriële regeling voorgeschreven maatregelen toegepast.</w:t>
      </w:r>
    </w:p>
    <w:p w:rsidR="00296032" w:rsidRPr="00296032" w:rsidRDefault="00296032">
      <w:pPr>
        <w:pStyle w:val="artikelkop"/>
        <w:rPr>
          <w:rFonts w:cs="Arial"/>
        </w:rPr>
      </w:pPr>
      <w:r w:rsidRPr="00296032">
        <w:rPr>
          <w:rFonts w:cs="Arial"/>
        </w:rPr>
        <w:t>Artikel 4.127</w:t>
      </w:r>
    </w:p>
    <w:p w:rsidR="00296032" w:rsidRDefault="00296032">
      <w:pPr>
        <w:rPr>
          <w:rFonts w:cs="Arial"/>
        </w:rPr>
      </w:pPr>
      <w:r w:rsidRPr="00620047">
        <w:rPr>
          <w:rFonts w:cs="Arial"/>
        </w:rPr>
        <w:t>Bij het gericht werken met biologische agentia in een laboratorium of een praktijkruimte wordt ten behoeve van het voorkomen van risico's voor de omgeving en ongewone voorvallen, dan wel voor zover dat niet mogelijk is het zoveel mogelijk beperken van de risico's voor de omgeving en de kans dat ongewone voorvallen zich voordoen en de gevolgen hiervan, ten minste voldaan aan de bij ministeriële regeling te stellen eisen.</w:t>
      </w:r>
    </w:p>
    <w:p w:rsidR="00EE739C" w:rsidRDefault="00EE739C">
      <w:pPr>
        <w:rPr>
          <w:rFonts w:cs="Arial"/>
        </w:rPr>
      </w:pPr>
    </w:p>
    <w:p w:rsidR="00EE739C" w:rsidRDefault="00EE739C" w:rsidP="00EE739C">
      <w:pPr>
        <w:pStyle w:val="paragraaf"/>
        <w:shd w:val="clear" w:color="auto" w:fill="D9D9D9" w:themeFill="background1" w:themeFillShade="D9"/>
      </w:pPr>
      <w:bookmarkStart w:id="331" w:name="_Toc431375775"/>
      <w:r>
        <w:t>§ 4.8.9.</w:t>
      </w:r>
      <w:r>
        <w:tab/>
        <w:t>In werking hebben van een laboratorium of een praktijkruimte</w:t>
      </w:r>
      <w:bookmarkEnd w:id="331"/>
    </w:p>
    <w:p w:rsidR="00EE739C" w:rsidRDefault="00EE739C" w:rsidP="00EE739C">
      <w:pPr>
        <w:pStyle w:val="artikelkop"/>
        <w:shd w:val="clear" w:color="auto" w:fill="D9D9D9" w:themeFill="background1" w:themeFillShade="D9"/>
      </w:pPr>
      <w:r>
        <w:t>Artikel 4.116</w:t>
      </w:r>
    </w:p>
    <w:p w:rsidR="00EE739C" w:rsidRDefault="00EE739C" w:rsidP="00EE739C">
      <w:pPr>
        <w:pStyle w:val="art1enivo"/>
        <w:shd w:val="clear" w:color="auto" w:fill="D9D9D9" w:themeFill="background1" w:themeFillShade="D9"/>
        <w:suppressAutoHyphens/>
        <w:rPr>
          <w:rFonts w:cs="Arial"/>
        </w:rPr>
      </w:pPr>
      <w:r>
        <w:rPr>
          <w:rFonts w:cs="Arial"/>
        </w:rPr>
        <w:t>1.</w:t>
      </w:r>
      <w:r>
        <w:rPr>
          <w:rFonts w:cs="Arial"/>
        </w:rPr>
        <w:tab/>
        <w:t>Ten behoeve van de bescherming van het milieu wordt bij het lozen van afvalwater afkomstig van een laboratorium of een praktijkruimte op het vuilwaterriool ten minste voldaan aan het tweede tot en met het vierde lid.</w:t>
      </w:r>
    </w:p>
    <w:p w:rsidR="00EE739C" w:rsidRDefault="00EE739C" w:rsidP="00EE739C">
      <w:pPr>
        <w:pStyle w:val="art1enivo"/>
        <w:shd w:val="clear" w:color="auto" w:fill="D9D9D9" w:themeFill="background1" w:themeFillShade="D9"/>
        <w:suppressAutoHyphens/>
        <w:rPr>
          <w:rFonts w:cs="Arial"/>
        </w:rPr>
      </w:pPr>
      <w:r>
        <w:rPr>
          <w:rFonts w:cs="Arial"/>
        </w:rPr>
        <w:t>2.</w:t>
      </w:r>
      <w:r>
        <w:rPr>
          <w:rFonts w:cs="Arial"/>
        </w:rPr>
        <w:tab/>
        <w:t>Degene die de inrichting drijft, stelt gedragsvoorschriften op en treft voorzieningen die zijn gericht op het voorkomen van nadelige gevolgen voor het milieu van het lozen van afvalwater en draagt er zorg voor dat de gedragsvoorschriften worden nageleefd.</w:t>
      </w:r>
    </w:p>
    <w:p w:rsidR="00EE739C" w:rsidRDefault="00EE739C" w:rsidP="00EE739C">
      <w:pPr>
        <w:pStyle w:val="art1enivo"/>
        <w:shd w:val="clear" w:color="auto" w:fill="D9D9D9" w:themeFill="background1" w:themeFillShade="D9"/>
        <w:suppressAutoHyphens/>
        <w:rPr>
          <w:rFonts w:cs="Arial"/>
        </w:rPr>
      </w:pPr>
      <w:r>
        <w:rPr>
          <w:rFonts w:cs="Arial"/>
        </w:rPr>
        <w:t>3.</w:t>
      </w:r>
      <w:r>
        <w:rPr>
          <w:rFonts w:cs="Arial"/>
        </w:rPr>
        <w:tab/>
        <w:t>De gedragsvoorschriften en voorzieningen, bedoeld in het tweede lid, geven ten minste uitwerking aan:</w:t>
      </w:r>
    </w:p>
    <w:p w:rsidR="00EE739C" w:rsidRDefault="00EE739C" w:rsidP="00EE739C">
      <w:pPr>
        <w:pStyle w:val="art2enivo"/>
        <w:shd w:val="clear" w:color="auto" w:fill="D9D9D9" w:themeFill="background1" w:themeFillShade="D9"/>
        <w:suppressAutoHyphens/>
        <w:rPr>
          <w:rFonts w:cs="Arial"/>
        </w:rPr>
      </w:pPr>
      <w:r>
        <w:rPr>
          <w:rFonts w:cs="Arial"/>
        </w:rPr>
        <w:t>a.</w:t>
      </w:r>
      <w:r>
        <w:rPr>
          <w:rFonts w:cs="Arial"/>
        </w:rPr>
        <w:tab/>
        <w:t>de wijze waarop invulling wordt gegeven aan een inzamelsysteem voor bepaalde categorieën van stoffen en preparaten die niet mogen worden geloosd vanuit het oogpunt van doelmatig kunnen inzamelen en verwerken elders;</w:t>
      </w:r>
    </w:p>
    <w:p w:rsidR="00EE739C" w:rsidRDefault="00EE739C" w:rsidP="00EE739C">
      <w:pPr>
        <w:pStyle w:val="art2enivo"/>
        <w:shd w:val="clear" w:color="auto" w:fill="D9D9D9" w:themeFill="background1" w:themeFillShade="D9"/>
        <w:suppressAutoHyphens/>
        <w:rPr>
          <w:rFonts w:cs="Arial"/>
        </w:rPr>
      </w:pPr>
      <w:r>
        <w:rPr>
          <w:rFonts w:cs="Arial"/>
        </w:rPr>
        <w:t>b.</w:t>
      </w:r>
      <w:r>
        <w:rPr>
          <w:rFonts w:cs="Arial"/>
        </w:rPr>
        <w:tab/>
        <w:t>de wijze waarop invulling wordt gegeven aan voorlichting van het personeel over het inzamelsysteem, bedoeld onder a;</w:t>
      </w:r>
    </w:p>
    <w:p w:rsidR="00EE739C" w:rsidRDefault="00EE739C" w:rsidP="00EE739C">
      <w:pPr>
        <w:pStyle w:val="art2enivo"/>
        <w:shd w:val="clear" w:color="auto" w:fill="D9D9D9" w:themeFill="background1" w:themeFillShade="D9"/>
        <w:suppressAutoHyphens/>
        <w:rPr>
          <w:rFonts w:cs="Arial"/>
        </w:rPr>
      </w:pPr>
      <w:r>
        <w:rPr>
          <w:rFonts w:cs="Arial"/>
        </w:rPr>
        <w:t>c.</w:t>
      </w:r>
      <w:r>
        <w:rPr>
          <w:rFonts w:cs="Arial"/>
        </w:rPr>
        <w:tab/>
        <w:t>de wijze waarop invulling wordt gegeven aan maatregelen die voortkomen uit de preventieve aanpak;</w:t>
      </w:r>
    </w:p>
    <w:p w:rsidR="00EE739C" w:rsidRDefault="00EE739C" w:rsidP="00EE739C">
      <w:pPr>
        <w:pStyle w:val="art2enivo"/>
        <w:shd w:val="clear" w:color="auto" w:fill="D9D9D9" w:themeFill="background1" w:themeFillShade="D9"/>
        <w:suppressAutoHyphens/>
        <w:rPr>
          <w:rFonts w:cs="Arial"/>
        </w:rPr>
      </w:pPr>
      <w:r>
        <w:rPr>
          <w:rFonts w:cs="Arial"/>
        </w:rPr>
        <w:t>d.</w:t>
      </w:r>
      <w:r>
        <w:rPr>
          <w:rFonts w:cs="Arial"/>
        </w:rPr>
        <w:tab/>
        <w:t>de inhoud van een registratiesysteem met betrekking tot de aanwezige stoffen.</w:t>
      </w:r>
    </w:p>
    <w:p w:rsidR="00EE739C" w:rsidRDefault="00EE739C" w:rsidP="00EE739C">
      <w:pPr>
        <w:pStyle w:val="art1enivo"/>
        <w:shd w:val="clear" w:color="auto" w:fill="D9D9D9" w:themeFill="background1" w:themeFillShade="D9"/>
        <w:suppressAutoHyphens/>
        <w:rPr>
          <w:rFonts w:cs="Arial"/>
        </w:rPr>
      </w:pPr>
      <w:r>
        <w:rPr>
          <w:rFonts w:cs="Arial"/>
        </w:rPr>
        <w:t>4.</w:t>
      </w:r>
      <w:r>
        <w:rPr>
          <w:rFonts w:cs="Arial"/>
        </w:rPr>
        <w:tab/>
        <w:t>Het bevoegde gezag kan indien het belang van de bescherming van het milieu daartoe noodzaakt, maatwerkvoorschriften stellen ten aanzien van de invulling van de gedragsvoorschriften en voorzieningen, bedoeld in het tweede lid.</w:t>
      </w:r>
    </w:p>
    <w:p w:rsidR="00EE739C" w:rsidRDefault="00EE739C" w:rsidP="00EE739C">
      <w:pPr>
        <w:pStyle w:val="artikelkop"/>
        <w:shd w:val="clear" w:color="auto" w:fill="D9D9D9" w:themeFill="background1" w:themeFillShade="D9"/>
      </w:pPr>
      <w:r>
        <w:t>Artikel 4.117</w:t>
      </w:r>
    </w:p>
    <w:p w:rsidR="00EE739C" w:rsidRDefault="00EE739C" w:rsidP="00EE739C">
      <w:pPr>
        <w:pStyle w:val="art1enivo"/>
        <w:shd w:val="clear" w:color="auto" w:fill="D9D9D9" w:themeFill="background1" w:themeFillShade="D9"/>
        <w:suppressAutoHyphens/>
        <w:rPr>
          <w:rFonts w:cs="Arial"/>
        </w:rPr>
      </w:pPr>
      <w:r>
        <w:rPr>
          <w:rFonts w:cs="Arial"/>
        </w:rPr>
        <w:t>1.</w:t>
      </w:r>
      <w:r>
        <w:rPr>
          <w:rFonts w:cs="Arial"/>
        </w:rPr>
        <w:tab/>
        <w:t>Ten behoeve van het voorkomen dan wel beperken van diffuse emissies:</w:t>
      </w:r>
    </w:p>
    <w:p w:rsidR="00EE739C" w:rsidRDefault="00EE739C" w:rsidP="00EE739C">
      <w:pPr>
        <w:pStyle w:val="art2enivo"/>
        <w:shd w:val="clear" w:color="auto" w:fill="D9D9D9" w:themeFill="background1" w:themeFillShade="D9"/>
        <w:suppressAutoHyphens/>
        <w:rPr>
          <w:rFonts w:cs="Arial"/>
        </w:rPr>
      </w:pPr>
      <w:r>
        <w:rPr>
          <w:rFonts w:cs="Arial"/>
        </w:rPr>
        <w:t>a.</w:t>
      </w:r>
      <w:r>
        <w:rPr>
          <w:rFonts w:cs="Arial"/>
        </w:rPr>
        <w:tab/>
        <w:t>past degene die de inrichting drijft maatregelen ten aanzien van de bedrijfsvoering toe ter voorkoming van onnodige emissie van stoffen naar de lucht;</w:t>
      </w:r>
    </w:p>
    <w:p w:rsidR="00EE739C" w:rsidRDefault="00EE739C" w:rsidP="00EE739C">
      <w:pPr>
        <w:pStyle w:val="art2enivo"/>
        <w:shd w:val="clear" w:color="auto" w:fill="D9D9D9" w:themeFill="background1" w:themeFillShade="D9"/>
        <w:suppressAutoHyphens/>
        <w:rPr>
          <w:rFonts w:cs="Arial"/>
        </w:rPr>
      </w:pPr>
      <w:r>
        <w:rPr>
          <w:rFonts w:cs="Arial"/>
        </w:rPr>
        <w:t>b.</w:t>
      </w:r>
      <w:r>
        <w:rPr>
          <w:rFonts w:cs="Arial"/>
        </w:rPr>
        <w:tab/>
        <w:t>worden stof, rook en dampen die vrijkomen bij activiteiten in een laboratorium of praktijkruimte voor zover dat redelijkerwijs mogelijk is, doelmatig aan de bron afgezogen.</w:t>
      </w:r>
    </w:p>
    <w:p w:rsidR="00EE739C" w:rsidRDefault="00EE739C" w:rsidP="00EE739C">
      <w:pPr>
        <w:pStyle w:val="art1enivo"/>
        <w:shd w:val="clear" w:color="auto" w:fill="D9D9D9" w:themeFill="background1" w:themeFillShade="D9"/>
        <w:suppressAutoHyphens/>
        <w:rPr>
          <w:rFonts w:cs="Arial"/>
        </w:rPr>
      </w:pPr>
      <w:r>
        <w:rPr>
          <w:rFonts w:cs="Arial"/>
        </w:rPr>
        <w:t>2.</w:t>
      </w:r>
      <w:r>
        <w:rPr>
          <w:rFonts w:cs="Arial"/>
        </w:rPr>
        <w:tab/>
        <w:t>Ten behoeve van het doelmatig verspreiden van emissies naar de buitenlucht, worden voor zover het afgezogen emissies betreft die vrijkomen bij activiteiten in een laboratorium of praktijkruimte, die naar de buitenlucht worden afgevoerd, bovendaks en omhoog gericht afgevoerd, indien binnen 50 meter van een emissiepunt een gevoelig gebouw, niet zijnde een gevoelig gebouw op een gezoneerd industrieterrein dan wel op een bedrijventerrein met minder dan één gevoelig gebouw per hectare, is gelegen.</w:t>
      </w:r>
    </w:p>
    <w:p w:rsidR="00EE739C" w:rsidRDefault="00EE739C" w:rsidP="00EE739C">
      <w:pPr>
        <w:pStyle w:val="art1enivo"/>
        <w:shd w:val="clear" w:color="auto" w:fill="D9D9D9" w:themeFill="background1" w:themeFillShade="D9"/>
        <w:suppressAutoHyphens/>
        <w:rPr>
          <w:rFonts w:cs="Arial"/>
        </w:rPr>
      </w:pPr>
      <w:r>
        <w:rPr>
          <w:rFonts w:cs="Arial"/>
        </w:rPr>
        <w:t>3.</w:t>
      </w:r>
      <w:r>
        <w:rPr>
          <w:rFonts w:cs="Arial"/>
        </w:rPr>
        <w:tab/>
        <w:t>Het bevoegd gezag kan in het belang van de luchtkwaliteit  maatwerkvoorschriften stellen aan de ligging en uitvoering van het afvoerpunt van de emissies naar de buitenlucht, bedoeld in het tweede lid.</w:t>
      </w:r>
    </w:p>
    <w:p w:rsidR="00EE739C" w:rsidRDefault="00EE739C" w:rsidP="00EE739C">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Ten aanzien van inrichtingen waarvoor tot het tijdstip van het van toepassing worden van het besluit of een deel daarvan op een activiteit, op die inrichtingen, een vergunning in werking en onherroepelijk was, dan wel voorschriften golden op basis van een van de besluiten, genoemd in artikel 6.43 van het besluit, is het tweede lid niet van toepassing voor zover er geen verandering van de inrichting plaatsvindt waarvoor een melding krachtens artikel 1.10 van het besluit nodig is en voor zover de emissies als bedoeld in het tweede lid niet toenemen en de wijze van afvoer van die emissies naar de buitenlucht niet verandert.</w:t>
      </w:r>
    </w:p>
    <w:p w:rsidR="00EE739C" w:rsidRDefault="00EE739C" w:rsidP="00EE739C">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 afwijking van het vierde lid kan het bevoegd gezag maatwerkvoorschriften als bedoeld in het derde lid stellen.</w:t>
      </w:r>
    </w:p>
    <w:p w:rsidR="00EE739C" w:rsidRDefault="00EE739C" w:rsidP="00EE739C">
      <w:pPr>
        <w:pStyle w:val="artikelkop"/>
        <w:shd w:val="clear" w:color="auto" w:fill="D9D9D9" w:themeFill="background1" w:themeFillShade="D9"/>
      </w:pPr>
      <w:r>
        <w:t>Artikel 4.118</w:t>
      </w:r>
    </w:p>
    <w:p w:rsidR="00EE739C" w:rsidRDefault="00EE739C" w:rsidP="00EE739C">
      <w:pPr>
        <w:pStyle w:val="artplat"/>
        <w:shd w:val="clear" w:color="auto" w:fill="D9D9D9" w:themeFill="background1" w:themeFillShade="D9"/>
        <w:suppressAutoHyphens/>
        <w:rPr>
          <w:rFonts w:cs="Arial"/>
        </w:rPr>
      </w:pPr>
      <w:r>
        <w:rPr>
          <w:rFonts w:cs="Arial"/>
        </w:rPr>
        <w:t>Aan artikel 4.125, eerste lid, van het besluit wordt in ieder geval voldaan indien:</w:t>
      </w:r>
    </w:p>
    <w:p w:rsidR="00EE739C" w:rsidRDefault="00EE739C" w:rsidP="00EE739C">
      <w:pPr>
        <w:pStyle w:val="artplatletter"/>
        <w:shd w:val="clear" w:color="auto" w:fill="D9D9D9" w:themeFill="background1" w:themeFillShade="D9"/>
        <w:suppressAutoHyphens/>
        <w:rPr>
          <w:rFonts w:cs="Arial"/>
        </w:rPr>
      </w:pPr>
      <w:r>
        <w:rPr>
          <w:rFonts w:cs="Arial"/>
        </w:rPr>
        <w:t>a.</w:t>
      </w:r>
      <w:r>
        <w:rPr>
          <w:rFonts w:cs="Arial"/>
        </w:rPr>
        <w:tab/>
        <w:t>de afgezogen stofemissies die vrijkomen bij laboratoriumproeven worden gevoerd door een filtrerende afscheider of elektrostatische filterinstallatie die geschikt is om aan artikel 4.125, eerste lid van het besluit te voldoen; en</w:t>
      </w:r>
    </w:p>
    <w:p w:rsidR="00EE739C" w:rsidRDefault="00EE739C" w:rsidP="00EE739C">
      <w:pPr>
        <w:pStyle w:val="artplatletter"/>
        <w:shd w:val="clear" w:color="auto" w:fill="D9D9D9" w:themeFill="background1" w:themeFillShade="D9"/>
        <w:suppressAutoHyphens/>
        <w:rPr>
          <w:rFonts w:cs="Arial"/>
        </w:rPr>
      </w:pPr>
      <w:r>
        <w:rPr>
          <w:rFonts w:cs="Arial"/>
        </w:rPr>
        <w:t>b.</w:t>
      </w:r>
      <w:r>
        <w:rPr>
          <w:rFonts w:cs="Arial"/>
        </w:rPr>
        <w:tab/>
        <w:t>die filtrerende afscheider of elektrostatisch filter in goede staat van onderhoud verkeert, deze periodiek gecontroleerd wordt en zo vaak als voor de goede werking nodig is, wordt schoongemaakt en vervangen.</w:t>
      </w:r>
    </w:p>
    <w:p w:rsidR="00EE739C" w:rsidRDefault="00EE739C" w:rsidP="00EE739C">
      <w:pPr>
        <w:pStyle w:val="artikelkop"/>
        <w:shd w:val="clear" w:color="auto" w:fill="D9D9D9" w:themeFill="background1" w:themeFillShade="D9"/>
      </w:pPr>
      <w:r>
        <w:t>Artikel 4.119</w:t>
      </w:r>
    </w:p>
    <w:p w:rsidR="00EE739C" w:rsidRDefault="00EE739C" w:rsidP="00EE739C">
      <w:pPr>
        <w:pStyle w:val="art1enivo"/>
        <w:shd w:val="clear" w:color="auto" w:fill="D9D9D9" w:themeFill="background1" w:themeFillShade="D9"/>
        <w:suppressAutoHyphens/>
        <w:rPr>
          <w:rFonts w:cs="Arial"/>
        </w:rPr>
      </w:pPr>
      <w:r>
        <w:rPr>
          <w:rFonts w:cs="Arial"/>
        </w:rPr>
        <w:t>1.</w:t>
      </w:r>
      <w:r>
        <w:rPr>
          <w:rFonts w:cs="Arial"/>
        </w:rPr>
        <w:tab/>
        <w:t>Aan artikel 4.125, tweede lid, van het besluit wordt in ieder geval voldaan indien het verbruik aan stoffen ingedeeld in de klassen gA1, gA2, gA3, gO1, gO2 en gO3 in kilogram per jaar lager is dan de in artikel 2.6 van het besluit voor de betreffende stofklasse genoemde vrijstellingsgrens en de som van de stoffen ingedeeld in de klassen gO1, gO2 en gO3 niet meer bedraagt dan 250 kilogram per jaar.</w:t>
      </w:r>
    </w:p>
    <w:p w:rsidR="00EE739C" w:rsidRDefault="00EE739C" w:rsidP="00EE739C">
      <w:pPr>
        <w:pStyle w:val="art1enivo"/>
        <w:shd w:val="clear" w:color="auto" w:fill="D9D9D9" w:themeFill="background1" w:themeFillShade="D9"/>
        <w:suppressAutoHyphens/>
        <w:rPr>
          <w:rFonts w:cs="Arial"/>
        </w:rPr>
      </w:pPr>
      <w:r>
        <w:rPr>
          <w:rFonts w:cs="Arial"/>
        </w:rPr>
        <w:t>2.</w:t>
      </w:r>
      <w:r>
        <w:rPr>
          <w:rFonts w:cs="Arial"/>
        </w:rPr>
        <w:tab/>
        <w:t>Tevens wordt in ieder geval aan artikel 4.125, tweede lid, van het besluit voldaan indien:</w:t>
      </w:r>
    </w:p>
    <w:p w:rsidR="00EE739C" w:rsidRDefault="00EE739C" w:rsidP="00EE739C">
      <w:pPr>
        <w:pStyle w:val="art2enivo"/>
        <w:shd w:val="clear" w:color="auto" w:fill="D9D9D9" w:themeFill="background1" w:themeFillShade="D9"/>
        <w:suppressAutoHyphens/>
        <w:rPr>
          <w:rFonts w:cs="Arial"/>
        </w:rPr>
      </w:pPr>
      <w:r>
        <w:rPr>
          <w:rFonts w:cs="Arial"/>
        </w:rPr>
        <w:t>a.</w:t>
      </w:r>
      <w:r>
        <w:rPr>
          <w:rFonts w:cs="Arial"/>
        </w:rPr>
        <w:tab/>
        <w:t>de afgezogen emissies die vrijkomen bij laboratoriumproeven met stoffen ingedeeld in de klassen gA1, gA2 en gA3 worden gevoerd door een gaswasser, aërosolfilter of mistfilter die geschikt is om aan de emissieconcentratie-eisen genoemd in artikel 4.125, tweede lid, van het besluit te voldoen, en</w:t>
      </w:r>
    </w:p>
    <w:p w:rsidR="00EE739C" w:rsidRDefault="00EE739C" w:rsidP="00EE739C">
      <w:pPr>
        <w:pStyle w:val="art2enivo"/>
        <w:shd w:val="clear" w:color="auto" w:fill="D9D9D9" w:themeFill="background1" w:themeFillShade="D9"/>
        <w:suppressAutoHyphens/>
        <w:rPr>
          <w:rFonts w:cs="Arial"/>
        </w:rPr>
      </w:pPr>
      <w:r>
        <w:rPr>
          <w:rFonts w:cs="Arial"/>
        </w:rPr>
        <w:t>b.</w:t>
      </w:r>
      <w:r>
        <w:rPr>
          <w:rFonts w:cs="Arial"/>
        </w:rPr>
        <w:tab/>
        <w:t>de gaswasser, aërosolfilter of mistfilter, bedoeld onder a, in goede staat van onderhoud verkeert, periodiek gecontroleerd wordt en zo vaak als voor de goede werking nodig is wordt schoongemaakt, en</w:t>
      </w:r>
    </w:p>
    <w:p w:rsidR="00EE739C" w:rsidRDefault="00EE739C" w:rsidP="00EE739C">
      <w:pPr>
        <w:pStyle w:val="art2enivo"/>
        <w:shd w:val="clear" w:color="auto" w:fill="D9D9D9" w:themeFill="background1" w:themeFillShade="D9"/>
        <w:suppressAutoHyphens/>
        <w:rPr>
          <w:rFonts w:cs="Arial"/>
        </w:rPr>
      </w:pPr>
      <w:r>
        <w:rPr>
          <w:rFonts w:cs="Arial"/>
        </w:rPr>
        <w:t>c.</w:t>
      </w:r>
      <w:r>
        <w:rPr>
          <w:rFonts w:cs="Arial"/>
        </w:rPr>
        <w:tab/>
        <w:t>de afgezogen emissies die vrijkomen bij laboratoriumproeven met stoffen ingedeeld in de klassen gO1, gO2 en gO3 worden gevoerd door een adsorptiefilter die in goede staat van onderhoud verkeert, periodiek gecontroleerd wordt en zo vaak als voor de goede werking nodig is, wordt schoongemaakt.</w:t>
      </w:r>
    </w:p>
    <w:p w:rsidR="00EE739C" w:rsidRDefault="00EE739C" w:rsidP="00EE739C">
      <w:pPr>
        <w:pStyle w:val="artikelkop"/>
        <w:shd w:val="clear" w:color="auto" w:fill="D9D9D9" w:themeFill="background1" w:themeFillShade="D9"/>
      </w:pPr>
      <w:r>
        <w:t>Artikel 4.120</w:t>
      </w:r>
    </w:p>
    <w:p w:rsidR="00EE739C" w:rsidRDefault="00EE739C" w:rsidP="00EE739C">
      <w:pPr>
        <w:pStyle w:val="art1enivo"/>
        <w:shd w:val="clear" w:color="auto" w:fill="D9D9D9" w:themeFill="background1" w:themeFillShade="D9"/>
        <w:suppressAutoHyphens/>
        <w:rPr>
          <w:rFonts w:cs="Arial"/>
        </w:rPr>
      </w:pPr>
      <w:r>
        <w:rPr>
          <w:rFonts w:cs="Arial"/>
        </w:rPr>
        <w:t>1.</w:t>
      </w:r>
      <w:r>
        <w:rPr>
          <w:rFonts w:cs="Arial"/>
        </w:rPr>
        <w:tab/>
        <w:t>Ten behoeve van het voorkomen van risico's voor de omgeving en ongewone voorvallen, dan wel voor zover dat niet mogelijk is het zoveel mogelijk beperken van de risico's voor de omgeving en de kans dat ongewone voorvallen zich voordoen en de gevolgen hiervan wordt bij het gericht werken met biologische agentia in een laboratorium of praktijkruimte ten minste voldaan aan het tweede tot en met het vierde lid.</w:t>
      </w:r>
    </w:p>
    <w:p w:rsidR="00EE739C" w:rsidRDefault="00EE739C" w:rsidP="00EE739C">
      <w:pPr>
        <w:pStyle w:val="art1enivo"/>
        <w:shd w:val="clear" w:color="auto" w:fill="D9D9D9" w:themeFill="background1" w:themeFillShade="D9"/>
        <w:suppressAutoHyphens/>
        <w:rPr>
          <w:rFonts w:cs="Arial"/>
        </w:rPr>
      </w:pPr>
      <w:r>
        <w:rPr>
          <w:rFonts w:cs="Arial"/>
        </w:rPr>
        <w:t>2.</w:t>
      </w:r>
      <w:r>
        <w:rPr>
          <w:rFonts w:cs="Arial"/>
        </w:rPr>
        <w:tab/>
        <w:t>Degene die de inrichting drijft, stelt gedragsvoorschriften op en treft voorzieningen die zijn gericht op het voorkomen van het vrijkomen van het biologisch agens en draagt ervoor zorg dat de gedragsvoorschriften worden nageleefd.</w:t>
      </w:r>
    </w:p>
    <w:p w:rsidR="00EE739C" w:rsidRDefault="00EE739C" w:rsidP="00EE739C">
      <w:pPr>
        <w:pStyle w:val="art1enivo"/>
        <w:shd w:val="clear" w:color="auto" w:fill="D9D9D9" w:themeFill="background1" w:themeFillShade="D9"/>
        <w:suppressAutoHyphens/>
        <w:rPr>
          <w:rFonts w:cs="Arial"/>
        </w:rPr>
      </w:pPr>
      <w:r>
        <w:rPr>
          <w:rFonts w:cs="Arial"/>
        </w:rPr>
        <w:t>3.</w:t>
      </w:r>
      <w:r>
        <w:rPr>
          <w:rFonts w:cs="Arial"/>
        </w:rPr>
        <w:tab/>
        <w:t>De gedragsvoorschriften, bedoeld in het tweede lid, zijn te allen tijde voor inzage door het bevoegd gezag beschikbaar.</w:t>
      </w:r>
    </w:p>
    <w:p w:rsidR="00EE739C" w:rsidRDefault="00EE739C" w:rsidP="00EE739C">
      <w:pPr>
        <w:pStyle w:val="art1enivo"/>
        <w:shd w:val="clear" w:color="auto" w:fill="D9D9D9" w:themeFill="background1" w:themeFillShade="D9"/>
        <w:suppressAutoHyphens/>
        <w:rPr>
          <w:rFonts w:cs="Arial"/>
        </w:rPr>
      </w:pPr>
      <w:r>
        <w:rPr>
          <w:rFonts w:cs="Arial"/>
        </w:rPr>
        <w:t>4.</w:t>
      </w:r>
      <w:r>
        <w:rPr>
          <w:rFonts w:cs="Arial"/>
        </w:rPr>
        <w:tab/>
        <w:t>Het bevoegd gezag kan ten behoeve van het voorkomen van risico's voor de omgeving en ongewone voorvallen, dan wel voor zover dat niet mogelijk is het zoveel mogelijk beperken van de risico's voor de omgeving en de kans dat ongewone voorvallen zich voordoen en de gevolgen hiervan maatwerkvoorschriften stellen ten aanzien van:</w:t>
      </w:r>
    </w:p>
    <w:p w:rsidR="00EE739C" w:rsidRDefault="00EE739C" w:rsidP="00EE739C">
      <w:pPr>
        <w:pStyle w:val="art2enivo"/>
        <w:shd w:val="clear" w:color="auto" w:fill="D9D9D9" w:themeFill="background1" w:themeFillShade="D9"/>
        <w:suppressAutoHyphens/>
        <w:rPr>
          <w:rFonts w:cs="Arial"/>
        </w:rPr>
      </w:pPr>
      <w:r>
        <w:rPr>
          <w:rFonts w:cs="Arial"/>
        </w:rPr>
        <w:t>a.</w:t>
      </w:r>
      <w:r>
        <w:rPr>
          <w:rFonts w:cs="Arial"/>
        </w:rPr>
        <w:tab/>
        <w:t>de ruimten waar gericht gewerkt wordt met een biologisch agens die is of wordt ingedeeld in groep 2 of een biologisch agens dat behoort tot een soort die is opgenomen in bijlage 3;</w:t>
      </w:r>
    </w:p>
    <w:p w:rsidR="00EE739C" w:rsidRDefault="00EE739C" w:rsidP="00EE739C">
      <w:pPr>
        <w:pStyle w:val="art2enivo"/>
        <w:shd w:val="clear" w:color="auto" w:fill="D9D9D9" w:themeFill="background1" w:themeFillShade="D9"/>
        <w:suppressAutoHyphens/>
        <w:rPr>
          <w:rFonts w:cs="Arial"/>
        </w:rPr>
      </w:pPr>
      <w:r>
        <w:rPr>
          <w:rFonts w:cs="Arial"/>
        </w:rPr>
        <w:t>b.</w:t>
      </w:r>
      <w:r>
        <w:rPr>
          <w:rFonts w:cs="Arial"/>
        </w:rPr>
        <w:tab/>
        <w:t>de invulling van gedragsvoorschriften en voorzieningen als bedoeld in het tweede lid.</w:t>
      </w:r>
    </w:p>
    <w:p w:rsidR="00EE739C" w:rsidRDefault="00EE739C" w:rsidP="00EE739C">
      <w:pPr>
        <w:pStyle w:val="art1enivo"/>
        <w:shd w:val="clear" w:color="auto" w:fill="D9D9D9" w:themeFill="background1" w:themeFillShade="D9"/>
        <w:suppressAutoHyphens/>
        <w:rPr>
          <w:rFonts w:cs="Arial"/>
        </w:rPr>
      </w:pPr>
      <w:r>
        <w:rPr>
          <w:rFonts w:cs="Arial"/>
        </w:rPr>
        <w:t>5.</w:t>
      </w:r>
      <w:r>
        <w:rPr>
          <w:rFonts w:cs="Arial"/>
        </w:rPr>
        <w:tab/>
        <w:t>Voor de groepsindeling, bedoeld in het vierde lid, onder a, wordt aangesloten bij de indeling in risico-groepen van richtlijn nr. 2000/54/EG van het Europees Parlement en de Raad van 18 september 2000 betreffende de bescherming van de werknemers tegen de risico's van blootstelling aan biologische agentia op het werk.</w:t>
      </w:r>
    </w:p>
    <w:p w:rsidR="00EE739C" w:rsidRDefault="00EE739C" w:rsidP="00EE739C">
      <w:pPr>
        <w:pStyle w:val="artikelkop"/>
        <w:shd w:val="clear" w:color="auto" w:fill="D9D9D9" w:themeFill="background1" w:themeFillShade="D9"/>
      </w:pPr>
      <w:r>
        <w:t>Artikel 4.121</w:t>
      </w:r>
    </w:p>
    <w:p w:rsidR="00EE739C" w:rsidRPr="00EE739C" w:rsidRDefault="00EE739C" w:rsidP="00EE739C">
      <w:pPr>
        <w:shd w:val="clear" w:color="auto" w:fill="D9D9D9" w:themeFill="background1" w:themeFillShade="D9"/>
      </w:pPr>
      <w:r>
        <w:rPr>
          <w:rFonts w:cs="Arial"/>
        </w:rPr>
        <w:t>Ten behoeve van het realiseren van een verwaarloosbaar bodemrisico vinden activiteiten in een laboratorium waarbij vloeibare bodembedreigende stoffen worden gebruikt of kunnen vrijkomen, plaats boven een bodembeschermende voorziening.</w:t>
      </w:r>
    </w:p>
    <w:p w:rsidR="00296032" w:rsidRPr="00620047" w:rsidRDefault="00296032">
      <w:pPr>
        <w:pStyle w:val="hoofdstuk"/>
        <w:rPr>
          <w:rFonts w:cs="Arial"/>
        </w:rPr>
      </w:pPr>
      <w:bookmarkStart w:id="332" w:name="_Toc431375776"/>
      <w:bookmarkStart w:id="333" w:name="_Toc277243271"/>
      <w:r w:rsidRPr="00C667E9">
        <w:rPr>
          <w:rFonts w:cs="Arial"/>
        </w:rPr>
        <w:t>Hoofdstuk 5. Industriële emissies</w:t>
      </w:r>
      <w:bookmarkEnd w:id="332"/>
    </w:p>
    <w:p w:rsidR="00296032" w:rsidRPr="00620047" w:rsidRDefault="00296032">
      <w:pPr>
        <w:pStyle w:val="afdeling"/>
      </w:pPr>
      <w:bookmarkStart w:id="334" w:name="_Toc431375777"/>
      <w:r w:rsidRPr="00620047">
        <w:t>Afdeling 5.1. Industriële emissies</w:t>
      </w:r>
      <w:bookmarkEnd w:id="334"/>
    </w:p>
    <w:p w:rsidR="00296032" w:rsidRPr="00296032" w:rsidRDefault="00296032">
      <w:pPr>
        <w:pStyle w:val="artikelkop"/>
      </w:pPr>
      <w:r w:rsidRPr="00296032">
        <w:t>Artikel 5</w:t>
      </w:r>
    </w:p>
    <w:p w:rsidR="00296032" w:rsidRPr="00620047" w:rsidRDefault="00296032">
      <w:pPr>
        <w:pStyle w:val="art1enivo"/>
      </w:pPr>
      <w:r w:rsidRPr="00620047">
        <w:t>1.</w:t>
      </w:r>
      <w:r w:rsidRPr="00620047">
        <w:tab/>
        <w:t>De paragrafen 5.1.1 tot en met 5.1.3 zijn van toepassing op degene die een inrichting type C drijft, waartoe een installatie behoort als bedoeld in hoofdstuk III, IV of VI, of bijlage I van de EU-richtlijn industriële emissies.</w:t>
      </w:r>
    </w:p>
    <w:p w:rsidR="00296032" w:rsidRPr="00620047" w:rsidRDefault="00296032">
      <w:pPr>
        <w:pStyle w:val="art1enivo"/>
      </w:pPr>
      <w:r w:rsidRPr="00620047">
        <w:t>2.</w:t>
      </w:r>
      <w:r w:rsidRPr="00620047">
        <w:tab/>
        <w:t>De paragrafen 5.1.4 tot en met 5.1.7 zijn van toepassing op degene die een inrichting type B of C drijft, waartoe een installatie behoort als bedoeld in de paragrafen 5.1.4 tot en met 5.1.7.</w:t>
      </w:r>
    </w:p>
    <w:p w:rsidR="00296032" w:rsidRPr="00296032" w:rsidRDefault="00296032">
      <w:pPr>
        <w:pStyle w:val="paragraaf"/>
      </w:pPr>
      <w:bookmarkStart w:id="335" w:name="_Toc431375778"/>
      <w:r w:rsidRPr="00296032">
        <w:t>§ 5.1.1</w:t>
      </w:r>
      <w:r w:rsidR="00C667E9">
        <w:t>.</w:t>
      </w:r>
      <w:r w:rsidR="00C667E9">
        <w:tab/>
      </w:r>
      <w:r w:rsidRPr="00296032">
        <w:t>Grote stookinstallatie</w:t>
      </w:r>
      <w:bookmarkEnd w:id="335"/>
    </w:p>
    <w:p w:rsidR="00296032" w:rsidRPr="00296032" w:rsidRDefault="00296032">
      <w:pPr>
        <w:pStyle w:val="artikelkop"/>
        <w:rPr>
          <w:rFonts w:cs="Arial"/>
        </w:rPr>
      </w:pPr>
      <w:r w:rsidRPr="00296032">
        <w:rPr>
          <w:rFonts w:cs="Arial"/>
        </w:rPr>
        <w:t>Artikel 5.1</w:t>
      </w:r>
    </w:p>
    <w:p w:rsidR="00296032" w:rsidRPr="00620047" w:rsidRDefault="00296032">
      <w:pPr>
        <w:pStyle w:val="art1enivo"/>
        <w:rPr>
          <w:rFonts w:cs="Arial"/>
        </w:rPr>
      </w:pPr>
      <w:r w:rsidRPr="00620047">
        <w:rPr>
          <w:rFonts w:cs="Arial"/>
        </w:rPr>
        <w:t>1.</w:t>
      </w:r>
      <w:r w:rsidRPr="00620047">
        <w:rPr>
          <w:rFonts w:cs="Arial"/>
        </w:rPr>
        <w:tab/>
        <w:t>Deze paragraaf is van toepassing op het in werking hebben van een grote stookinstallatie, met uitzondering van:</w:t>
      </w:r>
    </w:p>
    <w:p w:rsidR="00296032" w:rsidRPr="00620047" w:rsidRDefault="00296032">
      <w:pPr>
        <w:pStyle w:val="art2enivo"/>
        <w:rPr>
          <w:rFonts w:cs="Arial"/>
        </w:rPr>
      </w:pPr>
      <w:r w:rsidRPr="00620047">
        <w:rPr>
          <w:rFonts w:cs="Arial"/>
        </w:rPr>
        <w:t>a.</w:t>
      </w:r>
      <w:r w:rsidRPr="00620047">
        <w:rPr>
          <w:rFonts w:cs="Arial"/>
        </w:rPr>
        <w:tab/>
        <w:t>een stookinstallatie die bestemd is voor het drogen of behandelen van voorwerpen of materialen door middel van rechtstreeks contact met verbrandingsgas;</w:t>
      </w:r>
    </w:p>
    <w:p w:rsidR="00296032" w:rsidRPr="00620047" w:rsidRDefault="00296032">
      <w:pPr>
        <w:pStyle w:val="art2enivo"/>
        <w:rPr>
          <w:rFonts w:cs="Arial"/>
        </w:rPr>
      </w:pPr>
      <w:r w:rsidRPr="00620047">
        <w:rPr>
          <w:rFonts w:cs="Arial"/>
        </w:rPr>
        <w:t>b.</w:t>
      </w:r>
      <w:r w:rsidRPr="00620047">
        <w:rPr>
          <w:rFonts w:cs="Arial"/>
        </w:rPr>
        <w:tab/>
        <w:t>technische voorzieningen voor de zuivering van afgassen door verbranding die niet als autonome stookinstallatie worden geëxploiteerd;</w:t>
      </w:r>
    </w:p>
    <w:p w:rsidR="00296032" w:rsidRPr="00620047" w:rsidRDefault="00296032">
      <w:pPr>
        <w:pStyle w:val="art2enivo"/>
        <w:rPr>
          <w:rFonts w:cs="Arial"/>
        </w:rPr>
      </w:pPr>
      <w:r w:rsidRPr="00620047">
        <w:rPr>
          <w:rFonts w:cs="Arial"/>
        </w:rPr>
        <w:t>c.</w:t>
      </w:r>
      <w:r w:rsidRPr="00620047">
        <w:rPr>
          <w:rFonts w:cs="Arial"/>
        </w:rPr>
        <w:tab/>
        <w:t>het regenereren van katalysatoren voor het katalytisch kraakproces;</w:t>
      </w:r>
    </w:p>
    <w:p w:rsidR="00296032" w:rsidRPr="00620047" w:rsidRDefault="00296032">
      <w:pPr>
        <w:pStyle w:val="art2enivo"/>
        <w:rPr>
          <w:rFonts w:cs="Arial"/>
        </w:rPr>
      </w:pPr>
      <w:r w:rsidRPr="00620047">
        <w:rPr>
          <w:rFonts w:cs="Arial"/>
        </w:rPr>
        <w:t>d.</w:t>
      </w:r>
      <w:r w:rsidRPr="00620047">
        <w:rPr>
          <w:rFonts w:cs="Arial"/>
        </w:rPr>
        <w:tab/>
        <w:t>het omzetten van zwavelwaterstof in zwavel;</w:t>
      </w:r>
    </w:p>
    <w:p w:rsidR="00296032" w:rsidRPr="00620047" w:rsidRDefault="00296032">
      <w:pPr>
        <w:pStyle w:val="art2enivo"/>
        <w:rPr>
          <w:rFonts w:cs="Arial"/>
        </w:rPr>
      </w:pPr>
      <w:r w:rsidRPr="00620047">
        <w:rPr>
          <w:rFonts w:cs="Arial"/>
        </w:rPr>
        <w:t>e.</w:t>
      </w:r>
      <w:r w:rsidRPr="00620047">
        <w:rPr>
          <w:rFonts w:cs="Arial"/>
        </w:rPr>
        <w:tab/>
        <w:t>in de chemische industrie gebruikte reactoren;</w:t>
      </w:r>
    </w:p>
    <w:p w:rsidR="00296032" w:rsidRPr="00620047" w:rsidRDefault="00296032">
      <w:pPr>
        <w:pStyle w:val="art2enivo"/>
        <w:rPr>
          <w:rFonts w:cs="Arial"/>
        </w:rPr>
      </w:pPr>
      <w:r w:rsidRPr="00620047">
        <w:rPr>
          <w:rFonts w:cs="Arial"/>
        </w:rPr>
        <w:t>f.</w:t>
      </w:r>
      <w:r w:rsidRPr="00620047">
        <w:rPr>
          <w:rFonts w:cs="Arial"/>
        </w:rPr>
        <w:tab/>
        <w:t>cokesovens;</w:t>
      </w:r>
    </w:p>
    <w:p w:rsidR="00296032" w:rsidRPr="00620047" w:rsidRDefault="00296032">
      <w:pPr>
        <w:pStyle w:val="art2enivo"/>
        <w:rPr>
          <w:rFonts w:cs="Arial"/>
        </w:rPr>
      </w:pPr>
      <w:r w:rsidRPr="00620047">
        <w:rPr>
          <w:rFonts w:cs="Arial"/>
        </w:rPr>
        <w:t>g.</w:t>
      </w:r>
      <w:r w:rsidRPr="00620047">
        <w:rPr>
          <w:rFonts w:cs="Arial"/>
        </w:rPr>
        <w:tab/>
        <w:t>windverhitters van hoogovens;</w:t>
      </w:r>
    </w:p>
    <w:p w:rsidR="00296032" w:rsidRPr="00620047" w:rsidRDefault="00296032">
      <w:pPr>
        <w:pStyle w:val="art2enivo"/>
        <w:rPr>
          <w:rFonts w:cs="Arial"/>
        </w:rPr>
      </w:pPr>
      <w:r w:rsidRPr="00620047">
        <w:rPr>
          <w:rFonts w:cs="Arial"/>
        </w:rPr>
        <w:t>h.</w:t>
      </w:r>
      <w:r w:rsidRPr="00620047">
        <w:rPr>
          <w:rFonts w:cs="Arial"/>
        </w:rPr>
        <w:tab/>
        <w:t>technische voorzieningen die bij de voortstuwing van een voertuig, schip of vliegtuig worden gebruikt;</w:t>
      </w:r>
    </w:p>
    <w:p w:rsidR="00296032" w:rsidRPr="00620047" w:rsidRDefault="00296032">
      <w:pPr>
        <w:pStyle w:val="art2enivo"/>
        <w:rPr>
          <w:rFonts w:cs="Arial"/>
        </w:rPr>
      </w:pPr>
      <w:r w:rsidRPr="00620047">
        <w:rPr>
          <w:rFonts w:cs="Arial"/>
        </w:rPr>
        <w:t>i.</w:t>
      </w:r>
      <w:r w:rsidRPr="00620047">
        <w:rPr>
          <w:rFonts w:cs="Arial"/>
        </w:rPr>
        <w:tab/>
        <w:t>gasturbines en gasmotoren die op offshoreplatforms worden gebruikt;</w:t>
      </w:r>
    </w:p>
    <w:p w:rsidR="00296032" w:rsidRPr="00620047" w:rsidRDefault="00296032">
      <w:pPr>
        <w:pStyle w:val="art2enivo"/>
        <w:rPr>
          <w:rFonts w:cs="Arial"/>
        </w:rPr>
      </w:pPr>
      <w:r w:rsidRPr="00620047">
        <w:rPr>
          <w:rFonts w:cs="Arial"/>
        </w:rPr>
        <w:t>j.</w:t>
      </w:r>
      <w:r w:rsidRPr="00620047">
        <w:rPr>
          <w:rFonts w:cs="Arial"/>
        </w:rPr>
        <w:tab/>
        <w:t>stookinstallaties waarvoor emissie-eisen zijn gesteld in paragraaf 5.2.</w:t>
      </w:r>
    </w:p>
    <w:p w:rsidR="00296032" w:rsidRPr="00620047" w:rsidRDefault="00296032">
      <w:pPr>
        <w:pStyle w:val="art1enivo"/>
        <w:rPr>
          <w:rFonts w:cs="Arial"/>
        </w:rPr>
      </w:pPr>
      <w:r w:rsidRPr="00620047">
        <w:rPr>
          <w:rFonts w:cs="Arial"/>
        </w:rPr>
        <w:t>2.</w:t>
      </w:r>
      <w:r w:rsidRPr="00620047">
        <w:rPr>
          <w:rFonts w:cs="Arial"/>
        </w:rPr>
        <w:tab/>
        <w:t>Voor de toepassing van deze paragraaf worden twee of meer stookinstallaties met een nominaal thermisch ingangsvermogen van 15 MW of meer als één stookinstallatie aangemerkt en worden de nominale thermische ingangsvermogens opgeteld indien:</w:t>
      </w:r>
    </w:p>
    <w:p w:rsidR="00296032" w:rsidRPr="00620047" w:rsidRDefault="00296032">
      <w:pPr>
        <w:pStyle w:val="art2enivo"/>
        <w:rPr>
          <w:rFonts w:cs="Arial"/>
        </w:rPr>
      </w:pPr>
      <w:r w:rsidRPr="00620047">
        <w:rPr>
          <w:rFonts w:cs="Arial"/>
        </w:rPr>
        <w:t>a.</w:t>
      </w:r>
      <w:r w:rsidRPr="00620047">
        <w:rPr>
          <w:rFonts w:cs="Arial"/>
        </w:rPr>
        <w:tab/>
        <w:t>de afgassen van die stookinstallaties via één schoorsteen worden afgevoerd, of</w:t>
      </w:r>
    </w:p>
    <w:p w:rsidR="00296032" w:rsidRPr="00620047" w:rsidRDefault="00296032">
      <w:pPr>
        <w:pStyle w:val="art2enivo"/>
        <w:rPr>
          <w:rFonts w:cs="Arial"/>
        </w:rPr>
      </w:pPr>
      <w:r w:rsidRPr="00620047">
        <w:rPr>
          <w:rFonts w:cs="Arial"/>
        </w:rPr>
        <w:t>b.</w:t>
      </w:r>
      <w:r w:rsidRPr="00620047">
        <w:rPr>
          <w:rFonts w:cs="Arial"/>
        </w:rPr>
        <w:tab/>
        <w:t>die stookinstallaties zodanig zijn gelegen dat de afgassen, naar het oordeel van het bevoegd gezag, op technisch en economisch aanvaardbare wijze via één schoorsteen kunnen worden afgevoerd.</w:t>
      </w:r>
    </w:p>
    <w:p w:rsidR="00296032" w:rsidRPr="00620047" w:rsidRDefault="00296032">
      <w:pPr>
        <w:pStyle w:val="art1enivo"/>
        <w:rPr>
          <w:rFonts w:cs="Arial"/>
        </w:rPr>
      </w:pPr>
      <w:r w:rsidRPr="00620047">
        <w:rPr>
          <w:rFonts w:cs="Arial"/>
        </w:rPr>
        <w:t>3.</w:t>
      </w:r>
      <w:r w:rsidRPr="00620047">
        <w:rPr>
          <w:rFonts w:cs="Arial"/>
        </w:rPr>
        <w:tab/>
        <w:t>Het begrip "vloeibare brandstof" is niet van toepassing op de installaties waarop deze paragraaf van toepassing is.</w:t>
      </w:r>
    </w:p>
    <w:p w:rsidR="00296032" w:rsidRPr="00620047" w:rsidRDefault="00296032">
      <w:pPr>
        <w:pStyle w:val="art1enivo"/>
        <w:rPr>
          <w:rFonts w:cs="Arial"/>
        </w:rPr>
      </w:pPr>
      <w:r w:rsidRPr="00620047">
        <w:rPr>
          <w:rFonts w:cs="Arial"/>
        </w:rPr>
        <w:t>4.</w:t>
      </w:r>
      <w:r w:rsidRPr="00620047">
        <w:rPr>
          <w:rFonts w:cs="Arial"/>
        </w:rPr>
        <w:tab/>
        <w:t>Voor de toepassing van deze paragraaf wordt onder bestaande grote stookinstallatie verstaan: grote stookinstallatie die op 30 oktober 1999, overeenkomstig de toen geldende regelgeving, in bedrijf was, of waarvoor een vergunning was verleend en die uiterlijk op 30 oktober 2000 in gebruik is genomen.</w:t>
      </w:r>
    </w:p>
    <w:p w:rsidR="00296032" w:rsidRPr="00296032" w:rsidRDefault="00296032">
      <w:pPr>
        <w:pStyle w:val="artikelkop"/>
        <w:rPr>
          <w:rFonts w:cs="Arial"/>
        </w:rPr>
      </w:pPr>
      <w:r w:rsidRPr="00296032">
        <w:rPr>
          <w:rFonts w:cs="Arial"/>
        </w:rPr>
        <w:t>Artikel 5.2</w:t>
      </w:r>
    </w:p>
    <w:p w:rsidR="00296032" w:rsidRPr="00620047" w:rsidRDefault="00296032">
      <w:pPr>
        <w:pStyle w:val="artplat"/>
        <w:rPr>
          <w:rFonts w:cs="Arial"/>
        </w:rPr>
      </w:pPr>
      <w:r w:rsidRPr="00620047">
        <w:rPr>
          <w:rFonts w:cs="Arial"/>
        </w:rPr>
        <w:t>Een grote stookinstallatie wordt op een zodanige wijze ontworpen, uitgerust, onderhouden en geëxploiteerd, met inbegrip van een op berekeningen gebaseerde hoogte van de schoorsteen, dat afgassen op gecontroleerde wijze door de schoorsteen worden afgevoerd en wordt voorkomen dat de emissies in de lucht leiden tot overschrijding van:</w:t>
      </w:r>
    </w:p>
    <w:p w:rsidR="00296032" w:rsidRPr="00620047" w:rsidRDefault="00296032">
      <w:pPr>
        <w:pStyle w:val="artplatletter"/>
        <w:rPr>
          <w:rFonts w:cs="Arial"/>
        </w:rPr>
      </w:pPr>
      <w:r w:rsidRPr="00620047">
        <w:rPr>
          <w:rFonts w:cs="Arial"/>
        </w:rPr>
        <w:t>a.</w:t>
      </w:r>
      <w:r w:rsidRPr="00620047">
        <w:rPr>
          <w:rFonts w:cs="Arial"/>
        </w:rPr>
        <w:tab/>
        <w:t>de bij of krachtens dit besluit geldende emissiegrenswaarden;</w:t>
      </w:r>
    </w:p>
    <w:p w:rsidR="00296032" w:rsidRPr="00620047" w:rsidRDefault="00296032">
      <w:pPr>
        <w:pStyle w:val="artplatletter"/>
        <w:rPr>
          <w:rFonts w:cs="Arial"/>
        </w:rPr>
      </w:pPr>
      <w:r w:rsidRPr="00620047">
        <w:rPr>
          <w:rFonts w:cs="Arial"/>
        </w:rPr>
        <w:t>b.</w:t>
      </w:r>
      <w:r w:rsidRPr="00620047">
        <w:rPr>
          <w:rFonts w:cs="Arial"/>
        </w:rPr>
        <w:tab/>
        <w:t>de in bijlage 2 van de wet opgenomen grenswaarden.</w:t>
      </w:r>
    </w:p>
    <w:p w:rsidR="00296032" w:rsidRPr="00296032" w:rsidRDefault="00296032">
      <w:pPr>
        <w:pStyle w:val="artikelkop"/>
        <w:rPr>
          <w:rFonts w:cs="Arial"/>
        </w:rPr>
      </w:pPr>
      <w:r w:rsidRPr="00296032">
        <w:rPr>
          <w:rFonts w:cs="Arial"/>
        </w:rPr>
        <w:t>Artikel 5.3</w:t>
      </w:r>
    </w:p>
    <w:p w:rsidR="00296032" w:rsidRPr="00620047" w:rsidRDefault="00296032">
      <w:pPr>
        <w:pStyle w:val="art1enivo"/>
        <w:rPr>
          <w:rFonts w:cs="Arial"/>
        </w:rPr>
      </w:pPr>
      <w:r w:rsidRPr="00620047">
        <w:rPr>
          <w:rFonts w:cs="Arial"/>
        </w:rPr>
        <w:t>1.</w:t>
      </w:r>
      <w:r w:rsidRPr="00620047">
        <w:rPr>
          <w:rFonts w:cs="Arial"/>
        </w:rPr>
        <w:tab/>
        <w:t>De emissiegrenswaarden, gesteld in deze paragraaf, zijn van toepassing op de emissies van alle gemeenschappelijke schoorstenen in relatie tot het totale nominale thermische ingangsvermogen van de gehele stookinstallatie.</w:t>
      </w:r>
    </w:p>
    <w:p w:rsidR="00296032" w:rsidRPr="00620047" w:rsidRDefault="00296032">
      <w:pPr>
        <w:pStyle w:val="art1enivo"/>
        <w:rPr>
          <w:rFonts w:cs="Arial"/>
        </w:rPr>
      </w:pPr>
      <w:r w:rsidRPr="00620047">
        <w:rPr>
          <w:rFonts w:cs="Arial"/>
        </w:rPr>
        <w:t>2.</w:t>
      </w:r>
      <w:r w:rsidRPr="00620047">
        <w:rPr>
          <w:rFonts w:cs="Arial"/>
        </w:rPr>
        <w:tab/>
        <w:t>Bij uitbreiding van een bestaande grote stookinstallatie zijn de emissiegrenswaarden voor grote stookinstallaties van toepassing op het uitgebreide gedeelte van de bestaande grote stookinstallatie waarop de wijziging betrekking heeft. De emissiegrenswaarden worden vastgesteld op grond van het totale nominale thermische ingangsvermogen van de gehele stookinstallatie.</w:t>
      </w:r>
    </w:p>
    <w:p w:rsidR="00296032" w:rsidRPr="00620047" w:rsidRDefault="00296032">
      <w:pPr>
        <w:pStyle w:val="art1enivo"/>
        <w:rPr>
          <w:rFonts w:cs="Arial"/>
        </w:rPr>
      </w:pPr>
      <w:r w:rsidRPr="00620047">
        <w:rPr>
          <w:rFonts w:cs="Arial"/>
        </w:rPr>
        <w:t>3.</w:t>
      </w:r>
      <w:r w:rsidRPr="00620047">
        <w:rPr>
          <w:rFonts w:cs="Arial"/>
        </w:rPr>
        <w:tab/>
        <w:t>In geval van een wijziging van een bestaande grote stookinstallatie die gevolgen kan hebben voor het milieu en die betrekking heeft op een gedeelte van een bestaande grote stookinstallatie met een nominaal thermisch ingangsvermogen van 50 MW of meer, zijn de emissiegrenswaarden voor grote stookinstallaties van toepassing op het gedeelte van de bestaande grote stookinstallatie dat is gewijzigd in relatie tot het totale nominale thermische ingangsvermogen van de gehele stookinstallatie.</w:t>
      </w:r>
    </w:p>
    <w:p w:rsidR="00296032" w:rsidRPr="00620047" w:rsidRDefault="00296032">
      <w:pPr>
        <w:pStyle w:val="art1enivo"/>
        <w:rPr>
          <w:rFonts w:cs="Arial"/>
        </w:rPr>
      </w:pPr>
      <w:r w:rsidRPr="00620047">
        <w:rPr>
          <w:rFonts w:cs="Arial"/>
        </w:rPr>
        <w:t>4.</w:t>
      </w:r>
      <w:r w:rsidRPr="00620047">
        <w:rPr>
          <w:rFonts w:cs="Arial"/>
        </w:rPr>
        <w:tab/>
        <w:t>Voor de berekening van de emissies van een grote stookinstallatie wordt de massaconcentratie aan zwaveldioxide, stikstofoxiden of totaal stof herleid op een volumegehalte aan zuurstof van:</w:t>
      </w:r>
    </w:p>
    <w:p w:rsidR="00296032" w:rsidRPr="00620047" w:rsidRDefault="00296032">
      <w:pPr>
        <w:pStyle w:val="art2enivo"/>
        <w:rPr>
          <w:rFonts w:cs="Arial"/>
        </w:rPr>
      </w:pPr>
      <w:r w:rsidRPr="00620047">
        <w:rPr>
          <w:rFonts w:cs="Arial"/>
        </w:rPr>
        <w:t>a.</w:t>
      </w:r>
      <w:r w:rsidRPr="00620047">
        <w:rPr>
          <w:rFonts w:cs="Arial"/>
        </w:rPr>
        <w:tab/>
        <w:t>ingeval het een grote stookinstallatie voor vaste brandstoffen betreft: 6 procent in afgas;</w:t>
      </w:r>
    </w:p>
    <w:p w:rsidR="00296032" w:rsidRPr="00620047" w:rsidRDefault="00296032">
      <w:pPr>
        <w:pStyle w:val="art2enivo"/>
        <w:rPr>
          <w:rFonts w:cs="Arial"/>
        </w:rPr>
      </w:pPr>
      <w:r w:rsidRPr="00620047">
        <w:rPr>
          <w:rFonts w:cs="Arial"/>
        </w:rPr>
        <w:t>b.</w:t>
      </w:r>
      <w:r w:rsidRPr="00620047">
        <w:rPr>
          <w:rFonts w:cs="Arial"/>
        </w:rPr>
        <w:tab/>
        <w:t>ingeval het een gasturbine of een gasmotor betreft: 15 procent in afgas;</w:t>
      </w:r>
    </w:p>
    <w:p w:rsidR="00296032" w:rsidRPr="00620047" w:rsidRDefault="00296032">
      <w:pPr>
        <w:pStyle w:val="art2enivo"/>
        <w:rPr>
          <w:rFonts w:cs="Arial"/>
        </w:rPr>
      </w:pPr>
      <w:r w:rsidRPr="00620047">
        <w:rPr>
          <w:rFonts w:cs="Arial"/>
        </w:rPr>
        <w:t>c.</w:t>
      </w:r>
      <w:r w:rsidRPr="00620047">
        <w:rPr>
          <w:rFonts w:cs="Arial"/>
        </w:rPr>
        <w:tab/>
        <w:t>ingeval het een andere grote stookinstallatie dan bedoeld onder a en b betreft: 3 procent in afgas.</w:t>
      </w:r>
    </w:p>
    <w:p w:rsidR="00296032" w:rsidRPr="00296032" w:rsidRDefault="00296032">
      <w:pPr>
        <w:pStyle w:val="artikelkop"/>
        <w:rPr>
          <w:rFonts w:cs="Arial"/>
        </w:rPr>
      </w:pPr>
      <w:r w:rsidRPr="00296032">
        <w:rPr>
          <w:rFonts w:cs="Arial"/>
        </w:rPr>
        <w:t>Artikel 5.4</w:t>
      </w:r>
    </w:p>
    <w:p w:rsidR="00296032" w:rsidRPr="00620047" w:rsidRDefault="00296032">
      <w:pPr>
        <w:pStyle w:val="art1enivo"/>
      </w:pPr>
      <w:r w:rsidRPr="00620047">
        <w:t>1.</w:t>
      </w:r>
      <w:r w:rsidRPr="00620047">
        <w:tab/>
        <w:t>De emissies van zwaveldioxide overschrijden de emissiegrenswaarden van tabel 5.4 niet.</w:t>
      </w:r>
    </w:p>
    <w:p w:rsidR="00044ACE" w:rsidRPr="00620047" w:rsidRDefault="00044ACE" w:rsidP="00044ACE">
      <w:pPr>
        <w:pStyle w:val="tabelkop"/>
        <w:rPr>
          <w:rFonts w:cs="Arial"/>
        </w:rPr>
      </w:pPr>
      <w:r w:rsidRPr="00620047">
        <w:rPr>
          <w:rFonts w:cs="Arial"/>
        </w:rPr>
        <w:t>Tabel 5.4</w:t>
      </w:r>
    </w:p>
    <w:tbl>
      <w:tblPr>
        <w:tblW w:w="0" w:type="auto"/>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51"/>
        <w:gridCol w:w="3941"/>
        <w:gridCol w:w="1058"/>
      </w:tblGrid>
      <w:tr w:rsidR="00044ACE" w:rsidRPr="00620047" w:rsidTr="00FC68FE">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jc w:val="center"/>
              <w:rPr>
                <w:rFonts w:cs="Arial"/>
                <w:b/>
                <w:bCs/>
                <w:sz w:val="18"/>
                <w:szCs w:val="18"/>
                <w:lang w:eastAsia="nl-NL"/>
              </w:rPr>
            </w:pPr>
            <w:r w:rsidRPr="00620047">
              <w:rPr>
                <w:rFonts w:cs="Arial"/>
                <w:b/>
                <w:bCs/>
                <w:iCs/>
                <w:sz w:val="18"/>
                <w:szCs w:val="18"/>
                <w:lang w:eastAsia="nl-NL"/>
              </w:rPr>
              <w:t>Vaste of vloeibare brandstoffen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jc w:val="center"/>
              <w:rPr>
                <w:rFonts w:cs="Arial"/>
                <w:b/>
                <w:bCs/>
                <w:sz w:val="18"/>
                <w:szCs w:val="18"/>
                <w:lang w:eastAsia="nl-NL"/>
              </w:rPr>
            </w:pPr>
            <w:r w:rsidRPr="00620047">
              <w:rPr>
                <w:rFonts w:cs="Arial"/>
                <w:b/>
                <w:bCs/>
                <w:iCs/>
                <w:sz w:val="18"/>
                <w:szCs w:val="18"/>
                <w:lang w:eastAsia="nl-NL"/>
              </w:rPr>
              <w:t>Totaal nominaal thermisch ingangsvermogen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line="240" w:lineRule="auto"/>
              <w:jc w:val="center"/>
              <w:rPr>
                <w:rFonts w:cs="Arial"/>
                <w:b/>
                <w:bCs/>
                <w:sz w:val="18"/>
                <w:szCs w:val="18"/>
                <w:lang w:eastAsia="nl-NL"/>
              </w:rPr>
            </w:pPr>
            <w:r w:rsidRPr="00620047">
              <w:rPr>
                <w:rFonts w:cs="Arial"/>
                <w:b/>
                <w:bCs/>
                <w:sz w:val="18"/>
                <w:szCs w:val="18"/>
                <w:lang w:eastAsia="nl-NL"/>
              </w:rPr>
              <w:t> </w:t>
            </w:r>
          </w:p>
        </w:tc>
      </w:tr>
      <w:tr w:rsidR="00044ACE" w:rsidRPr="00620047" w:rsidTr="00FC6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4ACE" w:rsidRPr="00620047" w:rsidRDefault="00044ACE" w:rsidP="00FC68FE">
            <w:pPr>
              <w:spacing w:line="240" w:lineRule="auto"/>
              <w:rPr>
                <w:rFonts w:cs="Arial"/>
                <w:b/>
                <w:bCs/>
                <w:sz w:val="18"/>
                <w:szCs w:val="18"/>
                <w:lang w:eastAsia="nl-NL"/>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rPr>
                <w:rFonts w:cs="Arial"/>
                <w:sz w:val="18"/>
                <w:szCs w:val="18"/>
                <w:lang w:eastAsia="nl-NL"/>
              </w:rPr>
            </w:pPr>
            <w:r w:rsidRPr="00620047">
              <w:rPr>
                <w:rFonts w:cs="Arial"/>
                <w:sz w:val="18"/>
                <w:szCs w:val="18"/>
                <w:lang w:eastAsia="nl-NL"/>
              </w:rPr>
              <w:t>50 - 300 MW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rPr>
                <w:rFonts w:cs="Arial"/>
                <w:sz w:val="18"/>
                <w:szCs w:val="18"/>
                <w:lang w:eastAsia="nl-NL"/>
              </w:rPr>
            </w:pPr>
            <w:r w:rsidRPr="00620047">
              <w:rPr>
                <w:rFonts w:cs="Arial"/>
                <w:sz w:val="18"/>
                <w:szCs w:val="18"/>
                <w:lang w:eastAsia="nl-NL"/>
              </w:rPr>
              <w:t>200 mg/Nm</w:t>
            </w:r>
            <w:r w:rsidRPr="00620047">
              <w:rPr>
                <w:rFonts w:cs="Arial"/>
                <w:sz w:val="18"/>
                <w:szCs w:val="18"/>
                <w:vertAlign w:val="superscript"/>
                <w:lang w:eastAsia="nl-NL"/>
              </w:rPr>
              <w:t>3</w:t>
            </w:r>
            <w:r w:rsidRPr="00620047">
              <w:rPr>
                <w:rFonts w:cs="Arial"/>
                <w:sz w:val="18"/>
                <w:szCs w:val="18"/>
                <w:lang w:eastAsia="nl-NL"/>
              </w:rPr>
              <w:t xml:space="preserve"> </w:t>
            </w:r>
          </w:p>
        </w:tc>
      </w:tr>
      <w:tr w:rsidR="00044ACE" w:rsidRPr="00620047" w:rsidTr="00FC6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4ACE" w:rsidRPr="00620047" w:rsidRDefault="00044ACE" w:rsidP="00FC68FE">
            <w:pPr>
              <w:spacing w:line="240" w:lineRule="auto"/>
              <w:rPr>
                <w:rFonts w:cs="Arial"/>
                <w:b/>
                <w:bCs/>
                <w:sz w:val="18"/>
                <w:szCs w:val="18"/>
                <w:lang w:eastAsia="nl-NL"/>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rPr>
                <w:rFonts w:cs="Arial"/>
                <w:sz w:val="18"/>
                <w:szCs w:val="18"/>
                <w:lang w:eastAsia="nl-NL"/>
              </w:rPr>
            </w:pPr>
            <w:r w:rsidRPr="00620047">
              <w:rPr>
                <w:rFonts w:cs="Arial"/>
                <w:sz w:val="18"/>
                <w:szCs w:val="18"/>
                <w:lang w:eastAsia="nl-NL"/>
              </w:rPr>
              <w:t>&gt; 300 MW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rPr>
                <w:rFonts w:cs="Arial"/>
                <w:sz w:val="18"/>
                <w:szCs w:val="18"/>
                <w:lang w:eastAsia="nl-NL"/>
              </w:rPr>
            </w:pPr>
            <w:r w:rsidRPr="00620047">
              <w:rPr>
                <w:rFonts w:cs="Arial"/>
                <w:sz w:val="18"/>
                <w:szCs w:val="18"/>
                <w:lang w:eastAsia="nl-NL"/>
              </w:rPr>
              <w:t>150 mg/Nm</w:t>
            </w:r>
            <w:r w:rsidRPr="00620047">
              <w:rPr>
                <w:rFonts w:cs="Arial"/>
                <w:sz w:val="18"/>
                <w:szCs w:val="18"/>
                <w:vertAlign w:val="superscript"/>
                <w:lang w:eastAsia="nl-NL"/>
              </w:rPr>
              <w:t>3</w:t>
            </w:r>
            <w:r w:rsidRPr="00620047">
              <w:rPr>
                <w:rFonts w:cs="Arial"/>
                <w:sz w:val="18"/>
                <w:szCs w:val="18"/>
                <w:lang w:eastAsia="nl-NL"/>
              </w:rPr>
              <w:t xml:space="preserve"> </w:t>
            </w:r>
          </w:p>
        </w:tc>
      </w:tr>
      <w:tr w:rsidR="00044ACE" w:rsidRPr="00620047" w:rsidTr="00FC6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rPr>
                <w:rFonts w:cs="Arial"/>
                <w:b/>
                <w:sz w:val="18"/>
                <w:szCs w:val="18"/>
                <w:lang w:eastAsia="nl-NL"/>
              </w:rPr>
            </w:pPr>
            <w:r w:rsidRPr="00620047">
              <w:rPr>
                <w:rFonts w:cs="Arial"/>
                <w:b/>
                <w:iCs/>
                <w:sz w:val="18"/>
                <w:szCs w:val="18"/>
                <w:lang w:eastAsia="nl-NL"/>
              </w:rPr>
              <w:t>Gasvormige brandstoffen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rPr>
                <w:rFonts w:cs="Arial"/>
                <w:b/>
                <w:sz w:val="18"/>
                <w:szCs w:val="18"/>
                <w:lang w:eastAsia="nl-NL"/>
              </w:rPr>
            </w:pPr>
            <w:r w:rsidRPr="00620047">
              <w:rPr>
                <w:rFonts w:cs="Arial"/>
                <w:b/>
                <w:iCs/>
                <w:sz w:val="18"/>
                <w:szCs w:val="18"/>
                <w:lang w:eastAsia="nl-NL"/>
              </w:rPr>
              <w:t>Type brandstof</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line="240" w:lineRule="auto"/>
              <w:rPr>
                <w:rFonts w:cs="Arial"/>
                <w:sz w:val="18"/>
                <w:szCs w:val="18"/>
                <w:lang w:eastAsia="nl-NL"/>
              </w:rPr>
            </w:pPr>
            <w:r w:rsidRPr="00620047">
              <w:rPr>
                <w:rFonts w:cs="Arial"/>
                <w:sz w:val="18"/>
                <w:szCs w:val="18"/>
                <w:lang w:eastAsia="nl-NL"/>
              </w:rPr>
              <w:t> </w:t>
            </w:r>
          </w:p>
        </w:tc>
      </w:tr>
      <w:tr w:rsidR="00044ACE" w:rsidRPr="00620047" w:rsidTr="00FC6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4ACE" w:rsidRPr="00620047" w:rsidRDefault="00044ACE" w:rsidP="00FC68FE">
            <w:pPr>
              <w:spacing w:line="240" w:lineRule="auto"/>
              <w:rPr>
                <w:rFonts w:cs="Arial"/>
                <w:b/>
                <w:sz w:val="18"/>
                <w:szCs w:val="18"/>
                <w:lang w:eastAsia="nl-NL"/>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pStyle w:val="artplatletter"/>
              <w:rPr>
                <w:rFonts w:cs="Arial"/>
                <w:sz w:val="18"/>
                <w:lang w:eastAsia="nl-NL"/>
              </w:rPr>
            </w:pPr>
            <w:r w:rsidRPr="00620047">
              <w:rPr>
                <w:rFonts w:cs="Arial"/>
                <w:sz w:val="18"/>
                <w:lang w:eastAsia="nl-NL"/>
              </w:rPr>
              <w:t>-</w:t>
            </w:r>
            <w:r w:rsidRPr="00620047">
              <w:rPr>
                <w:rFonts w:cs="Arial"/>
                <w:sz w:val="18"/>
                <w:lang w:eastAsia="nl-NL"/>
              </w:rPr>
              <w:tab/>
              <w:t>vloeibaar gemaakt gas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rPr>
                <w:rFonts w:cs="Arial"/>
                <w:sz w:val="18"/>
                <w:szCs w:val="18"/>
                <w:lang w:eastAsia="nl-NL"/>
              </w:rPr>
            </w:pPr>
            <w:r w:rsidRPr="00620047">
              <w:rPr>
                <w:rFonts w:cs="Arial"/>
                <w:sz w:val="18"/>
                <w:szCs w:val="18"/>
                <w:lang w:eastAsia="nl-NL"/>
              </w:rPr>
              <w:t>5 mg/Nm</w:t>
            </w:r>
            <w:r w:rsidRPr="00620047">
              <w:rPr>
                <w:rFonts w:cs="Arial"/>
                <w:sz w:val="18"/>
                <w:szCs w:val="18"/>
                <w:vertAlign w:val="superscript"/>
                <w:lang w:eastAsia="nl-NL"/>
              </w:rPr>
              <w:t>3</w:t>
            </w:r>
            <w:r w:rsidRPr="00620047">
              <w:rPr>
                <w:rFonts w:cs="Arial"/>
                <w:sz w:val="18"/>
                <w:szCs w:val="18"/>
                <w:lang w:eastAsia="nl-NL"/>
              </w:rPr>
              <w:t xml:space="preserve"> </w:t>
            </w:r>
          </w:p>
        </w:tc>
      </w:tr>
      <w:tr w:rsidR="00044ACE" w:rsidRPr="00620047" w:rsidTr="00FC6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4ACE" w:rsidRPr="00620047" w:rsidRDefault="00044ACE" w:rsidP="00FC68FE">
            <w:pPr>
              <w:spacing w:line="240" w:lineRule="auto"/>
              <w:rPr>
                <w:rFonts w:cs="Arial"/>
                <w:b/>
                <w:sz w:val="18"/>
                <w:szCs w:val="18"/>
                <w:lang w:eastAsia="nl-NL"/>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pStyle w:val="artplatletter"/>
              <w:rPr>
                <w:rFonts w:cs="Arial"/>
                <w:sz w:val="18"/>
                <w:lang w:eastAsia="nl-NL"/>
              </w:rPr>
            </w:pPr>
            <w:r w:rsidRPr="00620047">
              <w:rPr>
                <w:rFonts w:cs="Arial"/>
                <w:sz w:val="18"/>
                <w:lang w:eastAsia="nl-NL"/>
              </w:rPr>
              <w:t>-</w:t>
            </w:r>
            <w:r w:rsidRPr="00620047">
              <w:rPr>
                <w:rFonts w:cs="Arial"/>
                <w:sz w:val="18"/>
                <w:lang w:eastAsia="nl-NL"/>
              </w:rPr>
              <w:tab/>
              <w:t>cokesovengas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rPr>
                <w:rFonts w:cs="Arial"/>
                <w:sz w:val="18"/>
                <w:szCs w:val="18"/>
                <w:lang w:eastAsia="nl-NL"/>
              </w:rPr>
            </w:pPr>
            <w:r w:rsidRPr="00620047">
              <w:rPr>
                <w:rFonts w:cs="Arial"/>
                <w:sz w:val="18"/>
                <w:szCs w:val="18"/>
                <w:lang w:eastAsia="nl-NL"/>
              </w:rPr>
              <w:t>400 mg/Nm</w:t>
            </w:r>
            <w:r w:rsidRPr="00620047">
              <w:rPr>
                <w:rFonts w:cs="Arial"/>
                <w:sz w:val="18"/>
                <w:szCs w:val="18"/>
                <w:vertAlign w:val="superscript"/>
                <w:lang w:eastAsia="nl-NL"/>
              </w:rPr>
              <w:t>3</w:t>
            </w:r>
            <w:r w:rsidRPr="00620047">
              <w:rPr>
                <w:rFonts w:cs="Arial"/>
                <w:sz w:val="18"/>
                <w:szCs w:val="18"/>
                <w:lang w:eastAsia="nl-NL"/>
              </w:rPr>
              <w:t xml:space="preserve"> </w:t>
            </w:r>
          </w:p>
        </w:tc>
      </w:tr>
      <w:tr w:rsidR="00044ACE" w:rsidRPr="00620047" w:rsidTr="00FC6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4ACE" w:rsidRPr="00620047" w:rsidRDefault="00044ACE" w:rsidP="00FC68FE">
            <w:pPr>
              <w:spacing w:line="240" w:lineRule="auto"/>
              <w:rPr>
                <w:rFonts w:cs="Arial"/>
                <w:b/>
                <w:sz w:val="18"/>
                <w:szCs w:val="18"/>
                <w:lang w:eastAsia="nl-NL"/>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pStyle w:val="artplatletter"/>
              <w:rPr>
                <w:rFonts w:cs="Arial"/>
                <w:sz w:val="18"/>
                <w:lang w:eastAsia="nl-NL"/>
              </w:rPr>
            </w:pPr>
            <w:r w:rsidRPr="00620047">
              <w:rPr>
                <w:rFonts w:cs="Arial"/>
                <w:sz w:val="18"/>
                <w:lang w:eastAsia="nl-NL"/>
              </w:rPr>
              <w:t>-</w:t>
            </w:r>
            <w:r w:rsidRPr="00620047">
              <w:rPr>
                <w:rFonts w:cs="Arial"/>
                <w:sz w:val="18"/>
                <w:lang w:eastAsia="nl-NL"/>
              </w:rPr>
              <w:tab/>
              <w:t>hoogovengas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rPr>
                <w:rFonts w:cs="Arial"/>
                <w:sz w:val="18"/>
                <w:szCs w:val="18"/>
                <w:lang w:eastAsia="nl-NL"/>
              </w:rPr>
            </w:pPr>
            <w:r w:rsidRPr="00620047">
              <w:rPr>
                <w:rFonts w:cs="Arial"/>
                <w:sz w:val="18"/>
                <w:szCs w:val="18"/>
                <w:lang w:eastAsia="nl-NL"/>
              </w:rPr>
              <w:t>150 mg/Nm</w:t>
            </w:r>
            <w:r w:rsidRPr="00620047">
              <w:rPr>
                <w:rFonts w:cs="Arial"/>
                <w:sz w:val="18"/>
                <w:szCs w:val="18"/>
                <w:vertAlign w:val="superscript"/>
                <w:lang w:eastAsia="nl-NL"/>
              </w:rPr>
              <w:t>3</w:t>
            </w:r>
            <w:r w:rsidRPr="00620047">
              <w:rPr>
                <w:rFonts w:cs="Arial"/>
                <w:sz w:val="18"/>
                <w:szCs w:val="18"/>
                <w:lang w:eastAsia="nl-NL"/>
              </w:rPr>
              <w:t xml:space="preserve"> </w:t>
            </w:r>
          </w:p>
        </w:tc>
      </w:tr>
      <w:tr w:rsidR="00044ACE" w:rsidRPr="00620047" w:rsidTr="00FC6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4ACE" w:rsidRPr="00620047" w:rsidRDefault="00044ACE" w:rsidP="00FC68FE">
            <w:pPr>
              <w:spacing w:line="240" w:lineRule="auto"/>
              <w:rPr>
                <w:rFonts w:cs="Arial"/>
                <w:b/>
                <w:sz w:val="18"/>
                <w:szCs w:val="18"/>
                <w:lang w:eastAsia="nl-NL"/>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pStyle w:val="artplatletter"/>
              <w:rPr>
                <w:rFonts w:cs="Arial"/>
                <w:sz w:val="18"/>
                <w:lang w:eastAsia="nl-NL"/>
              </w:rPr>
            </w:pPr>
            <w:r w:rsidRPr="00620047">
              <w:rPr>
                <w:rFonts w:cs="Arial"/>
                <w:sz w:val="18"/>
                <w:lang w:eastAsia="nl-NL"/>
              </w:rPr>
              <w:t>-</w:t>
            </w:r>
            <w:r w:rsidRPr="00620047">
              <w:rPr>
                <w:rFonts w:cs="Arial"/>
                <w:sz w:val="18"/>
                <w:lang w:eastAsia="nl-NL"/>
              </w:rPr>
              <w:tab/>
              <w:t>andere gasvormige brandstoffen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44ACE" w:rsidRPr="00620047" w:rsidRDefault="00044ACE" w:rsidP="00FC68FE">
            <w:pPr>
              <w:spacing w:before="100" w:beforeAutospacing="1" w:after="100" w:afterAutospacing="1" w:line="240" w:lineRule="auto"/>
              <w:rPr>
                <w:rFonts w:cs="Arial"/>
                <w:sz w:val="18"/>
                <w:szCs w:val="18"/>
                <w:lang w:eastAsia="nl-NL"/>
              </w:rPr>
            </w:pPr>
            <w:r w:rsidRPr="00620047">
              <w:rPr>
                <w:rFonts w:cs="Arial"/>
                <w:sz w:val="18"/>
                <w:szCs w:val="18"/>
                <w:lang w:eastAsia="nl-NL"/>
              </w:rPr>
              <w:t>35 mg/Nm</w:t>
            </w:r>
            <w:r w:rsidRPr="00620047">
              <w:rPr>
                <w:rFonts w:cs="Arial"/>
                <w:sz w:val="18"/>
                <w:szCs w:val="18"/>
                <w:vertAlign w:val="superscript"/>
                <w:lang w:eastAsia="nl-NL"/>
              </w:rPr>
              <w:t>3</w:t>
            </w:r>
            <w:r w:rsidRPr="00620047">
              <w:rPr>
                <w:rFonts w:cs="Arial"/>
                <w:sz w:val="18"/>
                <w:szCs w:val="18"/>
                <w:lang w:eastAsia="nl-NL"/>
              </w:rPr>
              <w:t xml:space="preserve"> </w:t>
            </w:r>
          </w:p>
        </w:tc>
      </w:tr>
    </w:tbl>
    <w:p w:rsidR="00044ACE" w:rsidRDefault="00044ACE">
      <w:pPr>
        <w:pStyle w:val="art1enivo"/>
      </w:pPr>
    </w:p>
    <w:p w:rsidR="00296032" w:rsidRPr="00620047" w:rsidRDefault="00296032">
      <w:pPr>
        <w:pStyle w:val="art1enivo"/>
      </w:pPr>
      <w:r w:rsidRPr="00620047">
        <w:t>2.</w:t>
      </w:r>
      <w:r w:rsidRPr="00620047">
        <w:tab/>
        <w:t>In afwijking van het eerste lid stelt het bevoegd gezag bij vergunningvoorschrift voor een grote stookinstallatie een emissiegrenswaarde voor zwaveldioxide van ten hoogste 500 mg/ Nm3 vast, indien:</w:t>
      </w:r>
    </w:p>
    <w:p w:rsidR="00296032" w:rsidRPr="00620047" w:rsidRDefault="00296032">
      <w:pPr>
        <w:pStyle w:val="art2enivo"/>
      </w:pPr>
      <w:r w:rsidRPr="00620047">
        <w:t>a.</w:t>
      </w:r>
      <w:r w:rsidRPr="00620047">
        <w:tab/>
        <w:t>voor de stookinstallatie voor 27 november 2002 een vergunning was verleend of een volledige aanvraag tot vergunningverlening was ingediend</w:t>
      </w:r>
      <w:r w:rsidR="00044ACE">
        <w:t>,</w:t>
      </w:r>
    </w:p>
    <w:p w:rsidR="00296032" w:rsidRPr="00620047" w:rsidRDefault="00296032">
      <w:pPr>
        <w:pStyle w:val="art2enivo"/>
      </w:pPr>
      <w:r w:rsidRPr="00620047">
        <w:t>b.</w:t>
      </w:r>
      <w:r w:rsidRPr="00620047">
        <w:tab/>
        <w:t>de stookinstallatie uiterlijk 27 november 2003, overeenkomstig de toen geldende regelgeving, in bedrijf was, en</w:t>
      </w:r>
    </w:p>
    <w:p w:rsidR="00296032" w:rsidRPr="00620047" w:rsidRDefault="00296032">
      <w:pPr>
        <w:pStyle w:val="art2enivo"/>
      </w:pPr>
      <w:r w:rsidRPr="00620047">
        <w:t>c.</w:t>
      </w:r>
      <w:r w:rsidRPr="00620047">
        <w:tab/>
        <w:t>de stookinstallatie gestookt wordt met gassen met lage calorische waarde, verkregen door vergassing van raffinaderijresiduen.</w:t>
      </w:r>
    </w:p>
    <w:p w:rsidR="00296032" w:rsidRPr="00620047" w:rsidRDefault="00296032"/>
    <w:p w:rsidR="00296032" w:rsidRPr="00296032" w:rsidRDefault="00296032">
      <w:pPr>
        <w:pStyle w:val="artikelkop"/>
        <w:rPr>
          <w:rFonts w:cs="Arial"/>
        </w:rPr>
      </w:pPr>
      <w:r w:rsidRPr="00296032">
        <w:rPr>
          <w:rFonts w:cs="Arial"/>
        </w:rPr>
        <w:t>Artikel 5.5</w:t>
      </w:r>
    </w:p>
    <w:p w:rsidR="00296032" w:rsidRPr="00620047" w:rsidRDefault="00296032">
      <w:pPr>
        <w:pStyle w:val="art1enivo"/>
        <w:rPr>
          <w:rFonts w:cs="Arial"/>
        </w:rPr>
      </w:pPr>
      <w:r w:rsidRPr="00620047">
        <w:rPr>
          <w:rFonts w:cs="Arial"/>
        </w:rPr>
        <w:t>1.</w:t>
      </w:r>
      <w:r w:rsidRPr="00620047">
        <w:rPr>
          <w:rFonts w:cs="Arial"/>
        </w:rPr>
        <w:tab/>
        <w:t>De emissies van stikstofoxiden overschrijden de emissiegrenswaarden van tabel 5.5 niet.</w:t>
      </w:r>
    </w:p>
    <w:p w:rsidR="00296032" w:rsidRPr="00620047" w:rsidRDefault="00296032">
      <w:pPr>
        <w:pStyle w:val="tabelkop"/>
        <w:rPr>
          <w:rFonts w:cs="Arial"/>
        </w:rPr>
      </w:pPr>
      <w:r w:rsidRPr="00620047">
        <w:rPr>
          <w:rFonts w:cs="Arial"/>
        </w:rPr>
        <w:t>Tabel 5.5</w:t>
      </w:r>
    </w:p>
    <w:tbl>
      <w:tblPr>
        <w:tblW w:w="0" w:type="auto"/>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95"/>
        <w:gridCol w:w="5819"/>
        <w:gridCol w:w="1417"/>
      </w:tblGrid>
      <w:tr w:rsidR="00296032" w:rsidRPr="00620047">
        <w:trPr>
          <w:tblHeade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b/>
                <w:bCs/>
                <w:sz w:val="18"/>
                <w:szCs w:val="18"/>
                <w:lang w:eastAsia="nl-NL"/>
              </w:rPr>
            </w:pPr>
            <w:r w:rsidRPr="00620047">
              <w:rPr>
                <w:rFonts w:cs="Arial"/>
                <w:b/>
                <w:bCs/>
                <w:sz w:val="18"/>
                <w:szCs w:val="18"/>
                <w:lang w:eastAsia="nl-NL"/>
              </w:rPr>
              <w:t>Vaste brandstoffen</w:t>
            </w: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line="240" w:lineRule="auto"/>
              <w:rPr>
                <w:rFonts w:cs="Arial"/>
                <w:b/>
                <w:bCs/>
                <w:sz w:val="18"/>
                <w:szCs w:val="18"/>
                <w:lang w:eastAsia="nl-NL"/>
              </w:rPr>
            </w:pPr>
            <w:r w:rsidRPr="00620047">
              <w:rPr>
                <w:rFonts w:cs="Arial"/>
                <w:b/>
                <w:bCs/>
                <w:sz w:val="18"/>
                <w:szCs w:val="18"/>
                <w:lang w:eastAsia="nl-NL"/>
              </w:rPr>
              <w:t> </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b/>
                <w:bCs/>
                <w:sz w:val="18"/>
                <w:szCs w:val="18"/>
                <w:lang w:eastAsia="nl-NL"/>
              </w:rPr>
            </w:pPr>
            <w:r w:rsidRPr="00620047">
              <w:rPr>
                <w:rFonts w:cs="Arial"/>
                <w:b/>
                <w:bCs/>
                <w:sz w:val="18"/>
                <w:szCs w:val="18"/>
                <w:lang w:eastAsia="nl-NL"/>
              </w:rPr>
              <w:t>100 mg/Nm</w:t>
            </w:r>
            <w:r w:rsidRPr="00620047">
              <w:rPr>
                <w:rFonts w:cs="Arial"/>
                <w:b/>
                <w:bCs/>
                <w:sz w:val="18"/>
                <w:szCs w:val="18"/>
                <w:vertAlign w:val="superscript"/>
                <w:lang w:eastAsia="nl-NL"/>
              </w:rPr>
              <w:t>3</w:t>
            </w:r>
            <w:r w:rsidRPr="00620047">
              <w:rPr>
                <w:rFonts w:cs="Arial"/>
                <w:b/>
                <w:bCs/>
                <w:sz w:val="18"/>
                <w:szCs w:val="18"/>
                <w:lang w:eastAsia="nl-NL"/>
              </w:rPr>
              <w:t xml:space="preserve"> </w:t>
            </w:r>
          </w:p>
        </w:tc>
      </w:tr>
      <w:tr w:rsidR="00296032" w:rsidRPr="0062004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b/>
                <w:sz w:val="18"/>
                <w:szCs w:val="18"/>
                <w:lang w:eastAsia="nl-NL"/>
              </w:rPr>
            </w:pPr>
            <w:r w:rsidRPr="00620047">
              <w:rPr>
                <w:rFonts w:cs="Arial"/>
                <w:b/>
                <w:iCs/>
                <w:sz w:val="18"/>
                <w:szCs w:val="18"/>
                <w:lang w:eastAsia="nl-NL"/>
              </w:rPr>
              <w:t>Vloeibare brandstoffen</w:t>
            </w: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b/>
                <w:sz w:val="18"/>
                <w:szCs w:val="18"/>
                <w:lang w:eastAsia="nl-NL"/>
              </w:rPr>
            </w:pPr>
            <w:r w:rsidRPr="00620047">
              <w:rPr>
                <w:rFonts w:cs="Arial"/>
                <w:b/>
                <w:iCs/>
                <w:sz w:val="18"/>
                <w:szCs w:val="18"/>
                <w:lang w:eastAsia="nl-NL"/>
              </w:rPr>
              <w:t>Type installatie, totaal nominaal thermisch ingangsvermogen</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line="240" w:lineRule="auto"/>
              <w:rPr>
                <w:rFonts w:cs="Arial"/>
                <w:sz w:val="18"/>
                <w:szCs w:val="18"/>
                <w:lang w:eastAsia="nl-NL"/>
              </w:rPr>
            </w:pPr>
            <w:r w:rsidRPr="00620047">
              <w:rPr>
                <w:rFonts w:cs="Arial"/>
                <w:sz w:val="18"/>
                <w:szCs w:val="18"/>
                <w:lang w:eastAsia="nl-NL"/>
              </w:rPr>
              <w:t>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gasturbine, met inbegrip van een STEG</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50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 xml:space="preserve">bestaande grote stookinstallatie, indien wordt gestookt met vloeibare productieresiduen als niet-commerciële brandstof afkomstig uit de eigen installatie </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150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andere grote stookinstallatie, 50 - 300 MW</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120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andere grote stookinstallatie, &gt; 300 MW</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100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b/>
                <w:sz w:val="18"/>
                <w:szCs w:val="18"/>
                <w:lang w:eastAsia="nl-NL"/>
              </w:rPr>
            </w:pPr>
            <w:r w:rsidRPr="00620047">
              <w:rPr>
                <w:rFonts w:cs="Arial"/>
                <w:b/>
                <w:iCs/>
                <w:sz w:val="18"/>
                <w:szCs w:val="18"/>
                <w:lang w:eastAsia="nl-NL"/>
              </w:rPr>
              <w:t>Gasvormige brandstoffen</w:t>
            </w:r>
          </w:p>
          <w:p w:rsidR="00296032" w:rsidRPr="00620047" w:rsidRDefault="00296032">
            <w:pPr>
              <w:rPr>
                <w:rFonts w:cs="Arial"/>
                <w:b/>
                <w:sz w:val="18"/>
                <w:szCs w:val="18"/>
                <w:lang w:eastAsia="nl-NL"/>
              </w:rPr>
            </w:pPr>
            <w:r w:rsidRPr="00620047">
              <w:rPr>
                <w:rFonts w:cs="Arial"/>
                <w:b/>
                <w:sz w:val="18"/>
                <w:szCs w:val="18"/>
                <w:lang w:eastAsia="nl-NL"/>
              </w:rPr>
              <w:t> </w:t>
            </w: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b/>
                <w:sz w:val="18"/>
                <w:szCs w:val="18"/>
                <w:lang w:eastAsia="nl-NL"/>
              </w:rPr>
            </w:pPr>
            <w:r w:rsidRPr="00620047">
              <w:rPr>
                <w:rFonts w:cs="Arial"/>
                <w:b/>
                <w:iCs/>
                <w:sz w:val="18"/>
                <w:szCs w:val="18"/>
                <w:lang w:eastAsia="nl-NL"/>
              </w:rPr>
              <w:t>Type installatie, type brandstof</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line="240" w:lineRule="auto"/>
              <w:rPr>
                <w:rFonts w:cs="Arial"/>
                <w:sz w:val="18"/>
                <w:szCs w:val="18"/>
                <w:lang w:eastAsia="nl-NL"/>
              </w:rPr>
            </w:pPr>
            <w:r w:rsidRPr="00620047">
              <w:rPr>
                <w:rFonts w:cs="Arial"/>
                <w:sz w:val="18"/>
                <w:szCs w:val="18"/>
                <w:lang w:eastAsia="nl-NL"/>
              </w:rPr>
              <w:t>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gasturbine, met inbegrip van een STEG</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50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gasmotor</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33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bestaande grote stookinstallatie indien het een gasturbine betreft, met inbegrip van een STEG, die met aardgas wordt gestookt:</w:t>
            </w:r>
          </w:p>
          <w:p w:rsidR="00296032" w:rsidRPr="00620047" w:rsidRDefault="00296032">
            <w:pPr>
              <w:pStyle w:val="art2enivo"/>
              <w:rPr>
                <w:rFonts w:cs="Arial"/>
                <w:sz w:val="18"/>
                <w:lang w:eastAsia="nl-NL"/>
              </w:rPr>
            </w:pPr>
            <w:r w:rsidRPr="00620047">
              <w:rPr>
                <w:rFonts w:cs="Arial"/>
                <w:lang w:eastAsia="nl-NL"/>
              </w:rPr>
              <w:t>a.</w:t>
            </w:r>
            <w:r w:rsidRPr="00620047">
              <w:rPr>
                <w:rFonts w:cs="Arial"/>
                <w:lang w:eastAsia="nl-NL"/>
              </w:rPr>
              <w:tab/>
            </w:r>
            <w:r w:rsidRPr="00620047">
              <w:rPr>
                <w:rFonts w:cs="Arial"/>
                <w:sz w:val="18"/>
                <w:lang w:eastAsia="nl-NL"/>
              </w:rPr>
              <w:t>die in een systeem met warmtekrachtkoppeling wordt gebruikt met een rendement van meer dan 75%,</w:t>
            </w:r>
          </w:p>
          <w:p w:rsidR="00296032" w:rsidRPr="00620047" w:rsidRDefault="00296032">
            <w:pPr>
              <w:pStyle w:val="art2enivo"/>
              <w:rPr>
                <w:rFonts w:cs="Arial"/>
                <w:sz w:val="18"/>
                <w:szCs w:val="18"/>
                <w:lang w:eastAsia="nl-NL"/>
              </w:rPr>
            </w:pPr>
            <w:r w:rsidRPr="00620047">
              <w:rPr>
                <w:rFonts w:cs="Arial"/>
                <w:sz w:val="18"/>
                <w:lang w:eastAsia="nl-NL"/>
              </w:rPr>
              <w:t>b.</w:t>
            </w:r>
            <w:r w:rsidRPr="00620047">
              <w:rPr>
                <w:rFonts w:cs="Arial"/>
                <w:sz w:val="18"/>
                <w:lang w:eastAsia="nl-NL"/>
              </w:rPr>
              <w:tab/>
              <w:t xml:space="preserve">die in een </w:t>
            </w:r>
            <w:r w:rsidRPr="00620047">
              <w:rPr>
                <w:rFonts w:cs="Arial"/>
                <w:sz w:val="18"/>
                <w:szCs w:val="18"/>
                <w:lang w:eastAsia="nl-NL"/>
              </w:rPr>
              <w:t>warmtekrachtcentrale wordt gebruikt met een gemiddeld jaarlijks totaal elektrisch rendement van meer dan 55%, of</w:t>
            </w:r>
          </w:p>
          <w:p w:rsidR="00296032" w:rsidRPr="00620047" w:rsidRDefault="00296032">
            <w:pPr>
              <w:pStyle w:val="art2enivo"/>
              <w:rPr>
                <w:rFonts w:cs="Arial"/>
                <w:sz w:val="18"/>
                <w:szCs w:val="18"/>
                <w:lang w:eastAsia="nl-NL"/>
              </w:rPr>
            </w:pPr>
            <w:r w:rsidRPr="00620047">
              <w:rPr>
                <w:rFonts w:cs="Arial"/>
                <w:sz w:val="18"/>
                <w:szCs w:val="18"/>
                <w:lang w:eastAsia="nl-NL"/>
              </w:rPr>
              <w:t>c.</w:t>
            </w:r>
            <w:r w:rsidRPr="00620047">
              <w:rPr>
                <w:rFonts w:cs="Arial"/>
                <w:sz w:val="18"/>
                <w:szCs w:val="18"/>
                <w:lang w:eastAsia="nl-NL"/>
              </w:rPr>
              <w:tab/>
              <w:t>die voor mechanische aandrijving wordt gebruikt,</w:t>
            </w:r>
          </w:p>
          <w:p w:rsidR="00296032" w:rsidRPr="00620047" w:rsidRDefault="00296032">
            <w:pPr>
              <w:pStyle w:val="artplatletter"/>
              <w:rPr>
                <w:rFonts w:cs="Arial"/>
                <w:sz w:val="18"/>
                <w:lang w:eastAsia="nl-NL"/>
              </w:rPr>
            </w:pPr>
            <w:r w:rsidRPr="00620047">
              <w:rPr>
                <w:rFonts w:cs="Arial"/>
                <w:sz w:val="18"/>
                <w:lang w:eastAsia="nl-NL"/>
              </w:rPr>
              <w:tab/>
              <w:t>waarin het rendement van de gasturbine wordt vastgesteld in ISO-basisbelastingsomstandigheden</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75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 xml:space="preserve">bestaande grote stookinstallatie indien het een gasturbine betreft, met inbegrip van een STEG, die met andere gassen wordt gestookt </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75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 xml:space="preserve">bestaande grote stookinstallatie, indien wordt gestookt met hoogovengas, cokesovengas, gassen met lage calorische waarde verkregen door vergassing van raffinageresiduen, of andere gassen, uitgezonderd een gasturbine en gasmotor </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150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 xml:space="preserve">andere grote stookinstallatie, indien wordt gestookt met hoogovengas, cokesovengas, gassen met lage calorische waarde verkregen door vergassing van raffinageresiduen, of andere gassen </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100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58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pStyle w:val="artplatletter"/>
              <w:rPr>
                <w:rFonts w:cs="Arial"/>
                <w:sz w:val="18"/>
                <w:lang w:eastAsia="nl-NL"/>
              </w:rPr>
            </w:pPr>
            <w:r w:rsidRPr="00620047">
              <w:rPr>
                <w:rFonts w:cs="Arial"/>
                <w:sz w:val="18"/>
                <w:lang w:eastAsia="nl-NL"/>
              </w:rPr>
              <w:t>-</w:t>
            </w:r>
            <w:r w:rsidRPr="00620047">
              <w:rPr>
                <w:rFonts w:cs="Arial"/>
                <w:sz w:val="18"/>
                <w:lang w:eastAsia="nl-NL"/>
              </w:rPr>
              <w:tab/>
              <w:t>andere grote stookinstallatie, indien wordt gestookt met aardgas</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70 mg/Nm</w:t>
            </w:r>
            <w:r w:rsidRPr="00620047">
              <w:rPr>
                <w:rFonts w:cs="Arial"/>
                <w:sz w:val="18"/>
                <w:szCs w:val="18"/>
                <w:vertAlign w:val="superscript"/>
                <w:lang w:eastAsia="nl-NL"/>
              </w:rPr>
              <w:t>3</w:t>
            </w:r>
            <w:r w:rsidRPr="00620047">
              <w:rPr>
                <w:rFonts w:cs="Arial"/>
                <w:sz w:val="18"/>
                <w:szCs w:val="18"/>
                <w:lang w:eastAsia="nl-NL"/>
              </w:rPr>
              <w:t xml:space="preserve"> </w:t>
            </w:r>
          </w:p>
        </w:tc>
      </w:tr>
    </w:tbl>
    <w:p w:rsidR="00296032" w:rsidRPr="00620047" w:rsidRDefault="00296032">
      <w:pPr>
        <w:rPr>
          <w:rFonts w:cs="Arial"/>
        </w:rPr>
      </w:pPr>
    </w:p>
    <w:p w:rsidR="00296032" w:rsidRPr="00620047" w:rsidRDefault="00296032">
      <w:pPr>
        <w:pStyle w:val="art1enivo"/>
        <w:rPr>
          <w:rFonts w:cs="Arial"/>
        </w:rPr>
      </w:pPr>
    </w:p>
    <w:p w:rsidR="00296032" w:rsidRPr="00620047" w:rsidRDefault="001D6434">
      <w:pPr>
        <w:pStyle w:val="art1enivo"/>
        <w:rPr>
          <w:rFonts w:cs="Arial"/>
        </w:rPr>
      </w:pPr>
      <w:r>
        <w:rPr>
          <w:rFonts w:cs="Arial"/>
        </w:rPr>
        <w:t>2</w:t>
      </w:r>
      <w:r w:rsidR="00296032" w:rsidRPr="00620047">
        <w:rPr>
          <w:rFonts w:cs="Arial"/>
        </w:rPr>
        <w:t>.</w:t>
      </w:r>
      <w:r w:rsidR="00296032" w:rsidRPr="00620047">
        <w:rPr>
          <w:rFonts w:cs="Arial"/>
        </w:rPr>
        <w:tab/>
        <w:t>In afwijking van het eerste lid stelt het bevoegd gezag bij vergunningvoorschrift voor een bestaande grote stookinstallatie die wordt gestookt met aardgas en die niet kan voldoen aan de op grond van het eerste lid toepasselijke emissiegrenswaarde, een emissiegrenswaarde voor stikstofoxiden van ten hoogste 100 mg/Nm</w:t>
      </w:r>
      <w:r w:rsidR="00296032" w:rsidRPr="00620047">
        <w:rPr>
          <w:rFonts w:cs="Arial"/>
          <w:position w:val="5"/>
        </w:rPr>
        <w:t>3</w:t>
      </w:r>
      <w:r w:rsidR="00296032" w:rsidRPr="00620047">
        <w:rPr>
          <w:rFonts w:cs="Arial"/>
        </w:rPr>
        <w:t xml:space="preserve"> vast, tenzij het betreft een gasturbine of gasmotor.</w:t>
      </w:r>
    </w:p>
    <w:p w:rsidR="00296032" w:rsidRPr="00296032" w:rsidRDefault="00296032">
      <w:pPr>
        <w:pStyle w:val="artikelkop"/>
        <w:rPr>
          <w:rFonts w:cs="Arial"/>
        </w:rPr>
      </w:pPr>
      <w:r w:rsidRPr="00296032">
        <w:rPr>
          <w:rFonts w:cs="Arial"/>
        </w:rPr>
        <w:t>Artikel 5.6</w:t>
      </w:r>
    </w:p>
    <w:p w:rsidR="00296032" w:rsidRPr="00620047" w:rsidRDefault="00296032">
      <w:pPr>
        <w:pStyle w:val="artplat"/>
        <w:rPr>
          <w:rFonts w:cs="Arial"/>
        </w:rPr>
      </w:pPr>
      <w:r w:rsidRPr="00620047">
        <w:rPr>
          <w:rFonts w:cs="Arial"/>
        </w:rPr>
        <w:t>De emissies van koolmonoxide overschrijden de emissiegrenswaarden van tabel 5.6 niet.</w:t>
      </w:r>
    </w:p>
    <w:p w:rsidR="00296032" w:rsidRPr="00620047" w:rsidRDefault="00296032">
      <w:pPr>
        <w:pStyle w:val="tabelkop"/>
        <w:rPr>
          <w:rFonts w:cs="Arial"/>
        </w:rPr>
      </w:pPr>
      <w:r w:rsidRPr="00620047">
        <w:rPr>
          <w:rFonts w:cs="Arial"/>
        </w:rPr>
        <w:t>Tabel 5.6</w:t>
      </w:r>
    </w:p>
    <w:tbl>
      <w:tblPr>
        <w:tblStyle w:val="Tabelraster"/>
        <w:tblW w:w="0" w:type="auto"/>
        <w:tblInd w:w="0" w:type="dxa"/>
        <w:tblLook w:val="04A0" w:firstRow="1" w:lastRow="0" w:firstColumn="1" w:lastColumn="0" w:noHBand="0" w:noVBand="1"/>
      </w:tblPr>
      <w:tblGrid>
        <w:gridCol w:w="6118"/>
        <w:gridCol w:w="1112"/>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gasvormige brandstoffen</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100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vloeibare brandstoffen gestookt in gasturbines, met inbegrip van een STEG</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100 mg/Nm</w:t>
            </w:r>
            <w:r w:rsidRPr="00620047">
              <w:rPr>
                <w:rFonts w:cs="Arial"/>
                <w:b w:val="0"/>
                <w:szCs w:val="18"/>
                <w:vertAlign w:val="superscript"/>
                <w:lang w:eastAsia="nl-NL"/>
              </w:rPr>
              <w:t>3</w:t>
            </w:r>
            <w:r w:rsidRPr="00620047">
              <w:rPr>
                <w:rFonts w:cs="Arial"/>
                <w:b w:val="0"/>
                <w:szCs w:val="18"/>
                <w:lang w:eastAsia="nl-NL"/>
              </w:rPr>
              <w:t xml:space="preserve"> </w:t>
            </w:r>
          </w:p>
        </w:tc>
      </w:tr>
    </w:tbl>
    <w:p w:rsidR="00296032" w:rsidRPr="00296032" w:rsidRDefault="00296032">
      <w:pPr>
        <w:pStyle w:val="artikelkop"/>
        <w:rPr>
          <w:rFonts w:cs="Arial"/>
        </w:rPr>
      </w:pPr>
      <w:r w:rsidRPr="00296032">
        <w:rPr>
          <w:rFonts w:cs="Arial"/>
        </w:rPr>
        <w:t>Artikel 5.7</w:t>
      </w:r>
    </w:p>
    <w:p w:rsidR="00296032" w:rsidRPr="00620047" w:rsidRDefault="00296032">
      <w:pPr>
        <w:pStyle w:val="artplat"/>
        <w:rPr>
          <w:rFonts w:cs="Arial"/>
        </w:rPr>
      </w:pPr>
      <w:r w:rsidRPr="00620047">
        <w:rPr>
          <w:rFonts w:cs="Arial"/>
        </w:rPr>
        <w:t>De emissies van totaal stof overschrijden de emissiegrenswaarden van tabel 5.7 niet.</w:t>
      </w:r>
    </w:p>
    <w:p w:rsidR="00296032" w:rsidRPr="00620047" w:rsidRDefault="00296032">
      <w:pPr>
        <w:pStyle w:val="tabelkop"/>
        <w:rPr>
          <w:rFonts w:cs="Arial"/>
        </w:rPr>
      </w:pPr>
      <w:r w:rsidRPr="00620047">
        <w:rPr>
          <w:rFonts w:cs="Arial"/>
        </w:rPr>
        <w:t>Tabel 5.7</w:t>
      </w:r>
    </w:p>
    <w:tbl>
      <w:tblPr>
        <w:tblW w:w="0" w:type="auto"/>
        <w:tblCellSpacing w:w="0"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4982"/>
        <w:gridCol w:w="1228"/>
      </w:tblGrid>
      <w:tr w:rsidR="00296032" w:rsidRPr="00620047">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96032" w:rsidRPr="00620047" w:rsidRDefault="00296032">
            <w:pPr>
              <w:spacing w:before="100" w:beforeAutospacing="1" w:after="100" w:afterAutospacing="1" w:line="240" w:lineRule="auto"/>
              <w:rPr>
                <w:rFonts w:cs="Arial"/>
                <w:b/>
                <w:bCs/>
                <w:sz w:val="18"/>
                <w:szCs w:val="18"/>
                <w:lang w:eastAsia="nl-NL"/>
              </w:rPr>
            </w:pPr>
            <w:r w:rsidRPr="00620047">
              <w:rPr>
                <w:rFonts w:cs="Arial"/>
                <w:b/>
                <w:bCs/>
                <w:iCs/>
                <w:sz w:val="18"/>
                <w:szCs w:val="18"/>
                <w:lang w:eastAsia="nl-NL"/>
              </w:rPr>
              <w:t>Vaste of vloeibare brandstoffen</w:t>
            </w:r>
          </w:p>
        </w:tc>
        <w:tc>
          <w:tcPr>
            <w:tcW w:w="4982" w:type="dxa"/>
            <w:tcBorders>
              <w:top w:val="outset" w:sz="6" w:space="0" w:color="auto"/>
              <w:left w:val="outset" w:sz="6" w:space="0" w:color="auto"/>
              <w:bottom w:val="outset" w:sz="6" w:space="0" w:color="auto"/>
              <w:right w:val="outset" w:sz="6" w:space="0" w:color="auto"/>
            </w:tcBorders>
            <w:hideMark/>
          </w:tcPr>
          <w:p w:rsidR="00296032" w:rsidRPr="00620047" w:rsidRDefault="00296032">
            <w:pPr>
              <w:pStyle w:val="artplatletter"/>
              <w:rPr>
                <w:rFonts w:cs="Arial"/>
                <w:sz w:val="18"/>
                <w:szCs w:val="18"/>
                <w:lang w:eastAsia="nl-NL"/>
              </w:rPr>
            </w:pPr>
            <w:r w:rsidRPr="00620047">
              <w:rPr>
                <w:rFonts w:cs="Arial"/>
                <w:sz w:val="18"/>
                <w:szCs w:val="18"/>
                <w:lang w:eastAsia="nl-NL"/>
              </w:rPr>
              <w:t>-</w:t>
            </w:r>
            <w:r w:rsidRPr="00620047">
              <w:rPr>
                <w:rFonts w:cs="Arial"/>
                <w:sz w:val="18"/>
                <w:szCs w:val="18"/>
                <w:lang w:eastAsia="nl-NL"/>
              </w:rPr>
              <w:tab/>
              <w:t xml:space="preserve">bestaande grote stookinstallatie indien wordt gestookt met vloeibare productieresiduen als niet-commerciële brandstof afkomstig uit de eigen installatie </w:t>
            </w:r>
          </w:p>
        </w:tc>
        <w:tc>
          <w:tcPr>
            <w:tcW w:w="1228" w:type="dxa"/>
            <w:tcBorders>
              <w:top w:val="outset" w:sz="6" w:space="0" w:color="auto"/>
              <w:left w:val="outset" w:sz="6" w:space="0" w:color="auto"/>
              <w:bottom w:val="outset" w:sz="6" w:space="0" w:color="auto"/>
              <w:right w:val="outset" w:sz="6" w:space="0" w:color="auto"/>
            </w:tcBorders>
            <w:hideMark/>
          </w:tcPr>
          <w:p w:rsidR="00296032" w:rsidRPr="00620047" w:rsidRDefault="00296032">
            <w:pPr>
              <w:spacing w:before="100" w:beforeAutospacing="1" w:after="100" w:afterAutospacing="1" w:line="240" w:lineRule="auto"/>
              <w:rPr>
                <w:rFonts w:cs="Arial"/>
                <w:bCs/>
                <w:sz w:val="18"/>
                <w:szCs w:val="18"/>
                <w:lang w:eastAsia="nl-NL"/>
              </w:rPr>
            </w:pPr>
            <w:r w:rsidRPr="00620047">
              <w:rPr>
                <w:rFonts w:cs="Arial"/>
                <w:bCs/>
                <w:sz w:val="18"/>
                <w:szCs w:val="18"/>
                <w:lang w:eastAsia="nl-NL"/>
              </w:rPr>
              <w:t>20 mg/Nm</w:t>
            </w:r>
            <w:r w:rsidRPr="00620047">
              <w:rPr>
                <w:rFonts w:cs="Arial"/>
                <w:bCs/>
                <w:sz w:val="18"/>
                <w:szCs w:val="18"/>
                <w:vertAlign w:val="superscript"/>
                <w:lang w:eastAsia="nl-NL"/>
              </w:rPr>
              <w:t>3</w:t>
            </w:r>
            <w:r w:rsidRPr="00620047">
              <w:rPr>
                <w:rFonts w:cs="Arial"/>
                <w:bCs/>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bCs/>
                <w:sz w:val="18"/>
                <w:szCs w:val="18"/>
                <w:lang w:eastAsia="nl-NL"/>
              </w:rPr>
            </w:pPr>
          </w:p>
        </w:tc>
        <w:tc>
          <w:tcPr>
            <w:tcW w:w="4982" w:type="dxa"/>
            <w:tcBorders>
              <w:top w:val="outset" w:sz="6" w:space="0" w:color="auto"/>
              <w:left w:val="outset" w:sz="6" w:space="0" w:color="auto"/>
              <w:bottom w:val="outset" w:sz="6" w:space="0" w:color="auto"/>
              <w:right w:val="outset" w:sz="6" w:space="0" w:color="auto"/>
            </w:tcBorders>
            <w:hideMark/>
          </w:tcPr>
          <w:p w:rsidR="00296032" w:rsidRPr="00620047" w:rsidRDefault="00296032">
            <w:pPr>
              <w:pStyle w:val="artplatletter"/>
              <w:rPr>
                <w:rFonts w:cs="Arial"/>
                <w:sz w:val="18"/>
                <w:szCs w:val="18"/>
                <w:lang w:eastAsia="nl-NL"/>
              </w:rPr>
            </w:pPr>
            <w:r w:rsidRPr="00620047">
              <w:rPr>
                <w:rFonts w:cs="Arial"/>
                <w:sz w:val="18"/>
                <w:szCs w:val="18"/>
                <w:lang w:eastAsia="nl-NL"/>
              </w:rPr>
              <w:t>-</w:t>
            </w:r>
            <w:r w:rsidRPr="00620047">
              <w:rPr>
                <w:rFonts w:cs="Arial"/>
                <w:sz w:val="18"/>
                <w:szCs w:val="18"/>
                <w:lang w:eastAsia="nl-NL"/>
              </w:rPr>
              <w:tab/>
              <w:t>andere grote stookinstallatie</w:t>
            </w:r>
          </w:p>
        </w:tc>
        <w:tc>
          <w:tcPr>
            <w:tcW w:w="1228" w:type="dxa"/>
            <w:tcBorders>
              <w:top w:val="outset" w:sz="6" w:space="0" w:color="auto"/>
              <w:left w:val="outset" w:sz="6" w:space="0" w:color="auto"/>
              <w:bottom w:val="outset" w:sz="6" w:space="0" w:color="auto"/>
              <w:right w:val="outset" w:sz="6" w:space="0" w:color="auto"/>
            </w:tcBorders>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5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96032" w:rsidRPr="00620047" w:rsidRDefault="00296032">
            <w:pPr>
              <w:spacing w:before="100" w:beforeAutospacing="1" w:after="100" w:afterAutospacing="1" w:line="240" w:lineRule="auto"/>
              <w:rPr>
                <w:rFonts w:cs="Arial"/>
                <w:b/>
                <w:sz w:val="18"/>
                <w:szCs w:val="18"/>
                <w:lang w:eastAsia="nl-NL"/>
              </w:rPr>
            </w:pPr>
            <w:r w:rsidRPr="00620047">
              <w:rPr>
                <w:rFonts w:cs="Arial"/>
                <w:b/>
                <w:iCs/>
                <w:sz w:val="18"/>
                <w:szCs w:val="18"/>
                <w:lang w:eastAsia="nl-NL"/>
              </w:rPr>
              <w:t>Gasvormige brandstoffen</w:t>
            </w:r>
          </w:p>
        </w:tc>
        <w:tc>
          <w:tcPr>
            <w:tcW w:w="4982" w:type="dxa"/>
            <w:tcBorders>
              <w:top w:val="outset" w:sz="6" w:space="0" w:color="auto"/>
              <w:left w:val="outset" w:sz="6" w:space="0" w:color="auto"/>
              <w:bottom w:val="outset" w:sz="6" w:space="0" w:color="auto"/>
              <w:right w:val="outset" w:sz="6" w:space="0" w:color="auto"/>
            </w:tcBorders>
            <w:hideMark/>
          </w:tcPr>
          <w:p w:rsidR="00296032" w:rsidRPr="00620047" w:rsidRDefault="00296032">
            <w:pPr>
              <w:pStyle w:val="artplatletter"/>
              <w:rPr>
                <w:rFonts w:cs="Arial"/>
                <w:sz w:val="18"/>
                <w:szCs w:val="18"/>
                <w:lang w:eastAsia="nl-NL"/>
              </w:rPr>
            </w:pPr>
            <w:r w:rsidRPr="00620047">
              <w:rPr>
                <w:rFonts w:cs="Arial"/>
                <w:sz w:val="18"/>
                <w:szCs w:val="18"/>
                <w:lang w:eastAsia="nl-NL"/>
              </w:rPr>
              <w:t>-</w:t>
            </w:r>
            <w:r w:rsidRPr="00620047">
              <w:rPr>
                <w:rFonts w:cs="Arial"/>
                <w:sz w:val="18"/>
                <w:szCs w:val="18"/>
                <w:lang w:eastAsia="nl-NL"/>
              </w:rPr>
              <w:tab/>
              <w:t>hoogovengas</w:t>
            </w:r>
          </w:p>
        </w:tc>
        <w:tc>
          <w:tcPr>
            <w:tcW w:w="1228" w:type="dxa"/>
            <w:tcBorders>
              <w:top w:val="outset" w:sz="6" w:space="0" w:color="auto"/>
              <w:left w:val="outset" w:sz="6" w:space="0" w:color="auto"/>
              <w:bottom w:val="outset" w:sz="6" w:space="0" w:color="auto"/>
              <w:right w:val="outset" w:sz="6" w:space="0" w:color="auto"/>
            </w:tcBorders>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10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4982" w:type="dxa"/>
            <w:tcBorders>
              <w:top w:val="outset" w:sz="6" w:space="0" w:color="auto"/>
              <w:left w:val="outset" w:sz="6" w:space="0" w:color="auto"/>
              <w:bottom w:val="outset" w:sz="6" w:space="0" w:color="auto"/>
              <w:right w:val="outset" w:sz="6" w:space="0" w:color="auto"/>
            </w:tcBorders>
            <w:hideMark/>
          </w:tcPr>
          <w:p w:rsidR="00296032" w:rsidRPr="00620047" w:rsidRDefault="00296032">
            <w:pPr>
              <w:pStyle w:val="artplatletter"/>
              <w:rPr>
                <w:rFonts w:cs="Arial"/>
                <w:sz w:val="18"/>
                <w:szCs w:val="18"/>
                <w:lang w:eastAsia="nl-NL"/>
              </w:rPr>
            </w:pPr>
            <w:r w:rsidRPr="00620047">
              <w:rPr>
                <w:rFonts w:cs="Arial"/>
                <w:sz w:val="18"/>
                <w:szCs w:val="18"/>
                <w:lang w:eastAsia="nl-NL"/>
              </w:rPr>
              <w:t>-</w:t>
            </w:r>
            <w:r w:rsidRPr="00620047">
              <w:rPr>
                <w:rFonts w:cs="Arial"/>
                <w:sz w:val="18"/>
                <w:szCs w:val="18"/>
                <w:lang w:eastAsia="nl-NL"/>
              </w:rPr>
              <w:tab/>
              <w:t>door de ijzer- en staalindustrie geproduceerd gas dat elders wordt gebruikt</w:t>
            </w:r>
          </w:p>
        </w:tc>
        <w:tc>
          <w:tcPr>
            <w:tcW w:w="1228" w:type="dxa"/>
            <w:tcBorders>
              <w:top w:val="outset" w:sz="6" w:space="0" w:color="auto"/>
              <w:left w:val="outset" w:sz="6" w:space="0" w:color="auto"/>
              <w:bottom w:val="outset" w:sz="6" w:space="0" w:color="auto"/>
              <w:right w:val="outset" w:sz="6" w:space="0" w:color="auto"/>
            </w:tcBorders>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20 mg/Nm</w:t>
            </w:r>
            <w:r w:rsidRPr="00620047">
              <w:rPr>
                <w:rFonts w:cs="Arial"/>
                <w:sz w:val="18"/>
                <w:szCs w:val="18"/>
                <w:vertAlign w:val="superscript"/>
                <w:lang w:eastAsia="nl-NL"/>
              </w:rPr>
              <w:t>3</w:t>
            </w:r>
            <w:r w:rsidRPr="00620047">
              <w:rPr>
                <w:rFonts w:cs="Arial"/>
                <w:sz w:val="18"/>
                <w:szCs w:val="18"/>
                <w:lang w:eastAsia="nl-NL"/>
              </w:rPr>
              <w:t xml:space="preserve"> </w:t>
            </w:r>
          </w:p>
        </w:tc>
      </w:tr>
      <w:tr w:rsidR="00296032" w:rsidRPr="0062004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032" w:rsidRPr="00620047" w:rsidRDefault="00296032">
            <w:pPr>
              <w:spacing w:line="240" w:lineRule="auto"/>
              <w:rPr>
                <w:rFonts w:cs="Arial"/>
                <w:b/>
                <w:sz w:val="18"/>
                <w:szCs w:val="18"/>
                <w:lang w:eastAsia="nl-NL"/>
              </w:rPr>
            </w:pPr>
          </w:p>
        </w:tc>
        <w:tc>
          <w:tcPr>
            <w:tcW w:w="4982" w:type="dxa"/>
            <w:tcBorders>
              <w:top w:val="outset" w:sz="6" w:space="0" w:color="auto"/>
              <w:left w:val="outset" w:sz="6" w:space="0" w:color="auto"/>
              <w:bottom w:val="outset" w:sz="6" w:space="0" w:color="auto"/>
              <w:right w:val="outset" w:sz="6" w:space="0" w:color="auto"/>
            </w:tcBorders>
            <w:hideMark/>
          </w:tcPr>
          <w:p w:rsidR="00296032" w:rsidRPr="00620047" w:rsidRDefault="00296032">
            <w:pPr>
              <w:pStyle w:val="artplatletter"/>
              <w:rPr>
                <w:rFonts w:cs="Arial"/>
                <w:sz w:val="18"/>
                <w:szCs w:val="18"/>
                <w:lang w:eastAsia="nl-NL"/>
              </w:rPr>
            </w:pPr>
            <w:r w:rsidRPr="00620047">
              <w:rPr>
                <w:rFonts w:cs="Arial"/>
                <w:sz w:val="18"/>
                <w:szCs w:val="18"/>
                <w:lang w:eastAsia="nl-NL"/>
              </w:rPr>
              <w:t>-</w:t>
            </w:r>
            <w:r w:rsidRPr="00620047">
              <w:rPr>
                <w:rFonts w:cs="Arial"/>
                <w:sz w:val="18"/>
                <w:szCs w:val="18"/>
                <w:lang w:eastAsia="nl-NL"/>
              </w:rPr>
              <w:tab/>
              <w:t>andere gasvormige brandstoffen</w:t>
            </w:r>
          </w:p>
        </w:tc>
        <w:tc>
          <w:tcPr>
            <w:tcW w:w="1228" w:type="dxa"/>
            <w:tcBorders>
              <w:top w:val="outset" w:sz="6" w:space="0" w:color="auto"/>
              <w:left w:val="outset" w:sz="6" w:space="0" w:color="auto"/>
              <w:bottom w:val="outset" w:sz="6" w:space="0" w:color="auto"/>
              <w:right w:val="outset" w:sz="6" w:space="0" w:color="auto"/>
            </w:tcBorders>
            <w:hideMark/>
          </w:tcPr>
          <w:p w:rsidR="00296032" w:rsidRPr="00620047" w:rsidRDefault="00296032">
            <w:pPr>
              <w:spacing w:before="100" w:beforeAutospacing="1" w:after="100" w:afterAutospacing="1" w:line="240" w:lineRule="auto"/>
              <w:rPr>
                <w:rFonts w:cs="Arial"/>
                <w:sz w:val="18"/>
                <w:szCs w:val="18"/>
                <w:lang w:eastAsia="nl-NL"/>
              </w:rPr>
            </w:pPr>
            <w:r w:rsidRPr="00620047">
              <w:rPr>
                <w:rFonts w:cs="Arial"/>
                <w:sz w:val="18"/>
                <w:szCs w:val="18"/>
                <w:lang w:eastAsia="nl-NL"/>
              </w:rPr>
              <w:t>5 mg/Nm</w:t>
            </w:r>
            <w:r w:rsidRPr="00620047">
              <w:rPr>
                <w:rFonts w:cs="Arial"/>
                <w:sz w:val="18"/>
                <w:szCs w:val="18"/>
                <w:vertAlign w:val="superscript"/>
                <w:lang w:eastAsia="nl-NL"/>
              </w:rPr>
              <w:t>3</w:t>
            </w:r>
            <w:r w:rsidRPr="00620047">
              <w:rPr>
                <w:rFonts w:cs="Arial"/>
                <w:sz w:val="18"/>
                <w:szCs w:val="18"/>
                <w:lang w:eastAsia="nl-NL"/>
              </w:rPr>
              <w:t xml:space="preserve"> </w:t>
            </w:r>
          </w:p>
        </w:tc>
      </w:tr>
    </w:tbl>
    <w:p w:rsidR="00296032" w:rsidRPr="00296032" w:rsidRDefault="00296032">
      <w:pPr>
        <w:pStyle w:val="artikelkop"/>
        <w:rPr>
          <w:rFonts w:cs="Arial"/>
        </w:rPr>
      </w:pPr>
      <w:r w:rsidRPr="00296032">
        <w:rPr>
          <w:rFonts w:cs="Arial"/>
        </w:rPr>
        <w:t>Artikel 5.8</w:t>
      </w:r>
    </w:p>
    <w:p w:rsidR="00296032" w:rsidRPr="00620047" w:rsidRDefault="00296032">
      <w:pPr>
        <w:pStyle w:val="art1enivo"/>
        <w:rPr>
          <w:rFonts w:cs="Arial"/>
        </w:rPr>
      </w:pPr>
      <w:r w:rsidRPr="00620047">
        <w:rPr>
          <w:rFonts w:cs="Arial"/>
        </w:rPr>
        <w:t>1.</w:t>
      </w:r>
      <w:r w:rsidRPr="00620047">
        <w:rPr>
          <w:rFonts w:cs="Arial"/>
        </w:rPr>
        <w:tab/>
        <w:t>De emissiegrenswaarden, bedoeld in de artikelen 5.4 tot en met 5.7, gelden niet voor gasturbines, gasmotoren en dieselmotoren die blijkens de daarvoor geldende omgevingsvergunning bestemd zijn voor noodgevallen en minder dan 500 bedrijfsuren per jaar in bedrijf zijn. Degene die de inrichting drijft, registreert de bedrijfsuren van dergelijke installaties.</w:t>
      </w:r>
    </w:p>
    <w:p w:rsidR="00296032" w:rsidRPr="00620047" w:rsidRDefault="00296032">
      <w:pPr>
        <w:pStyle w:val="art1enivo"/>
        <w:rPr>
          <w:rFonts w:cs="Arial"/>
        </w:rPr>
      </w:pPr>
      <w:r w:rsidRPr="00620047">
        <w:rPr>
          <w:rFonts w:cs="Arial"/>
        </w:rPr>
        <w:t>2.</w:t>
      </w:r>
      <w:r w:rsidRPr="00620047">
        <w:rPr>
          <w:rFonts w:cs="Arial"/>
        </w:rPr>
        <w:tab/>
        <w:t>Voor de toepassing van het eerste lid wordt onder bedrijfsuren verstaan: de tijd, uitgedrukt in uren, gedurende welke een grote stookinstallatie geheel of gedeeltelijk in werking is en emissies in de lucht veroorzaakt, met uitzondering van de voor de inwerkingstelling en stillegging benodigde tijd.</w:t>
      </w:r>
    </w:p>
    <w:p w:rsidR="00296032" w:rsidRPr="00296032" w:rsidRDefault="00296032">
      <w:pPr>
        <w:pStyle w:val="artikelkop"/>
        <w:rPr>
          <w:rFonts w:cs="Arial"/>
        </w:rPr>
      </w:pPr>
      <w:r w:rsidRPr="00296032">
        <w:rPr>
          <w:rFonts w:cs="Arial"/>
        </w:rPr>
        <w:t>Artikel 5.9</w:t>
      </w:r>
    </w:p>
    <w:p w:rsidR="00296032" w:rsidRPr="00620047" w:rsidRDefault="00296032">
      <w:pPr>
        <w:pStyle w:val="art1enivo"/>
        <w:rPr>
          <w:rFonts w:cs="Arial"/>
        </w:rPr>
      </w:pPr>
      <w:r w:rsidRPr="00620047">
        <w:rPr>
          <w:rFonts w:cs="Arial"/>
        </w:rPr>
        <w:t>1.</w:t>
      </w:r>
      <w:r w:rsidRPr="00620047">
        <w:rPr>
          <w:rFonts w:cs="Arial"/>
        </w:rPr>
        <w:tab/>
        <w:t>Bij gelijktijdig gebruik van verschillende soorten brandstof in een grote stookinstallatie gelden als emissiegrenswaarden voor zwaveldioxide, stikstofoxiden en totaal stof de gewogen gemiddelden van de emissiegrenswaarden die op grond van de artikelen 5.4 tot en met 5.8 voor elk van de brandstoffen afzonderlijk zouden gelden.</w:t>
      </w:r>
    </w:p>
    <w:p w:rsidR="00296032" w:rsidRPr="00620047" w:rsidRDefault="00296032">
      <w:pPr>
        <w:pStyle w:val="art1enivo"/>
        <w:rPr>
          <w:rFonts w:cs="Arial"/>
        </w:rPr>
      </w:pPr>
      <w:r w:rsidRPr="00620047">
        <w:rPr>
          <w:rFonts w:cs="Arial"/>
        </w:rPr>
        <w:t>2.</w:t>
      </w:r>
      <w:r w:rsidRPr="00620047">
        <w:rPr>
          <w:rFonts w:cs="Arial"/>
        </w:rPr>
        <w:tab/>
        <w:t>Een gewogen gemiddelde als bedoeld in het eerste lid wordt per tijdseenheid berekend naar het aandeel van elk van de brandstoffen in de energetische inhoud van de toegevoerde brandstoffen.</w:t>
      </w:r>
    </w:p>
    <w:p w:rsidR="00296032" w:rsidRPr="00620047" w:rsidRDefault="00296032">
      <w:pPr>
        <w:pStyle w:val="art1enivo"/>
        <w:rPr>
          <w:rFonts w:cs="Arial"/>
        </w:rPr>
      </w:pPr>
      <w:r w:rsidRPr="00620047">
        <w:rPr>
          <w:rFonts w:cs="Arial"/>
        </w:rPr>
        <w:t>3.</w:t>
      </w:r>
      <w:r w:rsidRPr="00620047">
        <w:rPr>
          <w:rFonts w:cs="Arial"/>
        </w:rPr>
        <w:tab/>
        <w:t>In afwijking van het eerste lid stelt het bevoegd gezag bij vergunningvoorschrift voor een bestaande grote stookinstallatie een emissiegrenswaarde voor zwaveldioxide vast van gemiddeld ten hoogste 500 mg/Nm indien:</w:t>
      </w:r>
    </w:p>
    <w:p w:rsidR="00296032" w:rsidRPr="00620047" w:rsidRDefault="00296032">
      <w:pPr>
        <w:pStyle w:val="art2enivo"/>
        <w:rPr>
          <w:rFonts w:cs="Arial"/>
        </w:rPr>
      </w:pPr>
      <w:r w:rsidRPr="00620047">
        <w:rPr>
          <w:rFonts w:cs="Arial"/>
        </w:rPr>
        <w:t>a.</w:t>
      </w:r>
      <w:r w:rsidRPr="00620047">
        <w:rPr>
          <w:rFonts w:cs="Arial"/>
        </w:rPr>
        <w:tab/>
        <w:t>die installatie deel uitmaakt van een raffinaderij, en</w:t>
      </w:r>
    </w:p>
    <w:p w:rsidR="00296032" w:rsidRPr="00620047" w:rsidRDefault="00296032">
      <w:pPr>
        <w:pStyle w:val="art2enivo"/>
        <w:rPr>
          <w:rFonts w:cs="Arial"/>
        </w:rPr>
      </w:pPr>
      <w:r w:rsidRPr="00620047">
        <w:rPr>
          <w:rFonts w:cs="Arial"/>
        </w:rPr>
        <w:t>b.</w:t>
      </w:r>
      <w:r w:rsidRPr="00620047">
        <w:rPr>
          <w:rFonts w:cs="Arial"/>
        </w:rPr>
        <w:tab/>
        <w:t>die installatie destillatie- of omzettingsresiduen afkomstig van het raffineren van ruwe aardolie, alleen of in combinatie met andere brandstoffen, zelf verbruikt.</w:t>
      </w:r>
    </w:p>
    <w:p w:rsidR="00296032" w:rsidRPr="00296032" w:rsidRDefault="00296032">
      <w:pPr>
        <w:pStyle w:val="artikelkop"/>
        <w:rPr>
          <w:rFonts w:cs="Arial"/>
        </w:rPr>
      </w:pPr>
      <w:r w:rsidRPr="00296032">
        <w:rPr>
          <w:rFonts w:cs="Arial"/>
        </w:rPr>
        <w:t>Artikel 5.10</w:t>
      </w:r>
    </w:p>
    <w:p w:rsidR="00296032" w:rsidRPr="00620047" w:rsidRDefault="00296032">
      <w:pPr>
        <w:pStyle w:val="art1enivo"/>
        <w:rPr>
          <w:rFonts w:cs="Arial"/>
        </w:rPr>
      </w:pPr>
      <w:r w:rsidRPr="00620047">
        <w:rPr>
          <w:rFonts w:cs="Arial"/>
        </w:rPr>
        <w:t>1.</w:t>
      </w:r>
      <w:r w:rsidRPr="00620047">
        <w:rPr>
          <w:rFonts w:cs="Arial"/>
        </w:rPr>
        <w:tab/>
        <w:t>In afwijking van artikel 5.4 mag een grote stookinstallatie, waar gewoonlijk laagzwavelige brandstof wordt verstookt, gedurende 240 uur in werking blijven, indien degene die de inrichting drijft wegens een onderbreking van de voorziening met laagzwavelige brandstof ten gevolge van een ernstig tekort aan dergelijke brandstoffen niet in staat is de emissiegrenswaarden van dat artikel in acht te nemen.</w:t>
      </w:r>
    </w:p>
    <w:p w:rsidR="00296032" w:rsidRPr="00620047" w:rsidRDefault="00296032">
      <w:pPr>
        <w:pStyle w:val="art1enivo"/>
        <w:rPr>
          <w:rFonts w:cs="Arial"/>
        </w:rPr>
      </w:pPr>
      <w:r w:rsidRPr="00620047">
        <w:rPr>
          <w:rFonts w:cs="Arial"/>
        </w:rPr>
        <w:t>2.</w:t>
      </w:r>
      <w:r w:rsidRPr="00620047">
        <w:rPr>
          <w:rFonts w:cs="Arial"/>
        </w:rPr>
        <w:tab/>
        <w:t>Het bevoegd gezag kan bij maatwerkvoorschrift de periode, bedoeld in het eerste lid, verlengen tot ten hoogste zes maanden, voor zover de omstandigheid, bedoeld in het eerste lid, voortduurt en degene die de inrichting drijft daardoor redelijkerwijs niet in staat is de emissiegrenswaarden in acht te nemen.</w:t>
      </w:r>
    </w:p>
    <w:p w:rsidR="00296032" w:rsidRPr="00620047" w:rsidRDefault="00296032">
      <w:pPr>
        <w:pStyle w:val="art1enivo"/>
        <w:rPr>
          <w:rFonts w:cs="Arial"/>
        </w:rPr>
      </w:pPr>
      <w:r w:rsidRPr="00620047">
        <w:rPr>
          <w:rFonts w:cs="Arial"/>
        </w:rPr>
        <w:t>3.</w:t>
      </w:r>
      <w:r w:rsidRPr="00620047">
        <w:rPr>
          <w:rFonts w:cs="Arial"/>
        </w:rPr>
        <w:tab/>
        <w:t>Degene die de inrichting drijft, meldt onmiddellijk aan het bevoegd gezag dat zich een situatie voordoet als bedoeld in het eerste lid.</w:t>
      </w:r>
    </w:p>
    <w:p w:rsidR="00296032" w:rsidRPr="00620047" w:rsidRDefault="00296032">
      <w:pPr>
        <w:pStyle w:val="art1enivo"/>
        <w:rPr>
          <w:rFonts w:cs="Arial"/>
        </w:rPr>
      </w:pPr>
      <w:r w:rsidRPr="00620047">
        <w:rPr>
          <w:rFonts w:cs="Arial"/>
        </w:rPr>
        <w:t>4.</w:t>
      </w:r>
      <w:r w:rsidRPr="00620047">
        <w:rPr>
          <w:rFonts w:cs="Arial"/>
        </w:rPr>
        <w:tab/>
        <w:t>Het bevoegd gezag stelt Onze Minister onmiddellijk in kennis van een afwijking als bedoeld in het eerste of tweede lid.</w:t>
      </w:r>
    </w:p>
    <w:p w:rsidR="00296032" w:rsidRPr="00296032" w:rsidRDefault="00296032">
      <w:pPr>
        <w:pStyle w:val="artikelkop"/>
        <w:rPr>
          <w:rFonts w:cs="Arial"/>
        </w:rPr>
      </w:pPr>
      <w:r w:rsidRPr="00296032">
        <w:rPr>
          <w:rFonts w:cs="Arial"/>
        </w:rPr>
        <w:t>Artikel 5.11</w:t>
      </w:r>
    </w:p>
    <w:p w:rsidR="00296032" w:rsidRPr="00620047" w:rsidRDefault="00296032">
      <w:pPr>
        <w:pStyle w:val="art1enivo"/>
        <w:rPr>
          <w:rFonts w:cs="Arial"/>
        </w:rPr>
      </w:pPr>
      <w:r w:rsidRPr="00620047">
        <w:rPr>
          <w:rFonts w:cs="Arial"/>
        </w:rPr>
        <w:t>1.</w:t>
      </w:r>
      <w:r w:rsidRPr="00620047">
        <w:rPr>
          <w:rFonts w:cs="Arial"/>
        </w:rPr>
        <w:tab/>
        <w:t>Indien een grote stookinstallatie die gewoonlijk met gasvormige brandstof wordt gestookt, met een andere brandstof wordt gestookt in het geval geen levering van gas kan plaatsvinden wegens weersomstandigheden of storingen in de gastoevoer, zijn de emissiegrenswaarden, bedoeld in de artikelen 5.4 tot en met 5.7, niet van toepassing gedurende ten hoogste 240 uur per incident.</w:t>
      </w:r>
    </w:p>
    <w:p w:rsidR="00296032" w:rsidRPr="00620047" w:rsidRDefault="00296032">
      <w:pPr>
        <w:pStyle w:val="art1enivo"/>
        <w:rPr>
          <w:rFonts w:cs="Arial"/>
        </w:rPr>
      </w:pPr>
      <w:r w:rsidRPr="00620047">
        <w:rPr>
          <w:rFonts w:cs="Arial"/>
        </w:rPr>
        <w:t>2.</w:t>
      </w:r>
      <w:r w:rsidRPr="00620047">
        <w:rPr>
          <w:rFonts w:cs="Arial"/>
        </w:rPr>
        <w:tab/>
        <w:t>Degene die de inrichting drijft, meldt onmiddellijk aan het bevoegd gezag dat zich een situatie voordoet als bedoeld in het eerste lid.</w:t>
      </w:r>
    </w:p>
    <w:p w:rsidR="00296032" w:rsidRPr="00620047" w:rsidRDefault="00296032">
      <w:pPr>
        <w:pStyle w:val="art1enivo"/>
        <w:rPr>
          <w:rFonts w:cs="Arial"/>
        </w:rPr>
      </w:pPr>
      <w:r w:rsidRPr="00620047">
        <w:rPr>
          <w:rFonts w:cs="Arial"/>
        </w:rPr>
        <w:t>3.</w:t>
      </w:r>
      <w:r w:rsidRPr="00620047">
        <w:rPr>
          <w:rFonts w:cs="Arial"/>
        </w:rPr>
        <w:tab/>
        <w:t>Het bevoegd gezag stelt Onze Minister onmiddellijk in kennis van een afwijking als bedoeld in het eerste lid.</w:t>
      </w:r>
    </w:p>
    <w:p w:rsidR="00296032" w:rsidRPr="00296032" w:rsidRDefault="00296032">
      <w:pPr>
        <w:pStyle w:val="artikelkop"/>
        <w:rPr>
          <w:rFonts w:cs="Arial"/>
        </w:rPr>
      </w:pPr>
      <w:r w:rsidRPr="00296032">
        <w:rPr>
          <w:rFonts w:cs="Arial"/>
        </w:rPr>
        <w:t>Artikel 5.12</w:t>
      </w:r>
    </w:p>
    <w:p w:rsidR="00296032" w:rsidRPr="00620047" w:rsidRDefault="00296032">
      <w:pPr>
        <w:pStyle w:val="art1enivo"/>
        <w:rPr>
          <w:rFonts w:cs="Arial"/>
        </w:rPr>
      </w:pPr>
      <w:r w:rsidRPr="00620047">
        <w:rPr>
          <w:rFonts w:cs="Arial"/>
        </w:rPr>
        <w:t>1.</w:t>
      </w:r>
      <w:r w:rsidRPr="00620047">
        <w:rPr>
          <w:rFonts w:cs="Arial"/>
        </w:rPr>
        <w:tab/>
        <w:t>Indien bij een grote stookinstallatie de afgasreinigingsapparatuur is uitgevallen en deze apparatuur niet binnen 24 uur weer normaal functioneert, wordt de grote stookinstallatie geheel of gedeeltelijk buiten gebruik gesteld of met een weinig vervuilende brandstof in bedrijf gehouden.</w:t>
      </w:r>
    </w:p>
    <w:p w:rsidR="00296032" w:rsidRPr="00620047" w:rsidRDefault="00296032">
      <w:pPr>
        <w:pStyle w:val="art1enivo"/>
        <w:rPr>
          <w:rFonts w:cs="Arial"/>
        </w:rPr>
      </w:pPr>
      <w:r w:rsidRPr="00620047">
        <w:rPr>
          <w:rFonts w:cs="Arial"/>
        </w:rPr>
        <w:t>2.</w:t>
      </w:r>
      <w:r w:rsidRPr="00620047">
        <w:rPr>
          <w:rFonts w:cs="Arial"/>
        </w:rPr>
        <w:tab/>
        <w:t>Een grote stookinstallatie mag als gevolg van storingen als bedoeld in het eerste lid gedurende ten hoogste 120 uur gedurende een periode van 12 maanden in bedrijf zijn zonder dat de afgasreinigingsapparatuur functioneert.</w:t>
      </w:r>
    </w:p>
    <w:p w:rsidR="00296032" w:rsidRPr="00620047" w:rsidRDefault="00296032">
      <w:pPr>
        <w:pStyle w:val="art1enivo"/>
        <w:rPr>
          <w:rFonts w:cs="Arial"/>
        </w:rPr>
      </w:pPr>
      <w:r w:rsidRPr="00620047">
        <w:rPr>
          <w:rFonts w:cs="Arial"/>
        </w:rPr>
        <w:t>3.</w:t>
      </w:r>
      <w:r w:rsidRPr="00620047">
        <w:rPr>
          <w:rFonts w:cs="Arial"/>
        </w:rPr>
        <w:tab/>
        <w:t>Het bevoegd gezag kan bij maatwerkvoorschrift de periode, bedoeld in het eerste of tweede lid, verlengen, indien:</w:t>
      </w:r>
    </w:p>
    <w:p w:rsidR="00296032" w:rsidRPr="00620047" w:rsidRDefault="00296032">
      <w:pPr>
        <w:pStyle w:val="art2enivo"/>
        <w:rPr>
          <w:rFonts w:cs="Arial"/>
        </w:rPr>
      </w:pPr>
      <w:r w:rsidRPr="00620047">
        <w:rPr>
          <w:rFonts w:cs="Arial"/>
        </w:rPr>
        <w:t>a.</w:t>
      </w:r>
      <w:r w:rsidRPr="00620047">
        <w:rPr>
          <w:rFonts w:cs="Arial"/>
        </w:rPr>
        <w:tab/>
        <w:t>het absoluut noodzakelijk is om de energievoorziening in stand te houden, of</w:t>
      </w:r>
    </w:p>
    <w:p w:rsidR="00296032" w:rsidRPr="00620047" w:rsidRDefault="00296032">
      <w:pPr>
        <w:pStyle w:val="art2enivo"/>
        <w:rPr>
          <w:rFonts w:cs="Arial"/>
        </w:rPr>
      </w:pPr>
      <w:r w:rsidRPr="00620047">
        <w:rPr>
          <w:rFonts w:cs="Arial"/>
        </w:rPr>
        <w:t>b.</w:t>
      </w:r>
      <w:r w:rsidRPr="00620047">
        <w:rPr>
          <w:rFonts w:cs="Arial"/>
        </w:rPr>
        <w:tab/>
        <w:t>de betreffende grote stookinstallatie anders gedurende die per</w:t>
      </w:r>
      <w:r w:rsidR="00044ACE">
        <w:rPr>
          <w:rFonts w:cs="Arial"/>
        </w:rPr>
        <w:t>i</w:t>
      </w:r>
      <w:r w:rsidRPr="00620047">
        <w:rPr>
          <w:rFonts w:cs="Arial"/>
        </w:rPr>
        <w:t>ode vervangen zou worden door een stookinstallatie die over het geheel genomen hogere emissies zou veroorzaken.</w:t>
      </w:r>
    </w:p>
    <w:p w:rsidR="00296032" w:rsidRDefault="00296032">
      <w:pPr>
        <w:pStyle w:val="art1enivo"/>
        <w:rPr>
          <w:rFonts w:cs="Arial"/>
        </w:rPr>
      </w:pPr>
      <w:r w:rsidRPr="00620047">
        <w:rPr>
          <w:rFonts w:cs="Arial"/>
        </w:rPr>
        <w:t>4.</w:t>
      </w:r>
      <w:r w:rsidRPr="00620047">
        <w:rPr>
          <w:rFonts w:cs="Arial"/>
        </w:rPr>
        <w:tab/>
        <w:t>Degene die de inrichting drijft, meldt een geval als bedoeld in het eerste lid binnen 48 uur aan het bevoegd gezag.</w:t>
      </w:r>
    </w:p>
    <w:p w:rsidR="001D6434" w:rsidRDefault="001D6434" w:rsidP="001D6434"/>
    <w:p w:rsidR="001D6434" w:rsidRDefault="001D6434" w:rsidP="001D6434">
      <w:r>
        <w:t xml:space="preserve">Artikel 5.12a </w:t>
      </w:r>
    </w:p>
    <w:p w:rsidR="001D6434" w:rsidRDefault="001D6434" w:rsidP="001D6434"/>
    <w:p w:rsidR="001D6434" w:rsidRDefault="001D6434" w:rsidP="00EB7F6B">
      <w:pPr>
        <w:pStyle w:val="Lijstalinea"/>
        <w:numPr>
          <w:ilvl w:val="0"/>
          <w:numId w:val="33"/>
        </w:numPr>
        <w:ind w:left="360"/>
      </w:pPr>
      <w:r>
        <w:t xml:space="preserve">Voor de toepassing van dit artikel wordt onder «netto elektrisch rendement» verstaan: de aan het landelijk hoogspanningsnet, bedoeld in artikel 1, eerste lid, onderdeel j, van de Elektriciteitswet 1998, geleverde elektriciteit gedeeld door de energie-inhoud van de ingezette brandstoffen. </w:t>
      </w:r>
    </w:p>
    <w:p w:rsidR="001D6434" w:rsidRDefault="001D6434" w:rsidP="001D6434"/>
    <w:p w:rsidR="001D6434" w:rsidRDefault="001D6434" w:rsidP="00EB7F6B">
      <w:pPr>
        <w:pStyle w:val="Lijstalinea"/>
        <w:numPr>
          <w:ilvl w:val="0"/>
          <w:numId w:val="33"/>
        </w:numPr>
        <w:ind w:left="360"/>
      </w:pPr>
      <w:r>
        <w:t xml:space="preserve">In het geval van levering aan een warmtenet als bedoeld in artikel 1, onderdeel c, van de Warmtewet, wordt het netto elektrisch rendement, bedoeld in het eerste lid, wat betreft: </w:t>
      </w:r>
    </w:p>
    <w:p w:rsidR="001D6434" w:rsidRDefault="001D6434" w:rsidP="001D6434"/>
    <w:p w:rsidR="001D6434" w:rsidRDefault="001D6434" w:rsidP="00EB7F6B">
      <w:pPr>
        <w:pStyle w:val="Lijstalinea"/>
        <w:numPr>
          <w:ilvl w:val="1"/>
          <w:numId w:val="33"/>
        </w:numPr>
        <w:ind w:left="1080"/>
      </w:pPr>
      <w:r>
        <w:t xml:space="preserve">de energie-inhoud van de ingezette brandstoffen gecorrigeerd voor de energie-inhoud van de brandstoffen die additioneel worden gebruikt in verband met de warmtelevering, of </w:t>
      </w:r>
    </w:p>
    <w:p w:rsidR="001D6434" w:rsidRDefault="001D6434" w:rsidP="001D6434"/>
    <w:p w:rsidR="001D6434" w:rsidRDefault="001D6434" w:rsidP="00EB7F6B">
      <w:pPr>
        <w:pStyle w:val="Lijstalinea"/>
        <w:numPr>
          <w:ilvl w:val="1"/>
          <w:numId w:val="33"/>
        </w:numPr>
        <w:ind w:left="1080"/>
      </w:pPr>
      <w:r>
        <w:t xml:space="preserve">de elektriciteitslevering berekend door de aan het landelijk hoogspanningsnet geleverde elektriciteit te verhogen met de elektriciteitsderving als gevolg van de warmtelevering. </w:t>
      </w:r>
    </w:p>
    <w:p w:rsidR="001D6434" w:rsidRDefault="001D6434" w:rsidP="001D6434"/>
    <w:p w:rsidR="001D6434" w:rsidRDefault="001D6434" w:rsidP="00EB7F6B">
      <w:pPr>
        <w:pStyle w:val="Lijstalinea"/>
        <w:numPr>
          <w:ilvl w:val="0"/>
          <w:numId w:val="33"/>
        </w:numPr>
        <w:ind w:left="360"/>
      </w:pPr>
      <w:r>
        <w:t xml:space="preserve">Het netto elektrisch rendement van een grote stookinstallatie die met steenkool of een combinatie van steenkool en een of meer andere brandstoffen wordt gestookt is ten minste 40,00%. </w:t>
      </w:r>
    </w:p>
    <w:p w:rsidR="001D6434" w:rsidRDefault="001D6434" w:rsidP="001D6434"/>
    <w:p w:rsidR="001D6434" w:rsidRDefault="001D6434" w:rsidP="00EB7F6B">
      <w:pPr>
        <w:pStyle w:val="Lijstalinea"/>
        <w:numPr>
          <w:ilvl w:val="0"/>
          <w:numId w:val="33"/>
        </w:numPr>
        <w:ind w:left="360"/>
      </w:pPr>
      <w:r>
        <w:t xml:space="preserve">Het netto elektrisch rendement wordt bepaald over de laatste vijf jaar dat de stookinstallatie in bedrijf is geweest of, indien de stookinstallatie minder dan vijf jaar in bedrijf is, over de periode dat de stookinstallatie elektriciteit heeft geleverd aan het landelijk hoogspanningsnet met een minimum van een jaar. </w:t>
      </w:r>
    </w:p>
    <w:p w:rsidR="001D6434" w:rsidRDefault="001D6434" w:rsidP="001D6434"/>
    <w:p w:rsidR="001D6434" w:rsidRDefault="001D6434" w:rsidP="00EB7F6B">
      <w:pPr>
        <w:pStyle w:val="Lijstalinea"/>
        <w:numPr>
          <w:ilvl w:val="0"/>
          <w:numId w:val="33"/>
        </w:numPr>
        <w:ind w:left="360"/>
      </w:pPr>
      <w:r>
        <w:t xml:space="preserve">Op verzoek van het bevoegd gezag overlegt degene die de inrichting drijft de gegevens over het netto elektrisch rendement van de stookinstallatie. </w:t>
      </w:r>
    </w:p>
    <w:p w:rsidR="001D6434" w:rsidRPr="001D6434" w:rsidRDefault="001D6434" w:rsidP="001D6434"/>
    <w:p w:rsidR="00296032" w:rsidRPr="00296032" w:rsidRDefault="00296032">
      <w:pPr>
        <w:pStyle w:val="artikelkop"/>
        <w:rPr>
          <w:rFonts w:cs="Arial"/>
        </w:rPr>
      </w:pPr>
      <w:r w:rsidRPr="00296032">
        <w:rPr>
          <w:rFonts w:cs="Arial"/>
        </w:rPr>
        <w:t>Artikel 5.13</w:t>
      </w:r>
    </w:p>
    <w:p w:rsidR="00296032" w:rsidRPr="00620047" w:rsidRDefault="00296032">
      <w:pPr>
        <w:pStyle w:val="artplat"/>
        <w:rPr>
          <w:rFonts w:cs="Arial"/>
        </w:rPr>
      </w:pPr>
      <w:r w:rsidRPr="00620047">
        <w:rPr>
          <w:rFonts w:cs="Arial"/>
        </w:rPr>
        <w:t>De meting van de emissies, waaronder tevens begrepen wordt de berekening, registratie en rapportage van de meting, voldoet aan de bij ministeriële regeling gestelde eisen.</w:t>
      </w:r>
    </w:p>
    <w:p w:rsidR="00296032" w:rsidRPr="00296032" w:rsidRDefault="00296032">
      <w:pPr>
        <w:pStyle w:val="artikelkop"/>
        <w:rPr>
          <w:rFonts w:cs="Arial"/>
        </w:rPr>
      </w:pPr>
      <w:r w:rsidRPr="00296032">
        <w:rPr>
          <w:rFonts w:cs="Arial"/>
        </w:rPr>
        <w:t>Artikel 5.14</w:t>
      </w:r>
    </w:p>
    <w:p w:rsidR="00296032" w:rsidRPr="00620047" w:rsidRDefault="00296032" w:rsidP="001D6434">
      <w:pPr>
        <w:pStyle w:val="art1enivo"/>
        <w:rPr>
          <w:rFonts w:cs="Arial"/>
        </w:rPr>
      </w:pPr>
      <w:r w:rsidRPr="00620047">
        <w:rPr>
          <w:rFonts w:cs="Arial"/>
        </w:rPr>
        <w:t>1.</w:t>
      </w:r>
      <w:r w:rsidRPr="00620047">
        <w:rPr>
          <w:rFonts w:cs="Arial"/>
        </w:rPr>
        <w:tab/>
      </w:r>
      <w:r w:rsidR="001D6434" w:rsidRPr="001D6434">
        <w:rPr>
          <w:rFonts w:cs="Arial"/>
        </w:rPr>
        <w:t xml:space="preserve">In afwijking van artikel 5.12a, derde lid, is het netto elektrisch rendement van een grote stookinstallatie die met steenkool of een combinatie van steenkool en een of meer andere brandstoffen wordt gestookt, tot 1 juli 2017 ten minste 38,00%. </w:t>
      </w:r>
    </w:p>
    <w:p w:rsidR="00296032" w:rsidRDefault="00296032">
      <w:pPr>
        <w:pStyle w:val="art1enivo"/>
        <w:rPr>
          <w:rFonts w:cs="Arial"/>
        </w:rPr>
      </w:pPr>
      <w:r w:rsidRPr="00620047">
        <w:rPr>
          <w:rFonts w:cs="Arial"/>
        </w:rPr>
        <w:t>2.</w:t>
      </w:r>
      <w:r w:rsidRPr="00620047">
        <w:rPr>
          <w:rFonts w:cs="Arial"/>
        </w:rPr>
        <w:tab/>
        <w:t>Voor een grote stookinstallatie waarop onmiddellijk voorafgaand aan het tijdstip van het van toepassing worden van deze paragraaf op die grote stookinstallatie een omgevingsvergunning op grond van artikel 2.1, eerste lid, aanhef en onder e, van de Wet algemene bepalingen omgevingsrecht was verleend, blijven de voorschriften van die vergunning van toepassing, tenzij de betreffende voorschriften gelijke of minder strenge emissiegrenswaarden bevatten dan die welke gelden op grond van deze paragraaf.</w:t>
      </w:r>
    </w:p>
    <w:p w:rsidR="00EE739C" w:rsidRDefault="00EE739C" w:rsidP="00EE739C"/>
    <w:p w:rsidR="00EE739C" w:rsidRPr="00F41CD6" w:rsidRDefault="00EE739C" w:rsidP="00EE739C">
      <w:pPr>
        <w:pStyle w:val="afdeling"/>
        <w:shd w:val="clear" w:color="auto" w:fill="D9D9D9" w:themeFill="background1" w:themeFillShade="D9"/>
      </w:pPr>
      <w:bookmarkStart w:id="336" w:name="_Toc431375779"/>
      <w:r w:rsidRPr="00F41CD6">
        <w:t>AFDELING 5.1. GROTE STOOKINSTALLATIES</w:t>
      </w:r>
      <w:bookmarkEnd w:id="336"/>
      <w:r w:rsidRPr="00F41CD6">
        <w:t xml:space="preserve"> </w:t>
      </w:r>
    </w:p>
    <w:p w:rsidR="00EE739C" w:rsidRDefault="00EE739C" w:rsidP="00EE739C">
      <w:pPr>
        <w:pStyle w:val="paragraaf"/>
        <w:shd w:val="clear" w:color="auto" w:fill="D9D9D9" w:themeFill="background1" w:themeFillShade="D9"/>
      </w:pPr>
      <w:bookmarkStart w:id="337" w:name="d16e1193"/>
      <w:bookmarkStart w:id="338" w:name="_Toc431375780"/>
      <w:bookmarkEnd w:id="337"/>
      <w:r>
        <w:t xml:space="preserve">§ 5.1.0. </w:t>
      </w:r>
      <w:r>
        <w:tab/>
        <w:t>Algemeen</w:t>
      </w:r>
      <w:bookmarkEnd w:id="338"/>
      <w:r>
        <w:t xml:space="preserve"> </w:t>
      </w:r>
    </w:p>
    <w:p w:rsidR="00EE739C" w:rsidRDefault="00EE739C" w:rsidP="00EE739C">
      <w:pPr>
        <w:pStyle w:val="artikelkop"/>
        <w:shd w:val="clear" w:color="auto" w:fill="D9D9D9" w:themeFill="background1" w:themeFillShade="D9"/>
      </w:pPr>
      <w:bookmarkStart w:id="339" w:name="d16e1197"/>
      <w:bookmarkEnd w:id="339"/>
      <w:r>
        <w:t xml:space="preserve">Artikel 5.1 </w:t>
      </w:r>
    </w:p>
    <w:p w:rsidR="00EE739C" w:rsidRDefault="00EE739C" w:rsidP="00EE739C">
      <w:pPr>
        <w:pStyle w:val="artplat"/>
        <w:shd w:val="clear" w:color="auto" w:fill="D9D9D9" w:themeFill="background1" w:themeFillShade="D9"/>
        <w:suppressAutoHyphens/>
      </w:pPr>
      <w:r>
        <w:t>De meting van de emissies, waaronder tevens begrepen wordt de berekening, registratie en rapportage van de meting, bedoeld in artikel 5.13 van het besluit, voldoet aan de eisen in de artikelen 5.2 tot en met 5.8</w:t>
      </w:r>
      <w:bookmarkStart w:id="340" w:name="d16e1203"/>
      <w:bookmarkEnd w:id="340"/>
      <w:r>
        <w:t>.</w:t>
      </w:r>
    </w:p>
    <w:p w:rsidR="00EE739C" w:rsidRDefault="00EE739C" w:rsidP="00EE739C">
      <w:pPr>
        <w:pStyle w:val="paragraaf"/>
        <w:shd w:val="clear" w:color="auto" w:fill="D9D9D9" w:themeFill="background1" w:themeFillShade="D9"/>
      </w:pPr>
      <w:bookmarkStart w:id="341" w:name="_Toc431375781"/>
      <w:r>
        <w:t xml:space="preserve">§ 5.1.1. </w:t>
      </w:r>
      <w:r>
        <w:tab/>
        <w:t>Monitoring van emissies</w:t>
      </w:r>
      <w:bookmarkEnd w:id="341"/>
      <w:r>
        <w:t xml:space="preserve"> </w:t>
      </w:r>
    </w:p>
    <w:p w:rsidR="00EE739C" w:rsidRDefault="00EE739C" w:rsidP="00EE739C">
      <w:pPr>
        <w:pStyle w:val="artikelkop"/>
        <w:shd w:val="clear" w:color="auto" w:fill="D9D9D9" w:themeFill="background1" w:themeFillShade="D9"/>
      </w:pPr>
      <w:bookmarkStart w:id="342" w:name="d16e1207"/>
      <w:bookmarkEnd w:id="342"/>
      <w:r>
        <w:t xml:space="preserve">Artikel 5.2 </w:t>
      </w:r>
    </w:p>
    <w:p w:rsidR="00EE739C" w:rsidRDefault="00EE739C" w:rsidP="00EE739C">
      <w:pPr>
        <w:pStyle w:val="art1enivo"/>
        <w:shd w:val="clear" w:color="auto" w:fill="D9D9D9" w:themeFill="background1" w:themeFillShade="D9"/>
        <w:suppressAutoHyphens/>
      </w:pPr>
      <w:r>
        <w:t>1.</w:t>
      </w:r>
      <w:r>
        <w:tab/>
        <w:t>Metingen ter bepaling van de emissies zijn representatief.</w:t>
      </w:r>
    </w:p>
    <w:p w:rsidR="00EE739C" w:rsidRDefault="00EE739C" w:rsidP="00EE739C">
      <w:pPr>
        <w:pStyle w:val="art1enivo"/>
        <w:shd w:val="clear" w:color="auto" w:fill="D9D9D9" w:themeFill="background1" w:themeFillShade="D9"/>
        <w:suppressAutoHyphens/>
      </w:pPr>
      <w:r>
        <w:t>2.</w:t>
      </w:r>
      <w:r>
        <w:tab/>
        <w:t>Alle monitoringresultaten worden op zodanige wijze geregistreerd, verwerkt en gepresenteerd, dat het bevoegd gezag kan controleren of wordt voldaan aan de toepasselijke emissiegrenswaarden en andere voorschriften</w:t>
      </w:r>
      <w:bookmarkStart w:id="343" w:name="d16e1222"/>
      <w:bookmarkEnd w:id="343"/>
      <w:r>
        <w:t>.</w:t>
      </w:r>
    </w:p>
    <w:p w:rsidR="00EE739C" w:rsidRDefault="00EE739C" w:rsidP="00EE739C">
      <w:pPr>
        <w:pStyle w:val="artikelkop"/>
        <w:shd w:val="clear" w:color="auto" w:fill="D9D9D9" w:themeFill="background1" w:themeFillShade="D9"/>
      </w:pPr>
      <w:r>
        <w:t xml:space="preserve">Artikel 5.3 </w:t>
      </w:r>
    </w:p>
    <w:p w:rsidR="00EE739C" w:rsidRDefault="00EE739C" w:rsidP="00EE739C">
      <w:pPr>
        <w:pStyle w:val="art1enivo"/>
        <w:shd w:val="clear" w:color="auto" w:fill="D9D9D9" w:themeFill="background1" w:themeFillShade="D9"/>
        <w:suppressAutoHyphens/>
      </w:pPr>
      <w:r>
        <w:t>1.</w:t>
      </w:r>
      <w:r>
        <w:tab/>
        <w:t>De emissieconcentratie van zwaveldioxide (SO</w:t>
      </w:r>
      <w:r>
        <w:rPr>
          <w:rFonts w:cs="Arial"/>
          <w:vertAlign w:val="subscript"/>
        </w:rPr>
        <w:t>2</w:t>
      </w:r>
      <w:r>
        <w:t>), stikstofoxiden (NO</w:t>
      </w:r>
      <w:r>
        <w:rPr>
          <w:rFonts w:cs="Arial"/>
          <w:vertAlign w:val="subscript"/>
        </w:rPr>
        <w:t>x</w:t>
      </w:r>
      <w:r>
        <w:t>) en totaal stof van een grote stookinstallatie met een totaal nominaal thermisch ingangsvermogen van 100 MW of meer, wordt continu gemeten.</w:t>
      </w:r>
    </w:p>
    <w:p w:rsidR="00EE739C" w:rsidRDefault="00EE739C" w:rsidP="00EE739C">
      <w:pPr>
        <w:pStyle w:val="art1enivo"/>
        <w:shd w:val="clear" w:color="auto" w:fill="D9D9D9" w:themeFill="background1" w:themeFillShade="D9"/>
        <w:suppressAutoHyphens/>
      </w:pPr>
      <w:r>
        <w:t>2.</w:t>
      </w:r>
      <w:r>
        <w:tab/>
        <w:t>De emissieconcentratie van koolmonoxide van een met gasvormige brandstoffen gestookte grote stookinstallatie met een totaal nominaal thermisch ingangsvermogen van 100 MW of meer, wordt continu gemeten.</w:t>
      </w:r>
    </w:p>
    <w:p w:rsidR="00EE739C" w:rsidRDefault="00EE739C" w:rsidP="00EE739C">
      <w:pPr>
        <w:pStyle w:val="art1enivo"/>
        <w:shd w:val="clear" w:color="auto" w:fill="D9D9D9" w:themeFill="background1" w:themeFillShade="D9"/>
        <w:suppressAutoHyphens/>
      </w:pPr>
      <w:r>
        <w:t>3.</w:t>
      </w:r>
      <w:r>
        <w:tab/>
        <w:t>De emissieconcentratie van zwaveldioxide (SO</w:t>
      </w:r>
      <w:r>
        <w:rPr>
          <w:rFonts w:cs="Arial"/>
          <w:vertAlign w:val="subscript"/>
        </w:rPr>
        <w:t>2</w:t>
      </w:r>
      <w:r>
        <w:t>), stikstofoxiden (NO</w:t>
      </w:r>
      <w:r>
        <w:rPr>
          <w:rFonts w:cs="Arial"/>
          <w:vertAlign w:val="subscript"/>
        </w:rPr>
        <w:t>x</w:t>
      </w:r>
      <w:r>
        <w:t>) en totaal stof van een grote stookinstallatie en de emissieconcentratie van koolmonoxide van een met gas gestookte grote stookinstallaties, wordt periodiek tenminste om de zes maanden gemeten, tenzij op grond van het eerste of tweede lid continue meting is voorgeschreven.</w:t>
      </w:r>
    </w:p>
    <w:p w:rsidR="00EE739C" w:rsidRDefault="00EE739C" w:rsidP="00EE739C">
      <w:pPr>
        <w:pStyle w:val="art1enivo"/>
        <w:shd w:val="clear" w:color="auto" w:fill="D9D9D9" w:themeFill="background1" w:themeFillShade="D9"/>
        <w:suppressAutoHyphens/>
      </w:pPr>
      <w:r>
        <w:t>4.</w:t>
      </w:r>
      <w:r>
        <w:tab/>
        <w:t>In afwijking van het eerste lid wordt de emissieconcentratie van totaal stof periodiek tenminste om de zes maanden gemeten, indien een grote stookinstallatie met aardgas wordt gestookt.</w:t>
      </w:r>
    </w:p>
    <w:p w:rsidR="00EE739C" w:rsidRDefault="00EE739C" w:rsidP="00EE739C">
      <w:pPr>
        <w:pStyle w:val="art1enivo"/>
        <w:shd w:val="clear" w:color="auto" w:fill="D9D9D9" w:themeFill="background1" w:themeFillShade="D9"/>
        <w:suppressAutoHyphens/>
      </w:pPr>
      <w:r>
        <w:t>5.</w:t>
      </w:r>
      <w:r>
        <w:tab/>
        <w:t>In afwijking van het eerste en derde lid is meting van zwaveldioxide (SO</w:t>
      </w:r>
      <w:r>
        <w:rPr>
          <w:rFonts w:cs="Arial"/>
          <w:vertAlign w:val="subscript"/>
        </w:rPr>
        <w:t>2</w:t>
      </w:r>
      <w:r>
        <w:t xml:space="preserve">) niet verplicht en wordt de emissieconcentratie bepaald op grond van de gehalten in de ingezette brandstoffen, indien: </w:t>
      </w:r>
    </w:p>
    <w:p w:rsidR="00EE739C" w:rsidRDefault="00EE739C" w:rsidP="00EE739C">
      <w:pPr>
        <w:pStyle w:val="art2enivo"/>
        <w:shd w:val="clear" w:color="auto" w:fill="D9D9D9" w:themeFill="background1" w:themeFillShade="D9"/>
        <w:suppressAutoHyphens/>
      </w:pPr>
      <w:r>
        <w:rPr>
          <w:rFonts w:cs="Arial"/>
        </w:rPr>
        <w:t>a.</w:t>
      </w:r>
      <w:r>
        <w:rPr>
          <w:rFonts w:cs="Arial"/>
        </w:rPr>
        <w:tab/>
      </w:r>
      <w:r>
        <w:t xml:space="preserve">een grote stookinstallatie met aardgas wordt gestookt; </w:t>
      </w:r>
    </w:p>
    <w:p w:rsidR="00EE739C" w:rsidRDefault="00EE739C" w:rsidP="00EE739C">
      <w:pPr>
        <w:pStyle w:val="art2enivo"/>
        <w:shd w:val="clear" w:color="auto" w:fill="D9D9D9" w:themeFill="background1" w:themeFillShade="D9"/>
        <w:suppressAutoHyphens/>
      </w:pPr>
      <w:r>
        <w:rPr>
          <w:rFonts w:cs="Arial"/>
        </w:rPr>
        <w:t>b.</w:t>
      </w:r>
      <w:r>
        <w:rPr>
          <w:rFonts w:cs="Arial"/>
        </w:rPr>
        <w:tab/>
      </w:r>
      <w:r>
        <w:rPr>
          <w:rStyle w:val="art2enivoChar"/>
        </w:rPr>
        <w:t xml:space="preserve">een grote </w:t>
      </w:r>
      <w:r>
        <w:t xml:space="preserve">stookinstallatie met olie wordt gestookt en er geen uitrusting voor de ontzwaveling van afgas is; </w:t>
      </w:r>
    </w:p>
    <w:p w:rsidR="00EE739C" w:rsidRDefault="00EE739C" w:rsidP="00EE739C">
      <w:pPr>
        <w:pStyle w:val="art2enivo"/>
        <w:shd w:val="clear" w:color="auto" w:fill="D9D9D9" w:themeFill="background1" w:themeFillShade="D9"/>
        <w:suppressAutoHyphens/>
      </w:pPr>
      <w:r>
        <w:rPr>
          <w:rFonts w:cs="Arial"/>
        </w:rPr>
        <w:t>c.</w:t>
      </w:r>
      <w:r>
        <w:rPr>
          <w:rFonts w:cs="Arial"/>
        </w:rPr>
        <w:tab/>
      </w:r>
      <w:r>
        <w:t>een grote stookinstallatie met biomassa wordt gestookt en de drijver van de inrichting kan aantonen dat die emissie in geen geval hoger is dan de toepasselijke emissiegrenswaarde.</w:t>
      </w:r>
    </w:p>
    <w:p w:rsidR="00EE739C" w:rsidRDefault="00EE739C" w:rsidP="00EE739C">
      <w:pPr>
        <w:pStyle w:val="art1enivo"/>
        <w:shd w:val="clear" w:color="auto" w:fill="D9D9D9" w:themeFill="background1" w:themeFillShade="D9"/>
        <w:suppressAutoHyphens/>
      </w:pPr>
      <w:r>
        <w:t>6.</w:t>
      </w:r>
      <w:r>
        <w:tab/>
        <w:t>Voor met steenkool of bruinkool gestookte installaties wordt de totale emissie van kwik periodiek ten minste één maal per jaar gemeten</w:t>
      </w:r>
      <w:bookmarkStart w:id="344" w:name="d16e1288"/>
      <w:bookmarkEnd w:id="344"/>
      <w:r>
        <w:t>.</w:t>
      </w:r>
    </w:p>
    <w:p w:rsidR="00EE739C" w:rsidRDefault="00EE739C" w:rsidP="00EE739C">
      <w:pPr>
        <w:pStyle w:val="artikelkop"/>
        <w:shd w:val="clear" w:color="auto" w:fill="D9D9D9" w:themeFill="background1" w:themeFillShade="D9"/>
      </w:pPr>
      <w:r>
        <w:t xml:space="preserve">Artikel 5.4 </w:t>
      </w:r>
    </w:p>
    <w:p w:rsidR="00EE739C" w:rsidRDefault="00EE739C" w:rsidP="00EE739C">
      <w:pPr>
        <w:pStyle w:val="art1enivo"/>
        <w:shd w:val="clear" w:color="auto" w:fill="D9D9D9" w:themeFill="background1" w:themeFillShade="D9"/>
        <w:suppressAutoHyphens/>
      </w:pPr>
      <w:r>
        <w:t>1.</w:t>
      </w:r>
      <w:r>
        <w:tab/>
        <w:t xml:space="preserve">Tot de continue metingen, bedoeld in artikel 5.3, behoort tevens de meting van: </w:t>
      </w:r>
    </w:p>
    <w:p w:rsidR="00EE739C" w:rsidRDefault="00EE739C" w:rsidP="00EE739C">
      <w:pPr>
        <w:pStyle w:val="art2enivo"/>
        <w:shd w:val="clear" w:color="auto" w:fill="D9D9D9" w:themeFill="background1" w:themeFillShade="D9"/>
        <w:suppressAutoHyphens/>
      </w:pPr>
      <w:r>
        <w:rPr>
          <w:rFonts w:cs="Arial"/>
        </w:rPr>
        <w:t>a.</w:t>
      </w:r>
      <w:r>
        <w:rPr>
          <w:rFonts w:cs="Arial"/>
        </w:rPr>
        <w:tab/>
      </w:r>
      <w:r>
        <w:rPr>
          <w:rStyle w:val="art2enivoChar"/>
        </w:rPr>
        <w:t xml:space="preserve">het </w:t>
      </w:r>
      <w:r>
        <w:t xml:space="preserve">zuurstofgehalte; </w:t>
      </w:r>
    </w:p>
    <w:p w:rsidR="00EE739C" w:rsidRDefault="00EE739C" w:rsidP="00EE739C">
      <w:pPr>
        <w:pStyle w:val="art2enivo"/>
        <w:shd w:val="clear" w:color="auto" w:fill="D9D9D9" w:themeFill="background1" w:themeFillShade="D9"/>
        <w:suppressAutoHyphens/>
      </w:pPr>
      <w:r>
        <w:rPr>
          <w:rFonts w:cs="Arial"/>
        </w:rPr>
        <w:t>b.</w:t>
      </w:r>
      <w:r>
        <w:rPr>
          <w:rFonts w:cs="Arial"/>
        </w:rPr>
        <w:tab/>
      </w:r>
      <w:r>
        <w:t xml:space="preserve">de temperatuur; </w:t>
      </w:r>
    </w:p>
    <w:p w:rsidR="00EE739C" w:rsidRDefault="00EE739C" w:rsidP="00EE739C">
      <w:pPr>
        <w:pStyle w:val="art2enivo"/>
        <w:shd w:val="clear" w:color="auto" w:fill="D9D9D9" w:themeFill="background1" w:themeFillShade="D9"/>
        <w:suppressAutoHyphens/>
      </w:pPr>
      <w:r>
        <w:rPr>
          <w:rFonts w:cs="Arial"/>
        </w:rPr>
        <w:t>c.</w:t>
      </w:r>
      <w:r>
        <w:rPr>
          <w:rFonts w:cs="Arial"/>
        </w:rPr>
        <w:tab/>
      </w:r>
      <w:r>
        <w:t xml:space="preserve">de druk; </w:t>
      </w:r>
    </w:p>
    <w:p w:rsidR="00EE739C" w:rsidRDefault="00EE739C" w:rsidP="00EE739C">
      <w:pPr>
        <w:pStyle w:val="art2enivo"/>
        <w:shd w:val="clear" w:color="auto" w:fill="D9D9D9" w:themeFill="background1" w:themeFillShade="D9"/>
        <w:suppressAutoHyphens/>
      </w:pPr>
      <w:r>
        <w:rPr>
          <w:rFonts w:cs="Arial"/>
        </w:rPr>
        <w:t>d.</w:t>
      </w:r>
      <w:r>
        <w:rPr>
          <w:rFonts w:cs="Arial"/>
        </w:rPr>
        <w:tab/>
      </w:r>
      <w:r>
        <w:t>het waterdampgehalte van het afgas, tenzij het als monster gebruikte afgas wordt gedroogd alvorens de emissies in de lucht worden geanalyseerd.</w:t>
      </w:r>
    </w:p>
    <w:p w:rsidR="00EE739C" w:rsidRDefault="00EE739C" w:rsidP="00EE739C">
      <w:pPr>
        <w:pStyle w:val="art1enivo"/>
        <w:shd w:val="clear" w:color="auto" w:fill="D9D9D9" w:themeFill="background1" w:themeFillShade="D9"/>
        <w:suppressAutoHyphens/>
      </w:pPr>
      <w:r>
        <w:t>2.</w:t>
      </w:r>
      <w:r>
        <w:tab/>
        <w:t xml:space="preserve">De resultaten van de overeenkomstig deze afdeling verrichte metingen worden herleid tot een massaconcentratie bij het genormaliseerde zuurstofgehalte, bedoeld in artikel 5.3, vierde lid, van het besluit, overeenkomstig de volgende formule: </w:t>
      </w:r>
    </w:p>
    <w:p w:rsidR="00EE739C" w:rsidRDefault="00EE739C" w:rsidP="00EE739C">
      <w:pPr>
        <w:pStyle w:val="art2enivo"/>
        <w:shd w:val="clear" w:color="auto" w:fill="D9D9D9" w:themeFill="background1" w:themeFillShade="D9"/>
        <w:suppressAutoHyphens/>
        <w:rPr>
          <w:rFonts w:cs="Arial"/>
        </w:rPr>
      </w:pPr>
      <w:r>
        <w:rPr>
          <w:rFonts w:cs="Arial"/>
        </w:rPr>
        <w:t>E</w:t>
      </w:r>
      <w:r>
        <w:rPr>
          <w:rFonts w:cs="Arial"/>
          <w:vertAlign w:val="subscript"/>
        </w:rPr>
        <w:t>s</w:t>
      </w:r>
      <w:r>
        <w:rPr>
          <w:rFonts w:cs="Arial"/>
        </w:rPr>
        <w:t xml:space="preserve"> = (21-O</w:t>
      </w:r>
      <w:r>
        <w:rPr>
          <w:rFonts w:cs="Arial"/>
          <w:vertAlign w:val="subscript"/>
        </w:rPr>
        <w:t>s</w:t>
      </w:r>
      <w:r>
        <w:rPr>
          <w:rFonts w:cs="Arial"/>
        </w:rPr>
        <w:t>)/(21-O</w:t>
      </w:r>
      <w:r>
        <w:rPr>
          <w:rFonts w:cs="Arial"/>
          <w:vertAlign w:val="subscript"/>
        </w:rPr>
        <w:t>m</w:t>
      </w:r>
      <w:r>
        <w:rPr>
          <w:rFonts w:cs="Arial"/>
        </w:rPr>
        <w:t>) x E</w:t>
      </w:r>
      <w:r>
        <w:rPr>
          <w:rFonts w:cs="Arial"/>
          <w:vertAlign w:val="subscript"/>
        </w:rPr>
        <w:t>m</w:t>
      </w:r>
      <w:r>
        <w:rPr>
          <w:rFonts w:cs="Arial"/>
        </w:rPr>
        <w:t xml:space="preserve">, waarbij wordt verstaan onder: </w:t>
      </w:r>
    </w:p>
    <w:p w:rsidR="00EE739C" w:rsidRDefault="00EE739C" w:rsidP="00EE739C">
      <w:pPr>
        <w:pStyle w:val="art2enivo"/>
        <w:shd w:val="clear" w:color="auto" w:fill="D9D9D9" w:themeFill="background1" w:themeFillShade="D9"/>
        <w:suppressAutoHyphens/>
        <w:rPr>
          <w:rFonts w:cs="Arial"/>
        </w:rPr>
      </w:pPr>
    </w:p>
    <w:p w:rsidR="00EE739C" w:rsidRDefault="00EE739C" w:rsidP="00EE739C">
      <w:pPr>
        <w:pStyle w:val="art2enivo"/>
        <w:shd w:val="clear" w:color="auto" w:fill="D9D9D9" w:themeFill="background1" w:themeFillShade="D9"/>
        <w:suppressAutoHyphens/>
        <w:rPr>
          <w:rFonts w:cs="Arial"/>
        </w:rPr>
      </w:pPr>
      <w:r>
        <w:rPr>
          <w:rFonts w:cs="Arial"/>
        </w:rPr>
        <w:t>E</w:t>
      </w:r>
      <w:r>
        <w:rPr>
          <w:rFonts w:cs="Arial"/>
          <w:vertAlign w:val="subscript"/>
        </w:rPr>
        <w:t>s</w:t>
      </w:r>
      <w:r>
        <w:rPr>
          <w:rFonts w:cs="Arial"/>
        </w:rPr>
        <w:t xml:space="preserve"> = de berekende emissieconcentratie bij het genormaliseerde zuurstofgehalte </w:t>
      </w:r>
    </w:p>
    <w:p w:rsidR="00EE739C" w:rsidRDefault="00EE739C" w:rsidP="00EE739C">
      <w:pPr>
        <w:pStyle w:val="art2enivo"/>
        <w:shd w:val="clear" w:color="auto" w:fill="D9D9D9" w:themeFill="background1" w:themeFillShade="D9"/>
        <w:suppressAutoHyphens/>
        <w:rPr>
          <w:rFonts w:cs="Arial"/>
        </w:rPr>
      </w:pPr>
      <w:r>
        <w:rPr>
          <w:rFonts w:cs="Arial"/>
        </w:rPr>
        <w:t>E</w:t>
      </w:r>
      <w:r>
        <w:rPr>
          <w:rFonts w:cs="Arial"/>
          <w:vertAlign w:val="subscript"/>
        </w:rPr>
        <w:t>m</w:t>
      </w:r>
      <w:r>
        <w:rPr>
          <w:rFonts w:cs="Arial"/>
        </w:rPr>
        <w:t xml:space="preserve"> = de gemeten emissieconcentratie </w:t>
      </w:r>
    </w:p>
    <w:p w:rsidR="00EE739C" w:rsidRDefault="00EE739C" w:rsidP="00EE739C">
      <w:pPr>
        <w:pStyle w:val="art2enivo"/>
        <w:shd w:val="clear" w:color="auto" w:fill="D9D9D9" w:themeFill="background1" w:themeFillShade="D9"/>
        <w:suppressAutoHyphens/>
        <w:rPr>
          <w:rFonts w:cs="Arial"/>
        </w:rPr>
      </w:pPr>
      <w:r>
        <w:rPr>
          <w:rFonts w:cs="Arial"/>
        </w:rPr>
        <w:t>O</w:t>
      </w:r>
      <w:r>
        <w:rPr>
          <w:rFonts w:cs="Arial"/>
          <w:vertAlign w:val="subscript"/>
        </w:rPr>
        <w:t>s</w:t>
      </w:r>
      <w:r>
        <w:rPr>
          <w:rFonts w:cs="Arial"/>
        </w:rPr>
        <w:t xml:space="preserve"> = het genormaliseerde zuurstofgehalte </w:t>
      </w:r>
    </w:p>
    <w:p w:rsidR="00EE739C" w:rsidRDefault="00EE739C" w:rsidP="00EE739C">
      <w:pPr>
        <w:pStyle w:val="art2enivo"/>
        <w:shd w:val="clear" w:color="auto" w:fill="D9D9D9" w:themeFill="background1" w:themeFillShade="D9"/>
        <w:suppressAutoHyphens/>
        <w:rPr>
          <w:rFonts w:cs="Arial"/>
        </w:rPr>
      </w:pPr>
      <w:r>
        <w:rPr>
          <w:rFonts w:cs="Arial"/>
        </w:rPr>
        <w:t>O</w:t>
      </w:r>
      <w:r>
        <w:rPr>
          <w:rFonts w:cs="Arial"/>
          <w:vertAlign w:val="subscript"/>
        </w:rPr>
        <w:t>m</w:t>
      </w:r>
      <w:r>
        <w:rPr>
          <w:rFonts w:cs="Arial"/>
        </w:rPr>
        <w:t xml:space="preserve"> = het gemeten zuurstofgehalte </w:t>
      </w:r>
    </w:p>
    <w:p w:rsidR="00EE739C" w:rsidRDefault="00EE739C" w:rsidP="00EE739C">
      <w:pPr>
        <w:pStyle w:val="paragraaf"/>
        <w:shd w:val="clear" w:color="auto" w:fill="D9D9D9" w:themeFill="background1" w:themeFillShade="D9"/>
      </w:pPr>
      <w:bookmarkStart w:id="345" w:name="d16e1358"/>
      <w:bookmarkStart w:id="346" w:name="_Toc431375782"/>
      <w:bookmarkEnd w:id="345"/>
      <w:r>
        <w:t>§ 5.1.2.</w:t>
      </w:r>
      <w:r>
        <w:tab/>
        <w:t>Meettechnieken</w:t>
      </w:r>
      <w:bookmarkEnd w:id="346"/>
      <w:r>
        <w:t xml:space="preserve"> </w:t>
      </w:r>
    </w:p>
    <w:p w:rsidR="00EE739C" w:rsidRDefault="00EE739C" w:rsidP="00EE739C">
      <w:pPr>
        <w:pStyle w:val="artikelkop"/>
        <w:shd w:val="clear" w:color="auto" w:fill="D9D9D9" w:themeFill="background1" w:themeFillShade="D9"/>
      </w:pPr>
      <w:bookmarkStart w:id="347" w:name="d16e1362"/>
      <w:bookmarkEnd w:id="347"/>
      <w:r>
        <w:t xml:space="preserve">Artikel 5.5 </w:t>
      </w:r>
    </w:p>
    <w:p w:rsidR="00EE739C" w:rsidRDefault="00EE739C" w:rsidP="00EE739C">
      <w:pPr>
        <w:pStyle w:val="art1enivo"/>
        <w:shd w:val="clear" w:color="auto" w:fill="D9D9D9" w:themeFill="background1" w:themeFillShade="D9"/>
        <w:suppressAutoHyphens/>
      </w:pPr>
      <w:r>
        <w:t>1.</w:t>
      </w:r>
      <w:r>
        <w:tab/>
        <w:t xml:space="preserve">De bemonsteringen, analyses en metingen van de parameters die nodig zijn om te bepalen of wordt voldaan aan de emissiegrenswaarden alsmede de andere metingen en berekeningen die in deze afdeling zijn voorgeschreven, worden uitgevoerd volgens onderstaande normbladen: </w:t>
      </w:r>
    </w:p>
    <w:p w:rsidR="00EE739C" w:rsidRDefault="00EE739C" w:rsidP="00EE739C">
      <w:pPr>
        <w:pStyle w:val="tabelkop"/>
        <w:shd w:val="clear" w:color="auto" w:fill="D9D9D9" w:themeFill="background1" w:themeFillShade="D9"/>
        <w:suppressAutoHyphens/>
      </w:pPr>
      <w:r>
        <w:t>Tabel 5.5</w:t>
      </w:r>
    </w:p>
    <w:tbl>
      <w:tblPr>
        <w:tblStyle w:val="Tabelraster"/>
        <w:tblW w:w="0" w:type="auto"/>
        <w:tblInd w:w="483" w:type="dxa"/>
        <w:tblLook w:val="04A0" w:firstRow="1" w:lastRow="0" w:firstColumn="1" w:lastColumn="0" w:noHBand="0" w:noVBand="1"/>
      </w:tblPr>
      <w:tblGrid>
        <w:gridCol w:w="5276"/>
        <w:gridCol w:w="2075"/>
      </w:tblGrid>
      <w:tr w:rsidR="00EE739C" w:rsidTr="00215E35">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Style w:val="Zwaar"/>
                <w:rFonts w:cs="Arial"/>
                <w:szCs w:val="18"/>
              </w:rPr>
              <w:t>Normbladen voor continue meting van emissies naar lucht</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Totaal stof</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13284-2</w:t>
            </w:r>
          </w:p>
        </w:tc>
      </w:tr>
      <w:tr w:rsidR="00EE739C" w:rsidTr="00215E35">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EE739C" w:rsidRDefault="00EE739C" w:rsidP="00EE739C">
            <w:pPr>
              <w:shd w:val="clear" w:color="auto" w:fill="D9D9D9" w:themeFill="background1" w:themeFillShade="D9"/>
              <w:suppressAutoHyphens/>
              <w:rPr>
                <w:rFonts w:cs="Arial"/>
                <w:szCs w:val="18"/>
              </w:rPr>
            </w:pPr>
            <w:r>
              <w:rPr>
                <w:rStyle w:val="Zwaar"/>
                <w:rFonts w:cs="Arial"/>
                <w:szCs w:val="18"/>
              </w:rPr>
              <w:t>Normbladen voor periodieke en parallelmetingen van emissies naar lucht</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Zwaveldioxide (SO</w:t>
            </w:r>
            <w:r>
              <w:rPr>
                <w:rFonts w:cs="Arial"/>
                <w:szCs w:val="18"/>
                <w:vertAlign w:val="subscript"/>
              </w:rPr>
              <w:t>2</w:t>
            </w:r>
            <w:r>
              <w:rPr>
                <w:rFonts w:cs="Arial"/>
                <w:szCs w:val="18"/>
              </w:rPr>
              <w:t xml:space="preserve">)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14791</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Stikstofoxiden (NO</w:t>
            </w:r>
            <w:r>
              <w:rPr>
                <w:rFonts w:cs="Arial"/>
                <w:szCs w:val="18"/>
                <w:vertAlign w:val="subscript"/>
              </w:rPr>
              <w:t>x</w:t>
            </w:r>
            <w:r>
              <w:rPr>
                <w:rFonts w:cs="Arial"/>
                <w:szCs w:val="18"/>
              </w:rPr>
              <w:t xml:space="preserve">)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14792</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Koolmonoxide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15058</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 xml:space="preserve">Totaal stof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13284-1</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Kwik</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13211</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Zuurstof</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14789</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Waterdamp</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14790</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Debiet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16911-1</w:t>
            </w:r>
          </w:p>
        </w:tc>
      </w:tr>
      <w:tr w:rsidR="00EE739C" w:rsidTr="00215E35">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EE739C" w:rsidRDefault="00EE739C" w:rsidP="00EE739C">
            <w:pPr>
              <w:shd w:val="clear" w:color="auto" w:fill="D9D9D9" w:themeFill="background1" w:themeFillShade="D9"/>
              <w:suppressAutoHyphens/>
              <w:rPr>
                <w:rFonts w:cs="Arial"/>
                <w:szCs w:val="18"/>
              </w:rPr>
            </w:pPr>
            <w:r>
              <w:rPr>
                <w:rStyle w:val="Zwaar"/>
                <w:rFonts w:cs="Arial"/>
                <w:szCs w:val="18"/>
              </w:rPr>
              <w:t>Algemene normbladen voor kwaliteitsborging</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Kwaliteitsborging geautomatiseerde metingsystemen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14181</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Bekwaamheid laboratoria</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NEN-EN-ISO/IEC 17025</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Monsternamestrategie, meetdoel, -plan en -rapportage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NEN-EN 15259</w:t>
            </w:r>
          </w:p>
        </w:tc>
      </w:tr>
      <w:tr w:rsidR="00EE739C"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Richtlijnen voor Predictive Emission Monitoring Systems (PEMS)</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EE739C" w:rsidRDefault="00EE739C" w:rsidP="00EE739C">
            <w:pPr>
              <w:shd w:val="clear" w:color="auto" w:fill="D9D9D9" w:themeFill="background1" w:themeFillShade="D9"/>
              <w:suppressAutoHyphens/>
              <w:rPr>
                <w:rFonts w:cs="Arial"/>
                <w:szCs w:val="18"/>
              </w:rPr>
            </w:pPr>
            <w:r>
              <w:rPr>
                <w:rFonts w:cs="Arial"/>
                <w:szCs w:val="18"/>
              </w:rPr>
              <w:t>NTA 7379</w:t>
            </w:r>
          </w:p>
        </w:tc>
      </w:tr>
    </w:tbl>
    <w:p w:rsidR="00EE739C" w:rsidRDefault="00EE739C" w:rsidP="00EE739C">
      <w:pPr>
        <w:pStyle w:val="art1enivo"/>
        <w:shd w:val="clear" w:color="auto" w:fill="D9D9D9" w:themeFill="background1" w:themeFillShade="D9"/>
        <w:suppressAutoHyphens/>
      </w:pPr>
      <w:r>
        <w:t>2.</w:t>
      </w:r>
      <w:r>
        <w:tab/>
        <w:t>Op de vaststelling van het zwavelgehalte van een brandstof is de Regeling brandstoffen luchtverontreiniging van overeenkomstige toepassing</w:t>
      </w:r>
      <w:bookmarkStart w:id="348" w:name="d16e1554"/>
      <w:bookmarkEnd w:id="348"/>
      <w:r>
        <w:t>.</w:t>
      </w:r>
    </w:p>
    <w:p w:rsidR="00EE739C" w:rsidRDefault="00EE739C" w:rsidP="00EE739C">
      <w:pPr>
        <w:pStyle w:val="artikelkop"/>
        <w:shd w:val="clear" w:color="auto" w:fill="D9D9D9" w:themeFill="background1" w:themeFillShade="D9"/>
      </w:pPr>
      <w:r>
        <w:t xml:space="preserve">Artikel 5.6 </w:t>
      </w:r>
    </w:p>
    <w:p w:rsidR="00EE739C" w:rsidRDefault="00EE739C" w:rsidP="00EE739C">
      <w:pPr>
        <w:pStyle w:val="art1enivo"/>
        <w:shd w:val="clear" w:color="auto" w:fill="D9D9D9" w:themeFill="background1" w:themeFillShade="D9"/>
        <w:suppressAutoHyphens/>
      </w:pPr>
      <w:r>
        <w:t>1.</w:t>
      </w:r>
      <w:r>
        <w:tab/>
        <w:t>Geautomatiseerde meetsystemen worden ten minste eenmaal per jaar met behulp van parallelmetingen met de referentiemeetmethoden, bedoeld in artikel 5.5, gecontroleerd.</w:t>
      </w:r>
    </w:p>
    <w:p w:rsidR="00EE739C" w:rsidRDefault="00EE739C" w:rsidP="00EE739C">
      <w:pPr>
        <w:pStyle w:val="art1enivo"/>
        <w:shd w:val="clear" w:color="auto" w:fill="D9D9D9" w:themeFill="background1" w:themeFillShade="D9"/>
        <w:suppressAutoHyphens/>
      </w:pPr>
      <w:r>
        <w:t>2.</w:t>
      </w:r>
      <w:r>
        <w:tab/>
        <w:t>De drijver van de inrichting informeert het bevoegd gezag over de resultaten van de in het eerste lid bedoelde controle.</w:t>
      </w:r>
    </w:p>
    <w:p w:rsidR="00EE739C" w:rsidRDefault="00EE739C" w:rsidP="00EE739C">
      <w:pPr>
        <w:pStyle w:val="art1enivo"/>
        <w:shd w:val="clear" w:color="auto" w:fill="D9D9D9" w:themeFill="background1" w:themeFillShade="D9"/>
        <w:suppressAutoHyphens/>
      </w:pPr>
      <w:r>
        <w:t>3.</w:t>
      </w:r>
      <w:r>
        <w:tab/>
        <w:t xml:space="preserve">De waarde van het 95%-betrouwbaarheidsinterval van individuele waarnemingen, op basis waarvan de gemiddelden worden berekend die getoetst worden aan een emissiegrenswaarde, is bij continue metingen niet groter dan de volgende percentages van de emissiegrenswaarde: </w:t>
      </w:r>
    </w:p>
    <w:p w:rsidR="00EE739C" w:rsidRDefault="00EE739C" w:rsidP="00EE739C">
      <w:pPr>
        <w:pStyle w:val="art2enivo"/>
        <w:shd w:val="clear" w:color="auto" w:fill="D9D9D9" w:themeFill="background1" w:themeFillShade="D9"/>
        <w:suppressAutoHyphens/>
      </w:pPr>
      <w:r>
        <w:rPr>
          <w:rFonts w:cs="Arial"/>
        </w:rPr>
        <w:t>a.</w:t>
      </w:r>
      <w:r>
        <w:rPr>
          <w:rFonts w:cs="Arial"/>
        </w:rPr>
        <w:tab/>
      </w:r>
      <w:r>
        <w:rPr>
          <w:rStyle w:val="art2enivoChar"/>
        </w:rPr>
        <w:t>koolmonoxide</w:t>
      </w:r>
      <w:r>
        <w:t xml:space="preserve">: 10% van de emissiegrenswaarde; </w:t>
      </w:r>
    </w:p>
    <w:p w:rsidR="00EE739C" w:rsidRDefault="00EE739C" w:rsidP="00EE739C">
      <w:pPr>
        <w:pStyle w:val="art2enivo"/>
        <w:shd w:val="clear" w:color="auto" w:fill="D9D9D9" w:themeFill="background1" w:themeFillShade="D9"/>
        <w:suppressAutoHyphens/>
      </w:pPr>
      <w:r>
        <w:rPr>
          <w:rFonts w:cs="Arial"/>
        </w:rPr>
        <w:t>b.</w:t>
      </w:r>
      <w:r>
        <w:rPr>
          <w:rFonts w:cs="Arial"/>
        </w:rPr>
        <w:tab/>
      </w:r>
      <w:r>
        <w:t>zwaveldioxide (SO</w:t>
      </w:r>
      <w:r>
        <w:rPr>
          <w:rFonts w:cs="Arial"/>
          <w:vertAlign w:val="subscript"/>
        </w:rPr>
        <w:t>2</w:t>
      </w:r>
      <w:r>
        <w:t xml:space="preserve">): 20% van de emissiegrenswaarde; </w:t>
      </w:r>
    </w:p>
    <w:p w:rsidR="00EE739C" w:rsidRDefault="00EE739C" w:rsidP="00EE739C">
      <w:pPr>
        <w:pStyle w:val="art2enivo"/>
        <w:shd w:val="clear" w:color="auto" w:fill="D9D9D9" w:themeFill="background1" w:themeFillShade="D9"/>
        <w:suppressAutoHyphens/>
      </w:pPr>
      <w:r>
        <w:rPr>
          <w:rFonts w:cs="Arial"/>
        </w:rPr>
        <w:t>c.</w:t>
      </w:r>
      <w:r>
        <w:rPr>
          <w:rFonts w:cs="Arial"/>
        </w:rPr>
        <w:tab/>
      </w:r>
      <w:r>
        <w:t>stikstofoxiden (NO</w:t>
      </w:r>
      <w:r>
        <w:rPr>
          <w:rFonts w:cs="Arial"/>
          <w:vertAlign w:val="subscript"/>
        </w:rPr>
        <w:t>x</w:t>
      </w:r>
      <w:r>
        <w:t xml:space="preserve">): 20% van de emissiegrenswaarde; </w:t>
      </w:r>
    </w:p>
    <w:p w:rsidR="00EE739C" w:rsidRDefault="00EE739C" w:rsidP="00EE739C">
      <w:pPr>
        <w:pStyle w:val="art2enivo"/>
        <w:shd w:val="clear" w:color="auto" w:fill="D9D9D9" w:themeFill="background1" w:themeFillShade="D9"/>
        <w:suppressAutoHyphens/>
      </w:pPr>
      <w:r>
        <w:rPr>
          <w:rFonts w:cs="Arial"/>
        </w:rPr>
        <w:t>d.</w:t>
      </w:r>
      <w:r>
        <w:rPr>
          <w:rFonts w:cs="Arial"/>
        </w:rPr>
        <w:tab/>
      </w:r>
      <w:r>
        <w:t>totaal stof: 30% van de emissiegrenswaarde.</w:t>
      </w:r>
    </w:p>
    <w:p w:rsidR="00EE739C" w:rsidRDefault="00EE739C" w:rsidP="00EE739C">
      <w:pPr>
        <w:pStyle w:val="art1enivo"/>
        <w:shd w:val="clear" w:color="auto" w:fill="D9D9D9" w:themeFill="background1" w:themeFillShade="D9"/>
        <w:suppressAutoHyphens/>
      </w:pPr>
      <w:r>
        <w:t>4.</w:t>
      </w:r>
      <w:r>
        <w:tab/>
        <w:t>De gevalideerde uur- en daggemiddelden worden bij continue metingen vastgesteld op grond van de valide gemeten uurgemiddelden, na aftrek van de waarde van het in het derde lid vermelde 95%-betrouwbaarheidsinterval.</w:t>
      </w:r>
    </w:p>
    <w:p w:rsidR="00EE739C" w:rsidRDefault="00EE739C" w:rsidP="00EE739C">
      <w:pPr>
        <w:pStyle w:val="art1enivo"/>
        <w:shd w:val="clear" w:color="auto" w:fill="D9D9D9" w:themeFill="background1" w:themeFillShade="D9"/>
        <w:suppressAutoHyphens/>
      </w:pPr>
      <w:r>
        <w:t>5.</w:t>
      </w:r>
      <w:r>
        <w:tab/>
        <w:t>Indien in een dag meer dan drie uurgemiddelden ongeldig zijn wegens storing of onderhoud van het continu werkende meetsysteem, worden de metingen van die dag als ongeldig beschouwd. Indien per jaar de metingen van meer dan tien dagen ongeldig zijn, worden passende maatregelen getroffen om de betrouwbaarheid van het continu werkende meetsysteem te verbeteren</w:t>
      </w:r>
      <w:bookmarkStart w:id="349" w:name="d16e1611"/>
      <w:bookmarkEnd w:id="349"/>
      <w:r>
        <w:t>.</w:t>
      </w:r>
    </w:p>
    <w:p w:rsidR="00EE739C" w:rsidRDefault="00EE739C" w:rsidP="00EE739C">
      <w:pPr>
        <w:pStyle w:val="artikelkop"/>
        <w:shd w:val="clear" w:color="auto" w:fill="D9D9D9" w:themeFill="background1" w:themeFillShade="D9"/>
      </w:pPr>
      <w:r>
        <w:t xml:space="preserve">Artikel 5.7 </w:t>
      </w:r>
    </w:p>
    <w:p w:rsidR="00EE739C" w:rsidRDefault="00EE739C" w:rsidP="00EE739C">
      <w:pPr>
        <w:pStyle w:val="art1enivo"/>
        <w:shd w:val="clear" w:color="auto" w:fill="D9D9D9" w:themeFill="background1" w:themeFillShade="D9"/>
        <w:suppressAutoHyphens/>
      </w:pPr>
      <w:r>
        <w:t>1.</w:t>
      </w:r>
      <w:r>
        <w:tab/>
        <w:t>Het uitvoeren van periodieke metingen als bedoeld in artikel 5.3 en parallelmetingen als bedoeld in 5.6 geschiedt door een rechtspersoon die voor deze verrichtingen geaccrediteerd is door een accreditatie-instantie.</w:t>
      </w:r>
    </w:p>
    <w:p w:rsidR="00EE739C" w:rsidRDefault="00EE739C" w:rsidP="00EE739C">
      <w:pPr>
        <w:pStyle w:val="art1enivo"/>
        <w:shd w:val="clear" w:color="auto" w:fill="D9D9D9" w:themeFill="background1" w:themeFillShade="D9"/>
        <w:suppressAutoHyphens/>
      </w:pPr>
      <w:r>
        <w:t>2.</w:t>
      </w:r>
      <w:r>
        <w:tab/>
        <w:t>Het bevoegd gezag wordt ten minste twee weken van tevoren op de hoogte gesteld van de datum en het tijdstip waarop een periodieke meting of een parallelmeting zal worden uitgevoerd.</w:t>
      </w:r>
    </w:p>
    <w:p w:rsidR="00EE739C" w:rsidRDefault="00EE739C" w:rsidP="00EE739C">
      <w:pPr>
        <w:pStyle w:val="art1enivo"/>
        <w:shd w:val="clear" w:color="auto" w:fill="D9D9D9" w:themeFill="background1" w:themeFillShade="D9"/>
        <w:suppressAutoHyphens/>
      </w:pPr>
      <w:r>
        <w:t>3.</w:t>
      </w:r>
      <w:r>
        <w:tab/>
        <w:t>Indien een afzonderlijke meting of parallelmeting geen doorgang vindt, wordt het bevoegd gezag uiterlijk op de datum voor de meting, bedoeld in het tweede lid, hiervan op de hoogte gesteld.</w:t>
      </w:r>
    </w:p>
    <w:p w:rsidR="00EE739C" w:rsidRDefault="00EE739C" w:rsidP="00EE739C">
      <w:pPr>
        <w:pStyle w:val="art1enivo"/>
        <w:shd w:val="clear" w:color="auto" w:fill="D9D9D9" w:themeFill="background1" w:themeFillShade="D9"/>
        <w:suppressAutoHyphens/>
      </w:pPr>
      <w:r>
        <w:t>4.</w:t>
      </w:r>
      <w:r>
        <w:tab/>
        <w:t>Een periodieke meting bestaat uit een serie van ten minste drie deelmetingen.</w:t>
      </w:r>
    </w:p>
    <w:p w:rsidR="00EE739C" w:rsidRDefault="00EE739C" w:rsidP="00EE739C">
      <w:pPr>
        <w:pStyle w:val="art1enivo"/>
        <w:shd w:val="clear" w:color="auto" w:fill="D9D9D9" w:themeFill="background1" w:themeFillShade="D9"/>
        <w:suppressAutoHyphens/>
      </w:pPr>
      <w:r>
        <w:t>5.</w:t>
      </w:r>
      <w:r>
        <w:tab/>
        <w:t>De duur van een deelmeting bedraagt een half uur. Wanneer het meettechnisch niet mogelijk is de deelmeting in die tijd uit te voeren, mag de deelmeting ten hoogste twee uur bedragen.</w:t>
      </w:r>
    </w:p>
    <w:p w:rsidR="00EE739C" w:rsidRDefault="00EE739C" w:rsidP="00EE739C">
      <w:pPr>
        <w:pStyle w:val="art1enivo"/>
        <w:shd w:val="clear" w:color="auto" w:fill="D9D9D9" w:themeFill="background1" w:themeFillShade="D9"/>
        <w:suppressAutoHyphens/>
      </w:pPr>
      <w:r>
        <w:t>6.</w:t>
      </w:r>
      <w:r>
        <w:tab/>
        <w:t>De duur van een parallelmeting die wordt uitgevoerd ten behoeve van de verificatie van de meetapparatuur voor continue metingen, bedraagt ten minste een half uur.</w:t>
      </w:r>
    </w:p>
    <w:p w:rsidR="00EE739C" w:rsidRDefault="00EE739C" w:rsidP="00EE739C">
      <w:pPr>
        <w:pStyle w:val="art1enivo"/>
        <w:shd w:val="clear" w:color="auto" w:fill="D9D9D9" w:themeFill="background1" w:themeFillShade="D9"/>
        <w:suppressAutoHyphens/>
      </w:pPr>
      <w:r>
        <w:t>7.</w:t>
      </w:r>
      <w:r>
        <w:tab/>
        <w:t>Bij periodieke metingen kan een door een rechtspersoon als bedoeld in het eerste lid aangetoonde 95%-betrouwbaarheidsinterval op dezelfde wijze als artikel 5.6, derde en vierde lid, worden verdisconteerd</w:t>
      </w:r>
      <w:bookmarkStart w:id="350" w:name="d16e1651"/>
      <w:bookmarkEnd w:id="350"/>
      <w:r>
        <w:t>.</w:t>
      </w:r>
    </w:p>
    <w:p w:rsidR="00EE739C" w:rsidRDefault="00EE739C" w:rsidP="00EE739C">
      <w:pPr>
        <w:pStyle w:val="paragraaf"/>
        <w:shd w:val="clear" w:color="auto" w:fill="D9D9D9" w:themeFill="background1" w:themeFillShade="D9"/>
      </w:pPr>
      <w:bookmarkStart w:id="351" w:name="_Toc431375783"/>
      <w:r>
        <w:t>§ 5.1.3.</w:t>
      </w:r>
      <w:r>
        <w:tab/>
        <w:t>Beoordeling van de naleving van de emissiegrenswaarden</w:t>
      </w:r>
      <w:bookmarkEnd w:id="351"/>
      <w:r>
        <w:t xml:space="preserve"> </w:t>
      </w:r>
    </w:p>
    <w:p w:rsidR="00EE739C" w:rsidRDefault="00EE739C" w:rsidP="00EE739C">
      <w:pPr>
        <w:pStyle w:val="artikelkop"/>
        <w:shd w:val="clear" w:color="auto" w:fill="D9D9D9" w:themeFill="background1" w:themeFillShade="D9"/>
      </w:pPr>
      <w:bookmarkStart w:id="352" w:name="d16e1655"/>
      <w:bookmarkEnd w:id="352"/>
      <w:r>
        <w:t xml:space="preserve">Artikel 5.8 </w:t>
      </w:r>
    </w:p>
    <w:p w:rsidR="00EE739C" w:rsidRDefault="00EE739C" w:rsidP="00EE739C">
      <w:pPr>
        <w:pStyle w:val="art1enivo"/>
        <w:shd w:val="clear" w:color="auto" w:fill="D9D9D9" w:themeFill="background1" w:themeFillShade="D9"/>
        <w:suppressAutoHyphens/>
      </w:pPr>
      <w:r>
        <w:t>1.</w:t>
      </w:r>
      <w:r>
        <w:tab/>
        <w:t xml:space="preserve">Aan de van toepassing zijnde emissiegrenswaarde wordt, voor zover continu wordt gemeten, in ieder geval voldaan indien in een kalenderjaar: </w:t>
      </w:r>
    </w:p>
    <w:p w:rsidR="00EE739C" w:rsidRDefault="00EE739C" w:rsidP="00EE739C">
      <w:pPr>
        <w:pStyle w:val="art2enivo"/>
        <w:shd w:val="clear" w:color="auto" w:fill="D9D9D9" w:themeFill="background1" w:themeFillShade="D9"/>
        <w:suppressAutoHyphens/>
      </w:pPr>
      <w:r>
        <w:rPr>
          <w:rFonts w:cs="Arial"/>
        </w:rPr>
        <w:t>a.</w:t>
      </w:r>
      <w:r>
        <w:rPr>
          <w:rFonts w:cs="Arial"/>
        </w:rPr>
        <w:tab/>
      </w:r>
      <w:r>
        <w:rPr>
          <w:rStyle w:val="art2enivoChar"/>
        </w:rPr>
        <w:t xml:space="preserve">geen gevalideerd </w:t>
      </w:r>
      <w:r>
        <w:t xml:space="preserve">maandgemiddelde de toepasselijke emissiegrenswaarde overschrijdt; </w:t>
      </w:r>
    </w:p>
    <w:p w:rsidR="00EE739C" w:rsidRDefault="00EE739C" w:rsidP="00EE739C">
      <w:pPr>
        <w:pStyle w:val="art2enivo"/>
        <w:shd w:val="clear" w:color="auto" w:fill="D9D9D9" w:themeFill="background1" w:themeFillShade="D9"/>
        <w:suppressAutoHyphens/>
      </w:pPr>
      <w:r>
        <w:rPr>
          <w:rFonts w:cs="Arial"/>
        </w:rPr>
        <w:t>b.</w:t>
      </w:r>
      <w:r>
        <w:rPr>
          <w:rFonts w:cs="Arial"/>
        </w:rPr>
        <w:tab/>
      </w:r>
      <w:r>
        <w:t xml:space="preserve">geen gevalideerd daggemiddelde 110% van de toepasselijke emissiegrenswaarde overschrijdt; </w:t>
      </w:r>
    </w:p>
    <w:p w:rsidR="00EE739C" w:rsidRDefault="00EE739C" w:rsidP="00EE739C">
      <w:pPr>
        <w:pStyle w:val="art2enivo"/>
        <w:shd w:val="clear" w:color="auto" w:fill="D9D9D9" w:themeFill="background1" w:themeFillShade="D9"/>
        <w:suppressAutoHyphens/>
      </w:pPr>
      <w:r>
        <w:rPr>
          <w:rFonts w:cs="Arial"/>
        </w:rPr>
        <w:t>c.</w:t>
      </w:r>
      <w:r>
        <w:rPr>
          <w:rFonts w:cs="Arial"/>
        </w:rPr>
        <w:tab/>
      </w:r>
      <w:r>
        <w:t>95% van alle gevalideerde uurgemiddelden over een jaar niet hoger is dan 200% van de toepasselijke emissiegrenswaarde.</w:t>
      </w:r>
    </w:p>
    <w:p w:rsidR="00EE739C" w:rsidRDefault="00EE739C" w:rsidP="00EE739C">
      <w:pPr>
        <w:pStyle w:val="art1enivo"/>
        <w:shd w:val="clear" w:color="auto" w:fill="D9D9D9" w:themeFill="background1" w:themeFillShade="D9"/>
        <w:suppressAutoHyphens/>
      </w:pPr>
      <w:r>
        <w:t>2.</w:t>
      </w:r>
      <w:r>
        <w:tab/>
        <w:t>Voor de toepassing van het eerste lid worden niet meegerekend: meetuitkomsten, verkregen tijdens periodes waarin een stookinstallatie op grond van artikel 5.10 of 5.11 van het besluit in werking mag zijn, meetuitkomsten verkregen tijdens storingen in de apparatuur die de emissiereductie bewerkstelligt en meetuitkomsten verkregen tijdens periodes van opstarten en stilleggen.</w:t>
      </w:r>
    </w:p>
    <w:p w:rsidR="00EE739C" w:rsidRDefault="00EE739C" w:rsidP="00EE739C">
      <w:pPr>
        <w:pStyle w:val="art1enivo"/>
        <w:shd w:val="clear" w:color="auto" w:fill="D9D9D9" w:themeFill="background1" w:themeFillShade="D9"/>
        <w:suppressAutoHyphens/>
      </w:pPr>
      <w:r>
        <w:t>3.</w:t>
      </w:r>
      <w:r>
        <w:tab/>
        <w:t>De periodes van opstarten en stilleggen worden bepaald in overeenstemming met uitvoeringsbesluit van de Commissie van 7 mei 2012 betreffende de vaststelling van opstart- en stilleggingsperioden voor de toepassing van de EU-richtlijn industriële emissies.</w:t>
      </w:r>
    </w:p>
    <w:p w:rsidR="00EE739C" w:rsidRDefault="00EE739C" w:rsidP="00EE739C">
      <w:pPr>
        <w:shd w:val="clear" w:color="auto" w:fill="D9D9D9" w:themeFill="background1" w:themeFillShade="D9"/>
      </w:pPr>
      <w:r>
        <w:t>4.</w:t>
      </w:r>
      <w:r>
        <w:tab/>
        <w:t>Aan de van toepassing zijnde emissiegrenswaarde wordt, voor zover periodiek wordt gemeten, in ieder geval voldaan indien geen enkele gevalideerde meetuitkomst de emissiegrenswaarde overschrijdt</w:t>
      </w:r>
      <w:bookmarkStart w:id="353" w:name="d16e1696"/>
      <w:bookmarkEnd w:id="353"/>
      <w:r>
        <w:t>.</w:t>
      </w:r>
    </w:p>
    <w:p w:rsidR="00EE739C" w:rsidRPr="00EE739C" w:rsidRDefault="00EE739C" w:rsidP="00EE739C"/>
    <w:p w:rsidR="00296032" w:rsidRPr="00296032" w:rsidRDefault="00296032">
      <w:pPr>
        <w:pStyle w:val="paragraaf"/>
        <w:rPr>
          <w:rFonts w:cs="Arial"/>
        </w:rPr>
      </w:pPr>
      <w:bookmarkStart w:id="354" w:name="_Toc431375784"/>
      <w:bookmarkStart w:id="355" w:name="afvalverbrandingsinstallatie"/>
      <w:r w:rsidRPr="00296032">
        <w:rPr>
          <w:rFonts w:cs="Arial"/>
        </w:rPr>
        <w:t>§ 5.1.2</w:t>
      </w:r>
      <w:r w:rsidR="00C667E9">
        <w:rPr>
          <w:rFonts w:cs="Arial"/>
        </w:rPr>
        <w:t>.</w:t>
      </w:r>
      <w:r w:rsidR="00C667E9">
        <w:rPr>
          <w:rFonts w:cs="Arial"/>
        </w:rPr>
        <w:tab/>
      </w:r>
      <w:r w:rsidRPr="00296032">
        <w:rPr>
          <w:rFonts w:cs="Arial"/>
        </w:rPr>
        <w:t>Afvalverbrandings- of afvalmeeverbrandingsinstallatie</w:t>
      </w:r>
      <w:bookmarkEnd w:id="354"/>
      <w:bookmarkEnd w:id="355"/>
    </w:p>
    <w:p w:rsidR="00296032" w:rsidRPr="00296032" w:rsidRDefault="00296032">
      <w:pPr>
        <w:pStyle w:val="artikelkop"/>
        <w:rPr>
          <w:rFonts w:cs="Arial"/>
        </w:rPr>
      </w:pPr>
      <w:r w:rsidRPr="00296032">
        <w:rPr>
          <w:rFonts w:cs="Arial"/>
        </w:rPr>
        <w:t>Artikel 5.15</w:t>
      </w:r>
    </w:p>
    <w:p w:rsidR="00296032" w:rsidRPr="00620047" w:rsidRDefault="00296032">
      <w:pPr>
        <w:pStyle w:val="art1enivo"/>
        <w:rPr>
          <w:rFonts w:cs="Arial"/>
        </w:rPr>
      </w:pPr>
      <w:r w:rsidRPr="00620047">
        <w:rPr>
          <w:rFonts w:cs="Arial"/>
        </w:rPr>
        <w:t>1.</w:t>
      </w:r>
      <w:r w:rsidRPr="00620047">
        <w:rPr>
          <w:rFonts w:cs="Arial"/>
        </w:rPr>
        <w:tab/>
        <w:t>Deze paragraaf is van toepassing op het in werking hebben van een afvalverbrandings- of een afvalmeeverbrandingsinstallatie waar vaste of vloeibare afvalstoffen worden verbrand of meeverbrand.</w:t>
      </w:r>
    </w:p>
    <w:p w:rsidR="00296032" w:rsidRPr="00620047" w:rsidRDefault="00296032">
      <w:pPr>
        <w:pStyle w:val="art1enivo"/>
        <w:rPr>
          <w:rFonts w:cs="Arial"/>
        </w:rPr>
      </w:pPr>
      <w:r w:rsidRPr="00620047">
        <w:rPr>
          <w:rFonts w:cs="Arial"/>
        </w:rPr>
        <w:t>2.</w:t>
      </w:r>
      <w:r w:rsidRPr="00620047">
        <w:rPr>
          <w:rFonts w:cs="Arial"/>
        </w:rPr>
        <w:tab/>
        <w:t>Deze paragraaf is niet van toepassing op:</w:t>
      </w:r>
    </w:p>
    <w:p w:rsidR="00296032" w:rsidRPr="00620047" w:rsidRDefault="00296032">
      <w:pPr>
        <w:pStyle w:val="art2enivo"/>
        <w:rPr>
          <w:rFonts w:cs="Arial"/>
        </w:rPr>
      </w:pPr>
      <w:r w:rsidRPr="00620047">
        <w:rPr>
          <w:rFonts w:cs="Arial"/>
        </w:rPr>
        <w:t>a.</w:t>
      </w:r>
      <w:r w:rsidRPr="00620047">
        <w:rPr>
          <w:rFonts w:cs="Arial"/>
        </w:rPr>
        <w:tab/>
        <w:t>een afvalverbrandings- of afvalmeeverbrandingsinstallatie waarin uitsluitend de volgende afvalstoffen thermisch worden behandeld of producten van thermische behandeling van uitsluitend de volgende afvalstoffen worden verbrand:</w:t>
      </w:r>
    </w:p>
    <w:p w:rsidR="00296032" w:rsidRPr="00620047" w:rsidRDefault="00296032">
      <w:pPr>
        <w:pStyle w:val="art3enivo"/>
      </w:pPr>
      <w:r w:rsidRPr="00620047">
        <w:t>1°.</w:t>
      </w:r>
      <w:r w:rsidRPr="00620047">
        <w:tab/>
        <w:t>biomassa;</w:t>
      </w:r>
    </w:p>
    <w:p w:rsidR="00296032" w:rsidRPr="00620047" w:rsidRDefault="00296032">
      <w:pPr>
        <w:pStyle w:val="art3enivo"/>
      </w:pPr>
      <w:r w:rsidRPr="00620047">
        <w:t>2°.</w:t>
      </w:r>
      <w:r w:rsidRPr="00620047">
        <w:tab/>
        <w:t>radioactieve afvalstoffen;</w:t>
      </w:r>
    </w:p>
    <w:p w:rsidR="00296032" w:rsidRPr="00620047" w:rsidRDefault="00296032">
      <w:pPr>
        <w:pStyle w:val="art3enivo"/>
      </w:pPr>
      <w:r w:rsidRPr="00620047">
        <w:t>3°.</w:t>
      </w:r>
      <w:r w:rsidRPr="00620047">
        <w:tab/>
        <w:t>afvalstoffen ontstaan bij de exploratie en exploitatie van olie- en gasbronnen vanaf een installatie in zee en die aan boord van die installatie worden verbrand;</w:t>
      </w:r>
    </w:p>
    <w:p w:rsidR="00296032" w:rsidRPr="00620047" w:rsidRDefault="00296032">
      <w:pPr>
        <w:pStyle w:val="art2enivo"/>
        <w:rPr>
          <w:rFonts w:cs="Arial"/>
        </w:rPr>
      </w:pPr>
      <w:r w:rsidRPr="00620047">
        <w:rPr>
          <w:rFonts w:cs="Arial"/>
        </w:rPr>
        <w:t>b.</w:t>
      </w:r>
      <w:r w:rsidRPr="00620047">
        <w:rPr>
          <w:rFonts w:cs="Arial"/>
        </w:rPr>
        <w:tab/>
        <w:t>een experimentele afvalverbrandings- of afvalmeeverbrandingsinstallatie, bestemd voor onderzoek, ontwikkeling en tests ter verbetering van het thermisch behandelingsproces, waarin per kalenderjaar minder dan 50.000 kilogram afvalstoffen wordt verwerkt;</w:t>
      </w:r>
    </w:p>
    <w:p w:rsidR="00296032" w:rsidRPr="00620047" w:rsidRDefault="00296032">
      <w:pPr>
        <w:pStyle w:val="art2enivo"/>
        <w:rPr>
          <w:rFonts w:cs="Arial"/>
        </w:rPr>
      </w:pPr>
      <w:r w:rsidRPr="00620047">
        <w:rPr>
          <w:rFonts w:cs="Arial"/>
        </w:rPr>
        <w:t>c.</w:t>
      </w:r>
      <w:r w:rsidRPr="00620047">
        <w:rPr>
          <w:rFonts w:cs="Arial"/>
        </w:rPr>
        <w:tab/>
        <w:t>installaties voor vergassing of pyrolyse, voor zover de gassen die het resultaat zijn van deze thermische behandeling van afvalstoffen vóór de verbranding zodanig worden gereinigd dat bij de verbranding ervan niet meer emissies ontstaan dan bij de verbranding van aardgas.</w:t>
      </w:r>
    </w:p>
    <w:p w:rsidR="00296032" w:rsidRPr="00620047" w:rsidRDefault="00296032">
      <w:pPr>
        <w:pStyle w:val="art1enivo"/>
        <w:rPr>
          <w:rFonts w:cs="Arial"/>
        </w:rPr>
      </w:pPr>
      <w:r w:rsidRPr="00620047">
        <w:rPr>
          <w:rFonts w:cs="Arial"/>
        </w:rPr>
        <w:t>3.</w:t>
      </w:r>
      <w:r w:rsidRPr="00620047">
        <w:rPr>
          <w:rFonts w:cs="Arial"/>
        </w:rPr>
        <w:tab/>
        <w:t>Voor de toepassing van deze paragraaf omvat een afvalverbrandings- en afvalmeeverbrandingsinstallatie alle verbrandingsstraten of meeverbrandingsstraten en de voorzieningen voor ontvangst, opslag en voorbehandeling ter plaatse van het afval, de systemen voor de toevoer van afval, brandstof en lucht, stoomketels, de voorzieningen voor de behandeling van afgassen, de voorzieningen voor de behandeling of opslag van afvalverbrandingsresiduen en afvalwater, de schoorstenen, alsook de apparatuur en de systemen voor de regeling van het verbrandings- of meeverbrandingsproces en voor de registratie en monitoring van de verbrandings- of meeverbrandingsomstandigheden.</w:t>
      </w:r>
    </w:p>
    <w:p w:rsidR="00296032" w:rsidRPr="00620047" w:rsidRDefault="00296032">
      <w:pPr>
        <w:pStyle w:val="art1enivo"/>
        <w:rPr>
          <w:rFonts w:cs="Arial"/>
        </w:rPr>
      </w:pPr>
      <w:r w:rsidRPr="00620047">
        <w:rPr>
          <w:rFonts w:cs="Arial"/>
        </w:rPr>
        <w:t>4.</w:t>
      </w:r>
      <w:r w:rsidRPr="00620047">
        <w:rPr>
          <w:rFonts w:cs="Arial"/>
        </w:rPr>
        <w:tab/>
        <w:t>Indien voor de thermische behandeling van afval gebruik wordt gemaakt van andere processen van oxidatie, omvat de afvalverbrandings- of de afvalmeeverbrandingsinstallatie zowel het proces voor thermische behandeling als het daaropvolgende verbrandingsproces.</w:t>
      </w:r>
    </w:p>
    <w:p w:rsidR="00296032" w:rsidRPr="00296032" w:rsidRDefault="00296032">
      <w:pPr>
        <w:pStyle w:val="artikelkop"/>
        <w:rPr>
          <w:rFonts w:cs="Arial"/>
        </w:rPr>
      </w:pPr>
      <w:r w:rsidRPr="00296032">
        <w:rPr>
          <w:rFonts w:cs="Arial"/>
        </w:rPr>
        <w:t>Artikel 5.16</w:t>
      </w:r>
    </w:p>
    <w:p w:rsidR="00296032" w:rsidRPr="00620047" w:rsidRDefault="00296032">
      <w:pPr>
        <w:pStyle w:val="artplat"/>
        <w:rPr>
          <w:rFonts w:cs="Arial"/>
        </w:rPr>
      </w:pPr>
      <w:r w:rsidRPr="00620047">
        <w:rPr>
          <w:rFonts w:cs="Arial"/>
        </w:rPr>
        <w:t>Een afvalverbrandings- en afvalmeeverbrandingsinstallatie wordt op een zodanige wijze ontworpen, uitgerust, onderhouden en geëxploiteerd, met inbegrip van een op berekeningen gebaseerde hoogte van de schoorsteen, dat afgassen op gecontroleerde wijze door de schoorsteen worden afgevoerd en wordt voorkomen dat de emissies in de lucht leiden tot overschrijding van:</w:t>
      </w:r>
    </w:p>
    <w:p w:rsidR="00296032" w:rsidRPr="00620047" w:rsidRDefault="00296032">
      <w:pPr>
        <w:pStyle w:val="artplatletter"/>
        <w:rPr>
          <w:rFonts w:cs="Arial"/>
        </w:rPr>
      </w:pPr>
      <w:r w:rsidRPr="00620047">
        <w:rPr>
          <w:rFonts w:cs="Arial"/>
        </w:rPr>
        <w:t>a.</w:t>
      </w:r>
      <w:r w:rsidRPr="00620047">
        <w:rPr>
          <w:rFonts w:cs="Arial"/>
        </w:rPr>
        <w:tab/>
        <w:t>de bij of krachtens dit besluit geldende emissiegrenswaarden;</w:t>
      </w:r>
    </w:p>
    <w:p w:rsidR="00296032" w:rsidRPr="00620047" w:rsidRDefault="00296032">
      <w:pPr>
        <w:pStyle w:val="artplatletter"/>
        <w:rPr>
          <w:rFonts w:cs="Arial"/>
        </w:rPr>
      </w:pPr>
      <w:r w:rsidRPr="00620047">
        <w:rPr>
          <w:rFonts w:cs="Arial"/>
        </w:rPr>
        <w:t>b.</w:t>
      </w:r>
      <w:r w:rsidRPr="00620047">
        <w:rPr>
          <w:rFonts w:cs="Arial"/>
        </w:rPr>
        <w:tab/>
        <w:t>de in bijlage 2 van de wet opgenomen grenswaarden.</w:t>
      </w:r>
    </w:p>
    <w:p w:rsidR="00296032" w:rsidRPr="00296032" w:rsidRDefault="00296032">
      <w:pPr>
        <w:pStyle w:val="artikelkop"/>
        <w:rPr>
          <w:rFonts w:cs="Arial"/>
        </w:rPr>
      </w:pPr>
      <w:r w:rsidRPr="00296032">
        <w:rPr>
          <w:rFonts w:cs="Arial"/>
        </w:rPr>
        <w:t>Artikel 5.17</w:t>
      </w:r>
    </w:p>
    <w:p w:rsidR="00296032" w:rsidRPr="00620047" w:rsidRDefault="00296032">
      <w:pPr>
        <w:pStyle w:val="art1enivo"/>
        <w:rPr>
          <w:rFonts w:cs="Arial"/>
        </w:rPr>
      </w:pPr>
      <w:r w:rsidRPr="00620047">
        <w:rPr>
          <w:rFonts w:cs="Arial"/>
        </w:rPr>
        <w:t>1.</w:t>
      </w:r>
      <w:r w:rsidRPr="00620047">
        <w:rPr>
          <w:rFonts w:cs="Arial"/>
        </w:rPr>
        <w:tab/>
        <w:t>Degene die een inrichting drijft waarbinnen zich een afvalverbrandings- of afvalmeeverbrandingsinstallatie bevindt, draagt er zorg voor dat afvalstoffen niet in ontvangst worden genomen dan nadat:</w:t>
      </w:r>
    </w:p>
    <w:p w:rsidR="00296032" w:rsidRPr="00620047" w:rsidRDefault="00296032">
      <w:pPr>
        <w:pStyle w:val="art2enivo"/>
        <w:rPr>
          <w:rFonts w:cs="Arial"/>
        </w:rPr>
      </w:pPr>
      <w:r w:rsidRPr="00620047">
        <w:rPr>
          <w:rFonts w:cs="Arial"/>
        </w:rPr>
        <w:t>a.</w:t>
      </w:r>
      <w:r w:rsidRPr="00620047">
        <w:rPr>
          <w:rFonts w:cs="Arial"/>
        </w:rPr>
        <w:tab/>
        <w:t>ten minste de massa van de afvalstoffen, voor zover mogelijk per categorie, genoemd in de afvalstoffenlijst, is bepaald en geregistreerd;</w:t>
      </w:r>
    </w:p>
    <w:p w:rsidR="00296032" w:rsidRPr="00620047" w:rsidRDefault="00296032">
      <w:pPr>
        <w:pStyle w:val="art2enivo"/>
        <w:rPr>
          <w:rFonts w:cs="Arial"/>
        </w:rPr>
      </w:pPr>
      <w:r w:rsidRPr="00620047">
        <w:rPr>
          <w:rFonts w:cs="Arial"/>
        </w:rPr>
        <w:t>b.</w:t>
      </w:r>
      <w:r w:rsidRPr="00620047">
        <w:rPr>
          <w:rFonts w:cs="Arial"/>
        </w:rPr>
        <w:tab/>
        <w:t>voor zover het gevaarlijke afvalstoffen betreft: ten minste van die afvalstoffen representatieve monsters zijn genomen, zo mogelijk voordat de lading wordt gelost, en die monsters zijn geanalyseerd, tenzij dit niet gepast is;</w:t>
      </w:r>
    </w:p>
    <w:p w:rsidR="00296032" w:rsidRPr="00620047" w:rsidRDefault="00296032">
      <w:pPr>
        <w:pStyle w:val="art2enivo"/>
        <w:rPr>
          <w:rFonts w:cs="Arial"/>
        </w:rPr>
      </w:pPr>
      <w:r w:rsidRPr="00620047">
        <w:rPr>
          <w:rFonts w:cs="Arial"/>
        </w:rPr>
        <w:t>c.</w:t>
      </w:r>
      <w:r w:rsidRPr="00620047">
        <w:rPr>
          <w:rFonts w:cs="Arial"/>
        </w:rPr>
        <w:tab/>
        <w:t>voor zover het gevaarlijke afvalstoffen betreft: hij van de ontdoener van die afvalstoffen ten minste de volgende gegevens heeft ontvangen en daarvan de gegevens, bedoeld onder 1° en 2°, heeft gecontroleerd:</w:t>
      </w:r>
    </w:p>
    <w:p w:rsidR="00296032" w:rsidRPr="00620047" w:rsidRDefault="00296032">
      <w:pPr>
        <w:pStyle w:val="art3enivo"/>
      </w:pPr>
      <w:r w:rsidRPr="00620047">
        <w:t>1°.</w:t>
      </w:r>
      <w:r w:rsidRPr="00620047">
        <w:tab/>
        <w:t>de begeleidingsbrieven, bedoeld in artikel 10.39, eerste lid, onder b, van de wet en, voor zover van toepassing, op grond van bijlage IB bij de EG-verordening overbrenging van afvalstoffen;</w:t>
      </w:r>
    </w:p>
    <w:p w:rsidR="00296032" w:rsidRPr="00620047" w:rsidRDefault="00296032">
      <w:pPr>
        <w:pStyle w:val="art3enivo"/>
      </w:pPr>
      <w:r w:rsidRPr="00620047">
        <w:t>2°.</w:t>
      </w:r>
      <w:r w:rsidRPr="00620047">
        <w:tab/>
        <w:t>de gegevens die vereist zijn bij of krachtens de Wet vervoer gevaarlijke stoffen;</w:t>
      </w:r>
    </w:p>
    <w:p w:rsidR="00296032" w:rsidRPr="00620047" w:rsidRDefault="00296032">
      <w:pPr>
        <w:pStyle w:val="art3enivo"/>
      </w:pPr>
      <w:r w:rsidRPr="00620047">
        <w:t>3°.</w:t>
      </w:r>
      <w:r w:rsidRPr="00620047">
        <w:tab/>
        <w:t>gegevens over de gevaarlijke eigenschappen van de gevaarlijke afvalstoffen;</w:t>
      </w:r>
    </w:p>
    <w:p w:rsidR="00296032" w:rsidRPr="00620047" w:rsidRDefault="00296032">
      <w:pPr>
        <w:pStyle w:val="art3enivo"/>
      </w:pPr>
      <w:r w:rsidRPr="00620047">
        <w:t>4°.</w:t>
      </w:r>
      <w:r w:rsidRPr="00620047">
        <w:tab/>
        <w:t>gegevens over de stoffen waarmee zij niet mogen worden gemengd;</w:t>
      </w:r>
    </w:p>
    <w:p w:rsidR="00296032" w:rsidRPr="00620047" w:rsidRDefault="00296032">
      <w:pPr>
        <w:pStyle w:val="art3enivo"/>
      </w:pPr>
      <w:r w:rsidRPr="00620047">
        <w:t>5°.</w:t>
      </w:r>
      <w:r w:rsidRPr="00620047">
        <w:tab/>
        <w:t>gegevens over de bij de behandeling van de gevaarlijke afvalstoffen te treffen voorzorgsmaatregelen;</w:t>
      </w:r>
    </w:p>
    <w:p w:rsidR="00296032" w:rsidRPr="00620047" w:rsidRDefault="00296032">
      <w:pPr>
        <w:pStyle w:val="art3enivo"/>
      </w:pPr>
      <w:r w:rsidRPr="00620047">
        <w:t>6°.</w:t>
      </w:r>
      <w:r w:rsidRPr="00620047">
        <w:tab/>
        <w:t>de fysische, en voor zover mogelijk, chemische samenstelling van de afvalstoffen;</w:t>
      </w:r>
    </w:p>
    <w:p w:rsidR="00296032" w:rsidRPr="00620047" w:rsidRDefault="00296032">
      <w:pPr>
        <w:pStyle w:val="art3enivo"/>
      </w:pPr>
      <w:r w:rsidRPr="00620047">
        <w:t>7°.</w:t>
      </w:r>
      <w:r w:rsidRPr="00620047">
        <w:tab/>
        <w:t>alle overige gegevens die nodig zijn voor de beoordeling van de geschiktheid van die stoffen voor het beoogde verbrandingsproces.</w:t>
      </w:r>
    </w:p>
    <w:p w:rsidR="00296032" w:rsidRPr="00620047" w:rsidRDefault="00296032">
      <w:pPr>
        <w:pStyle w:val="art1enivo"/>
        <w:rPr>
          <w:rFonts w:cs="Arial"/>
        </w:rPr>
      </w:pPr>
      <w:r w:rsidRPr="00620047">
        <w:rPr>
          <w:rFonts w:cs="Arial"/>
        </w:rPr>
        <w:t>2.</w:t>
      </w:r>
      <w:r w:rsidRPr="00620047">
        <w:rPr>
          <w:rFonts w:cs="Arial"/>
        </w:rPr>
        <w:tab/>
        <w:t>De monsters, bedoeld in het eerste lid, onder b, worden ten minste gedurende een maand na het thermisch behandelen van de partij waaruit de monsters zijn genomen, bewaard.</w:t>
      </w:r>
      <w:r w:rsidR="00244F18">
        <w:rPr>
          <w:rFonts w:cs="Arial"/>
        </w:rPr>
        <w:t xml:space="preserve"> </w:t>
      </w:r>
      <w:r w:rsidRPr="00620047">
        <w:rPr>
          <w:rFonts w:cs="Arial"/>
        </w:rPr>
        <w:t>De omstandigheden waaronder de monsters worden bewaard, zijn zodanig dat de fysische en chemische samenstelling ongewijzigd blijft.</w:t>
      </w:r>
    </w:p>
    <w:p w:rsidR="00296032" w:rsidRPr="00620047" w:rsidRDefault="00296032">
      <w:pPr>
        <w:pStyle w:val="art1enivo"/>
        <w:rPr>
          <w:rFonts w:cs="Arial"/>
        </w:rPr>
      </w:pPr>
      <w:r w:rsidRPr="00620047">
        <w:rPr>
          <w:rFonts w:cs="Arial"/>
        </w:rPr>
        <w:t>3.</w:t>
      </w:r>
      <w:r w:rsidRPr="00620047">
        <w:rPr>
          <w:rFonts w:cs="Arial"/>
        </w:rPr>
        <w:tab/>
        <w:t>De gegevens, bedoeld in het eerste lid, onder a en c, worden ten minste gedurende vijf jaren na het thermisch behandelen van de partij waarop de gegevens betrekking hebben, bewaard.</w:t>
      </w:r>
    </w:p>
    <w:p w:rsidR="00296032" w:rsidRPr="00620047" w:rsidRDefault="00296032">
      <w:pPr>
        <w:pStyle w:val="art1enivo"/>
        <w:rPr>
          <w:rFonts w:cs="Arial"/>
        </w:rPr>
      </w:pPr>
      <w:r w:rsidRPr="00620047">
        <w:rPr>
          <w:rFonts w:cs="Arial"/>
        </w:rPr>
        <w:t>4.</w:t>
      </w:r>
      <w:r w:rsidRPr="00620047">
        <w:rPr>
          <w:rFonts w:cs="Arial"/>
        </w:rPr>
        <w:tab/>
        <w:t>Het bevoegd gezag kan bij vergunningvoorschrift afwijken van het bepaalde in het eerste, tweede en derde lid, voor zover het een IPPC-installatie betreft waarin uitsluitend afvalstoffen thermisch worden behandeld die afkomstig zijn van diezelfde IPPC-installatie.</w:t>
      </w:r>
    </w:p>
    <w:p w:rsidR="00296032" w:rsidRPr="00296032" w:rsidRDefault="00296032">
      <w:pPr>
        <w:pStyle w:val="artikelkop"/>
        <w:rPr>
          <w:rFonts w:cs="Arial"/>
        </w:rPr>
      </w:pPr>
      <w:r w:rsidRPr="00296032">
        <w:rPr>
          <w:rFonts w:cs="Arial"/>
        </w:rPr>
        <w:t>Artikel 5.18</w:t>
      </w:r>
    </w:p>
    <w:p w:rsidR="00296032" w:rsidRPr="00620047" w:rsidRDefault="00296032">
      <w:pPr>
        <w:pStyle w:val="art1enivo"/>
        <w:rPr>
          <w:rFonts w:cs="Arial"/>
        </w:rPr>
      </w:pPr>
      <w:r w:rsidRPr="00620047">
        <w:rPr>
          <w:rFonts w:cs="Arial"/>
        </w:rPr>
        <w:t>1.</w:t>
      </w:r>
      <w:r w:rsidRPr="00620047">
        <w:rPr>
          <w:rFonts w:cs="Arial"/>
        </w:rPr>
        <w:tab/>
        <w:t>De warmte die door het proces van thermische behandeling in een afvalverbrandings- of afvalmeeverbrandingsinstallatie wordt opgewekt wordt teruggewonnen, voor zover dit technisch en economisch haalbaar is.</w:t>
      </w:r>
    </w:p>
    <w:p w:rsidR="00296032" w:rsidRPr="00620047" w:rsidRDefault="00296032">
      <w:pPr>
        <w:pStyle w:val="art1enivo"/>
        <w:rPr>
          <w:rFonts w:cs="Arial"/>
        </w:rPr>
      </w:pPr>
      <w:r w:rsidRPr="00620047">
        <w:rPr>
          <w:rFonts w:cs="Arial"/>
        </w:rPr>
        <w:t>2.</w:t>
      </w:r>
      <w:r w:rsidRPr="00620047">
        <w:rPr>
          <w:rFonts w:cs="Arial"/>
        </w:rPr>
        <w:tab/>
        <w:t>Het ontstaan van afvalverbrandingsresiduen bij de exploitatie van een verbrandingsinstallatie en de schadelijkheid daarvan worden tot een minimum beperkt. De afvalverbrandingsresiduen worden, indien passend, in de installatie zelf of daarbuiten hergebruikt.</w:t>
      </w:r>
    </w:p>
    <w:p w:rsidR="00296032" w:rsidRPr="00296032" w:rsidRDefault="00296032">
      <w:pPr>
        <w:pStyle w:val="artikelkop"/>
        <w:rPr>
          <w:rFonts w:cs="Arial"/>
        </w:rPr>
      </w:pPr>
      <w:r w:rsidRPr="00296032">
        <w:rPr>
          <w:rFonts w:cs="Arial"/>
        </w:rPr>
        <w:t>Artikel 5.19</w:t>
      </w:r>
    </w:p>
    <w:p w:rsidR="00296032" w:rsidRPr="00620047" w:rsidRDefault="00296032">
      <w:pPr>
        <w:pStyle w:val="art1enivo"/>
        <w:rPr>
          <w:rFonts w:cs="Arial"/>
        </w:rPr>
      </w:pPr>
      <w:r w:rsidRPr="00620047">
        <w:rPr>
          <w:rFonts w:cs="Arial"/>
        </w:rPr>
        <w:t>1.</w:t>
      </w:r>
      <w:r w:rsidRPr="00620047">
        <w:rPr>
          <w:rFonts w:cs="Arial"/>
        </w:rPr>
        <w:tab/>
        <w:t>De emissies in de lucht van:</w:t>
      </w:r>
    </w:p>
    <w:p w:rsidR="00296032" w:rsidRPr="00620047" w:rsidRDefault="00296032">
      <w:pPr>
        <w:pStyle w:val="art2enivo"/>
        <w:rPr>
          <w:rFonts w:cs="Arial"/>
        </w:rPr>
      </w:pPr>
      <w:r w:rsidRPr="00620047">
        <w:rPr>
          <w:rFonts w:cs="Arial"/>
        </w:rPr>
        <w:t>a.</w:t>
      </w:r>
      <w:r w:rsidRPr="00620047">
        <w:rPr>
          <w:rFonts w:cs="Arial"/>
        </w:rPr>
        <w:tab/>
        <w:t>een afvalverbrandingsinstallatie of</w:t>
      </w:r>
    </w:p>
    <w:p w:rsidR="00296032" w:rsidRPr="00620047" w:rsidRDefault="00296032">
      <w:pPr>
        <w:pStyle w:val="art2enivo"/>
        <w:rPr>
          <w:rFonts w:cs="Arial"/>
        </w:rPr>
      </w:pPr>
      <w:r w:rsidRPr="00620047">
        <w:rPr>
          <w:rFonts w:cs="Arial"/>
        </w:rPr>
        <w:t>b.</w:t>
      </w:r>
      <w:r w:rsidRPr="00620047">
        <w:rPr>
          <w:rFonts w:cs="Arial"/>
        </w:rPr>
        <w:tab/>
        <w:t>een afvalmeeverbrandingsinstallatie wanneer daarin:</w:t>
      </w:r>
    </w:p>
    <w:p w:rsidR="00296032" w:rsidRPr="00620047" w:rsidRDefault="00296032">
      <w:pPr>
        <w:pStyle w:val="art3enivo"/>
      </w:pPr>
      <w:r w:rsidRPr="00620047">
        <w:t>1°.</w:t>
      </w:r>
      <w:r w:rsidRPr="00620047">
        <w:tab/>
        <w:t>meer dan 40 procent van de vrijkomende warmte afkomstig is van gevaarlijk afval, of</w:t>
      </w:r>
    </w:p>
    <w:p w:rsidR="00296032" w:rsidRPr="00620047" w:rsidRDefault="00296032">
      <w:pPr>
        <w:pStyle w:val="art3enivo"/>
      </w:pPr>
      <w:r w:rsidRPr="00620047">
        <w:t>2°.</w:t>
      </w:r>
      <w:r w:rsidRPr="00620047">
        <w:tab/>
        <w:t>onbehandelde of ongesorteerde huishoudelijke afvalstoffen of bedrijfsafvalstoffen die naar aard en samenstelling met zodanige afvalstoffen overeenkomen worden verbrand,</w:t>
      </w:r>
    </w:p>
    <w:p w:rsidR="00296032" w:rsidRPr="00620047" w:rsidRDefault="00296032">
      <w:pPr>
        <w:pStyle w:val="artplatletter"/>
        <w:rPr>
          <w:rFonts w:cs="Arial"/>
        </w:rPr>
      </w:pPr>
      <w:r w:rsidRPr="00620047">
        <w:rPr>
          <w:rFonts w:cs="Arial"/>
        </w:rPr>
        <w:tab/>
        <w:t>overschrijden de emissiegrenswaarden van tabel 5.19 niet.</w:t>
      </w:r>
    </w:p>
    <w:p w:rsidR="00296032" w:rsidRPr="00620047" w:rsidRDefault="00296032">
      <w:pPr>
        <w:pStyle w:val="tabelkop"/>
        <w:rPr>
          <w:rFonts w:cs="Arial"/>
        </w:rPr>
      </w:pPr>
      <w:r w:rsidRPr="00620047">
        <w:rPr>
          <w:rFonts w:cs="Arial"/>
        </w:rPr>
        <w:t>Tabel 5.19</w:t>
      </w:r>
    </w:p>
    <w:tbl>
      <w:tblPr>
        <w:tblStyle w:val="Tabelraster"/>
        <w:tblW w:w="0" w:type="auto"/>
        <w:tblInd w:w="0" w:type="dxa"/>
        <w:tblLook w:val="04A0" w:firstRow="1" w:lastRow="0" w:firstColumn="1" w:lastColumn="0" w:noHBand="0" w:noVBand="1"/>
      </w:tblPr>
      <w:tblGrid>
        <w:gridCol w:w="4243"/>
        <w:gridCol w:w="1526"/>
        <w:gridCol w:w="3416"/>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0" w:type="auto"/>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halfuur- en daggemiddelde</w:t>
            </w:r>
          </w:p>
        </w:tc>
        <w:tc>
          <w:tcPr>
            <w:tcW w:w="0" w:type="auto"/>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Totaal stof</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 mg/Nm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Gasvormige en vluchtige organische stoffen, uitgedrukt in totaal organische koolstof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 mg/Nm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Zoutzuur</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8 mg/Nm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Waterstoffluoride</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 mg/Nm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Zwaveldioxide</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40 mg/Nm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0" w:type="auto"/>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halfuur- en daggemiddelde</w:t>
            </w:r>
          </w:p>
        </w:tc>
        <w:tc>
          <w:tcPr>
            <w:tcW w:w="0" w:type="auto"/>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maandgemiddelde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Stikstofoxiden</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180 mg/Nm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70 mg/Nm</w:t>
            </w:r>
            <w:r w:rsidRPr="00620047">
              <w:rPr>
                <w:rFonts w:cs="Arial"/>
                <w:b w:val="0"/>
                <w:szCs w:val="18"/>
                <w:vertAlign w:val="superscript"/>
                <w:lang w:eastAsia="nl-NL"/>
              </w:rPr>
              <w:t>3</w:t>
            </w:r>
            <w:r w:rsidRPr="00620047">
              <w:rPr>
                <w:rFonts w:cs="Arial"/>
                <w:b w:val="0"/>
                <w:szCs w:val="18"/>
                <w:lang w:eastAsia="nl-NL"/>
              </w:rPr>
              <w:t>, uitgezonderd installaties met een totaal nominaal thermisch ingangsvermogen van minder dan 20 MW</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c>
          <w:tcPr>
            <w:tcW w:w="0" w:type="auto"/>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daggemiddelde</w:t>
            </w:r>
          </w:p>
        </w:tc>
        <w:tc>
          <w:tcPr>
            <w:tcW w:w="0" w:type="auto"/>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tienminutengemiddelde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Koolmonoxide</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30 mg/Nm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150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Kwik</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0,05 mg/Nm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Som van cadmium en thallium</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0,05 mg/Nm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Som van antimoon, arseen, chroom, kobalt, koper, lood, mangaan, nikkel en vanadium</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0,5 mg/Nm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Som van dioxinen en furanen, gedefinieerd als de som van de afzonderlijke dioxinen en furanen, gewogen overeenkomstig de bij ministeriële regeling gestelde equivalentiefactoren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0,1 ng/Nm</w:t>
            </w:r>
            <w:r w:rsidRPr="00620047">
              <w:rPr>
                <w:rFonts w:cs="Arial"/>
                <w:b w:val="0"/>
                <w:szCs w:val="18"/>
                <w:vertAlign w:val="superscript"/>
                <w:lang w:eastAsia="nl-NL"/>
              </w:rPr>
              <w:t>3</w:t>
            </w:r>
            <w:r w:rsidRPr="00620047">
              <w:rPr>
                <w:rFonts w:cs="Arial"/>
                <w:b w:val="0"/>
                <w:szCs w:val="18"/>
                <w:lang w:eastAsia="nl-NL"/>
              </w:rPr>
              <w:t xml:space="preserve">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line="240" w:lineRule="auto"/>
              <w:rPr>
                <w:rFonts w:cs="Arial"/>
                <w:b w:val="0"/>
                <w:szCs w:val="18"/>
                <w:lang w:eastAsia="nl-NL"/>
              </w:rPr>
            </w:pPr>
            <w:r w:rsidRPr="00620047">
              <w:rPr>
                <w:rFonts w:cs="Arial"/>
                <w:b w:val="0"/>
                <w:szCs w:val="18"/>
                <w:lang w:eastAsia="nl-NL"/>
              </w:rPr>
              <w:t> </w:t>
            </w:r>
          </w:p>
        </w:tc>
      </w:tr>
    </w:tbl>
    <w:p w:rsidR="00296032" w:rsidRPr="00620047" w:rsidRDefault="00296032">
      <w:pPr>
        <w:pStyle w:val="artplatletter"/>
        <w:rPr>
          <w:rFonts w:cs="Arial"/>
        </w:rPr>
      </w:pPr>
    </w:p>
    <w:p w:rsidR="00296032" w:rsidRPr="00620047" w:rsidRDefault="00296032">
      <w:pPr>
        <w:pStyle w:val="art1enivo"/>
        <w:rPr>
          <w:rFonts w:cs="Arial"/>
        </w:rPr>
      </w:pPr>
      <w:r w:rsidRPr="00620047">
        <w:rPr>
          <w:rFonts w:cs="Arial"/>
        </w:rPr>
        <w:t>2.</w:t>
      </w:r>
      <w:r w:rsidRPr="00620047">
        <w:rPr>
          <w:rFonts w:cs="Arial"/>
        </w:rPr>
        <w:tab/>
        <w:t>Voor de berekening van de emissies van de in tabel 5.19 opgenomen stoffen wordt de massaconcentratie herleid tot een zuurstofgehalte van 11 procent in afgas.</w:t>
      </w:r>
    </w:p>
    <w:p w:rsidR="00296032" w:rsidRPr="00620047" w:rsidRDefault="00296032">
      <w:pPr>
        <w:pStyle w:val="art1enivo"/>
        <w:rPr>
          <w:rFonts w:cs="Arial"/>
        </w:rPr>
      </w:pPr>
      <w:r w:rsidRPr="00620047">
        <w:rPr>
          <w:rFonts w:cs="Arial"/>
        </w:rPr>
        <w:t>3.</w:t>
      </w:r>
      <w:r w:rsidRPr="00620047">
        <w:rPr>
          <w:rFonts w:cs="Arial"/>
        </w:rPr>
        <w:tab/>
        <w:t>In afwijking van het tweede lid wordt voor de berekening van de emissies van de verbranding van afgewerkte olie de massaconcentratie herleid tot een zuurstofgehalte van 3 procent in afgas.</w:t>
      </w:r>
    </w:p>
    <w:p w:rsidR="00296032" w:rsidRPr="00296032" w:rsidRDefault="00296032">
      <w:pPr>
        <w:pStyle w:val="artikelkop"/>
        <w:rPr>
          <w:rFonts w:cs="Arial"/>
        </w:rPr>
      </w:pPr>
      <w:r w:rsidRPr="00296032">
        <w:rPr>
          <w:rFonts w:cs="Arial"/>
        </w:rPr>
        <w:t>Artikel 5.20</w:t>
      </w:r>
    </w:p>
    <w:p w:rsidR="00296032" w:rsidRPr="00620047" w:rsidRDefault="00296032">
      <w:pPr>
        <w:pStyle w:val="art1enivo"/>
        <w:rPr>
          <w:rFonts w:cs="Arial"/>
        </w:rPr>
      </w:pPr>
      <w:r w:rsidRPr="00620047">
        <w:rPr>
          <w:rFonts w:cs="Arial"/>
        </w:rPr>
        <w:t>1.</w:t>
      </w:r>
      <w:r w:rsidRPr="00620047">
        <w:rPr>
          <w:rFonts w:cs="Arial"/>
        </w:rPr>
        <w:tab/>
        <w:t>De emissies in de lucht van een andere afvalmeeverbrandingsinstallatie dan die bedoeld in artikel 5.19 overschrijden de emissiegrenswaarden van tabel 5.20 niet.</w:t>
      </w:r>
    </w:p>
    <w:p w:rsidR="00296032" w:rsidRPr="00620047" w:rsidRDefault="00296032">
      <w:pPr>
        <w:pStyle w:val="tabelkop"/>
        <w:rPr>
          <w:rFonts w:cs="Arial"/>
        </w:rPr>
      </w:pPr>
      <w:r w:rsidRPr="00620047">
        <w:rPr>
          <w:rFonts w:cs="Arial"/>
        </w:rPr>
        <w:t>Tabel 5.20</w:t>
      </w:r>
    </w:p>
    <w:tbl>
      <w:tblPr>
        <w:tblStyle w:val="Tabelraster"/>
        <w:tblW w:w="0" w:type="auto"/>
        <w:tblInd w:w="0" w:type="dxa"/>
        <w:tblLook w:val="04A0" w:firstRow="1" w:lastRow="0" w:firstColumn="1" w:lastColumn="0" w:noHBand="0" w:noVBand="1"/>
      </w:tblPr>
      <w:tblGrid>
        <w:gridCol w:w="4735"/>
        <w:gridCol w:w="4450"/>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Totaal stof</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Mengregel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Gasvormige en vluchtige organische stoffen, uitgedrukt in totaal organische koolstof</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Mengregel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Zoutzuur</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Mengregel, waarbij voor de C</w:t>
            </w:r>
            <w:r w:rsidRPr="00620047">
              <w:rPr>
                <w:rFonts w:cs="Arial"/>
                <w:b w:val="0"/>
                <w:szCs w:val="18"/>
                <w:vertAlign w:val="subscript"/>
                <w:lang w:eastAsia="nl-NL"/>
              </w:rPr>
              <w:t>proces</w:t>
            </w:r>
            <w:r w:rsidRPr="00620047">
              <w:rPr>
                <w:rFonts w:cs="Arial"/>
                <w:b w:val="0"/>
                <w:szCs w:val="18"/>
                <w:lang w:eastAsia="nl-NL"/>
              </w:rPr>
              <w:t>-waarde de volgende emissiegrenswaarde geldt: 30 mg/Nm</w:t>
            </w:r>
            <w:r w:rsidRPr="00620047">
              <w:rPr>
                <w:rFonts w:cs="Arial"/>
                <w:b w:val="0"/>
                <w:szCs w:val="18"/>
                <w:vertAlign w:val="superscript"/>
                <w:lang w:eastAsia="nl-NL"/>
              </w:rPr>
              <w:t xml:space="preserve">3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Waterstoffluoride</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Mengregel, waarbij voor de C</w:t>
            </w:r>
            <w:r w:rsidRPr="00620047">
              <w:rPr>
                <w:rFonts w:cs="Arial"/>
                <w:b w:val="0"/>
                <w:szCs w:val="18"/>
                <w:vertAlign w:val="subscript"/>
                <w:lang w:eastAsia="nl-NL"/>
              </w:rPr>
              <w:t>proces</w:t>
            </w:r>
            <w:r w:rsidRPr="00620047">
              <w:rPr>
                <w:rFonts w:cs="Arial"/>
                <w:b w:val="0"/>
                <w:szCs w:val="18"/>
                <w:lang w:eastAsia="nl-NL"/>
              </w:rPr>
              <w:t>-waarde de volgende emissiegrenswaarde geldt: 10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Zwaveldioxide </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Mengregel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Stikstofoxiden</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Mengregel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Koolmonoxide</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Mengregel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Kwik</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0,02 mg/Nm</w:t>
            </w:r>
            <w:r w:rsidRPr="00620047">
              <w:rPr>
                <w:rFonts w:cs="Arial"/>
                <w:b w:val="0"/>
                <w:szCs w:val="18"/>
                <w:vertAlign w:val="superscript"/>
                <w:lang w:eastAsia="nl-NL"/>
              </w:rPr>
              <w:t>3</w:t>
            </w:r>
            <w:r w:rsidR="00244F18">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Som van cadmium en thallium</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0,015 mg/Nm</w:t>
            </w:r>
            <w:r w:rsidRPr="00620047">
              <w:rPr>
                <w:rFonts w:cs="Arial"/>
                <w:b w:val="0"/>
                <w:szCs w:val="18"/>
                <w:vertAlign w:val="superscript"/>
                <w:lang w:eastAsia="nl-NL"/>
              </w:rPr>
              <w:t>3</w:t>
            </w:r>
            <w:r w:rsidR="00244F18">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Som van antimoon, arseen, chroom, kobalt, koper, lood, mangaan, nikkel en vanadium</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0,15 mg/Nm</w:t>
            </w:r>
            <w:r w:rsidRPr="00620047">
              <w:rPr>
                <w:rFonts w:cs="Arial"/>
                <w:b w:val="0"/>
                <w:szCs w:val="18"/>
                <w:vertAlign w:val="superscript"/>
                <w:lang w:eastAsia="nl-NL"/>
              </w:rPr>
              <w:t>3</w:t>
            </w:r>
            <w:r w:rsidR="00244F18">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Som van dioxinen en furanen, gedefinieerd als de som van de afzonderlijke dioxinen en furanen, gewogen overeenkomstig de bij ministeriële regeling gestelde equivalentiefactoren </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0,1 ng/Nm</w:t>
            </w:r>
            <w:r w:rsidRPr="00620047">
              <w:rPr>
                <w:rFonts w:cs="Arial"/>
                <w:b w:val="0"/>
                <w:szCs w:val="18"/>
                <w:vertAlign w:val="superscript"/>
                <w:lang w:eastAsia="nl-NL"/>
              </w:rPr>
              <w:t>3</w:t>
            </w:r>
            <w:r w:rsidR="00244F18">
              <w:rPr>
                <w:rFonts w:cs="Arial"/>
                <w:b w:val="0"/>
                <w:szCs w:val="18"/>
                <w:lang w:eastAsia="nl-NL"/>
              </w:rPr>
              <w:t xml:space="preserve"> </w:t>
            </w:r>
          </w:p>
        </w:tc>
      </w:tr>
    </w:tbl>
    <w:p w:rsidR="00296032" w:rsidRPr="00620047" w:rsidRDefault="00296032">
      <w:pPr>
        <w:pStyle w:val="art1enivo"/>
        <w:rPr>
          <w:rFonts w:cs="Arial"/>
        </w:rPr>
      </w:pPr>
      <w:r w:rsidRPr="00620047">
        <w:rPr>
          <w:rFonts w:cs="Arial"/>
        </w:rPr>
        <w:t>2.</w:t>
      </w:r>
      <w:r w:rsidRPr="00620047">
        <w:rPr>
          <w:rFonts w:cs="Arial"/>
        </w:rPr>
        <w:tab/>
        <w:t>Voor de berekening van emissies van de in tabel 5.20 opgenomen stoffen wordt de massaconcentratie herleid tot een zuurstofgehalte van 6 procent in afgas.</w:t>
      </w:r>
    </w:p>
    <w:p w:rsidR="00296032" w:rsidRPr="00620047" w:rsidRDefault="00296032">
      <w:pPr>
        <w:pStyle w:val="art1enivo"/>
        <w:rPr>
          <w:rFonts w:cs="Arial"/>
        </w:rPr>
      </w:pPr>
      <w:r w:rsidRPr="00620047">
        <w:rPr>
          <w:rFonts w:cs="Arial"/>
        </w:rPr>
        <w:t>3.</w:t>
      </w:r>
      <w:r w:rsidRPr="00620047">
        <w:rPr>
          <w:rFonts w:cs="Arial"/>
        </w:rPr>
        <w:tab/>
        <w:t>In afwijking van het tweede lid wordt voor de berekening van de emissies in de lucht veroorzaakt door het stoken van vloeibare of gasvormige brandstoffen de massaconcentratie herleid tot een zuurstofgehalte van 3 procent in afgas.</w:t>
      </w:r>
    </w:p>
    <w:p w:rsidR="00296032" w:rsidRPr="00296032" w:rsidRDefault="00296032">
      <w:pPr>
        <w:pStyle w:val="artikelkop"/>
        <w:rPr>
          <w:rFonts w:cs="Arial"/>
        </w:rPr>
      </w:pPr>
      <w:r w:rsidRPr="00296032">
        <w:rPr>
          <w:rFonts w:cs="Arial"/>
        </w:rPr>
        <w:t>Artikel 5.21</w:t>
      </w:r>
    </w:p>
    <w:p w:rsidR="00296032" w:rsidRPr="00620047" w:rsidRDefault="00296032">
      <w:pPr>
        <w:pStyle w:val="artplat"/>
        <w:rPr>
          <w:rFonts w:cs="Arial"/>
        </w:rPr>
      </w:pPr>
      <w:r w:rsidRPr="00620047">
        <w:rPr>
          <w:rFonts w:cs="Arial"/>
        </w:rPr>
        <w:t>Voor een afvalmeeverbrandingsinstallatie waarin vaste afvalstoffen worden verstookt gelden voor kwik, in plaats van de emissiegrenswaarde, bedoeld in artikel 5.20, de volgende jaarlijkse gemiddelde inputeisen:</w:t>
      </w:r>
    </w:p>
    <w:p w:rsidR="00296032" w:rsidRPr="00620047" w:rsidRDefault="00296032">
      <w:pPr>
        <w:pStyle w:val="artplatletter"/>
        <w:rPr>
          <w:rFonts w:cs="Arial"/>
        </w:rPr>
      </w:pPr>
      <w:r w:rsidRPr="00620047">
        <w:rPr>
          <w:rFonts w:cs="Arial"/>
        </w:rPr>
        <w:t>a.</w:t>
      </w:r>
      <w:r w:rsidRPr="00620047">
        <w:rPr>
          <w:rFonts w:cs="Arial"/>
        </w:rPr>
        <w:tab/>
        <w:t>bij het meeverbranden van 10 massaprocent of minder afvalstoffen van de gemiddelde jaarlijkse inzet van vaste brandstoffen of biomassa: 0,4 milligram kwik per kilogram afvalstof berekend als droge stof;</w:t>
      </w:r>
    </w:p>
    <w:p w:rsidR="00296032" w:rsidRPr="00620047" w:rsidRDefault="00296032">
      <w:pPr>
        <w:pStyle w:val="artplatletter"/>
        <w:rPr>
          <w:rFonts w:cs="Arial"/>
        </w:rPr>
      </w:pPr>
      <w:r w:rsidRPr="00620047">
        <w:rPr>
          <w:rFonts w:cs="Arial"/>
        </w:rPr>
        <w:t>b.</w:t>
      </w:r>
      <w:r w:rsidRPr="00620047">
        <w:rPr>
          <w:rFonts w:cs="Arial"/>
        </w:rPr>
        <w:tab/>
        <w:t>bij het meeverbranden van meer dan 10 massaprocent afvalstoffen van de gemiddelde jaarlijkse inzet van vaste brandstoffen of biomassa: (3,5/massaprocent + 0,05) milligram kwik per kilogram afvalstof berekend als droge stof.</w:t>
      </w:r>
    </w:p>
    <w:p w:rsidR="00296032" w:rsidRPr="00296032" w:rsidRDefault="00296032">
      <w:pPr>
        <w:pStyle w:val="artikelkop"/>
        <w:rPr>
          <w:rFonts w:cs="Arial"/>
        </w:rPr>
      </w:pPr>
      <w:r w:rsidRPr="00296032">
        <w:rPr>
          <w:rFonts w:cs="Arial"/>
        </w:rPr>
        <w:t>Artikel 5.22</w:t>
      </w:r>
    </w:p>
    <w:p w:rsidR="00296032" w:rsidRPr="00620047" w:rsidRDefault="00296032">
      <w:pPr>
        <w:pStyle w:val="art1enivo"/>
        <w:rPr>
          <w:rFonts w:cs="Arial"/>
        </w:rPr>
      </w:pPr>
      <w:r w:rsidRPr="00620047">
        <w:rPr>
          <w:rFonts w:cs="Arial"/>
        </w:rPr>
        <w:t>1.</w:t>
      </w:r>
      <w:r w:rsidRPr="00620047">
        <w:rPr>
          <w:rFonts w:cs="Arial"/>
        </w:rPr>
        <w:tab/>
        <w:t>De emissies in de lucht van een cementoven die is aan te merken als een afvalmeeverbrandingsinstallatie overschrijden de emissiegrenswaarden van tabel 5.22 niet.</w:t>
      </w:r>
    </w:p>
    <w:p w:rsidR="00296032" w:rsidRPr="00620047" w:rsidRDefault="00296032">
      <w:pPr>
        <w:pStyle w:val="tabelkop"/>
        <w:rPr>
          <w:rFonts w:cs="Arial"/>
        </w:rPr>
      </w:pPr>
      <w:r w:rsidRPr="00620047">
        <w:rPr>
          <w:rFonts w:cs="Arial"/>
        </w:rPr>
        <w:t>Tabel 5.22</w:t>
      </w:r>
    </w:p>
    <w:tbl>
      <w:tblPr>
        <w:tblStyle w:val="Tabelraster"/>
        <w:tblW w:w="0" w:type="auto"/>
        <w:tblInd w:w="0" w:type="dxa"/>
        <w:tblLook w:val="04A0" w:firstRow="1" w:lastRow="0" w:firstColumn="1" w:lastColumn="0" w:noHBand="0" w:noVBand="1"/>
      </w:tblPr>
      <w:tblGrid>
        <w:gridCol w:w="6720"/>
        <w:gridCol w:w="2465"/>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672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Totaal stof</w:t>
            </w:r>
          </w:p>
        </w:tc>
        <w:tc>
          <w:tcPr>
            <w:tcW w:w="246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15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672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Gasvormige en vluchtige organische stoffen, uitgedrukt in totaal organische koolstof</w:t>
            </w:r>
          </w:p>
        </w:tc>
        <w:tc>
          <w:tcPr>
            <w:tcW w:w="246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672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Zoutzuur</w:t>
            </w:r>
          </w:p>
        </w:tc>
        <w:tc>
          <w:tcPr>
            <w:tcW w:w="246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672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Waterstoffluoride</w:t>
            </w:r>
          </w:p>
        </w:tc>
        <w:tc>
          <w:tcPr>
            <w:tcW w:w="246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672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Zwaveldioxide</w:t>
            </w:r>
          </w:p>
        </w:tc>
        <w:tc>
          <w:tcPr>
            <w:tcW w:w="246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50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672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Stikstofoxiden</w:t>
            </w:r>
          </w:p>
        </w:tc>
        <w:tc>
          <w:tcPr>
            <w:tcW w:w="246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500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672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Kwik</w:t>
            </w:r>
          </w:p>
        </w:tc>
        <w:tc>
          <w:tcPr>
            <w:tcW w:w="246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0,05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672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Som van cadmium en thallium</w:t>
            </w:r>
          </w:p>
        </w:tc>
        <w:tc>
          <w:tcPr>
            <w:tcW w:w="246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0,05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672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Som van antimoon, arseen, chroom, kobalt, koper, lood, mangaan, nikkel en vanadium</w:t>
            </w:r>
          </w:p>
        </w:tc>
        <w:tc>
          <w:tcPr>
            <w:tcW w:w="246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0,5 mg/Nm</w:t>
            </w:r>
            <w:r w:rsidRPr="00620047">
              <w:rPr>
                <w:rFonts w:cs="Arial"/>
                <w:b w:val="0"/>
                <w:szCs w:val="18"/>
                <w:vertAlign w:val="superscript"/>
                <w:lang w:eastAsia="nl-NL"/>
              </w:rPr>
              <w:t>3</w:t>
            </w:r>
            <w:r w:rsidRPr="00620047">
              <w:rPr>
                <w:rFonts w:cs="Arial"/>
                <w:b w:val="0"/>
                <w:szCs w:val="18"/>
                <w:lang w:eastAsia="nl-NL"/>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672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Som van dioxinen en furanen, gedefinieerd als de som van de afzonderlijke dioxinen en furanen, gewogen overeenkomstig de bij ministeriële regeling gestelde equivalentiefactoren </w:t>
            </w:r>
          </w:p>
        </w:tc>
        <w:tc>
          <w:tcPr>
            <w:tcW w:w="246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0,1 ng/Nm</w:t>
            </w:r>
            <w:r w:rsidRPr="00620047">
              <w:rPr>
                <w:rFonts w:cs="Arial"/>
                <w:b w:val="0"/>
                <w:szCs w:val="18"/>
                <w:vertAlign w:val="superscript"/>
                <w:lang w:eastAsia="nl-NL"/>
              </w:rPr>
              <w:t>3</w:t>
            </w:r>
            <w:r w:rsidRPr="00620047">
              <w:rPr>
                <w:rFonts w:cs="Arial"/>
                <w:b w:val="0"/>
                <w:szCs w:val="18"/>
                <w:lang w:eastAsia="nl-NL"/>
              </w:rPr>
              <w:t xml:space="preserve"> </w:t>
            </w:r>
          </w:p>
        </w:tc>
      </w:tr>
    </w:tbl>
    <w:p w:rsidR="00296032" w:rsidRPr="00620047" w:rsidRDefault="00296032">
      <w:pPr>
        <w:pStyle w:val="art1enivo"/>
        <w:rPr>
          <w:rFonts w:cs="Arial"/>
        </w:rPr>
      </w:pPr>
      <w:r w:rsidRPr="00620047">
        <w:rPr>
          <w:rFonts w:cs="Arial"/>
        </w:rPr>
        <w:t>2.</w:t>
      </w:r>
      <w:r w:rsidRPr="00620047">
        <w:rPr>
          <w:rFonts w:cs="Arial"/>
        </w:rPr>
        <w:tab/>
        <w:t>Voor de berekening van de emissie van de in tabel 5.22 opgenomen stoffen wordt de massaconcentratie herleid tot een zuurstofgehalte van 10 procent in afgas.</w:t>
      </w:r>
    </w:p>
    <w:p w:rsidR="00296032" w:rsidRPr="00296032" w:rsidRDefault="00296032">
      <w:pPr>
        <w:pStyle w:val="artikelkop"/>
        <w:rPr>
          <w:rFonts w:cs="Arial"/>
        </w:rPr>
      </w:pPr>
      <w:r w:rsidRPr="00296032">
        <w:rPr>
          <w:rFonts w:cs="Arial"/>
        </w:rPr>
        <w:t>Artikel 5.23</w:t>
      </w:r>
    </w:p>
    <w:p w:rsidR="00296032" w:rsidRPr="00620047" w:rsidRDefault="00296032">
      <w:pPr>
        <w:pStyle w:val="art1enivo"/>
        <w:rPr>
          <w:rFonts w:cs="Arial"/>
        </w:rPr>
      </w:pPr>
      <w:r w:rsidRPr="00620047">
        <w:rPr>
          <w:rFonts w:cs="Arial"/>
        </w:rPr>
        <w:t>1.</w:t>
      </w:r>
      <w:r w:rsidRPr="00620047">
        <w:rPr>
          <w:rFonts w:cs="Arial"/>
        </w:rPr>
        <w:tab/>
        <w:t>Indien in tabel 5.20 in plaats van een concrete emissiegrenswaarde de aanduiding "mengregel" is opgenomen, wordt voor de bepaling van de emissiegrenswaarde de volgende formule gebruikt:</w:t>
      </w:r>
    </w:p>
    <w:p w:rsidR="00296032" w:rsidRPr="00620047" w:rsidRDefault="00296032">
      <w:pPr>
        <w:pStyle w:val="art1enivo"/>
        <w:rPr>
          <w:rFonts w:cs="Arial"/>
        </w:rPr>
      </w:pPr>
      <w:r w:rsidRPr="00620047">
        <w:rPr>
          <w:rFonts w:cs="Arial"/>
        </w:rPr>
        <w:tab/>
        <w:t>(V</w:t>
      </w:r>
      <w:r w:rsidRPr="00620047">
        <w:rPr>
          <w:rFonts w:cs="Arial"/>
          <w:position w:val="-2"/>
        </w:rPr>
        <w:t>afval</w:t>
      </w:r>
      <w:r w:rsidRPr="00620047">
        <w:rPr>
          <w:rFonts w:cs="Arial"/>
        </w:rPr>
        <w:t xml:space="preserve"> x C</w:t>
      </w:r>
      <w:r w:rsidRPr="00620047">
        <w:rPr>
          <w:rFonts w:cs="Arial"/>
          <w:position w:val="-2"/>
        </w:rPr>
        <w:t>afval</w:t>
      </w:r>
      <w:r w:rsidRPr="00620047">
        <w:rPr>
          <w:rFonts w:cs="Arial"/>
        </w:rPr>
        <w:t xml:space="preserve"> + V</w:t>
      </w:r>
      <w:r w:rsidRPr="00620047">
        <w:rPr>
          <w:rFonts w:cs="Arial"/>
          <w:position w:val="-2"/>
        </w:rPr>
        <w:t>proces</w:t>
      </w:r>
      <w:r w:rsidRPr="00620047">
        <w:rPr>
          <w:rFonts w:cs="Arial"/>
        </w:rPr>
        <w:t xml:space="preserve"> x C</w:t>
      </w:r>
      <w:r w:rsidRPr="00620047">
        <w:rPr>
          <w:rFonts w:cs="Arial"/>
          <w:position w:val="-2"/>
        </w:rPr>
        <w:t>proces</w:t>
      </w:r>
      <w:r w:rsidRPr="00620047">
        <w:rPr>
          <w:rFonts w:cs="Arial"/>
        </w:rPr>
        <w:t>)/(V</w:t>
      </w:r>
      <w:r w:rsidRPr="00620047">
        <w:rPr>
          <w:rFonts w:cs="Arial"/>
          <w:position w:val="-2"/>
        </w:rPr>
        <w:t>afval</w:t>
      </w:r>
      <w:r w:rsidRPr="00620047">
        <w:rPr>
          <w:rFonts w:cs="Arial"/>
        </w:rPr>
        <w:t xml:space="preserve"> + V</w:t>
      </w:r>
      <w:r w:rsidRPr="00620047">
        <w:rPr>
          <w:rFonts w:cs="Arial"/>
          <w:position w:val="-2"/>
        </w:rPr>
        <w:t>proces</w:t>
      </w:r>
      <w:r w:rsidRPr="00620047">
        <w:rPr>
          <w:rFonts w:cs="Arial"/>
        </w:rPr>
        <w:t>) = C</w:t>
      </w:r>
    </w:p>
    <w:p w:rsidR="00296032" w:rsidRPr="00620047" w:rsidRDefault="00296032"/>
    <w:p w:rsidR="00296032" w:rsidRPr="00620047" w:rsidRDefault="00296032">
      <w:pPr>
        <w:pStyle w:val="artplatletter"/>
        <w:rPr>
          <w:rFonts w:cs="Arial"/>
        </w:rPr>
      </w:pPr>
      <w:r w:rsidRPr="00620047">
        <w:rPr>
          <w:rFonts w:cs="Arial"/>
        </w:rPr>
        <w:tab/>
        <w:t>V</w:t>
      </w:r>
      <w:r w:rsidRPr="00620047">
        <w:rPr>
          <w:rFonts w:cs="Arial"/>
          <w:position w:val="-2"/>
        </w:rPr>
        <w:t>afval</w:t>
      </w:r>
      <w:r w:rsidRPr="00620047">
        <w:rPr>
          <w:rFonts w:cs="Arial"/>
        </w:rPr>
        <w:t>: volume van het afgas ten gevolge van uitsluitend de verbranding van afvalstoffen, bepaald op basis van de in de omgevingsvergunning gespecificeerde afvalstof of categorie van afvalstoffen met de laagste gemiddelde netto calorische waarde en herleid tot de emissieconcentratie bij een genormaliseerd zuurstofgehalte overeenkomstig de bij ministeriële regeling bepaalde formule, temperatuur druk en droog gas. Indien de warmte die vrijkomt bij de verbranding van gevaarlijke afvalstoffen minder dan 10 procent bedraagt van de totale in de afvalmeeverbrandingsinstallatie vrijkomende warmte, wordt V</w:t>
      </w:r>
      <w:r w:rsidRPr="00620047">
        <w:rPr>
          <w:rFonts w:cs="Arial"/>
          <w:position w:val="-2"/>
        </w:rPr>
        <w:t>afval</w:t>
      </w:r>
      <w:r w:rsidRPr="00620047">
        <w:rPr>
          <w:rFonts w:cs="Arial"/>
        </w:rPr>
        <w:t xml:space="preserve"> berekend op basis van een hoeveelheid afvalstoffen die bij verbranding, bij de totale hoeveelheid vrijkomende warmte, 10 procent van de vrijkomende warmte zou opleveren.</w:t>
      </w:r>
    </w:p>
    <w:p w:rsidR="00296032" w:rsidRPr="00620047" w:rsidRDefault="00296032">
      <w:pPr>
        <w:pStyle w:val="artplatletter"/>
        <w:rPr>
          <w:rFonts w:cs="Arial"/>
        </w:rPr>
      </w:pPr>
      <w:r w:rsidRPr="00620047">
        <w:rPr>
          <w:rFonts w:cs="Arial"/>
        </w:rPr>
        <w:tab/>
        <w:t>C</w:t>
      </w:r>
      <w:r w:rsidRPr="00620047">
        <w:rPr>
          <w:rFonts w:cs="Arial"/>
          <w:position w:val="-2"/>
        </w:rPr>
        <w:t>afval</w:t>
      </w:r>
      <w:r w:rsidRPr="00620047">
        <w:rPr>
          <w:rFonts w:cs="Arial"/>
        </w:rPr>
        <w:t>: in tabel 5.19 aangegeven emissiegrenswaarde voor de desbetreffende stof. Indien er in tabel 5.19 voor een stof meerdere emissiegrenswaarden zijn opgenomen, heeft C</w:t>
      </w:r>
      <w:r w:rsidRPr="00620047">
        <w:rPr>
          <w:rFonts w:cs="Arial"/>
          <w:position w:val="-2"/>
        </w:rPr>
        <w:t>afval</w:t>
      </w:r>
      <w:r w:rsidRPr="00620047">
        <w:rPr>
          <w:rFonts w:cs="Arial"/>
        </w:rPr>
        <w:t xml:space="preserve"> betrekking op de daggemiddelde emissiegrenswaarde. De C</w:t>
      </w:r>
      <w:r w:rsidRPr="00620047">
        <w:rPr>
          <w:rFonts w:cs="Arial"/>
          <w:position w:val="-2"/>
        </w:rPr>
        <w:t>afval</w:t>
      </w:r>
      <w:r w:rsidRPr="00620047">
        <w:rPr>
          <w:rFonts w:cs="Arial"/>
        </w:rPr>
        <w:t>-emissiegrenswaarde wordt omgerekend naar het zuurstofgehalte van de meeverbrandingsinstallatie.</w:t>
      </w:r>
    </w:p>
    <w:p w:rsidR="00296032" w:rsidRPr="00620047" w:rsidRDefault="00296032">
      <w:pPr>
        <w:pStyle w:val="artplatletter"/>
        <w:rPr>
          <w:rFonts w:cs="Arial"/>
        </w:rPr>
      </w:pPr>
      <w:r w:rsidRPr="00620047">
        <w:rPr>
          <w:rFonts w:cs="Arial"/>
        </w:rPr>
        <w:tab/>
        <w:t>V</w:t>
      </w:r>
      <w:r w:rsidRPr="00620047">
        <w:rPr>
          <w:rFonts w:cs="Arial"/>
          <w:position w:val="-2"/>
        </w:rPr>
        <w:t>proces</w:t>
      </w:r>
      <w:r w:rsidRPr="00620047">
        <w:rPr>
          <w:rFonts w:cs="Arial"/>
        </w:rPr>
        <w:t>: volume van het afgas ten gevolge van het in de verbrandingsinstallatie plaatshebbende proces van de verbranding van niet als afvalstoffen aan te merken brandstoffen, bepaald bij een zuurstofgehalte dat bij ministeriële regeling is vastgesteld. Indien geen voorschriften gelden met betrekking tot het volume van het afgas van de afvalmeeverbrandingsinstallatie, wordt het werkelijke zuurstofgehalte in het afgas zonder verdunning door toevoeging van voor het verbrandingsproces onnodige lucht gebruikt.</w:t>
      </w:r>
    </w:p>
    <w:p w:rsidR="00296032" w:rsidRPr="00620047" w:rsidRDefault="00296032">
      <w:pPr>
        <w:pStyle w:val="artplatletter"/>
        <w:rPr>
          <w:rFonts w:cs="Arial"/>
        </w:rPr>
      </w:pPr>
      <w:r w:rsidRPr="00620047">
        <w:rPr>
          <w:rFonts w:cs="Arial"/>
        </w:rPr>
        <w:tab/>
        <w:t>C</w:t>
      </w:r>
      <w:r w:rsidRPr="00620047">
        <w:rPr>
          <w:rFonts w:cs="Arial"/>
          <w:position w:val="-2"/>
        </w:rPr>
        <w:t>proces</w:t>
      </w:r>
      <w:r w:rsidRPr="00620047">
        <w:rPr>
          <w:rFonts w:cs="Arial"/>
        </w:rPr>
        <w:t>: emissiegrenswaarde die voor de desbetreffende stof zou gelden op grond van paragraaf 5.1 voor grote stookinstallaties of op grond van paragraaf 3.2.1 voor het in werking hebben van andere dan grote stookinstallaties, wanneer in het desbetreffende type installatie andere brandstoffen dan afvalstoffen zouden worden gestookt. Bij het ontbreken van zodanige regelgeving wordt de in de omgevingsvergunning vermelde emissiegrenswaarde gebruikt. Indien in de omgevingsvergunning geen emissiegrenswaarde is gesteld, wordt de werkelijke massaconcentratie gebruikt.</w:t>
      </w:r>
      <w:r w:rsidRPr="00620047">
        <w:rPr>
          <w:rFonts w:cs="Arial"/>
        </w:rPr>
        <w:br/>
        <w:t>C: totale emissiegrenswaarde, bepaald bij een bij ministeriële regeling vastgesteld zuurstofgehalte.</w:t>
      </w:r>
    </w:p>
    <w:p w:rsidR="00296032" w:rsidRPr="00620047" w:rsidRDefault="00296032">
      <w:pPr>
        <w:pStyle w:val="art1enivo"/>
        <w:rPr>
          <w:rFonts w:cs="Arial"/>
        </w:rPr>
      </w:pPr>
      <w:r w:rsidRPr="00620047">
        <w:rPr>
          <w:rFonts w:cs="Arial"/>
        </w:rPr>
        <w:t>2.</w:t>
      </w:r>
      <w:r w:rsidRPr="00620047">
        <w:rPr>
          <w:rFonts w:cs="Arial"/>
        </w:rPr>
        <w:tab/>
        <w:t>Voor de toepassing van het eerste lid wordt onder gemiddelde netto calorische waarde verstaan: op de onderste verbrandingswaarde betrokken hoeveelheid energie die bij de verbranding van een bepaalde hoeveelheid brandstof vrijkomt.</w:t>
      </w:r>
    </w:p>
    <w:p w:rsidR="00296032" w:rsidRPr="00296032" w:rsidRDefault="00296032">
      <w:pPr>
        <w:pStyle w:val="artikelkop"/>
        <w:rPr>
          <w:rFonts w:cs="Arial"/>
        </w:rPr>
      </w:pPr>
      <w:r w:rsidRPr="00296032">
        <w:rPr>
          <w:rFonts w:cs="Arial"/>
        </w:rPr>
        <w:t>Artikel 5.24</w:t>
      </w:r>
    </w:p>
    <w:p w:rsidR="00296032" w:rsidRPr="00620047" w:rsidRDefault="00296032">
      <w:pPr>
        <w:pStyle w:val="artplat"/>
        <w:rPr>
          <w:rFonts w:cs="Arial"/>
        </w:rPr>
      </w:pPr>
      <w:r w:rsidRPr="00620047">
        <w:rPr>
          <w:rFonts w:cs="Arial"/>
        </w:rPr>
        <w:t>In afwijking van artikel 5.19, eerste lid, stelt het bevoegd gezag voor een installatie die niet kan voldoen aan de op grond van dat artikellid toepasselijke emissiegrenswaarden, bij vergunningvoorschrift een emissiegrenswaarde voor koolmonoxide vast van ten hoogste:</w:t>
      </w:r>
    </w:p>
    <w:p w:rsidR="00296032" w:rsidRPr="00620047" w:rsidRDefault="00296032">
      <w:pPr>
        <w:pStyle w:val="artplatletter"/>
        <w:rPr>
          <w:rFonts w:cs="Arial"/>
        </w:rPr>
      </w:pPr>
      <w:r w:rsidRPr="00620047">
        <w:rPr>
          <w:rFonts w:cs="Arial"/>
        </w:rPr>
        <w:t>a.</w:t>
      </w:r>
      <w:r w:rsidRPr="00620047">
        <w:rPr>
          <w:rFonts w:cs="Arial"/>
        </w:rPr>
        <w:tab/>
        <w:t>een daggemiddelde van 50 mg/Nm</w:t>
      </w:r>
      <w:r w:rsidRPr="00620047">
        <w:rPr>
          <w:rFonts w:cs="Arial"/>
          <w:position w:val="5"/>
        </w:rPr>
        <w:t>3</w:t>
      </w:r>
      <w:r w:rsidRPr="00620047">
        <w:rPr>
          <w:rFonts w:cs="Arial"/>
        </w:rPr>
        <w:t xml:space="preserve"> naast het tienminutengemiddelde, of,</w:t>
      </w:r>
    </w:p>
    <w:p w:rsidR="00296032" w:rsidRPr="00620047" w:rsidRDefault="00296032">
      <w:pPr>
        <w:pStyle w:val="artplatletter"/>
        <w:rPr>
          <w:rFonts w:cs="Arial"/>
        </w:rPr>
      </w:pPr>
      <w:r w:rsidRPr="00620047">
        <w:rPr>
          <w:rFonts w:cs="Arial"/>
        </w:rPr>
        <w:t>b.</w:t>
      </w:r>
      <w:r w:rsidRPr="00620047">
        <w:rPr>
          <w:rFonts w:cs="Arial"/>
        </w:rPr>
        <w:tab/>
        <w:t>met betrekking tot een afvalverbrandings- of een afvalmeeverbrandingsinstallatie waarin de wervelbedtechnologie wordt gebruikt: een uurgemiddelde van 100 mg/Nm</w:t>
      </w:r>
      <w:r w:rsidRPr="00620047">
        <w:rPr>
          <w:rFonts w:cs="Arial"/>
          <w:position w:val="5"/>
        </w:rPr>
        <w:t>3</w:t>
      </w:r>
      <w:r w:rsidRPr="00620047">
        <w:rPr>
          <w:rFonts w:cs="Arial"/>
        </w:rPr>
        <w:t>.</w:t>
      </w:r>
    </w:p>
    <w:p w:rsidR="00296032" w:rsidRPr="00296032" w:rsidRDefault="00296032">
      <w:pPr>
        <w:pStyle w:val="artikelkop"/>
        <w:rPr>
          <w:rFonts w:cs="Arial"/>
        </w:rPr>
      </w:pPr>
      <w:r w:rsidRPr="00296032">
        <w:rPr>
          <w:rFonts w:cs="Arial"/>
        </w:rPr>
        <w:t>Artikel 5.25</w:t>
      </w:r>
    </w:p>
    <w:p w:rsidR="00296032" w:rsidRPr="00620047" w:rsidRDefault="00296032">
      <w:pPr>
        <w:pStyle w:val="artplat"/>
        <w:rPr>
          <w:rFonts w:cs="Arial"/>
        </w:rPr>
      </w:pPr>
      <w:r w:rsidRPr="00620047">
        <w:rPr>
          <w:rFonts w:cs="Arial"/>
        </w:rPr>
        <w:t>In afwijking van artikel 5.22 kan het bevoegd gezag met betrekking tot cementovens bij vergunningvoorschrift bepalen dat de in tabel 5.22 opgenomen emissiegrenswaarden voor zwaveldioxide en vluchtige organische stoffen niet van toepassing zijn indien de emissies van zodanige stoffen in de lucht niet het gevolg zijn van de thermische behandeling van afvalstoffen.</w:t>
      </w:r>
    </w:p>
    <w:p w:rsidR="00296032" w:rsidRPr="00296032" w:rsidRDefault="00296032">
      <w:pPr>
        <w:pStyle w:val="artikelkop"/>
        <w:rPr>
          <w:rFonts w:cs="Arial"/>
        </w:rPr>
      </w:pPr>
      <w:r w:rsidRPr="00296032">
        <w:rPr>
          <w:rFonts w:cs="Arial"/>
        </w:rPr>
        <w:t>Artikel 5.26</w:t>
      </w:r>
    </w:p>
    <w:p w:rsidR="00296032" w:rsidRPr="00620047" w:rsidRDefault="00296032">
      <w:pPr>
        <w:pStyle w:val="art1enivo"/>
        <w:rPr>
          <w:rFonts w:cs="Arial"/>
        </w:rPr>
      </w:pPr>
      <w:r w:rsidRPr="00620047">
        <w:rPr>
          <w:rFonts w:cs="Arial"/>
        </w:rPr>
        <w:t>1.</w:t>
      </w:r>
      <w:r w:rsidRPr="00620047">
        <w:rPr>
          <w:rFonts w:cs="Arial"/>
        </w:rPr>
        <w:tab/>
        <w:t>Een afvalverbrandings- of afvalmeeverbrandingsinstallatie mag de bij of krachtens dit besluit gestelde emissiegrenswaarden voor emissies in de lucht slechts overschrijden indien deze overschrijdingen het gevolg zijn van technisch onvermijdelijke storingen of stilleggingen van de afgasreinigingsapparatuur of meetapparatuur of defecten aan de afgasreinigingsapparatuur of meetapparatuur.</w:t>
      </w:r>
    </w:p>
    <w:p w:rsidR="00296032" w:rsidRPr="00620047" w:rsidRDefault="00296032">
      <w:pPr>
        <w:pStyle w:val="art1enivo"/>
        <w:rPr>
          <w:rFonts w:cs="Arial"/>
        </w:rPr>
      </w:pPr>
      <w:r w:rsidRPr="00620047">
        <w:rPr>
          <w:rFonts w:cs="Arial"/>
        </w:rPr>
        <w:t>2.</w:t>
      </w:r>
      <w:r w:rsidRPr="00620047">
        <w:rPr>
          <w:rFonts w:cs="Arial"/>
        </w:rPr>
        <w:tab/>
        <w:t>Een afvalverbrandings- of afvalmeeverbrandingsinstallatie mag ingeval er sprake is van overschrijding van de bij of krachtens dit besluit gestelde emissiegrenswaarden voor emissies in de lucht in geen geval langer dan vier uur ononderbroken met de thermische behandeling van afvalstoffen voortgaan. De totale duur dat ovens van een verbrandingsinstallatie welke verbonden zijn met dezelfde afgasreinigingsinstallatie per kalenderjaar in werking mogen zijn, bedraagt ingeval er sprake is van overschrijding van de bij of krachtens dit besluit gestelde emissiegrenswaarden en:</w:t>
      </w:r>
    </w:p>
    <w:p w:rsidR="00296032" w:rsidRPr="00620047" w:rsidRDefault="00296032">
      <w:pPr>
        <w:pStyle w:val="art2enivo"/>
        <w:rPr>
          <w:rFonts w:cs="Arial"/>
        </w:rPr>
      </w:pPr>
      <w:r w:rsidRPr="00620047">
        <w:rPr>
          <w:rFonts w:cs="Arial"/>
        </w:rPr>
        <w:t>a.</w:t>
      </w:r>
      <w:r w:rsidRPr="00620047">
        <w:rPr>
          <w:rFonts w:cs="Arial"/>
        </w:rPr>
        <w:tab/>
        <w:t>er sprake is van thermische behandeling van afvalstoffen: ten hoogste 60 uur;</w:t>
      </w:r>
    </w:p>
    <w:p w:rsidR="00296032" w:rsidRPr="00620047" w:rsidRDefault="00296032">
      <w:pPr>
        <w:pStyle w:val="art2enivo"/>
        <w:rPr>
          <w:rFonts w:cs="Arial"/>
        </w:rPr>
      </w:pPr>
      <w:r w:rsidRPr="00620047">
        <w:rPr>
          <w:rFonts w:cs="Arial"/>
        </w:rPr>
        <w:t>b.</w:t>
      </w:r>
      <w:r w:rsidRPr="00620047">
        <w:rPr>
          <w:rFonts w:cs="Arial"/>
        </w:rPr>
        <w:tab/>
        <w:t>er geen sprake is van thermische behandeling van afvalstoffen: ten hoogste 120 uur verminderd met het aantal uren in het betreffende jaar dat de verbrandingsstraten onder de in de aanhef en onder a bedoelde omstandigheid in werking zijn.</w:t>
      </w:r>
    </w:p>
    <w:p w:rsidR="00296032" w:rsidRPr="00620047" w:rsidRDefault="00296032">
      <w:pPr>
        <w:pStyle w:val="art1enivo"/>
        <w:rPr>
          <w:rFonts w:cs="Arial"/>
        </w:rPr>
      </w:pPr>
      <w:r w:rsidRPr="00620047">
        <w:rPr>
          <w:rFonts w:cs="Arial"/>
        </w:rPr>
        <w:t>3.</w:t>
      </w:r>
      <w:r w:rsidRPr="00620047">
        <w:rPr>
          <w:rFonts w:cs="Arial"/>
        </w:rPr>
        <w:tab/>
        <w:t>De artikelen 5.19 tot en met 5.24 zijn, met uitzondering van de bij of krachtens deze artikelen gestelde emissiegrenswaarden voor koolmonoxide en gasvormige en vluchtige organische stoffen, gedurende de periode dat een omstandigheid als bedoeld in het tweede lid zich voordoet, niet van toepassing, met dien verstande dat de emissies van totaal stof een halfuurgemiddelde van 150 mg/Nm</w:t>
      </w:r>
      <w:r w:rsidRPr="00620047">
        <w:rPr>
          <w:rFonts w:cs="Arial"/>
          <w:position w:val="5"/>
        </w:rPr>
        <w:t>3</w:t>
      </w:r>
      <w:r w:rsidRPr="00620047">
        <w:rPr>
          <w:rFonts w:cs="Arial"/>
        </w:rPr>
        <w:t xml:space="preserve"> niet overschrijden.</w:t>
      </w:r>
    </w:p>
    <w:p w:rsidR="00296032" w:rsidRPr="00620047" w:rsidRDefault="00296032">
      <w:pPr>
        <w:pStyle w:val="art1enivo"/>
        <w:rPr>
          <w:rFonts w:cs="Arial"/>
        </w:rPr>
      </w:pPr>
      <w:r w:rsidRPr="00620047">
        <w:rPr>
          <w:rFonts w:cs="Arial"/>
        </w:rPr>
        <w:t>4.</w:t>
      </w:r>
      <w:r w:rsidRPr="00620047">
        <w:rPr>
          <w:rFonts w:cs="Arial"/>
        </w:rPr>
        <w:tab/>
        <w:t>In geval van een defect van de afgasreinigingsinstallatie vermindert degene die de inrichting drijft de activiteit van de afvalverbrandings- of afvalmeeverbrandingsinstallatie zo spoedig mogelijk of legt hij deze stil totdat normale werking opnieuw mogelijk is.</w:t>
      </w:r>
    </w:p>
    <w:p w:rsidR="00296032" w:rsidRPr="00296032" w:rsidRDefault="00296032">
      <w:pPr>
        <w:pStyle w:val="artikelkop"/>
        <w:rPr>
          <w:rFonts w:cs="Arial"/>
        </w:rPr>
      </w:pPr>
      <w:r w:rsidRPr="00296032">
        <w:rPr>
          <w:rFonts w:cs="Arial"/>
        </w:rPr>
        <w:t>Artikel 5.27</w:t>
      </w:r>
    </w:p>
    <w:p w:rsidR="00296032" w:rsidRPr="00620047" w:rsidRDefault="00296032">
      <w:pPr>
        <w:pStyle w:val="art1enivo"/>
        <w:rPr>
          <w:rFonts w:cs="Arial"/>
        </w:rPr>
      </w:pPr>
      <w:r w:rsidRPr="00620047">
        <w:rPr>
          <w:rFonts w:cs="Arial"/>
        </w:rPr>
        <w:t>1.</w:t>
      </w:r>
      <w:r w:rsidRPr="00620047">
        <w:rPr>
          <w:rFonts w:cs="Arial"/>
        </w:rPr>
        <w:tab/>
        <w:t>Afvalwater afkomstig van de reiniging van afgassen ondergaat een zodanige behandeling dat de emissiegrenswaarden van tabel 5.27 niet worden overschreden.</w:t>
      </w:r>
    </w:p>
    <w:p w:rsidR="00296032" w:rsidRPr="00620047" w:rsidRDefault="00296032">
      <w:pPr>
        <w:pStyle w:val="tabelkop"/>
        <w:rPr>
          <w:rFonts w:cs="Arial"/>
        </w:rPr>
      </w:pPr>
      <w:r w:rsidRPr="00620047">
        <w:rPr>
          <w:rFonts w:cs="Arial"/>
        </w:rPr>
        <w:t>Tabel 5.27</w:t>
      </w:r>
    </w:p>
    <w:tbl>
      <w:tblPr>
        <w:tblStyle w:val="Tabelraster"/>
        <w:tblW w:w="0" w:type="auto"/>
        <w:tblInd w:w="0" w:type="dxa"/>
        <w:tblLook w:val="04A0" w:firstRow="1" w:lastRow="0" w:firstColumn="1" w:lastColumn="0" w:noHBand="0" w:noVBand="1"/>
      </w:tblPr>
      <w:tblGrid>
        <w:gridCol w:w="4735"/>
        <w:gridCol w:w="4450"/>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bCs/>
                <w:szCs w:val="18"/>
                <w:lang w:eastAsia="nl-NL"/>
              </w:rPr>
            </w:pPr>
            <w:r w:rsidRPr="00620047">
              <w:rPr>
                <w:rFonts w:cs="Arial"/>
                <w:b w:val="0"/>
                <w:bCs/>
                <w:szCs w:val="18"/>
                <w:lang w:eastAsia="nl-NL"/>
              </w:rPr>
              <w:t>Totale hoeveelheid onopgeloste bestanddelen</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bCs/>
                <w:szCs w:val="18"/>
                <w:lang w:eastAsia="nl-NL"/>
              </w:rPr>
            </w:pPr>
            <w:r w:rsidRPr="00620047">
              <w:rPr>
                <w:rFonts w:cs="Arial"/>
                <w:b w:val="0"/>
                <w:bCs/>
                <w:szCs w:val="18"/>
                <w:lang w:eastAsia="nl-NL"/>
              </w:rPr>
              <w:t>95% van de meetwaarden: 30 mg/l</w:t>
            </w:r>
          </w:p>
          <w:p w:rsidR="00296032" w:rsidRPr="00620047" w:rsidRDefault="00296032">
            <w:pPr>
              <w:spacing w:before="100" w:beforeAutospacing="1" w:after="100" w:afterAutospacing="1" w:line="240" w:lineRule="auto"/>
              <w:rPr>
                <w:rFonts w:cs="Arial"/>
                <w:b w:val="0"/>
                <w:bCs/>
                <w:szCs w:val="18"/>
                <w:lang w:eastAsia="nl-NL"/>
              </w:rPr>
            </w:pPr>
            <w:r w:rsidRPr="00620047">
              <w:rPr>
                <w:rFonts w:cs="Arial"/>
                <w:b w:val="0"/>
                <w:bCs/>
                <w:szCs w:val="18"/>
                <w:lang w:eastAsia="nl-NL"/>
              </w:rPr>
              <w:t>100% van de meetwaarden: 45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Kwik</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0,03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Cadmium</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0,05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Thallium</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0,05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Arseen</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0,15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Lood</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0,1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Chroom</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Koper</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Nikkel</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Zink</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1,0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Antimoon</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0,85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Kobalt</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0,05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Mangaan</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0,2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Vanadium</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Tin</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0,5 mg/l</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4735"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 xml:space="preserve">Som van dioxinen en furanen, gedefinieerd als de som van de afzonderlijke dioxinen en furanen, gewogen overeenkomstig de bij ministeriële regeling gestelde equivalentiefactoren </w:t>
            </w:r>
          </w:p>
        </w:tc>
        <w:tc>
          <w:tcPr>
            <w:tcW w:w="4450"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spacing w:before="100" w:beforeAutospacing="1" w:after="100" w:afterAutospacing="1" w:line="240" w:lineRule="auto"/>
              <w:rPr>
                <w:rFonts w:cs="Arial"/>
                <w:b w:val="0"/>
                <w:szCs w:val="18"/>
                <w:lang w:eastAsia="nl-NL"/>
              </w:rPr>
            </w:pPr>
            <w:r w:rsidRPr="00620047">
              <w:rPr>
                <w:rFonts w:cs="Arial"/>
                <w:b w:val="0"/>
                <w:szCs w:val="18"/>
                <w:lang w:eastAsia="nl-NL"/>
              </w:rPr>
              <w:t>0,1 ng/l</w:t>
            </w:r>
          </w:p>
        </w:tc>
      </w:tr>
    </w:tbl>
    <w:p w:rsidR="00296032" w:rsidRPr="00620047" w:rsidRDefault="00296032">
      <w:pPr>
        <w:rPr>
          <w:rFonts w:cs="Arial"/>
        </w:rPr>
      </w:pPr>
    </w:p>
    <w:p w:rsidR="00296032" w:rsidRPr="00620047" w:rsidRDefault="00296032">
      <w:pPr>
        <w:pStyle w:val="art1enivo"/>
        <w:rPr>
          <w:rFonts w:cs="Arial"/>
        </w:rPr>
      </w:pPr>
      <w:r w:rsidRPr="00620047">
        <w:rPr>
          <w:rFonts w:cs="Arial"/>
        </w:rPr>
        <w:t>2.</w:t>
      </w:r>
      <w:r w:rsidRPr="00620047">
        <w:rPr>
          <w:rFonts w:cs="Arial"/>
        </w:rPr>
        <w:tab/>
        <w:t>De emissiegrenswaarden voor lozingen in water worden uitgedrukt in massaconcentratie, voor niet-gefiltreerde monsters.</w:t>
      </w:r>
    </w:p>
    <w:p w:rsidR="00296032" w:rsidRPr="00620047" w:rsidRDefault="00296032">
      <w:pPr>
        <w:pStyle w:val="art1enivo"/>
        <w:rPr>
          <w:rFonts w:cs="Arial"/>
        </w:rPr>
      </w:pPr>
      <w:r w:rsidRPr="00620047">
        <w:rPr>
          <w:rFonts w:cs="Arial"/>
        </w:rPr>
        <w:t>3.</w:t>
      </w:r>
      <w:r w:rsidRPr="00620047">
        <w:rPr>
          <w:rFonts w:cs="Arial"/>
        </w:rPr>
        <w:tab/>
        <w:t>De pH-waarde van het in het eerste lid bedoelde afvalwater is kleiner dan of gelijk aan 11, doch niet kleiner dan 6,5.</w:t>
      </w:r>
    </w:p>
    <w:p w:rsidR="00296032" w:rsidRPr="00296032" w:rsidRDefault="00296032">
      <w:pPr>
        <w:pStyle w:val="artikelkop"/>
        <w:rPr>
          <w:rFonts w:cs="Arial"/>
        </w:rPr>
      </w:pPr>
      <w:r w:rsidRPr="00296032">
        <w:rPr>
          <w:rFonts w:cs="Arial"/>
        </w:rPr>
        <w:t>Artikel 5.28</w:t>
      </w:r>
    </w:p>
    <w:p w:rsidR="00296032" w:rsidRDefault="00296032">
      <w:pPr>
        <w:pStyle w:val="artplat"/>
        <w:rPr>
          <w:rFonts w:cs="Arial"/>
        </w:rPr>
      </w:pPr>
      <w:r w:rsidRPr="00620047">
        <w:rPr>
          <w:rFonts w:cs="Arial"/>
        </w:rPr>
        <w:t>Afvalwater wordt niet verdund om aan de in artikel 5.27 bedoelde emissiegrenswaarden te voldoen.</w:t>
      </w:r>
    </w:p>
    <w:p w:rsidR="00EB7F6B" w:rsidRPr="00EB7F6B" w:rsidRDefault="00EB7F6B" w:rsidP="00EB7F6B">
      <w:pPr>
        <w:pStyle w:val="artplat"/>
        <w:rPr>
          <w:rFonts w:cs="Arial"/>
        </w:rPr>
      </w:pPr>
    </w:p>
    <w:p w:rsidR="00EB7F6B" w:rsidRPr="00EB7F6B" w:rsidRDefault="00EB7F6B" w:rsidP="00EB7F6B">
      <w:pPr>
        <w:pStyle w:val="artplat"/>
        <w:rPr>
          <w:rFonts w:cs="Arial"/>
          <w:b/>
        </w:rPr>
      </w:pPr>
      <w:r>
        <w:rPr>
          <w:rFonts w:cs="Arial"/>
          <w:b/>
        </w:rPr>
        <w:t xml:space="preserve">Artikel 5.28a </w:t>
      </w:r>
    </w:p>
    <w:p w:rsidR="00EB7F6B" w:rsidRPr="00EB7F6B" w:rsidRDefault="00EB7F6B" w:rsidP="00EB7F6B">
      <w:pPr>
        <w:pStyle w:val="artplat"/>
        <w:numPr>
          <w:ilvl w:val="0"/>
          <w:numId w:val="34"/>
        </w:numPr>
        <w:rPr>
          <w:rFonts w:cs="Arial"/>
        </w:rPr>
      </w:pPr>
      <w:r w:rsidRPr="00EB7F6B">
        <w:rPr>
          <w:rFonts w:cs="Arial"/>
        </w:rPr>
        <w:t>Voor de toepassing van dit artikel wordt onder «netto elektrisch rendement» verstaan: de aan het landelijk hoogspanningsnet, bedoeld in artikel 1, eerste lid, onder j, van de Elektriciteitswet 1998, geleverde elektriciteit gedeeld door de energie-inhoud van de ingeze</w:t>
      </w:r>
      <w:r>
        <w:rPr>
          <w:rFonts w:cs="Arial"/>
        </w:rPr>
        <w:t xml:space="preserve">tte brandstoffen. </w:t>
      </w:r>
    </w:p>
    <w:p w:rsidR="00EB7F6B" w:rsidRPr="00EB7F6B" w:rsidRDefault="00EB7F6B" w:rsidP="00EB7F6B">
      <w:pPr>
        <w:pStyle w:val="artplat"/>
        <w:numPr>
          <w:ilvl w:val="0"/>
          <w:numId w:val="34"/>
        </w:numPr>
        <w:rPr>
          <w:rFonts w:cs="Arial"/>
        </w:rPr>
      </w:pPr>
      <w:r w:rsidRPr="00EB7F6B">
        <w:rPr>
          <w:rFonts w:cs="Arial"/>
        </w:rPr>
        <w:t>In het geval van levering aan een warmtenet als bedoeld in artikel 1, onder c, van de Warmtewet, wordt het netto elektrisch rendement, bedoeld i</w:t>
      </w:r>
      <w:r>
        <w:rPr>
          <w:rFonts w:cs="Arial"/>
        </w:rPr>
        <w:t xml:space="preserve">n het eerste lid, wat betreft: </w:t>
      </w:r>
    </w:p>
    <w:p w:rsidR="00EB7F6B" w:rsidRPr="00EB7F6B" w:rsidRDefault="00EB7F6B" w:rsidP="00EB7F6B">
      <w:pPr>
        <w:pStyle w:val="artplat"/>
        <w:numPr>
          <w:ilvl w:val="1"/>
          <w:numId w:val="34"/>
        </w:numPr>
        <w:rPr>
          <w:rFonts w:cs="Arial"/>
        </w:rPr>
      </w:pPr>
      <w:r w:rsidRPr="00EB7F6B">
        <w:rPr>
          <w:rFonts w:cs="Arial"/>
        </w:rPr>
        <w:t>de energie-inhoud van de ingezette brandstoffen gecorrigeerd voor de energie-inhoud van de brandstoffen die worden gebruikt in verb</w:t>
      </w:r>
      <w:r>
        <w:rPr>
          <w:rFonts w:cs="Arial"/>
        </w:rPr>
        <w:t xml:space="preserve">and met de warmteproductie, of </w:t>
      </w:r>
    </w:p>
    <w:p w:rsidR="00EB7F6B" w:rsidRPr="00EB7F6B" w:rsidRDefault="00EB7F6B" w:rsidP="00EB7F6B">
      <w:pPr>
        <w:pStyle w:val="artplat"/>
        <w:numPr>
          <w:ilvl w:val="1"/>
          <w:numId w:val="34"/>
        </w:numPr>
        <w:rPr>
          <w:rFonts w:cs="Arial"/>
        </w:rPr>
      </w:pPr>
      <w:r w:rsidRPr="00EB7F6B">
        <w:rPr>
          <w:rFonts w:cs="Arial"/>
        </w:rPr>
        <w:t>de netto elektriciteitslevering berekend door de aan het landelijk hoogspanningsnet geleverde elektriciteit te verhogen met de elektriciteitsderving als</w:t>
      </w:r>
      <w:r>
        <w:rPr>
          <w:rFonts w:cs="Arial"/>
        </w:rPr>
        <w:t xml:space="preserve"> gevolg van de warmtelevering. </w:t>
      </w:r>
    </w:p>
    <w:p w:rsidR="00EB7F6B" w:rsidRPr="00EB7F6B" w:rsidRDefault="00EB7F6B" w:rsidP="00EB7F6B">
      <w:pPr>
        <w:pStyle w:val="artplat"/>
        <w:numPr>
          <w:ilvl w:val="0"/>
          <w:numId w:val="34"/>
        </w:numPr>
        <w:rPr>
          <w:rFonts w:cs="Arial"/>
        </w:rPr>
      </w:pPr>
      <w:r w:rsidRPr="00EB7F6B">
        <w:rPr>
          <w:rFonts w:cs="Arial"/>
        </w:rPr>
        <w:t>Het netto elektrisch rendement van een afvalmeeverbrandingsinstallatie met een totaal nominaal thermisch ingangsvermogen van 300 MW of meer die met steenkool of een combinatie van steenkool en een of meer andere brandstoffen wordt gestookt en die niet bestemd is voor het drogen of behandelen van voorwerpen of materialen door middel van rechtstreeks contact met verbran</w:t>
      </w:r>
      <w:r>
        <w:rPr>
          <w:rFonts w:cs="Arial"/>
        </w:rPr>
        <w:t xml:space="preserve">dingsgas is ten minste 40,00%. </w:t>
      </w:r>
    </w:p>
    <w:p w:rsidR="00EB7F6B" w:rsidRPr="00EB7F6B" w:rsidRDefault="00EB7F6B" w:rsidP="00EB7F6B">
      <w:pPr>
        <w:pStyle w:val="artplat"/>
        <w:numPr>
          <w:ilvl w:val="0"/>
          <w:numId w:val="34"/>
        </w:numPr>
        <w:rPr>
          <w:rFonts w:cs="Arial"/>
        </w:rPr>
      </w:pPr>
      <w:r w:rsidRPr="00EB7F6B">
        <w:rPr>
          <w:rFonts w:cs="Arial"/>
        </w:rPr>
        <w:t>Het netto elektrisch rendement wordt bepaald over de laatste vijf jaar dat de stookinstallatie in bedrijf is geweest of, indien de afvalmeeverbrandingsinstallatie, bedoeld in het derde lid, minder dan vijf jaar in bedrijf is, over de periode dat de installatie elektriciteit heeft geleverd aan het landelijk hoogspanningsnet</w:t>
      </w:r>
      <w:r>
        <w:rPr>
          <w:rFonts w:cs="Arial"/>
        </w:rPr>
        <w:t xml:space="preserve"> met een minimum van een jaar. </w:t>
      </w:r>
    </w:p>
    <w:p w:rsidR="00EB7F6B" w:rsidRPr="00EB7F6B" w:rsidRDefault="00EB7F6B" w:rsidP="00EB7F6B">
      <w:pPr>
        <w:pStyle w:val="artplat"/>
        <w:numPr>
          <w:ilvl w:val="0"/>
          <w:numId w:val="34"/>
        </w:numPr>
        <w:rPr>
          <w:rFonts w:cs="Arial"/>
        </w:rPr>
      </w:pPr>
      <w:r w:rsidRPr="00EB7F6B">
        <w:rPr>
          <w:rFonts w:cs="Arial"/>
        </w:rPr>
        <w:t xml:space="preserve">Op verzoek van het bevoegd gezag overlegt degene die de inrichting drijft de gegevens over het netto elektrisch rendement van de afvalmeeverbrandingsinstallatie. </w:t>
      </w:r>
    </w:p>
    <w:p w:rsidR="00EB7F6B" w:rsidRPr="00EB7F6B" w:rsidRDefault="00EB7F6B" w:rsidP="00EB7F6B">
      <w:pPr>
        <w:pStyle w:val="artplat"/>
        <w:rPr>
          <w:rFonts w:cs="Arial"/>
        </w:rPr>
      </w:pPr>
    </w:p>
    <w:p w:rsidR="00EB7F6B" w:rsidRPr="00EB7F6B" w:rsidRDefault="00EB7F6B" w:rsidP="00EB7F6B">
      <w:pPr>
        <w:pStyle w:val="artplat"/>
        <w:rPr>
          <w:rFonts w:cs="Arial"/>
          <w:b/>
        </w:rPr>
      </w:pPr>
      <w:r>
        <w:rPr>
          <w:rFonts w:cs="Arial"/>
          <w:b/>
        </w:rPr>
        <w:t xml:space="preserve">Artikel 5.28b </w:t>
      </w:r>
    </w:p>
    <w:p w:rsidR="00EB7F6B" w:rsidRPr="00620047" w:rsidRDefault="00EB7F6B" w:rsidP="00EB7F6B">
      <w:pPr>
        <w:pStyle w:val="artplat"/>
        <w:rPr>
          <w:rFonts w:cs="Arial"/>
        </w:rPr>
      </w:pPr>
      <w:r w:rsidRPr="00EB7F6B">
        <w:rPr>
          <w:rFonts w:cs="Arial"/>
        </w:rPr>
        <w:t>In afwijking van artikel 5.28a, derde lid, is het netto elektrisch rendement van een afvalmeeverbrandingsinstallatie als bedoeld in dat lid, tot 1 juli 2017 ten minste 38,00%.</w:t>
      </w:r>
    </w:p>
    <w:p w:rsidR="00296032" w:rsidRPr="00296032" w:rsidRDefault="00296032">
      <w:pPr>
        <w:pStyle w:val="artikelkop"/>
        <w:rPr>
          <w:rFonts w:cs="Arial"/>
        </w:rPr>
      </w:pPr>
      <w:r w:rsidRPr="00296032">
        <w:rPr>
          <w:rFonts w:cs="Arial"/>
        </w:rPr>
        <w:t>Artikel 5.29</w:t>
      </w:r>
    </w:p>
    <w:p w:rsidR="00296032" w:rsidRPr="00620047" w:rsidRDefault="00296032">
      <w:pPr>
        <w:pStyle w:val="art1enivo"/>
        <w:rPr>
          <w:rFonts w:cs="Arial"/>
        </w:rPr>
      </w:pPr>
      <w:r w:rsidRPr="00620047">
        <w:rPr>
          <w:rFonts w:cs="Arial"/>
        </w:rPr>
        <w:t>1.</w:t>
      </w:r>
      <w:r w:rsidRPr="00620047">
        <w:rPr>
          <w:rFonts w:cs="Arial"/>
        </w:rPr>
        <w:tab/>
        <w:t>De meting van de emissies, waaronder tevens begrepen wordt de berekening, registratie en rapportage van de meting, voldoet aan de bij ministeriële regeling gestelde eisen.</w:t>
      </w:r>
    </w:p>
    <w:p w:rsidR="00296032" w:rsidRPr="00620047" w:rsidRDefault="00296032">
      <w:pPr>
        <w:pStyle w:val="art1enivo"/>
        <w:rPr>
          <w:rFonts w:cs="Arial"/>
        </w:rPr>
      </w:pPr>
      <w:r w:rsidRPr="00620047">
        <w:rPr>
          <w:rFonts w:cs="Arial"/>
        </w:rPr>
        <w:t>2.</w:t>
      </w:r>
      <w:r w:rsidRPr="00620047">
        <w:rPr>
          <w:rFonts w:cs="Arial"/>
        </w:rPr>
        <w:tab/>
        <w:t>Een afvalverbrandings- of een afvalmeeverbrandingsinstallatie voldoet ten behoeve van:</w:t>
      </w:r>
    </w:p>
    <w:p w:rsidR="00296032" w:rsidRPr="00620047" w:rsidRDefault="00296032">
      <w:pPr>
        <w:pStyle w:val="art2enivo"/>
        <w:rPr>
          <w:rFonts w:cs="Arial"/>
        </w:rPr>
      </w:pPr>
      <w:r w:rsidRPr="00620047">
        <w:rPr>
          <w:rFonts w:cs="Arial"/>
        </w:rPr>
        <w:t>a.</w:t>
      </w:r>
      <w:r w:rsidRPr="00620047">
        <w:rPr>
          <w:rFonts w:cs="Arial"/>
        </w:rPr>
        <w:tab/>
        <w:t>het voorkomen van risico's voor de omgeving en ongewone voorvallen, dan wel voor zover dat niet mogelijk is het zoveel mogelijk beperken van de risico's voor de omgeving en de kans dat ongewone voorvallen zich voordoen en de gevolgen hiervan,</w:t>
      </w:r>
    </w:p>
    <w:p w:rsidR="00296032" w:rsidRPr="00620047" w:rsidRDefault="00296032">
      <w:pPr>
        <w:pStyle w:val="art2enivo"/>
        <w:rPr>
          <w:rFonts w:cs="Arial"/>
        </w:rPr>
      </w:pPr>
      <w:r w:rsidRPr="00620047">
        <w:rPr>
          <w:rFonts w:cs="Arial"/>
        </w:rPr>
        <w:t>b.</w:t>
      </w:r>
      <w:r w:rsidRPr="00620047">
        <w:rPr>
          <w:rFonts w:cs="Arial"/>
        </w:rPr>
        <w:tab/>
        <w:t>het realiseren van een verwaarloosbaar bodemrisico,</w:t>
      </w:r>
    </w:p>
    <w:p w:rsidR="00296032" w:rsidRPr="00620047" w:rsidRDefault="00296032">
      <w:pPr>
        <w:pStyle w:val="art2enivo"/>
        <w:rPr>
          <w:rFonts w:cs="Arial"/>
        </w:rPr>
      </w:pPr>
      <w:r w:rsidRPr="00620047">
        <w:rPr>
          <w:rFonts w:cs="Arial"/>
        </w:rPr>
        <w:t>c.</w:t>
      </w:r>
      <w:r w:rsidRPr="00620047">
        <w:rPr>
          <w:rFonts w:cs="Arial"/>
        </w:rPr>
        <w:tab/>
        <w:t>het voorkomen dan wel voor zover dat niet mogelijk is het zoveel mogelijk beperken van verontreiniging van het oppervlaktewater, en</w:t>
      </w:r>
    </w:p>
    <w:p w:rsidR="00296032" w:rsidRPr="00620047" w:rsidRDefault="00296032">
      <w:pPr>
        <w:pStyle w:val="art2enivo"/>
        <w:rPr>
          <w:rFonts w:cs="Arial"/>
        </w:rPr>
      </w:pPr>
      <w:r w:rsidRPr="00620047">
        <w:rPr>
          <w:rFonts w:cs="Arial"/>
        </w:rPr>
        <w:t>d.</w:t>
      </w:r>
      <w:r w:rsidRPr="00620047">
        <w:rPr>
          <w:rFonts w:cs="Arial"/>
        </w:rPr>
        <w:tab/>
        <w:t>een doelmatig beheer van afvalstoffen</w:t>
      </w:r>
    </w:p>
    <w:p w:rsidR="00296032" w:rsidRPr="00620047" w:rsidRDefault="00296032">
      <w:pPr>
        <w:pStyle w:val="artplatletter"/>
        <w:rPr>
          <w:rFonts w:cs="Arial"/>
        </w:rPr>
      </w:pPr>
      <w:r w:rsidRPr="00620047">
        <w:rPr>
          <w:rFonts w:cs="Arial"/>
        </w:rPr>
        <w:tab/>
        <w:t>aan de bij ministeriële regeling te stellen eisen.</w:t>
      </w:r>
    </w:p>
    <w:p w:rsidR="00296032" w:rsidRPr="00296032" w:rsidRDefault="00296032">
      <w:pPr>
        <w:pStyle w:val="artikelkop"/>
        <w:rPr>
          <w:rFonts w:cs="Arial"/>
        </w:rPr>
      </w:pPr>
      <w:r w:rsidRPr="00296032">
        <w:rPr>
          <w:rFonts w:cs="Arial"/>
        </w:rPr>
        <w:t>Artikel 5.30</w:t>
      </w:r>
    </w:p>
    <w:p w:rsidR="00296032" w:rsidRPr="00620047" w:rsidRDefault="00296032">
      <w:pPr>
        <w:pStyle w:val="art1enivo"/>
        <w:rPr>
          <w:rFonts w:cs="Arial"/>
        </w:rPr>
      </w:pPr>
      <w:r w:rsidRPr="00620047">
        <w:rPr>
          <w:rFonts w:cs="Arial"/>
        </w:rPr>
        <w:t>1.</w:t>
      </w:r>
      <w:r w:rsidRPr="00620047">
        <w:rPr>
          <w:rFonts w:cs="Arial"/>
        </w:rPr>
        <w:tab/>
        <w:t>Tot 1 januari 2016 kan het bevoegd gezag voor Lepolovens en lange draaiovens, in afwijking van artikel 5.22, voor de emissie van stikstofoxiden bij vergunningvoorschrift een emissiegrenswaarde van ten hoogste 800 mg/Nm</w:t>
      </w:r>
      <w:r w:rsidRPr="00620047">
        <w:rPr>
          <w:rFonts w:cs="Arial"/>
          <w:position w:val="5"/>
        </w:rPr>
        <w:t>3</w:t>
      </w:r>
      <w:r w:rsidRPr="00620047">
        <w:rPr>
          <w:rFonts w:cs="Arial"/>
        </w:rPr>
        <w:t xml:space="preserve"> vaststellen.</w:t>
      </w:r>
    </w:p>
    <w:p w:rsidR="00296032" w:rsidRDefault="00296032">
      <w:pPr>
        <w:pStyle w:val="art1enivo"/>
        <w:rPr>
          <w:rFonts w:cs="Arial"/>
        </w:rPr>
      </w:pPr>
      <w:r w:rsidRPr="00620047">
        <w:rPr>
          <w:rFonts w:cs="Arial"/>
        </w:rPr>
        <w:t>2.</w:t>
      </w:r>
      <w:r w:rsidRPr="00620047">
        <w:rPr>
          <w:rFonts w:cs="Arial"/>
        </w:rPr>
        <w:tab/>
        <w:t>Voor een afvalverbrandingsinstallatie of afvalmeeverbrandingsinstallatie waarop onmiddellijk voorafgaand aan het tijdstip van het van toepassing worden van deze paragraaf op die afvalverbrandingsinstallatie of afvalmeeverbrandingsinstallatie een omgevingsvergunning op grond van artikel 2.1, eerste lid, aanhef en onder e, van de Wet algemene bepalingen omgevingsrecht of een vergunning op grond van hoofdstuk 6 van de Waterwet was verleend, blijven de voorschriften van die vergunning van toepassing, tenzij de betreffende voorschriften gelijke of minder strenge emissiegrenswaarden bevatten dan die welke gelden op grond van deze paragraaf.</w:t>
      </w:r>
    </w:p>
    <w:p w:rsidR="00B04B82" w:rsidRDefault="00B04B82" w:rsidP="00B04B82"/>
    <w:p w:rsidR="00B04B82" w:rsidRPr="00F41CD6" w:rsidRDefault="00B04B82" w:rsidP="00B04B82">
      <w:pPr>
        <w:pStyle w:val="afdeling"/>
        <w:shd w:val="clear" w:color="auto" w:fill="D9D9D9" w:themeFill="background1" w:themeFillShade="D9"/>
      </w:pPr>
      <w:bookmarkStart w:id="356" w:name="_Toc431375785"/>
      <w:r w:rsidRPr="00F41CD6">
        <w:t>AFDELING 5.2. AFVALVERBRANDINGS- OF AFVALMEEVERBRANDINGSINSTALLATIES</w:t>
      </w:r>
      <w:bookmarkEnd w:id="356"/>
      <w:r w:rsidRPr="00F41CD6">
        <w:t xml:space="preserve"> </w:t>
      </w:r>
    </w:p>
    <w:p w:rsidR="00B04B82" w:rsidRDefault="00B04B82" w:rsidP="00B04B82">
      <w:pPr>
        <w:pStyle w:val="paragraaf"/>
        <w:shd w:val="clear" w:color="auto" w:fill="D9D9D9" w:themeFill="background1" w:themeFillShade="D9"/>
      </w:pPr>
      <w:bookmarkStart w:id="357" w:name="d16e1700"/>
      <w:bookmarkStart w:id="358" w:name="_Toc431375786"/>
      <w:bookmarkEnd w:id="357"/>
      <w:r>
        <w:t xml:space="preserve">§ 5.2.0. </w:t>
      </w:r>
      <w:r>
        <w:tab/>
        <w:t>Algemeen</w:t>
      </w:r>
      <w:bookmarkEnd w:id="358"/>
      <w:r>
        <w:t xml:space="preserve"> </w:t>
      </w:r>
    </w:p>
    <w:p w:rsidR="00B04B82" w:rsidRDefault="00B04B82" w:rsidP="00B04B82">
      <w:pPr>
        <w:pStyle w:val="artikelkop"/>
        <w:shd w:val="clear" w:color="auto" w:fill="D9D9D9" w:themeFill="background1" w:themeFillShade="D9"/>
      </w:pPr>
      <w:bookmarkStart w:id="359" w:name="d16e1704"/>
      <w:bookmarkEnd w:id="359"/>
      <w:r>
        <w:t xml:space="preserve">Artikel 5.9 </w:t>
      </w:r>
    </w:p>
    <w:p w:rsidR="00B04B82" w:rsidRDefault="00B04B82" w:rsidP="00B04B82">
      <w:pPr>
        <w:pStyle w:val="art1enivo"/>
        <w:shd w:val="clear" w:color="auto" w:fill="D9D9D9" w:themeFill="background1" w:themeFillShade="D9"/>
        <w:suppressAutoHyphens/>
      </w:pPr>
      <w:r>
        <w:t>1.</w:t>
      </w:r>
      <w:r>
        <w:tab/>
        <w:t>De meting van de emissies, waaronder tevens begrepen wordt de berekening, registratie en rapportage van de meting als bedoeld in artikel 5.29, eerste lid, van het besluit voldoet aan de eisen in de artikelen 5.10 tot en met 5.24.</w:t>
      </w:r>
    </w:p>
    <w:p w:rsidR="00B04B82" w:rsidRDefault="00B04B82" w:rsidP="00B04B82">
      <w:pPr>
        <w:pStyle w:val="art1enivo"/>
        <w:shd w:val="clear" w:color="auto" w:fill="D9D9D9" w:themeFill="background1" w:themeFillShade="D9"/>
        <w:suppressAutoHyphens/>
      </w:pPr>
      <w:r>
        <w:t>2.</w:t>
      </w:r>
      <w:r>
        <w:tab/>
        <w:t>Ten behoeve van het voorkomen van risico's voor de omgeving en ongewone voorvallen, dan wel, voor zover dat niet mogelijk is, het zoveel mogelijk beperken van de risico's voor de omgeving en de kans dat ongewone voorvallen zich voordoen en de gevolgen hiervan als bedoeld in artikel 5.29, tweede lid, onder a, van het besluit, wordt voldaan aan artikel 5.26.</w:t>
      </w:r>
    </w:p>
    <w:p w:rsidR="00B04B82" w:rsidRDefault="00B04B82" w:rsidP="00B04B82">
      <w:pPr>
        <w:pStyle w:val="art1enivo"/>
        <w:shd w:val="clear" w:color="auto" w:fill="D9D9D9" w:themeFill="background1" w:themeFillShade="D9"/>
        <w:suppressAutoHyphens/>
      </w:pPr>
      <w:r>
        <w:t>3.</w:t>
      </w:r>
      <w:r>
        <w:tab/>
        <w:t>Ten behoeve van het realiseren van een verwaarloosbaar bodemrisico als bedoeld in artikel 5.29, tweede lid, onder b, van het besluit, wordt voldaan aan artikel 5.25, 5.28 en 5.29.</w:t>
      </w:r>
    </w:p>
    <w:p w:rsidR="00B04B82" w:rsidRDefault="00B04B82" w:rsidP="00B04B82">
      <w:pPr>
        <w:pStyle w:val="art1enivo"/>
        <w:shd w:val="clear" w:color="auto" w:fill="D9D9D9" w:themeFill="background1" w:themeFillShade="D9"/>
        <w:suppressAutoHyphens/>
      </w:pPr>
      <w:r>
        <w:t>4.</w:t>
      </w:r>
      <w:r>
        <w:tab/>
        <w:t>Ten behoeve van het voorkomen dan wel, voor zover dat niet mogelijk is, het zoveel mogelijk beperken van verontreiniging van het oppervlaktewater als bedoeld in artikel 5.29, tweede lid, onder c, van het besluit, wordt voldaan aan artikel 5.28 en 5.29.</w:t>
      </w:r>
    </w:p>
    <w:p w:rsidR="00B04B82" w:rsidRDefault="00B04B82" w:rsidP="00B04B82">
      <w:pPr>
        <w:pStyle w:val="art1enivo"/>
        <w:shd w:val="clear" w:color="auto" w:fill="D9D9D9" w:themeFill="background1" w:themeFillShade="D9"/>
        <w:suppressAutoHyphens/>
      </w:pPr>
      <w:r>
        <w:t>5.</w:t>
      </w:r>
      <w:r>
        <w:tab/>
        <w:t>Ten behoeve van een doelmatig beheer van afvalstoffen als bedoeld in artikel 5.29, tweede lid, onder d, van het besluit, wordt voldaan aan de artikelen 5.25 en 5.27.</w:t>
      </w:r>
    </w:p>
    <w:p w:rsidR="00B04B82" w:rsidRDefault="00B04B82" w:rsidP="00B04B82">
      <w:pPr>
        <w:pStyle w:val="art1enivo"/>
        <w:shd w:val="clear" w:color="auto" w:fill="D9D9D9" w:themeFill="background1" w:themeFillShade="D9"/>
        <w:suppressAutoHyphens/>
      </w:pPr>
      <w:r>
        <w:t>6.</w:t>
      </w:r>
      <w:r>
        <w:tab/>
        <w:t>Onder nominale capaciteit van een afvalverbrandings- of afvalmeeverbrandingsinstallatie wordt voor de toepassing van deze afdeling verstaan: gezamenlijke verbrandingscapaciteit van de ovens waaruit een afvalverbrandingsinstallatie of een afvalmeeverbrandingsinstallatie bestaat, zoals berekend door de fabrikant en bevestigd door de drijver van de inrichting, met inachtneming van de verbrandingswaarde van het afval, uitgedrukt als de hoeveelheid afval die per uur kan worden verbrand</w:t>
      </w:r>
      <w:bookmarkStart w:id="360" w:name="d16e1739"/>
      <w:bookmarkEnd w:id="360"/>
      <w:r>
        <w:t>.</w:t>
      </w:r>
    </w:p>
    <w:p w:rsidR="00B04B82" w:rsidRDefault="00B04B82" w:rsidP="00B04B82">
      <w:pPr>
        <w:pStyle w:val="paragraaf"/>
        <w:shd w:val="clear" w:color="auto" w:fill="D9D9D9" w:themeFill="background1" w:themeFillShade="D9"/>
      </w:pPr>
      <w:bookmarkStart w:id="361" w:name="_Toc431375787"/>
      <w:r>
        <w:t xml:space="preserve">§ 5.2.1. </w:t>
      </w:r>
      <w:r>
        <w:tab/>
        <w:t>Monitoring van emissies</w:t>
      </w:r>
      <w:bookmarkEnd w:id="361"/>
      <w:r>
        <w:t xml:space="preserve"> </w:t>
      </w:r>
    </w:p>
    <w:p w:rsidR="00B04B82" w:rsidRDefault="00B04B82" w:rsidP="00B04B82">
      <w:pPr>
        <w:pStyle w:val="artikelkop"/>
        <w:shd w:val="clear" w:color="auto" w:fill="D9D9D9" w:themeFill="background1" w:themeFillShade="D9"/>
      </w:pPr>
      <w:bookmarkStart w:id="362" w:name="d16e1743"/>
      <w:bookmarkEnd w:id="362"/>
      <w:r>
        <w:t xml:space="preserve">Artikel 5.10 </w:t>
      </w:r>
    </w:p>
    <w:p w:rsidR="00B04B82" w:rsidRDefault="00B04B82" w:rsidP="00B04B82">
      <w:pPr>
        <w:pStyle w:val="art1enivo"/>
        <w:shd w:val="clear" w:color="auto" w:fill="D9D9D9" w:themeFill="background1" w:themeFillShade="D9"/>
        <w:suppressAutoHyphens/>
      </w:pPr>
      <w:r>
        <w:t>1.</w:t>
      </w:r>
      <w:r>
        <w:tab/>
        <w:t>Metingen ter bepaling van de emissies zijn representatief.</w:t>
      </w:r>
    </w:p>
    <w:p w:rsidR="00B04B82" w:rsidRDefault="00B04B82" w:rsidP="00B04B82">
      <w:pPr>
        <w:pStyle w:val="art1enivo"/>
        <w:shd w:val="clear" w:color="auto" w:fill="D9D9D9" w:themeFill="background1" w:themeFillShade="D9"/>
        <w:suppressAutoHyphens/>
      </w:pPr>
      <w:r>
        <w:t>2.</w:t>
      </w:r>
      <w:r>
        <w:tab/>
        <w:t>Alle monitoringresultaten worden op zodanige wijze geregistreerd, verwerkt en gepresenteerd dat het bevoegd gezag kan controleren of wordt voldaan aan de toepasselijke emissiegrenswaarden en andere voorschriften</w:t>
      </w:r>
      <w:bookmarkStart w:id="363" w:name="d16e1758"/>
      <w:bookmarkEnd w:id="363"/>
      <w:r>
        <w:t>.</w:t>
      </w:r>
    </w:p>
    <w:p w:rsidR="00B04B82" w:rsidRDefault="00B04B82" w:rsidP="00B04B82">
      <w:pPr>
        <w:pStyle w:val="artikelkop"/>
        <w:shd w:val="clear" w:color="auto" w:fill="D9D9D9" w:themeFill="background1" w:themeFillShade="D9"/>
      </w:pPr>
      <w:r>
        <w:t xml:space="preserve">Artikel 5.11 </w:t>
      </w:r>
    </w:p>
    <w:p w:rsidR="00B04B82" w:rsidRDefault="00B04B82" w:rsidP="00B04B82">
      <w:pPr>
        <w:pStyle w:val="art1enivo"/>
        <w:shd w:val="clear" w:color="auto" w:fill="D9D9D9" w:themeFill="background1" w:themeFillShade="D9"/>
        <w:suppressAutoHyphens/>
      </w:pPr>
      <w:r>
        <w:t>1.</w:t>
      </w:r>
      <w:r>
        <w:tab/>
        <w:t xml:space="preserve">De emissies in de lucht van de volgende stoffen worden continu gemeten: </w:t>
      </w:r>
    </w:p>
    <w:p w:rsidR="00B04B82" w:rsidRDefault="00B04B82" w:rsidP="00B04B82">
      <w:pPr>
        <w:pStyle w:val="art2enivo"/>
        <w:shd w:val="clear" w:color="auto" w:fill="D9D9D9" w:themeFill="background1" w:themeFillShade="D9"/>
        <w:suppressAutoHyphens/>
      </w:pPr>
      <w:r>
        <w:rPr>
          <w:rFonts w:cs="Arial"/>
        </w:rPr>
        <w:t>a.</w:t>
      </w:r>
      <w:r>
        <w:rPr>
          <w:rFonts w:cs="Arial"/>
        </w:rPr>
        <w:tab/>
      </w:r>
      <w:r>
        <w:rPr>
          <w:rStyle w:val="art2enivoChar"/>
        </w:rPr>
        <w:t>zwaveldioxide (</w:t>
      </w:r>
      <w:r>
        <w:t>SO</w:t>
      </w:r>
      <w:r>
        <w:rPr>
          <w:rFonts w:cs="Arial"/>
          <w:vertAlign w:val="subscript"/>
        </w:rPr>
        <w:t>2</w:t>
      </w:r>
      <w:r>
        <w:t>), totaal organische koolstof, zoutzuur, koolmonoxide, totaal stof en stikstofoxiden (NO</w:t>
      </w:r>
      <w:r>
        <w:rPr>
          <w:rFonts w:cs="Arial"/>
          <w:vertAlign w:val="subscript"/>
        </w:rPr>
        <w:t>x</w:t>
      </w:r>
      <w:r>
        <w:t xml:space="preserve">); </w:t>
      </w:r>
    </w:p>
    <w:p w:rsidR="00B04B82" w:rsidRDefault="00B04B82" w:rsidP="00B04B82">
      <w:pPr>
        <w:pStyle w:val="art2enivo"/>
        <w:shd w:val="clear" w:color="auto" w:fill="D9D9D9" w:themeFill="background1" w:themeFillShade="D9"/>
        <w:suppressAutoHyphens/>
      </w:pPr>
      <w:r>
        <w:rPr>
          <w:rFonts w:cs="Arial"/>
        </w:rPr>
        <w:t>b.</w:t>
      </w:r>
      <w:r>
        <w:rPr>
          <w:rFonts w:cs="Arial"/>
        </w:rPr>
        <w:tab/>
      </w:r>
      <w:r>
        <w:t>waterstoffluoride, tenzij voor zoutzuur behandelingsstappen worden gevolgd die waarborgen dat de in de artikelen 5.19, 5.20 en 5.22 van het besluit voor zoutzuur opgenomen emissiegrenswaarden niet worden overschreden.</w:t>
      </w:r>
    </w:p>
    <w:p w:rsidR="00B04B82" w:rsidRDefault="00B04B82" w:rsidP="00B04B82">
      <w:pPr>
        <w:pStyle w:val="art1enivo"/>
        <w:shd w:val="clear" w:color="auto" w:fill="D9D9D9" w:themeFill="background1" w:themeFillShade="D9"/>
        <w:suppressAutoHyphens/>
      </w:pPr>
      <w:r>
        <w:t>2.</w:t>
      </w:r>
      <w:r>
        <w:tab/>
        <w:t>In het geval voor zoutzuur behandelingsstappen worden gevolgd die voldoen aan het eerste lid, onder b, wordt periodiek ten minste tweemaal per jaar gemeten.</w:t>
      </w:r>
    </w:p>
    <w:p w:rsidR="00B04B82" w:rsidRDefault="00B04B82" w:rsidP="00B04B82">
      <w:pPr>
        <w:pStyle w:val="art1enivo"/>
        <w:shd w:val="clear" w:color="auto" w:fill="D9D9D9" w:themeFill="background1" w:themeFillShade="D9"/>
        <w:suppressAutoHyphens/>
      </w:pPr>
      <w:r>
        <w:t>3.</w:t>
      </w:r>
      <w:r>
        <w:tab/>
        <w:t>In afwijking van het eerste lid wordt het gehalte zoutzuur, waterstoffluoride of zwaveldioxide (SO</w:t>
      </w:r>
      <w:r>
        <w:rPr>
          <w:rFonts w:cs="Arial"/>
          <w:vertAlign w:val="subscript"/>
        </w:rPr>
        <w:t>2</w:t>
      </w:r>
      <w:r>
        <w:t>) periodiek ten minste om de zes maanden gemeten, of worden er geen metingen verricht, indien de drijver van de afvalverbrandings- of afvalmeeverbrandingsinstallatie kan aantonen dat die emissie in geen geval hoger is dan de toepasselijke emissiegrenswaarde.</w:t>
      </w:r>
    </w:p>
    <w:p w:rsidR="00B04B82" w:rsidRDefault="00B04B82" w:rsidP="00B04B82">
      <w:pPr>
        <w:pStyle w:val="art1enivo"/>
        <w:shd w:val="clear" w:color="auto" w:fill="D9D9D9" w:themeFill="background1" w:themeFillShade="D9"/>
        <w:suppressAutoHyphens/>
      </w:pPr>
      <w:r>
        <w:t>4.</w:t>
      </w:r>
      <w:r>
        <w:tab/>
        <w:t>In afwijking van het eerste lid wordt de emissie van stikstofoxide (NO</w:t>
      </w:r>
      <w:r>
        <w:rPr>
          <w:rFonts w:cs="Arial"/>
          <w:vertAlign w:val="subscript"/>
        </w:rPr>
        <w:t>x</w:t>
      </w:r>
      <w:r>
        <w:t xml:space="preserve">) van een afvalverbrandingsinstallatie periodiek ten minste om de zes maanden gemeten, indien: </w:t>
      </w:r>
    </w:p>
    <w:p w:rsidR="00B04B82" w:rsidRDefault="00B04B82" w:rsidP="00B04B82">
      <w:pPr>
        <w:pStyle w:val="art2enivo"/>
        <w:shd w:val="clear" w:color="auto" w:fill="D9D9D9" w:themeFill="background1" w:themeFillShade="D9"/>
        <w:suppressAutoHyphens/>
      </w:pPr>
      <w:r>
        <w:rPr>
          <w:rFonts w:cs="Arial"/>
        </w:rPr>
        <w:t>a.</w:t>
      </w:r>
      <w:r>
        <w:rPr>
          <w:rFonts w:cs="Arial"/>
        </w:rPr>
        <w:tab/>
      </w:r>
      <w:r>
        <w:rPr>
          <w:rStyle w:val="art2enivoChar"/>
        </w:rPr>
        <w:t xml:space="preserve">de afvalverbrandingsinstallatie </w:t>
      </w:r>
      <w:r>
        <w:t xml:space="preserve">een nominale capaciteit heeft van minder dan 6 ton per uur; </w:t>
      </w:r>
    </w:p>
    <w:p w:rsidR="00B04B82" w:rsidRDefault="00B04B82" w:rsidP="00B04B82">
      <w:pPr>
        <w:pStyle w:val="art2enivo"/>
        <w:shd w:val="clear" w:color="auto" w:fill="D9D9D9" w:themeFill="background1" w:themeFillShade="D9"/>
        <w:suppressAutoHyphens/>
      </w:pPr>
      <w:r>
        <w:rPr>
          <w:rFonts w:cs="Arial"/>
        </w:rPr>
        <w:t>b.</w:t>
      </w:r>
      <w:r>
        <w:rPr>
          <w:rFonts w:cs="Arial"/>
        </w:rPr>
        <w:tab/>
      </w:r>
      <w:r>
        <w:t xml:space="preserve">vergunning is verleend of een ontvankelijke aanvraag om een vergunning is ingediend voor 28 december 2002 en de afvalverbrandingsinstallatie uiterlijk op 28 december 2004 in gebruik is genomen; </w:t>
      </w:r>
    </w:p>
    <w:p w:rsidR="00B04B82" w:rsidRDefault="00B04B82" w:rsidP="00B04B82">
      <w:pPr>
        <w:pStyle w:val="art2enivo"/>
        <w:shd w:val="clear" w:color="auto" w:fill="D9D9D9" w:themeFill="background1" w:themeFillShade="D9"/>
        <w:suppressAutoHyphens/>
      </w:pPr>
      <w:r>
        <w:rPr>
          <w:rFonts w:cs="Arial"/>
        </w:rPr>
        <w:t>c.</w:t>
      </w:r>
      <w:r>
        <w:rPr>
          <w:rFonts w:cs="Arial"/>
        </w:rPr>
        <w:tab/>
      </w:r>
      <w:r>
        <w:t>degene die de afvalverbrandingsinstallatie drijft, aan de hand van informatie over de kwaliteit van het betreffende afval, de gebruikte technologieën en de resultaten van de monitoring van de emissies aantoont dat emissies van stikstofoxiden in geen geval de emissiegrenswaarden, bedoeld in artikel 5.19 van het besluit, kunnen overschrijden</w:t>
      </w:r>
      <w:bookmarkStart w:id="364" w:name="d16e1822"/>
      <w:bookmarkEnd w:id="364"/>
      <w:r>
        <w:t>.</w:t>
      </w:r>
    </w:p>
    <w:p w:rsidR="00B04B82" w:rsidRDefault="00B04B82" w:rsidP="00B04B82">
      <w:pPr>
        <w:pStyle w:val="artikelkop"/>
        <w:shd w:val="clear" w:color="auto" w:fill="D9D9D9" w:themeFill="background1" w:themeFillShade="D9"/>
      </w:pPr>
      <w:r>
        <w:t xml:space="preserve">Artikel 5.12 </w:t>
      </w:r>
    </w:p>
    <w:p w:rsidR="00B04B82" w:rsidRDefault="00B04B82" w:rsidP="00B04B82">
      <w:pPr>
        <w:pStyle w:val="art1enivo"/>
        <w:shd w:val="clear" w:color="auto" w:fill="D9D9D9" w:themeFill="background1" w:themeFillShade="D9"/>
        <w:suppressAutoHyphens/>
      </w:pPr>
      <w:r>
        <w:t>1.</w:t>
      </w:r>
      <w:r>
        <w:tab/>
        <w:t xml:space="preserve">De emissie in de lucht van de volgende stoffen wordt periodiek ten minste om de zes maanden gemeten: </w:t>
      </w:r>
    </w:p>
    <w:p w:rsidR="00B04B82" w:rsidRDefault="00B04B82" w:rsidP="00B04B82">
      <w:pPr>
        <w:pStyle w:val="art2enivo"/>
        <w:shd w:val="clear" w:color="auto" w:fill="D9D9D9" w:themeFill="background1" w:themeFillShade="D9"/>
        <w:suppressAutoHyphens/>
        <w:rPr>
          <w:lang w:val="en-US"/>
        </w:rPr>
      </w:pPr>
      <w:r>
        <w:rPr>
          <w:rFonts w:cs="Arial"/>
          <w:lang w:val="en-US"/>
        </w:rPr>
        <w:t>a.</w:t>
      </w:r>
      <w:r>
        <w:rPr>
          <w:rFonts w:cs="Arial"/>
          <w:lang w:val="en-US"/>
        </w:rPr>
        <w:tab/>
      </w:r>
      <w:r>
        <w:rPr>
          <w:lang w:val="en-US"/>
        </w:rPr>
        <w:t xml:space="preserve">antimoon; </w:t>
      </w:r>
    </w:p>
    <w:p w:rsidR="00B04B82" w:rsidRDefault="00B04B82" w:rsidP="00B04B82">
      <w:pPr>
        <w:pStyle w:val="art2enivo"/>
        <w:shd w:val="clear" w:color="auto" w:fill="D9D9D9" w:themeFill="background1" w:themeFillShade="D9"/>
        <w:suppressAutoHyphens/>
        <w:rPr>
          <w:lang w:val="en-US"/>
        </w:rPr>
      </w:pPr>
      <w:r>
        <w:rPr>
          <w:rFonts w:cs="Arial"/>
          <w:lang w:val="en-US"/>
        </w:rPr>
        <w:t>b.</w:t>
      </w:r>
      <w:r>
        <w:rPr>
          <w:rFonts w:cs="Arial"/>
          <w:lang w:val="en-US"/>
        </w:rPr>
        <w:tab/>
      </w:r>
      <w:r>
        <w:rPr>
          <w:lang w:val="en-US"/>
        </w:rPr>
        <w:t xml:space="preserve">arseen; </w:t>
      </w:r>
    </w:p>
    <w:p w:rsidR="00B04B82" w:rsidRDefault="00B04B82" w:rsidP="00B04B82">
      <w:pPr>
        <w:pStyle w:val="art2enivo"/>
        <w:shd w:val="clear" w:color="auto" w:fill="D9D9D9" w:themeFill="background1" w:themeFillShade="D9"/>
        <w:suppressAutoHyphens/>
        <w:rPr>
          <w:lang w:val="en-US"/>
        </w:rPr>
      </w:pPr>
      <w:r>
        <w:rPr>
          <w:rFonts w:cs="Arial"/>
          <w:lang w:val="en-US"/>
        </w:rPr>
        <w:t>c.</w:t>
      </w:r>
      <w:r>
        <w:rPr>
          <w:rFonts w:cs="Arial"/>
          <w:lang w:val="en-US"/>
        </w:rPr>
        <w:tab/>
      </w:r>
      <w:r>
        <w:rPr>
          <w:lang w:val="en-US"/>
        </w:rPr>
        <w:t xml:space="preserve">cadmium; </w:t>
      </w:r>
    </w:p>
    <w:p w:rsidR="00B04B82" w:rsidRPr="00202FE8" w:rsidRDefault="00B04B82" w:rsidP="00B04B82">
      <w:pPr>
        <w:pStyle w:val="art2enivo"/>
        <w:shd w:val="clear" w:color="auto" w:fill="D9D9D9" w:themeFill="background1" w:themeFillShade="D9"/>
        <w:suppressAutoHyphens/>
        <w:rPr>
          <w:lang w:val="en-US"/>
        </w:rPr>
      </w:pPr>
      <w:r w:rsidRPr="00202FE8">
        <w:rPr>
          <w:rFonts w:cs="Arial"/>
          <w:lang w:val="en-US"/>
        </w:rPr>
        <w:t>d.</w:t>
      </w:r>
      <w:r w:rsidRPr="00202FE8">
        <w:rPr>
          <w:rFonts w:cs="Arial"/>
          <w:lang w:val="en-US"/>
        </w:rPr>
        <w:tab/>
      </w:r>
      <w:r w:rsidRPr="00202FE8">
        <w:rPr>
          <w:lang w:val="en-US"/>
        </w:rPr>
        <w:t xml:space="preserve">chroom; </w:t>
      </w:r>
    </w:p>
    <w:p w:rsidR="00B04B82" w:rsidRDefault="00B04B82" w:rsidP="00B04B82">
      <w:pPr>
        <w:pStyle w:val="art2enivo"/>
        <w:shd w:val="clear" w:color="auto" w:fill="D9D9D9" w:themeFill="background1" w:themeFillShade="D9"/>
        <w:suppressAutoHyphens/>
      </w:pPr>
      <w:r>
        <w:rPr>
          <w:rFonts w:cs="Arial"/>
        </w:rPr>
        <w:t>e.</w:t>
      </w:r>
      <w:r>
        <w:rPr>
          <w:rFonts w:cs="Arial"/>
        </w:rPr>
        <w:tab/>
      </w:r>
      <w:r>
        <w:t xml:space="preserve">dioxinen en furanen </w:t>
      </w:r>
    </w:p>
    <w:p w:rsidR="00B04B82" w:rsidRDefault="00B04B82" w:rsidP="00B04B82">
      <w:pPr>
        <w:pStyle w:val="art2enivo"/>
        <w:shd w:val="clear" w:color="auto" w:fill="D9D9D9" w:themeFill="background1" w:themeFillShade="D9"/>
        <w:suppressAutoHyphens/>
      </w:pPr>
      <w:r>
        <w:rPr>
          <w:rFonts w:cs="Arial"/>
        </w:rPr>
        <w:t>f.</w:t>
      </w:r>
      <w:r>
        <w:rPr>
          <w:rFonts w:cs="Arial"/>
        </w:rPr>
        <w:tab/>
      </w:r>
      <w:r>
        <w:t xml:space="preserve">kobalt; </w:t>
      </w:r>
    </w:p>
    <w:p w:rsidR="00B04B82" w:rsidRDefault="00B04B82" w:rsidP="00B04B82">
      <w:pPr>
        <w:pStyle w:val="art2enivo"/>
        <w:shd w:val="clear" w:color="auto" w:fill="D9D9D9" w:themeFill="background1" w:themeFillShade="D9"/>
        <w:suppressAutoHyphens/>
      </w:pPr>
      <w:r>
        <w:rPr>
          <w:rFonts w:cs="Arial"/>
        </w:rPr>
        <w:t>g.</w:t>
      </w:r>
      <w:r>
        <w:rPr>
          <w:rFonts w:cs="Arial"/>
        </w:rPr>
        <w:tab/>
      </w:r>
      <w:r>
        <w:t xml:space="preserve">koper; </w:t>
      </w:r>
    </w:p>
    <w:p w:rsidR="00B04B82" w:rsidRDefault="00B04B82" w:rsidP="00B04B82">
      <w:pPr>
        <w:pStyle w:val="art2enivo"/>
        <w:shd w:val="clear" w:color="auto" w:fill="D9D9D9" w:themeFill="background1" w:themeFillShade="D9"/>
        <w:suppressAutoHyphens/>
      </w:pPr>
      <w:r>
        <w:rPr>
          <w:rFonts w:cs="Arial"/>
        </w:rPr>
        <w:t>h.</w:t>
      </w:r>
      <w:r>
        <w:rPr>
          <w:rFonts w:cs="Arial"/>
        </w:rPr>
        <w:tab/>
      </w:r>
      <w:r>
        <w:t xml:space="preserve">kwik; </w:t>
      </w:r>
    </w:p>
    <w:p w:rsidR="00B04B82" w:rsidRDefault="00B04B82" w:rsidP="00B04B82">
      <w:pPr>
        <w:pStyle w:val="art2enivo"/>
        <w:shd w:val="clear" w:color="auto" w:fill="D9D9D9" w:themeFill="background1" w:themeFillShade="D9"/>
        <w:suppressAutoHyphens/>
      </w:pPr>
      <w:r>
        <w:rPr>
          <w:rFonts w:cs="Arial"/>
        </w:rPr>
        <w:t>i.</w:t>
      </w:r>
      <w:r>
        <w:rPr>
          <w:rFonts w:cs="Arial"/>
        </w:rPr>
        <w:tab/>
      </w:r>
      <w:r>
        <w:t xml:space="preserve">lood; </w:t>
      </w:r>
    </w:p>
    <w:p w:rsidR="00B04B82" w:rsidRDefault="00B04B82" w:rsidP="00B04B82">
      <w:pPr>
        <w:pStyle w:val="art2enivo"/>
        <w:shd w:val="clear" w:color="auto" w:fill="D9D9D9" w:themeFill="background1" w:themeFillShade="D9"/>
        <w:suppressAutoHyphens/>
      </w:pPr>
      <w:r>
        <w:rPr>
          <w:rFonts w:cs="Arial"/>
        </w:rPr>
        <w:t>j.</w:t>
      </w:r>
      <w:r>
        <w:rPr>
          <w:rFonts w:cs="Arial"/>
        </w:rPr>
        <w:tab/>
      </w:r>
      <w:r>
        <w:t xml:space="preserve">mangaan; </w:t>
      </w:r>
    </w:p>
    <w:p w:rsidR="00B04B82" w:rsidRDefault="00B04B82" w:rsidP="00B04B82">
      <w:pPr>
        <w:pStyle w:val="art2enivo"/>
        <w:shd w:val="clear" w:color="auto" w:fill="D9D9D9" w:themeFill="background1" w:themeFillShade="D9"/>
        <w:suppressAutoHyphens/>
      </w:pPr>
      <w:r>
        <w:rPr>
          <w:rFonts w:cs="Arial"/>
        </w:rPr>
        <w:t>k.</w:t>
      </w:r>
      <w:r>
        <w:rPr>
          <w:rFonts w:cs="Arial"/>
        </w:rPr>
        <w:tab/>
      </w:r>
      <w:r>
        <w:t xml:space="preserve">nikkel; </w:t>
      </w:r>
    </w:p>
    <w:p w:rsidR="00B04B82" w:rsidRDefault="00B04B82" w:rsidP="00B04B82">
      <w:pPr>
        <w:pStyle w:val="art2enivo"/>
        <w:shd w:val="clear" w:color="auto" w:fill="D9D9D9" w:themeFill="background1" w:themeFillShade="D9"/>
        <w:suppressAutoHyphens/>
      </w:pPr>
      <w:r>
        <w:rPr>
          <w:rFonts w:cs="Arial"/>
        </w:rPr>
        <w:t>l.</w:t>
      </w:r>
      <w:r>
        <w:rPr>
          <w:rFonts w:cs="Arial"/>
        </w:rPr>
        <w:tab/>
      </w:r>
      <w:r>
        <w:t xml:space="preserve">thallium; </w:t>
      </w:r>
    </w:p>
    <w:p w:rsidR="00B04B82" w:rsidRDefault="00B04B82" w:rsidP="00B04B82">
      <w:pPr>
        <w:pStyle w:val="art2enivo"/>
        <w:shd w:val="clear" w:color="auto" w:fill="D9D9D9" w:themeFill="background1" w:themeFillShade="D9"/>
        <w:suppressAutoHyphens/>
      </w:pPr>
      <w:r>
        <w:rPr>
          <w:rFonts w:cs="Arial"/>
        </w:rPr>
        <w:t>m.</w:t>
      </w:r>
      <w:r>
        <w:rPr>
          <w:rFonts w:cs="Arial"/>
        </w:rPr>
        <w:tab/>
      </w:r>
      <w:r>
        <w:t>vanadium.</w:t>
      </w:r>
    </w:p>
    <w:p w:rsidR="00B04B82" w:rsidRDefault="00B04B82" w:rsidP="00B04B82">
      <w:pPr>
        <w:pStyle w:val="art1enivo"/>
        <w:shd w:val="clear" w:color="auto" w:fill="D9D9D9" w:themeFill="background1" w:themeFillShade="D9"/>
        <w:suppressAutoHyphens/>
      </w:pPr>
      <w:r>
        <w:t>2.</w:t>
      </w:r>
      <w:r>
        <w:tab/>
        <w:t>In afwijking van het eerste lid, wordt gedurende de eerste twaalf maanden dat een afvalverbrandings- of afvalmeeverbrandingsinstallatie in werking is, de emissie van de stoffen, genoemd in het eerste lid, periodiek ten minste om de drie maanden gemeten.</w:t>
      </w:r>
    </w:p>
    <w:p w:rsidR="00B04B82" w:rsidRDefault="00B04B82" w:rsidP="00B04B82">
      <w:pPr>
        <w:pStyle w:val="art1enivo"/>
        <w:shd w:val="clear" w:color="auto" w:fill="D9D9D9" w:themeFill="background1" w:themeFillShade="D9"/>
        <w:suppressAutoHyphens/>
      </w:pPr>
      <w:r>
        <w:t>3.</w:t>
      </w:r>
      <w:r>
        <w:tab/>
        <w:t>In afwijking van het eerste lid wordt het gehalte antimoon, arseen, cadmium, chroom, kobalt, koper, kwik, lood, mangaan, nikkel, thallium en vanadium periodiek eenmaal in de twee jaar gemeten en wordt het gehalte dioxinen en furanen eenmaal per jaar gemeten indien de drijver van de afvalverbrandings- of afvalmeeverbrandingsinstallatie:</w:t>
      </w:r>
    </w:p>
    <w:p w:rsidR="00B04B82" w:rsidRDefault="00B04B82" w:rsidP="00B04B82">
      <w:pPr>
        <w:pStyle w:val="art2enivo"/>
        <w:shd w:val="clear" w:color="auto" w:fill="D9D9D9" w:themeFill="background1" w:themeFillShade="D9"/>
      </w:pPr>
      <w:r>
        <w:t>a.</w:t>
      </w:r>
      <w:r>
        <w:tab/>
        <w:t>aantoont dat de emissies in de lucht onder alle omstandigheden minder dan 50% bedragen van de van toepassing zijnde emissiegrenswaarden, of</w:t>
      </w:r>
    </w:p>
    <w:p w:rsidR="00B04B82" w:rsidRDefault="00B04B82" w:rsidP="00B04B82">
      <w:pPr>
        <w:pStyle w:val="art2enivo"/>
        <w:shd w:val="clear" w:color="auto" w:fill="D9D9D9" w:themeFill="background1" w:themeFillShade="D9"/>
      </w:pPr>
      <w:r>
        <w:t>b.</w:t>
      </w:r>
      <w:r>
        <w:tab/>
        <w:t>aantoont dat het te verbranden of mee te verbranden afval uitsluitend bestaat uit bepaalde gesorteerde brandbare fracties ongevaarlijk afval dat niet recycleerbaar is en aan de hand van informatie over de kwaliteit van het betreffende afval en over monitoring van de emissies aantoont dat de emissies in de lucht van de in het eerste lid genoemde stoffen onder alle omstandigheden aanmerkelijk lager liggen dan de toepasselijke emissiegrenswaarden.</w:t>
      </w:r>
      <w:bookmarkStart w:id="365" w:name="d16e1925"/>
      <w:bookmarkEnd w:id="365"/>
    </w:p>
    <w:p w:rsidR="00B04B82" w:rsidRDefault="00B04B82" w:rsidP="00B04B82">
      <w:pPr>
        <w:pStyle w:val="artikelkop"/>
        <w:shd w:val="clear" w:color="auto" w:fill="D9D9D9" w:themeFill="background1" w:themeFillShade="D9"/>
      </w:pPr>
      <w:r>
        <w:t xml:space="preserve">Artikel 5.13 </w:t>
      </w:r>
    </w:p>
    <w:p w:rsidR="00B04B82" w:rsidRDefault="00B04B82" w:rsidP="00B04B82">
      <w:pPr>
        <w:pStyle w:val="art1enivo"/>
        <w:shd w:val="clear" w:color="auto" w:fill="D9D9D9" w:themeFill="background1" w:themeFillShade="D9"/>
        <w:suppressAutoHyphens/>
      </w:pPr>
      <w:r>
        <w:t>1.</w:t>
      </w:r>
      <w:r>
        <w:tab/>
        <w:t xml:space="preserve">Tot de continue metingen, bedoeld in artikel 5.11, behoort tevens de meting van: </w:t>
      </w:r>
    </w:p>
    <w:p w:rsidR="00B04B82" w:rsidRDefault="00B04B82" w:rsidP="00B04B82">
      <w:pPr>
        <w:pStyle w:val="art2enivo"/>
        <w:shd w:val="clear" w:color="auto" w:fill="D9D9D9" w:themeFill="background1" w:themeFillShade="D9"/>
        <w:suppressAutoHyphens/>
      </w:pPr>
      <w:r>
        <w:rPr>
          <w:rFonts w:cs="Arial"/>
        </w:rPr>
        <w:t>a.</w:t>
      </w:r>
      <w:r>
        <w:rPr>
          <w:rFonts w:cs="Arial"/>
        </w:rPr>
        <w:tab/>
      </w:r>
      <w:r>
        <w:rPr>
          <w:rStyle w:val="art2enivoChar"/>
        </w:rPr>
        <w:t xml:space="preserve">het </w:t>
      </w:r>
      <w:r>
        <w:t xml:space="preserve">zuurstofgehalte; </w:t>
      </w:r>
    </w:p>
    <w:p w:rsidR="00B04B82" w:rsidRDefault="00B04B82" w:rsidP="00B04B82">
      <w:pPr>
        <w:pStyle w:val="art2enivo"/>
        <w:shd w:val="clear" w:color="auto" w:fill="D9D9D9" w:themeFill="background1" w:themeFillShade="D9"/>
        <w:suppressAutoHyphens/>
      </w:pPr>
      <w:r>
        <w:rPr>
          <w:rFonts w:cs="Arial"/>
        </w:rPr>
        <w:t>b.</w:t>
      </w:r>
      <w:r>
        <w:rPr>
          <w:rFonts w:cs="Arial"/>
        </w:rPr>
        <w:tab/>
      </w:r>
      <w:r>
        <w:t xml:space="preserve">de temperatuur van de verbrandingskamer; </w:t>
      </w:r>
    </w:p>
    <w:p w:rsidR="00B04B82" w:rsidRDefault="00B04B82" w:rsidP="00B04B82">
      <w:pPr>
        <w:pStyle w:val="art2enivo"/>
        <w:shd w:val="clear" w:color="auto" w:fill="D9D9D9" w:themeFill="background1" w:themeFillShade="D9"/>
        <w:suppressAutoHyphens/>
      </w:pPr>
      <w:r>
        <w:rPr>
          <w:rFonts w:cs="Arial"/>
        </w:rPr>
        <w:t>c.</w:t>
      </w:r>
      <w:r>
        <w:rPr>
          <w:rFonts w:cs="Arial"/>
        </w:rPr>
        <w:tab/>
      </w:r>
      <w:r>
        <w:t xml:space="preserve">de druk; </w:t>
      </w:r>
    </w:p>
    <w:p w:rsidR="00B04B82" w:rsidRDefault="00B04B82" w:rsidP="00B04B82">
      <w:pPr>
        <w:pStyle w:val="art2enivo"/>
        <w:shd w:val="clear" w:color="auto" w:fill="D9D9D9" w:themeFill="background1" w:themeFillShade="D9"/>
        <w:suppressAutoHyphens/>
      </w:pPr>
      <w:r>
        <w:rPr>
          <w:rFonts w:cs="Arial"/>
        </w:rPr>
        <w:t>d.</w:t>
      </w:r>
      <w:r>
        <w:rPr>
          <w:rFonts w:cs="Arial"/>
        </w:rPr>
        <w:tab/>
      </w:r>
      <w:r>
        <w:t xml:space="preserve">het waterdampgehalte van het afgas, tenzij het als monster gebruikte afgas wordt gedroogd alvorens de emissies in de lucht worden geanalyseerd; </w:t>
      </w:r>
    </w:p>
    <w:p w:rsidR="00B04B82" w:rsidRDefault="00B04B82" w:rsidP="00B04B82">
      <w:pPr>
        <w:pStyle w:val="art2enivo"/>
        <w:shd w:val="clear" w:color="auto" w:fill="D9D9D9" w:themeFill="background1" w:themeFillShade="D9"/>
        <w:suppressAutoHyphens/>
      </w:pPr>
      <w:r>
        <w:rPr>
          <w:rFonts w:cs="Arial"/>
        </w:rPr>
        <w:t>e.</w:t>
      </w:r>
      <w:r>
        <w:rPr>
          <w:rFonts w:cs="Arial"/>
        </w:rPr>
        <w:tab/>
      </w:r>
      <w:r>
        <w:t>de temperatuur van het afgas.</w:t>
      </w:r>
    </w:p>
    <w:p w:rsidR="00B04B82" w:rsidRDefault="00B04B82" w:rsidP="00B04B82">
      <w:pPr>
        <w:pStyle w:val="art1enivo"/>
        <w:shd w:val="clear" w:color="auto" w:fill="D9D9D9" w:themeFill="background1" w:themeFillShade="D9"/>
        <w:suppressAutoHyphens/>
      </w:pPr>
      <w:r>
        <w:t>2.</w:t>
      </w:r>
      <w:r>
        <w:tab/>
        <w:t>De temperatuur van de verbrandingskamer wordt dicht bij de binnenwand gemeten of op een ander door de drijver van de afvalverbrandings- of afvalmeeverbrandingsinstallatie aangetoond representatief punt. De overige parameters worden gemeten nabij de plaats waar de emissiemetingen worden verricht</w:t>
      </w:r>
      <w:bookmarkStart w:id="366" w:name="d16e1966"/>
      <w:bookmarkEnd w:id="366"/>
      <w:r>
        <w:t>.</w:t>
      </w:r>
    </w:p>
    <w:p w:rsidR="00B04B82" w:rsidRDefault="00B04B82" w:rsidP="00B04B82">
      <w:pPr>
        <w:pStyle w:val="artikelkop"/>
        <w:shd w:val="clear" w:color="auto" w:fill="D9D9D9" w:themeFill="background1" w:themeFillShade="D9"/>
      </w:pPr>
      <w:r>
        <w:t xml:space="preserve">Artikel 5.14 </w:t>
      </w:r>
    </w:p>
    <w:p w:rsidR="00B04B82" w:rsidRDefault="00B04B82" w:rsidP="00B04B82">
      <w:pPr>
        <w:pStyle w:val="art1enivo"/>
        <w:shd w:val="clear" w:color="auto" w:fill="D9D9D9" w:themeFill="background1" w:themeFillShade="D9"/>
        <w:suppressAutoHyphens/>
      </w:pPr>
      <w:r>
        <w:t>1.</w:t>
      </w:r>
      <w:r>
        <w:tab/>
        <w:t>De verblijftijd, de minimumtemperatuur en het zuurstofgehalte van de afgassen worden vastgesteld op het moment dat de afvalverbrandings- of afvalmeeverbrandingsinstallatie in werking wordt gesteld.</w:t>
      </w:r>
    </w:p>
    <w:p w:rsidR="00B04B82" w:rsidRDefault="00B04B82" w:rsidP="00B04B82">
      <w:pPr>
        <w:pStyle w:val="art1enivo"/>
        <w:shd w:val="clear" w:color="auto" w:fill="D9D9D9" w:themeFill="background1" w:themeFillShade="D9"/>
        <w:suppressAutoHyphens/>
      </w:pPr>
      <w:r>
        <w:t>2.</w:t>
      </w:r>
      <w:r>
        <w:tab/>
        <w:t>De verblijftijd, de minimumtemperatuur en het zuurstofgehalte van de afgassen worden tevens vastgesteld op het moment dat de afvalverbrandings- of afvalmeeverbrandingsinstallatie onder de meest ongunstige bedrijfsomstandigheden in werking is gesteld</w:t>
      </w:r>
      <w:bookmarkStart w:id="367" w:name="d16e1981"/>
      <w:bookmarkEnd w:id="367"/>
      <w:r>
        <w:t>.</w:t>
      </w:r>
    </w:p>
    <w:p w:rsidR="00B04B82" w:rsidRDefault="00B04B82" w:rsidP="00B04B82">
      <w:pPr>
        <w:pStyle w:val="artikelkop"/>
        <w:shd w:val="clear" w:color="auto" w:fill="D9D9D9" w:themeFill="background1" w:themeFillShade="D9"/>
      </w:pPr>
      <w:r>
        <w:t xml:space="preserve">Artikel 5.15 </w:t>
      </w:r>
    </w:p>
    <w:p w:rsidR="00B04B82" w:rsidRDefault="00B04B82" w:rsidP="00B04B82">
      <w:pPr>
        <w:pStyle w:val="art1enivo"/>
        <w:shd w:val="clear" w:color="auto" w:fill="D9D9D9" w:themeFill="background1" w:themeFillShade="D9"/>
        <w:suppressAutoHyphens/>
      </w:pPr>
      <w:r>
        <w:t>1.</w:t>
      </w:r>
      <w:r>
        <w:tab/>
        <w:t>De emissiegrenswaarden voor water zijn van toepassing op het punt waar het bij de reiniging van afgassen ontstane afvalwater door de afvalverbrandings- of afvalmeeverbrandingsinstallatie wordt geloosd op een oppervlaktewaterlichaam.</w:t>
      </w:r>
    </w:p>
    <w:p w:rsidR="00B04B82" w:rsidRDefault="00B04B82" w:rsidP="00B04B82">
      <w:pPr>
        <w:pStyle w:val="art1enivo"/>
        <w:shd w:val="clear" w:color="auto" w:fill="D9D9D9" w:themeFill="background1" w:themeFillShade="D9"/>
        <w:suppressAutoHyphens/>
      </w:pPr>
      <w:r>
        <w:t>2.</w:t>
      </w:r>
      <w:r>
        <w:tab/>
        <w:t>Wanneer het bij de reiniging van afgassen ontstane afvalwater buiten de afvalverbrandings- of afvalmeeverbrandingsinstallatie wordt gezuiverd in een zuiveringsinstallatie die uitsluitend voor de zuivering van dit type afvalwater is bestemd, mag bij het bepalen van de emissiegrenswaarden, bedoeld in het eerste lid, rekening worden gehouden met het effect van die zuiveringsinstallatie, op voorwaarde dat een equivalent niveau van bescherming van het milieu in zijn geheel wordt gewaarborgd en dat het niet leidt tot nadeligere gevolgen voor het milieu.</w:t>
      </w:r>
    </w:p>
    <w:p w:rsidR="00B04B82" w:rsidRDefault="00B04B82" w:rsidP="00B04B82">
      <w:pPr>
        <w:pStyle w:val="art1enivo"/>
        <w:shd w:val="clear" w:color="auto" w:fill="D9D9D9" w:themeFill="background1" w:themeFillShade="D9"/>
        <w:suppressAutoHyphens/>
      </w:pPr>
      <w:r>
        <w:t>3.</w:t>
      </w:r>
      <w:r>
        <w:tab/>
        <w:t>Als het bij de reiniging van afgassen ontstane afvalwater tezamen met afvalwater afkomstig van een andere bron wordt gezuiverd, bepaalt degene die de afvalverbrandings- of afvalmeeverbrandingsinstallatie drijft aan de hand van passende massabalansberekeningen, met gebruikmaking van de resultaten van de metingen, bedoeld in de artikelen 5.11, 5.12 en 5.13, het aandeel van de emissies in de uiteindelijk geloosde hoeveelheid afvalwater dat kan worden toegeschreven aan het bij de reiniging van afgassen ontstane afvalwater</w:t>
      </w:r>
      <w:bookmarkStart w:id="368" w:name="d16e2001"/>
      <w:bookmarkEnd w:id="368"/>
      <w:r>
        <w:t>.</w:t>
      </w:r>
    </w:p>
    <w:p w:rsidR="00B04B82" w:rsidRDefault="00B04B82" w:rsidP="00B04B82">
      <w:pPr>
        <w:pStyle w:val="artikelkop"/>
        <w:shd w:val="clear" w:color="auto" w:fill="D9D9D9" w:themeFill="background1" w:themeFillShade="D9"/>
      </w:pPr>
      <w:r>
        <w:t xml:space="preserve">Artikel 5.16 </w:t>
      </w:r>
    </w:p>
    <w:p w:rsidR="00B04B82" w:rsidRDefault="00B04B82" w:rsidP="00B04B82">
      <w:pPr>
        <w:pStyle w:val="art1enivo"/>
        <w:shd w:val="clear" w:color="auto" w:fill="D9D9D9" w:themeFill="background1" w:themeFillShade="D9"/>
        <w:suppressAutoHyphens/>
      </w:pPr>
      <w:r>
        <w:t>1.</w:t>
      </w:r>
      <w:r>
        <w:tab/>
        <w:t xml:space="preserve">De volgende metingen worden op het punt, genoemd in artikel 5.15, eerste lid, uitgevoerd: </w:t>
      </w:r>
    </w:p>
    <w:p w:rsidR="00B04B82" w:rsidRDefault="00B04B82" w:rsidP="00B04B82">
      <w:pPr>
        <w:pStyle w:val="art2enivo"/>
        <w:shd w:val="clear" w:color="auto" w:fill="D9D9D9" w:themeFill="background1" w:themeFillShade="D9"/>
        <w:suppressAutoHyphens/>
      </w:pPr>
      <w:r>
        <w:rPr>
          <w:rFonts w:cs="Arial"/>
        </w:rPr>
        <w:t>a.</w:t>
      </w:r>
      <w:r>
        <w:rPr>
          <w:rFonts w:cs="Arial"/>
        </w:rPr>
        <w:tab/>
      </w:r>
      <w:r>
        <w:t xml:space="preserve">continue metingen van de zuurgraad (pH), de temperatuur en het debiet; </w:t>
      </w:r>
    </w:p>
    <w:p w:rsidR="00B04B82" w:rsidRDefault="00B04B82" w:rsidP="00B04B82">
      <w:pPr>
        <w:pStyle w:val="art2enivo"/>
        <w:shd w:val="clear" w:color="auto" w:fill="D9D9D9" w:themeFill="background1" w:themeFillShade="D9"/>
        <w:suppressAutoHyphens/>
      </w:pPr>
      <w:r>
        <w:rPr>
          <w:rFonts w:cs="Arial"/>
        </w:rPr>
        <w:t>b.</w:t>
      </w:r>
      <w:r>
        <w:rPr>
          <w:rFonts w:cs="Arial"/>
        </w:rPr>
        <w:tab/>
      </w:r>
      <w:r>
        <w:t xml:space="preserve">dagelijkse steekproefmetingen van de totale hoeveelheid onopgeloste bestanddelen of metingen van een met het debiet evenredige representatieve steekproef over een periode van 24 uur; </w:t>
      </w:r>
    </w:p>
    <w:p w:rsidR="00B04B82" w:rsidRDefault="00B04B82" w:rsidP="00B04B82">
      <w:pPr>
        <w:pStyle w:val="art2enivo"/>
        <w:shd w:val="clear" w:color="auto" w:fill="D9D9D9" w:themeFill="background1" w:themeFillShade="D9"/>
        <w:suppressAutoHyphens/>
      </w:pPr>
      <w:r>
        <w:rPr>
          <w:rFonts w:cs="Arial"/>
        </w:rPr>
        <w:t>c.</w:t>
      </w:r>
      <w:r>
        <w:rPr>
          <w:rFonts w:cs="Arial"/>
        </w:rPr>
        <w:tab/>
      </w:r>
      <w:r>
        <w:t xml:space="preserve">maandelijkse metingen van een met het debiet evenredige representatieve steekproef over een periode van 24 uur van kwik, cadmium, thallium, arseen, lood, chroom, koper, nikkel en zink; </w:t>
      </w:r>
    </w:p>
    <w:p w:rsidR="00B04B82" w:rsidRDefault="00B04B82" w:rsidP="00B04B82">
      <w:pPr>
        <w:pStyle w:val="art2enivo"/>
        <w:shd w:val="clear" w:color="auto" w:fill="D9D9D9" w:themeFill="background1" w:themeFillShade="D9"/>
        <w:suppressAutoHyphens/>
      </w:pPr>
      <w:r>
        <w:rPr>
          <w:rFonts w:cs="Arial"/>
        </w:rPr>
        <w:t>d.</w:t>
      </w:r>
      <w:r>
        <w:rPr>
          <w:rFonts w:cs="Arial"/>
        </w:rPr>
        <w:tab/>
      </w:r>
      <w:r>
        <w:t>driemaandelijkse metingen van dioxinen en furanen gedurende de eerste bedrijfsperiode van twaalf maanden, gevolgd door zesmaandelijkse metingen.</w:t>
      </w:r>
    </w:p>
    <w:p w:rsidR="00B04B82" w:rsidRDefault="00B04B82" w:rsidP="00B04B82">
      <w:pPr>
        <w:pStyle w:val="art1enivo"/>
        <w:shd w:val="clear" w:color="auto" w:fill="D9D9D9" w:themeFill="background1" w:themeFillShade="D9"/>
        <w:suppressAutoHyphens/>
      </w:pPr>
      <w:r>
        <w:t>2.</w:t>
      </w:r>
      <w:r>
        <w:tab/>
        <w:t xml:space="preserve">In een geval als bedoeld in artikel 5.15, derde lid, verricht degene die de afvalverbrandings- of afvalmeeverbrandingsinstallatie drijft de metingen, bedoeld in het eerste lid: </w:t>
      </w:r>
    </w:p>
    <w:p w:rsidR="00B04B82" w:rsidRDefault="00B04B82" w:rsidP="00B04B82">
      <w:pPr>
        <w:pStyle w:val="art2enivo"/>
        <w:shd w:val="clear" w:color="auto" w:fill="D9D9D9" w:themeFill="background1" w:themeFillShade="D9"/>
        <w:suppressAutoHyphens/>
      </w:pPr>
      <w:r>
        <w:rPr>
          <w:rFonts w:cs="Arial"/>
        </w:rPr>
        <w:t>a.</w:t>
      </w:r>
      <w:r>
        <w:rPr>
          <w:rFonts w:cs="Arial"/>
        </w:rPr>
        <w:tab/>
      </w:r>
      <w:r>
        <w:rPr>
          <w:rStyle w:val="art2enivoChar"/>
        </w:rPr>
        <w:t xml:space="preserve">op de </w:t>
      </w:r>
      <w:r>
        <w:t xml:space="preserve">afvalwaterstroom van de afgasreinigingsprocessen vóór de uitmonding daarvan op de gezamenlijke afvalwaterzuiveringsinstallatie; </w:t>
      </w:r>
    </w:p>
    <w:p w:rsidR="00B04B82" w:rsidRDefault="00B04B82" w:rsidP="00B04B82">
      <w:pPr>
        <w:pStyle w:val="art2enivo"/>
        <w:shd w:val="clear" w:color="auto" w:fill="D9D9D9" w:themeFill="background1" w:themeFillShade="D9"/>
        <w:suppressAutoHyphens/>
      </w:pPr>
      <w:r>
        <w:rPr>
          <w:rFonts w:cs="Arial"/>
        </w:rPr>
        <w:t>b.</w:t>
      </w:r>
      <w:r>
        <w:rPr>
          <w:rFonts w:cs="Arial"/>
        </w:rPr>
        <w:tab/>
      </w:r>
      <w:r>
        <w:t xml:space="preserve">op de andere afvalwaterstroom of -stromen vóór de uitmonding daarvan op de gezamenlijke afvalwaterzuiveringsinstallatie; </w:t>
      </w:r>
    </w:p>
    <w:p w:rsidR="00B04B82" w:rsidRDefault="00B04B82" w:rsidP="00B04B82">
      <w:pPr>
        <w:pStyle w:val="art2enivo"/>
        <w:shd w:val="clear" w:color="auto" w:fill="D9D9D9" w:themeFill="background1" w:themeFillShade="D9"/>
        <w:suppressAutoHyphens/>
      </w:pPr>
      <w:r>
        <w:rPr>
          <w:rFonts w:cs="Arial"/>
        </w:rPr>
        <w:t>c.</w:t>
      </w:r>
      <w:r>
        <w:rPr>
          <w:rFonts w:cs="Arial"/>
        </w:rPr>
        <w:tab/>
      </w:r>
      <w:r>
        <w:t>op het punt waar het afvalwater na de zuivering wordt geloosd</w:t>
      </w:r>
      <w:bookmarkStart w:id="369" w:name="d16e2053"/>
      <w:bookmarkEnd w:id="369"/>
      <w:r>
        <w:t>.</w:t>
      </w:r>
    </w:p>
    <w:p w:rsidR="00B04B82" w:rsidRDefault="00B04B82" w:rsidP="00B04B82">
      <w:pPr>
        <w:pStyle w:val="artikelkop"/>
        <w:shd w:val="clear" w:color="auto" w:fill="D9D9D9" w:themeFill="background1" w:themeFillShade="D9"/>
      </w:pPr>
      <w:r>
        <w:t xml:space="preserve">Artikel 5.17 </w:t>
      </w:r>
    </w:p>
    <w:p w:rsidR="00B04B82" w:rsidRDefault="00B04B82" w:rsidP="00B04B82">
      <w:pPr>
        <w:pStyle w:val="art1enivo"/>
        <w:shd w:val="clear" w:color="auto" w:fill="D9D9D9" w:themeFill="background1" w:themeFillShade="D9"/>
        <w:suppressAutoHyphens/>
        <w:rPr>
          <w:szCs w:val="18"/>
        </w:rPr>
      </w:pPr>
      <w:r>
        <w:t>1.</w:t>
      </w:r>
      <w:r>
        <w:tab/>
        <w:t xml:space="preserve">De resultaten van de overeenkomstig deze afdeling verrichte metingen worden herleid tot een massaconcentratie bij het genormaliseerde zuurstofgehalte, bedoeld in de artikelen 5.19, 5.20 en 5.22 van het besluit, overeenkomstig de volgende formule: </w:t>
      </w:r>
    </w:p>
    <w:p w:rsidR="00B04B82" w:rsidRDefault="00B04B82" w:rsidP="00B04B82">
      <w:pPr>
        <w:pStyle w:val="art2enivo"/>
        <w:shd w:val="clear" w:color="auto" w:fill="D9D9D9" w:themeFill="background1" w:themeFillShade="D9"/>
        <w:suppressAutoHyphens/>
      </w:pPr>
    </w:p>
    <w:p w:rsidR="00B04B82" w:rsidRDefault="00B04B82" w:rsidP="00B04B82">
      <w:pPr>
        <w:pStyle w:val="art2enivo"/>
        <w:shd w:val="clear" w:color="auto" w:fill="D9D9D9" w:themeFill="background1" w:themeFillShade="D9"/>
        <w:suppressAutoHyphens/>
      </w:pPr>
      <w:r>
        <w:t>E</w:t>
      </w:r>
      <w:r>
        <w:rPr>
          <w:vertAlign w:val="subscript"/>
        </w:rPr>
        <w:t>s</w:t>
      </w:r>
      <w:r>
        <w:t xml:space="preserve"> = (21-O</w:t>
      </w:r>
      <w:r>
        <w:rPr>
          <w:vertAlign w:val="subscript"/>
        </w:rPr>
        <w:t>s</w:t>
      </w:r>
      <w:r>
        <w:t>)/(21-O</w:t>
      </w:r>
      <w:r>
        <w:rPr>
          <w:vertAlign w:val="subscript"/>
        </w:rPr>
        <w:t>m</w:t>
      </w:r>
      <w:r>
        <w:t>) x E</w:t>
      </w:r>
      <w:r>
        <w:rPr>
          <w:vertAlign w:val="subscript"/>
        </w:rPr>
        <w:t>m</w:t>
      </w:r>
      <w:r>
        <w:t xml:space="preserve">, waarbij wordt verstaan onder: </w:t>
      </w:r>
    </w:p>
    <w:p w:rsidR="00B04B82" w:rsidRDefault="00B04B82" w:rsidP="00B04B82">
      <w:pPr>
        <w:pStyle w:val="art2enivo"/>
        <w:shd w:val="clear" w:color="auto" w:fill="D9D9D9" w:themeFill="background1" w:themeFillShade="D9"/>
        <w:suppressAutoHyphens/>
      </w:pPr>
    </w:p>
    <w:p w:rsidR="00B04B82" w:rsidRDefault="00B04B82" w:rsidP="00B04B82">
      <w:pPr>
        <w:pStyle w:val="art2enivo"/>
        <w:shd w:val="clear" w:color="auto" w:fill="D9D9D9" w:themeFill="background1" w:themeFillShade="D9"/>
        <w:suppressAutoHyphens/>
      </w:pPr>
      <w:r>
        <w:t>E</w:t>
      </w:r>
      <w:r>
        <w:rPr>
          <w:vertAlign w:val="subscript"/>
        </w:rPr>
        <w:t>s</w:t>
      </w:r>
      <w:r>
        <w:t xml:space="preserve"> = de berekende emissieconcentratie bij het genormaliseerde zuurstofgehalte </w:t>
      </w:r>
    </w:p>
    <w:p w:rsidR="00B04B82" w:rsidRDefault="00B04B82" w:rsidP="00B04B82">
      <w:pPr>
        <w:pStyle w:val="art2enivo"/>
        <w:shd w:val="clear" w:color="auto" w:fill="D9D9D9" w:themeFill="background1" w:themeFillShade="D9"/>
        <w:suppressAutoHyphens/>
      </w:pPr>
      <w:r>
        <w:t>E</w:t>
      </w:r>
      <w:r>
        <w:rPr>
          <w:vertAlign w:val="subscript"/>
        </w:rPr>
        <w:t>m</w:t>
      </w:r>
      <w:r>
        <w:t xml:space="preserve"> = de gemeten emissieconcentratie </w:t>
      </w:r>
    </w:p>
    <w:p w:rsidR="00B04B82" w:rsidRDefault="00B04B82" w:rsidP="00B04B82">
      <w:pPr>
        <w:pStyle w:val="art2enivo"/>
        <w:shd w:val="clear" w:color="auto" w:fill="D9D9D9" w:themeFill="background1" w:themeFillShade="D9"/>
        <w:suppressAutoHyphens/>
      </w:pPr>
      <w:r>
        <w:t>O</w:t>
      </w:r>
      <w:r>
        <w:rPr>
          <w:vertAlign w:val="subscript"/>
        </w:rPr>
        <w:t>s</w:t>
      </w:r>
      <w:r>
        <w:t xml:space="preserve"> = het genormaliseerde zuurstofgehalte </w:t>
      </w:r>
    </w:p>
    <w:p w:rsidR="00B04B82" w:rsidRDefault="00B04B82" w:rsidP="00B04B82">
      <w:pPr>
        <w:pStyle w:val="art2enivo"/>
        <w:shd w:val="clear" w:color="auto" w:fill="D9D9D9" w:themeFill="background1" w:themeFillShade="D9"/>
        <w:suppressAutoHyphens/>
      </w:pPr>
      <w:r>
        <w:t>O</w:t>
      </w:r>
      <w:r>
        <w:rPr>
          <w:vertAlign w:val="subscript"/>
        </w:rPr>
        <w:t>m</w:t>
      </w:r>
      <w:r>
        <w:t xml:space="preserve"> = het gemeten zuurstofgehalte </w:t>
      </w:r>
    </w:p>
    <w:p w:rsidR="00B04B82" w:rsidRDefault="00B04B82" w:rsidP="00B04B82">
      <w:pPr>
        <w:pStyle w:val="art1enivo"/>
        <w:shd w:val="clear" w:color="auto" w:fill="D9D9D9" w:themeFill="background1" w:themeFillShade="D9"/>
        <w:suppressAutoHyphens/>
      </w:pPr>
      <w:r>
        <w:t>2.</w:t>
      </w:r>
      <w:r>
        <w:tab/>
        <w:t>In afwijking van het eerste lid mogen indien afvalstoffen in een met zuurstof verrijkte atmosfeer worden verbrand of meeverbrand, meetresultaten worden herleid tot een zuurstofgehalte waarvan de drijver van de afvalverbrandings- of afvalmeeverbrandingsinstallatie aantoont dat dit de bijzondere omstandigheden van het geval weergeeft.</w:t>
      </w:r>
    </w:p>
    <w:p w:rsidR="00B04B82" w:rsidRDefault="00B04B82" w:rsidP="00B04B82">
      <w:pPr>
        <w:pStyle w:val="art1enivo"/>
        <w:shd w:val="clear" w:color="auto" w:fill="D9D9D9" w:themeFill="background1" w:themeFillShade="D9"/>
        <w:suppressAutoHyphens/>
      </w:pPr>
      <w:r>
        <w:t>3.</w:t>
      </w:r>
      <w:r>
        <w:tab/>
        <w:t>Indien de emissies in de lucht van stoffen, waarvoor bij paragraaf 5.2 van het besluit emissiegrenswaarden zijn gesteld, worden verminderd door behandeling van het afgas in een afvalverbrandings- of afvalmeeverbrandingsinstallatie waarin gevaarlijke afvalstoffen worden behandeld, geschiedt herleiding naar de in het eerste lid bedoelde zuurstofgehaltes alleen indien het in de desbetreffende periode voor de betrokken verontreinigende stof gemeten zuurstofgehalte hoger is dan het relevante genormaliseerde zuurstofgehalte</w:t>
      </w:r>
      <w:bookmarkStart w:id="370" w:name="d16e2107"/>
      <w:bookmarkEnd w:id="370"/>
      <w:r>
        <w:t>.</w:t>
      </w:r>
    </w:p>
    <w:p w:rsidR="00B04B82" w:rsidRDefault="00B04B82" w:rsidP="00B04B82">
      <w:pPr>
        <w:pStyle w:val="paragraaf"/>
        <w:shd w:val="clear" w:color="auto" w:fill="D9D9D9" w:themeFill="background1" w:themeFillShade="D9"/>
      </w:pPr>
      <w:bookmarkStart w:id="371" w:name="_Toc431375788"/>
      <w:r>
        <w:t>§ 5.2.2.</w:t>
      </w:r>
      <w:r>
        <w:tab/>
        <w:t>Meettechnieken</w:t>
      </w:r>
      <w:bookmarkEnd w:id="371"/>
      <w:r>
        <w:t xml:space="preserve"> </w:t>
      </w:r>
    </w:p>
    <w:p w:rsidR="00B04B82" w:rsidRDefault="00B04B82" w:rsidP="00B04B82">
      <w:pPr>
        <w:pStyle w:val="artikelkop"/>
        <w:shd w:val="clear" w:color="auto" w:fill="D9D9D9" w:themeFill="background1" w:themeFillShade="D9"/>
      </w:pPr>
      <w:bookmarkStart w:id="372" w:name="d16e2111"/>
      <w:bookmarkEnd w:id="372"/>
      <w:r>
        <w:t xml:space="preserve">Artikel 5.18 </w:t>
      </w:r>
    </w:p>
    <w:p w:rsidR="00B04B82" w:rsidRDefault="00B04B82" w:rsidP="00B04B82">
      <w:pPr>
        <w:pStyle w:val="artplat"/>
        <w:shd w:val="clear" w:color="auto" w:fill="D9D9D9" w:themeFill="background1" w:themeFillShade="D9"/>
        <w:suppressAutoHyphens/>
      </w:pPr>
      <w:r>
        <w:t xml:space="preserve">De bemonsteringen, analyses en metingen van de parameters die nodig zijn om te bepalen of wordt voldaan aan de emissiegrenswaarden alsmede de andere metingen en berekeningen die zijn voorgeschreven, worden uitgevoerd volgens onderstaande normbladen: </w:t>
      </w:r>
    </w:p>
    <w:p w:rsidR="00B04B82" w:rsidRDefault="00B04B82" w:rsidP="00B04B82">
      <w:pPr>
        <w:pStyle w:val="tabelkop"/>
        <w:shd w:val="clear" w:color="auto" w:fill="D9D9D9" w:themeFill="background1" w:themeFillShade="D9"/>
        <w:suppressAutoHyphens/>
        <w:ind w:hanging="426"/>
        <w:rPr>
          <w:rFonts w:cs="Arial"/>
          <w:bCs/>
        </w:rPr>
      </w:pPr>
      <w:r>
        <w:rPr>
          <w:rFonts w:cs="Arial"/>
          <w:bCs/>
        </w:rPr>
        <w:t>Tabel 5.18</w:t>
      </w:r>
    </w:p>
    <w:tbl>
      <w:tblPr>
        <w:tblStyle w:val="Tabelraster"/>
        <w:tblW w:w="0" w:type="auto"/>
        <w:tblInd w:w="0" w:type="dxa"/>
        <w:tblLook w:val="04A0" w:firstRow="1" w:lastRow="0" w:firstColumn="1" w:lastColumn="0" w:noHBand="0" w:noVBand="1"/>
      </w:tblPr>
      <w:tblGrid>
        <w:gridCol w:w="5859"/>
        <w:gridCol w:w="3326"/>
      </w:tblGrid>
      <w:tr w:rsidR="00B04B82" w:rsidTr="00215E35">
        <w:trPr>
          <w:cnfStyle w:val="100000000000" w:firstRow="1" w:lastRow="0" w:firstColumn="0" w:lastColumn="0" w:oddVBand="0" w:evenVBand="0" w:oddHBand="0" w:evenHBand="0" w:firstRowFirstColumn="0" w:firstRowLastColumn="0" w:lastRowFirstColumn="0" w:lastRowLastColumn="0"/>
        </w:trPr>
        <w:tc>
          <w:tcPr>
            <w:tcW w:w="657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b w:val="0"/>
                <w:szCs w:val="18"/>
              </w:rPr>
            </w:pPr>
            <w:r>
              <w:rPr>
                <w:rStyle w:val="Zwaar"/>
                <w:rFonts w:cs="Arial"/>
                <w:b/>
                <w:szCs w:val="18"/>
              </w:rPr>
              <w:t>Normbladen voor continue van meting emissies naar lucht</w:t>
            </w:r>
          </w:p>
        </w:tc>
      </w:tr>
      <w:tr w:rsidR="00B04B82" w:rsidTr="00215E35">
        <w:tc>
          <w:tcPr>
            <w:tcW w:w="19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Totaal stof</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13284-2</w:t>
            </w:r>
          </w:p>
        </w:tc>
      </w:tr>
      <w:tr w:rsidR="00B04B82" w:rsidTr="00215E35">
        <w:tc>
          <w:tcPr>
            <w:tcW w:w="657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B04B82" w:rsidRDefault="00B04B82" w:rsidP="00B04B82">
            <w:pPr>
              <w:shd w:val="clear" w:color="auto" w:fill="D9D9D9" w:themeFill="background1" w:themeFillShade="D9"/>
              <w:suppressAutoHyphens/>
              <w:rPr>
                <w:rFonts w:cs="Arial"/>
                <w:szCs w:val="18"/>
              </w:rPr>
            </w:pPr>
            <w:r>
              <w:rPr>
                <w:rStyle w:val="Zwaar"/>
                <w:rFonts w:cs="Arial"/>
                <w:szCs w:val="18"/>
              </w:rPr>
              <w:t>Normbladen voor periodieke en parallelmetingen van emissies naar lucht</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Totaal stof </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13284-1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Totaal organische koolstof</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12619</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Zoutzuur</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1911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Waterstoffluoride</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NEN-ISO 15713</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Zwaveldioxide (SO</w:t>
            </w:r>
            <w:r>
              <w:rPr>
                <w:rFonts w:cs="Arial"/>
                <w:szCs w:val="18"/>
                <w:vertAlign w:val="subscript"/>
              </w:rPr>
              <w:t>2</w:t>
            </w:r>
            <w:r>
              <w:rPr>
                <w:rFonts w:cs="Arial"/>
                <w:szCs w:val="18"/>
              </w:rPr>
              <w:t xml:space="preserve">) </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14791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Stikstofoxiden (NO</w:t>
            </w:r>
            <w:r>
              <w:rPr>
                <w:rFonts w:cs="Arial"/>
                <w:szCs w:val="18"/>
                <w:vertAlign w:val="subscript"/>
              </w:rPr>
              <w:t>x</w:t>
            </w:r>
            <w:r>
              <w:rPr>
                <w:rFonts w:cs="Arial"/>
                <w:szCs w:val="18"/>
              </w:rPr>
              <w:t xml:space="preserve">) </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14792</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Koolmonoxide</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15058</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Kwik</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13211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Som van cadmium en thallium / Som van antimoon, arseen, chroom, kobalt, lood, mangaan, nikkel en vanadium </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14385</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Som van dioxinen en furanen</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1948-1</w:t>
            </w:r>
          </w:p>
          <w:p w:rsidR="00B04B82" w:rsidRDefault="00B04B82" w:rsidP="00B04B82">
            <w:pPr>
              <w:shd w:val="clear" w:color="auto" w:fill="D9D9D9" w:themeFill="background1" w:themeFillShade="D9"/>
              <w:suppressAutoHyphens/>
              <w:rPr>
                <w:rFonts w:cs="Arial"/>
                <w:szCs w:val="18"/>
              </w:rPr>
            </w:pPr>
            <w:r>
              <w:rPr>
                <w:rFonts w:cs="Arial"/>
                <w:szCs w:val="18"/>
              </w:rPr>
              <w:t>NEN-EN 1948-2</w:t>
            </w:r>
          </w:p>
          <w:p w:rsidR="00B04B82" w:rsidRDefault="00B04B82" w:rsidP="00B04B82">
            <w:pPr>
              <w:shd w:val="clear" w:color="auto" w:fill="D9D9D9" w:themeFill="background1" w:themeFillShade="D9"/>
              <w:suppressAutoHyphens/>
              <w:rPr>
                <w:rFonts w:cs="Arial"/>
                <w:szCs w:val="18"/>
              </w:rPr>
            </w:pPr>
            <w:r>
              <w:rPr>
                <w:rFonts w:cs="Arial"/>
                <w:szCs w:val="18"/>
              </w:rPr>
              <w:t>NEN-EN 1948-3</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Zuurstof</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14789</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Waterdamp</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14790</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Debiet</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16911-1</w:t>
            </w:r>
          </w:p>
        </w:tc>
      </w:tr>
      <w:tr w:rsidR="00B04B82" w:rsidTr="00215E35">
        <w:tc>
          <w:tcPr>
            <w:tcW w:w="657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B04B82" w:rsidRDefault="00B04B82" w:rsidP="00B04B82">
            <w:pPr>
              <w:shd w:val="clear" w:color="auto" w:fill="D9D9D9" w:themeFill="background1" w:themeFillShade="D9"/>
              <w:suppressAutoHyphens/>
              <w:rPr>
                <w:rFonts w:cs="Arial"/>
                <w:szCs w:val="18"/>
              </w:rPr>
            </w:pPr>
            <w:r>
              <w:rPr>
                <w:rStyle w:val="Zwaar"/>
                <w:rFonts w:cs="Arial"/>
                <w:szCs w:val="18"/>
              </w:rPr>
              <w:t>Normbladen voor de bemonstering en analyse van afvalwater</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Bemonstering</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 6600-1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Ontsluiting</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NEN-EN-ISO 15587</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Onopgeloste bestanddelen</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872</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Kwik</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NEN-EN-ISO 12846</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Cadmium, Thallium, Lood, Chroom, Koper, Nikkel, Zink Antimoon, Kobalt, Mangaan, Vanadium, Tin </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NEN-EN-ISO 17294-2</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Arseen</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NEN-EN-ISO 17294-2</w:t>
            </w:r>
          </w:p>
          <w:p w:rsidR="00B04B82" w:rsidRDefault="00B04B82" w:rsidP="00B04B82">
            <w:pPr>
              <w:shd w:val="clear" w:color="auto" w:fill="D9D9D9" w:themeFill="background1" w:themeFillShade="D9"/>
              <w:suppressAutoHyphens/>
              <w:rPr>
                <w:rFonts w:cs="Arial"/>
                <w:szCs w:val="18"/>
              </w:rPr>
            </w:pPr>
            <w:r>
              <w:rPr>
                <w:rFonts w:cs="Arial"/>
                <w:szCs w:val="18"/>
              </w:rPr>
              <w:t>NEN-EN-ISO 11969</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Zuurgraad (pH)</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NEN-EN-ISO 10523</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Dioxinen en furanen</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De analyse van dioxinen en furanen wordt uitgevoerd door middel van dubbelkoloms gaschromatografie (GC) gekoppeld aan massaspectrometrie (MS). Zowel de waterfase als de zwevende stof worden op dioxinen en furanen geanalyseerd. Voor het bepalen van de recovery van de analysetechniek wordt gebruik gemaakt van gelabelde interne standaards. </w:t>
            </w:r>
          </w:p>
        </w:tc>
      </w:tr>
      <w:tr w:rsidR="00B04B82" w:rsidTr="00215E35">
        <w:tc>
          <w:tcPr>
            <w:tcW w:w="657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B04B82" w:rsidRDefault="00B04B82" w:rsidP="00B04B82">
            <w:pPr>
              <w:shd w:val="clear" w:color="auto" w:fill="D9D9D9" w:themeFill="background1" w:themeFillShade="D9"/>
              <w:suppressAutoHyphens/>
              <w:rPr>
                <w:rFonts w:cs="Arial"/>
                <w:szCs w:val="18"/>
              </w:rPr>
            </w:pPr>
            <w:r>
              <w:rPr>
                <w:rStyle w:val="Zwaar"/>
                <w:rFonts w:cs="Arial"/>
                <w:szCs w:val="18"/>
              </w:rPr>
              <w:t>Normblad Totale hoeveelheid organische koolstof in slakken en bodemas</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Totale hoeveelheid organische koolstof</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BRL 2307</w:t>
            </w:r>
          </w:p>
        </w:tc>
      </w:tr>
      <w:tr w:rsidR="00B04B82" w:rsidTr="00215E35">
        <w:tc>
          <w:tcPr>
            <w:tcW w:w="657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B04B82" w:rsidRDefault="00B04B82" w:rsidP="00B04B82">
            <w:pPr>
              <w:shd w:val="clear" w:color="auto" w:fill="D9D9D9" w:themeFill="background1" w:themeFillShade="D9"/>
              <w:suppressAutoHyphens/>
              <w:rPr>
                <w:rFonts w:cs="Arial"/>
                <w:szCs w:val="18"/>
              </w:rPr>
            </w:pPr>
            <w:r>
              <w:rPr>
                <w:rStyle w:val="Zwaar"/>
                <w:rFonts w:cs="Arial"/>
                <w:szCs w:val="18"/>
              </w:rPr>
              <w:t>Algemene normbladen voor kwaliteitsborging</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Kwaliteitsborging geautomatiseerde metingsystemen</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14181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Bekwaamheid laboratoria</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NEN-EN-ISO/IEC 17025</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Monsternamestrategie, meetdoel, meetplan en meetrapportage</w:t>
            </w:r>
          </w:p>
        </w:tc>
        <w:tc>
          <w:tcPr>
            <w:tcW w:w="4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15259</w:t>
            </w:r>
          </w:p>
        </w:tc>
      </w:tr>
    </w:tbl>
    <w:p w:rsidR="00B04B82" w:rsidRDefault="00B04B82" w:rsidP="00B04B82">
      <w:pPr>
        <w:pStyle w:val="artikelkop"/>
        <w:shd w:val="clear" w:color="auto" w:fill="D9D9D9" w:themeFill="background1" w:themeFillShade="D9"/>
      </w:pPr>
      <w:bookmarkStart w:id="373" w:name="d16e2461"/>
      <w:bookmarkEnd w:id="373"/>
      <w:r>
        <w:t xml:space="preserve">Artikel 5.19 </w:t>
      </w:r>
    </w:p>
    <w:p w:rsidR="00B04B82" w:rsidRDefault="00B04B82" w:rsidP="00B04B82">
      <w:pPr>
        <w:pStyle w:val="art1enivo"/>
        <w:shd w:val="clear" w:color="auto" w:fill="D9D9D9" w:themeFill="background1" w:themeFillShade="D9"/>
        <w:suppressAutoHyphens/>
      </w:pPr>
      <w:r>
        <w:t>1.</w:t>
      </w:r>
      <w:r>
        <w:tab/>
        <w:t>Geautomatiseerde meetsystemen worden ten minste eenmaal per jaar met behulp van parallelmetingen met de referentiemeetmethoden, bedoeld in artikel 5.18, gecontroleerd.</w:t>
      </w:r>
    </w:p>
    <w:p w:rsidR="00B04B82" w:rsidRDefault="00B04B82" w:rsidP="00B04B82">
      <w:pPr>
        <w:pStyle w:val="art1enivo"/>
        <w:shd w:val="clear" w:color="auto" w:fill="D9D9D9" w:themeFill="background1" w:themeFillShade="D9"/>
        <w:suppressAutoHyphens/>
      </w:pPr>
      <w:r>
        <w:t>2.</w:t>
      </w:r>
      <w:r>
        <w:tab/>
        <w:t>De drijver van de inrichting informeert het bevoegd gezag over de resultaten van de in het eerste lid bedoelde controle.</w:t>
      </w:r>
    </w:p>
    <w:p w:rsidR="00B04B82" w:rsidRDefault="00B04B82" w:rsidP="00B04B82">
      <w:pPr>
        <w:pStyle w:val="art1enivo"/>
        <w:shd w:val="clear" w:color="auto" w:fill="D9D9D9" w:themeFill="background1" w:themeFillShade="D9"/>
        <w:suppressAutoHyphens/>
      </w:pPr>
      <w:r>
        <w:t>3.</w:t>
      </w:r>
      <w:r>
        <w:tab/>
        <w:t xml:space="preserve">De waarde van het 95%-betrouwbaarheidsinterval van individuele waarnemingen, op basis waarvan de gemiddelden worden berekend die getoetst worden aan een emissiegrenswaarde, is bij continue metingen niet groter dan de volgende percentages van de emissiegrenswaarde voor de dagelijkse emissies: </w:t>
      </w:r>
    </w:p>
    <w:p w:rsidR="00B04B82" w:rsidRDefault="00B04B82" w:rsidP="00B04B82">
      <w:pPr>
        <w:pStyle w:val="art2enivo"/>
        <w:shd w:val="clear" w:color="auto" w:fill="D9D9D9" w:themeFill="background1" w:themeFillShade="D9"/>
        <w:suppressAutoHyphens/>
      </w:pPr>
      <w:r>
        <w:rPr>
          <w:rFonts w:cs="Arial"/>
        </w:rPr>
        <w:t>a.</w:t>
      </w:r>
      <w:r>
        <w:rPr>
          <w:rFonts w:cs="Arial"/>
        </w:rPr>
        <w:tab/>
      </w:r>
      <w:r>
        <w:t>koolmonoxide: 10% van de emissiegrenswaarde of 5 mg/Nm</w:t>
      </w:r>
      <w:r>
        <w:rPr>
          <w:vertAlign w:val="superscript"/>
        </w:rPr>
        <w:t>3</w:t>
      </w:r>
      <w:r>
        <w:t xml:space="preserve">; </w:t>
      </w:r>
    </w:p>
    <w:p w:rsidR="00B04B82" w:rsidRDefault="00B04B82" w:rsidP="00B04B82">
      <w:pPr>
        <w:pStyle w:val="art2enivo"/>
        <w:shd w:val="clear" w:color="auto" w:fill="D9D9D9" w:themeFill="background1" w:themeFillShade="D9"/>
        <w:suppressAutoHyphens/>
      </w:pPr>
      <w:r>
        <w:rPr>
          <w:rFonts w:cs="Arial"/>
        </w:rPr>
        <w:t>b.</w:t>
      </w:r>
      <w:r>
        <w:rPr>
          <w:rFonts w:cs="Arial"/>
        </w:rPr>
        <w:tab/>
      </w:r>
      <w:r>
        <w:t>zwaveldioxide (SO</w:t>
      </w:r>
      <w:r>
        <w:rPr>
          <w:vertAlign w:val="subscript"/>
        </w:rPr>
        <w:t>2</w:t>
      </w:r>
      <w:r>
        <w:t>): 20% van de emissiegrenswaarde of 10 mg/Nm</w:t>
      </w:r>
      <w:r>
        <w:rPr>
          <w:vertAlign w:val="superscript"/>
        </w:rPr>
        <w:t>3</w:t>
      </w:r>
      <w:r>
        <w:t xml:space="preserve">; </w:t>
      </w:r>
    </w:p>
    <w:p w:rsidR="00B04B82" w:rsidRDefault="00B04B82" w:rsidP="00B04B82">
      <w:pPr>
        <w:pStyle w:val="art2enivo"/>
        <w:shd w:val="clear" w:color="auto" w:fill="D9D9D9" w:themeFill="background1" w:themeFillShade="D9"/>
        <w:suppressAutoHyphens/>
      </w:pPr>
      <w:r>
        <w:rPr>
          <w:rFonts w:cs="Arial"/>
        </w:rPr>
        <w:t>c.</w:t>
      </w:r>
      <w:r>
        <w:rPr>
          <w:rFonts w:cs="Arial"/>
        </w:rPr>
        <w:tab/>
      </w:r>
      <w:r>
        <w:t>stikstofoxiden (NO</w:t>
      </w:r>
      <w:r>
        <w:rPr>
          <w:vertAlign w:val="subscript"/>
        </w:rPr>
        <w:t>x</w:t>
      </w:r>
      <w:r>
        <w:t>): 20% van de emissiegrenswaarde of 14 mg/Nm</w:t>
      </w:r>
      <w:r>
        <w:rPr>
          <w:vertAlign w:val="superscript"/>
        </w:rPr>
        <w:t>3</w:t>
      </w:r>
      <w:r>
        <w:t xml:space="preserve">; </w:t>
      </w:r>
    </w:p>
    <w:p w:rsidR="00B04B82" w:rsidRDefault="00B04B82" w:rsidP="00B04B82">
      <w:pPr>
        <w:pStyle w:val="art2enivo"/>
        <w:shd w:val="clear" w:color="auto" w:fill="D9D9D9" w:themeFill="background1" w:themeFillShade="D9"/>
        <w:suppressAutoHyphens/>
      </w:pPr>
      <w:r>
        <w:rPr>
          <w:rFonts w:cs="Arial"/>
        </w:rPr>
        <w:t>d.</w:t>
      </w:r>
      <w:r>
        <w:rPr>
          <w:rFonts w:cs="Arial"/>
        </w:rPr>
        <w:tab/>
      </w:r>
      <w:r>
        <w:t>totaal stof: 30% van de emissiegrenswaarde of 1,5 mg/Nm</w:t>
      </w:r>
      <w:r>
        <w:rPr>
          <w:vertAlign w:val="superscript"/>
        </w:rPr>
        <w:t>3</w:t>
      </w:r>
      <w:r>
        <w:t xml:space="preserve">; </w:t>
      </w:r>
    </w:p>
    <w:p w:rsidR="00B04B82" w:rsidRDefault="00B04B82" w:rsidP="00B04B82">
      <w:pPr>
        <w:pStyle w:val="art2enivo"/>
        <w:shd w:val="clear" w:color="auto" w:fill="D9D9D9" w:themeFill="background1" w:themeFillShade="D9"/>
        <w:suppressAutoHyphens/>
      </w:pPr>
      <w:r>
        <w:rPr>
          <w:rFonts w:cs="Arial"/>
        </w:rPr>
        <w:t>e.</w:t>
      </w:r>
      <w:r>
        <w:rPr>
          <w:rFonts w:cs="Arial"/>
        </w:rPr>
        <w:tab/>
      </w:r>
      <w:r>
        <w:t>totaal organisch koolstof: 30% van de emissiegrenswaarde of 3 mg/Nm</w:t>
      </w:r>
      <w:r>
        <w:rPr>
          <w:vertAlign w:val="superscript"/>
        </w:rPr>
        <w:t>3</w:t>
      </w:r>
      <w:r>
        <w:t xml:space="preserve">; </w:t>
      </w:r>
    </w:p>
    <w:p w:rsidR="00B04B82" w:rsidRDefault="00B04B82" w:rsidP="00B04B82">
      <w:pPr>
        <w:pStyle w:val="art2enivo"/>
        <w:shd w:val="clear" w:color="auto" w:fill="D9D9D9" w:themeFill="background1" w:themeFillShade="D9"/>
        <w:suppressAutoHyphens/>
      </w:pPr>
      <w:r>
        <w:rPr>
          <w:rFonts w:cs="Arial"/>
        </w:rPr>
        <w:t>f.</w:t>
      </w:r>
      <w:r>
        <w:rPr>
          <w:rFonts w:cs="Arial"/>
        </w:rPr>
        <w:tab/>
      </w:r>
      <w:r>
        <w:t>zoutzuur: 40% van de emissiegrenswaarde of 4 mg/Nm</w:t>
      </w:r>
      <w:r>
        <w:rPr>
          <w:vertAlign w:val="superscript"/>
        </w:rPr>
        <w:t>3</w:t>
      </w:r>
      <w:r>
        <w:t xml:space="preserve">; </w:t>
      </w:r>
    </w:p>
    <w:p w:rsidR="00B04B82" w:rsidRDefault="00B04B82" w:rsidP="00B04B82">
      <w:pPr>
        <w:pStyle w:val="art2enivo"/>
        <w:shd w:val="clear" w:color="auto" w:fill="D9D9D9" w:themeFill="background1" w:themeFillShade="D9"/>
        <w:suppressAutoHyphens/>
      </w:pPr>
      <w:r>
        <w:rPr>
          <w:rFonts w:cs="Arial"/>
        </w:rPr>
        <w:t>g.</w:t>
      </w:r>
      <w:r>
        <w:rPr>
          <w:rFonts w:cs="Arial"/>
        </w:rPr>
        <w:tab/>
      </w:r>
      <w:r>
        <w:t>waterstoffluoride: 40% van de emissiegrenswaarde of 0,4 mg/Nm</w:t>
      </w:r>
      <w:r>
        <w:rPr>
          <w:vertAlign w:val="superscript"/>
        </w:rPr>
        <w:t>3</w:t>
      </w:r>
      <w:r>
        <w:t>.</w:t>
      </w:r>
    </w:p>
    <w:p w:rsidR="00B04B82" w:rsidRDefault="00B04B82" w:rsidP="00B04B82">
      <w:pPr>
        <w:pStyle w:val="art1enivo"/>
        <w:shd w:val="clear" w:color="auto" w:fill="D9D9D9" w:themeFill="background1" w:themeFillShade="D9"/>
        <w:suppressAutoHyphens/>
      </w:pPr>
      <w:r>
        <w:t>4.</w:t>
      </w:r>
      <w:r>
        <w:tab/>
        <w:t>De gevalideerde halfuur- en daggemiddelden worden bij continue metingen vastgesteld op grond van de valide gemeten halfuurgemiddelden, na aftrek van de waarde van het in het derde lid vermelde 95%-betrouwbaarheidsinterval.</w:t>
      </w:r>
    </w:p>
    <w:p w:rsidR="00B04B82" w:rsidRDefault="00B04B82" w:rsidP="00B04B82">
      <w:pPr>
        <w:pStyle w:val="art1enivo"/>
        <w:shd w:val="clear" w:color="auto" w:fill="D9D9D9" w:themeFill="background1" w:themeFillShade="D9"/>
        <w:suppressAutoHyphens/>
      </w:pPr>
      <w:r>
        <w:t>5.</w:t>
      </w:r>
      <w:r>
        <w:tab/>
        <w:t>Bij de bepaling van de totale concentratie van dioxinen en furanen worden de massaconcentraties van de in tabel 5.19 genoemde dioxinen en dibenzofuranen vóór het optellen met de in die tabel genoemde toxische equivalentiefactoren (teq) vermenigvuldigd.</w:t>
      </w:r>
    </w:p>
    <w:p w:rsidR="00B04B82" w:rsidRDefault="00B04B82" w:rsidP="00B04B82">
      <w:pPr>
        <w:pStyle w:val="tabelkop"/>
        <w:shd w:val="clear" w:color="auto" w:fill="D9D9D9" w:themeFill="background1" w:themeFillShade="D9"/>
        <w:suppressAutoHyphens/>
        <w:rPr>
          <w:rStyle w:val="art1enivoChar"/>
        </w:rPr>
      </w:pPr>
      <w:r>
        <w:rPr>
          <w:rStyle w:val="art1enivoChar"/>
        </w:rPr>
        <w:t>Tabel 5.19</w:t>
      </w:r>
    </w:p>
    <w:tbl>
      <w:tblPr>
        <w:tblStyle w:val="Tabelraster"/>
        <w:tblW w:w="0" w:type="auto"/>
        <w:tblInd w:w="483" w:type="dxa"/>
        <w:tblLook w:val="04A0" w:firstRow="1" w:lastRow="0" w:firstColumn="1" w:lastColumn="0" w:noHBand="0" w:noVBand="1"/>
      </w:tblPr>
      <w:tblGrid>
        <w:gridCol w:w="4027"/>
        <w:gridCol w:w="565"/>
      </w:tblGrid>
      <w:tr w:rsidR="00B04B82" w:rsidTr="00215E35">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bCs/>
                <w:szCs w:val="18"/>
              </w:rPr>
            </w:pPr>
            <w:r>
              <w:rPr>
                <w:rFonts w:cs="Arial"/>
                <w:bCs/>
                <w:szCs w:val="18"/>
              </w:rPr>
              <w:t xml:space="preserve">Stof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bCs/>
                <w:szCs w:val="18"/>
              </w:rPr>
            </w:pPr>
            <w:r>
              <w:rPr>
                <w:rFonts w:cs="Arial"/>
                <w:bCs/>
                <w:szCs w:val="18"/>
              </w:rPr>
              <w:t xml:space="preserve">Teq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2,3,7,8 -tetrachloordibenzodioxine (tcdd)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1,2,3,7,8 -pentachloordibenzodioxine (pecdd)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0,5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1,2,3,4,7,8 -hexachloordibenzodioxine (hxcdd)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1,2,3,6,7,8 -hexachloordibenzodioxine (hxcdd)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1,2,3,7,8,9 -hexachloordibenzodioxine (hxcdd)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1,2,3,4,6,7,8 -heptachloordibenzodioxine (hpcdd)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octachloordibenzodioxine (ocdd)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0,001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2,3,7,8 -tetrachloordibenzofuraan (tcdf)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2,3,4,7,8 -pentachloordibenzofuraan (pecdf)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0,5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1,2,3,7,8 - pentachloordibenzofuraan (pecdf)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0,05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1,2,3,4,7,8 -hexachloordibenzofuraan (hxcdf)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1,2,3,6,7,8 -hexachloordibenzofuraan (hxcdf)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1,2,3,7,8,9 -hexachloordibenzofuraan (hxcdf)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2,3,4,6,7,8 -hexachloordibenzofuraan (hxcdf)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1,2,3,4,6,7,8 -heptachloordibenzofuraan (hpcdf)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1,2,3,4,7,8,9 -heptachloordibenzofuraan (hpcdf)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0,01 </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octachloordibenzofuraan (ocdf)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0,001 </w:t>
            </w:r>
          </w:p>
        </w:tc>
      </w:tr>
    </w:tbl>
    <w:p w:rsidR="00B04B82" w:rsidRDefault="00B04B82" w:rsidP="00B04B82">
      <w:pPr>
        <w:pStyle w:val="artikelkop"/>
        <w:shd w:val="clear" w:color="auto" w:fill="D9D9D9" w:themeFill="background1" w:themeFillShade="D9"/>
      </w:pPr>
      <w:bookmarkStart w:id="374" w:name="d16e2762"/>
      <w:bookmarkEnd w:id="374"/>
      <w:r>
        <w:t xml:space="preserve">Artikel 5.20 </w:t>
      </w:r>
    </w:p>
    <w:p w:rsidR="00B04B82" w:rsidRDefault="00B04B82" w:rsidP="00B04B82">
      <w:pPr>
        <w:pStyle w:val="art1enivo"/>
        <w:shd w:val="clear" w:color="auto" w:fill="D9D9D9" w:themeFill="background1" w:themeFillShade="D9"/>
        <w:suppressAutoHyphens/>
      </w:pPr>
      <w:r>
        <w:t>1.</w:t>
      </w:r>
      <w:r>
        <w:tab/>
        <w:t>Het uitvoeren van periodieke metingen als bedoeld in de artikelen 5.11, eerste lid, 5.13 en 5.16, eerste lid, onder a, en parallelmetingen als bedoeld in de artikelen 5.11, tweede tot en met vierde lid, 5.12 en 5.16, eerste lid, onder b, c en d, geschiedt door een rechtspersoon die voor deze verrichtingen geaccrediteerd is door een accreditatie-instantie.</w:t>
      </w:r>
    </w:p>
    <w:p w:rsidR="00B04B82" w:rsidRDefault="00B04B82" w:rsidP="00B04B82">
      <w:pPr>
        <w:pStyle w:val="art1enivo"/>
        <w:shd w:val="clear" w:color="auto" w:fill="D9D9D9" w:themeFill="background1" w:themeFillShade="D9"/>
        <w:suppressAutoHyphens/>
      </w:pPr>
      <w:r>
        <w:t>2.</w:t>
      </w:r>
      <w:r>
        <w:tab/>
        <w:t>Het bevoegd gezag wordt ten minste twee weken van tevoren op de hoogte gesteld van de datum en het tijdstip waarop een periodieke meting of een parallelmeting zal worden uitgevoerd.</w:t>
      </w:r>
    </w:p>
    <w:p w:rsidR="00B04B82" w:rsidRDefault="00B04B82" w:rsidP="00B04B82">
      <w:pPr>
        <w:pStyle w:val="art1enivo"/>
        <w:shd w:val="clear" w:color="auto" w:fill="D9D9D9" w:themeFill="background1" w:themeFillShade="D9"/>
        <w:suppressAutoHyphens/>
      </w:pPr>
      <w:r>
        <w:t>3.</w:t>
      </w:r>
      <w:r>
        <w:tab/>
        <w:t>Indien een afzonderlijke meting of parallelmeting geen doorgang vindt, wordt het bevoegd gezag uiterlijk op de datum waarop de meting zou plaatsvinden, bedoeld in het tweede lid, hiervan op de hoogte gesteld.</w:t>
      </w:r>
    </w:p>
    <w:p w:rsidR="00B04B82" w:rsidRDefault="00B04B82" w:rsidP="00B04B82">
      <w:pPr>
        <w:pStyle w:val="art1enivo"/>
        <w:shd w:val="clear" w:color="auto" w:fill="D9D9D9" w:themeFill="background1" w:themeFillShade="D9"/>
        <w:suppressAutoHyphens/>
      </w:pPr>
      <w:r>
        <w:t>4.</w:t>
      </w:r>
      <w:r>
        <w:tab/>
        <w:t>Een periodieke meting van zoutzuur, waterstoffluoride, zwaveldioxide (SO</w:t>
      </w:r>
      <w:r>
        <w:rPr>
          <w:rFonts w:cs="Arial"/>
          <w:vertAlign w:val="subscript"/>
        </w:rPr>
        <w:t>2</w:t>
      </w:r>
      <w:r>
        <w:t>) of stikstofoxiden (NO</w:t>
      </w:r>
      <w:r>
        <w:rPr>
          <w:rFonts w:cs="Arial"/>
          <w:vertAlign w:val="subscript"/>
        </w:rPr>
        <w:t>x</w:t>
      </w:r>
      <w:r>
        <w:t>) bestaat uit een serie van ten minste drie deelmetingen.</w:t>
      </w:r>
    </w:p>
    <w:p w:rsidR="00B04B82" w:rsidRDefault="00B04B82" w:rsidP="00B04B82">
      <w:pPr>
        <w:pStyle w:val="art1enivo"/>
        <w:shd w:val="clear" w:color="auto" w:fill="D9D9D9" w:themeFill="background1" w:themeFillShade="D9"/>
        <w:suppressAutoHyphens/>
      </w:pPr>
      <w:r>
        <w:t>5.</w:t>
      </w:r>
      <w:r>
        <w:tab/>
        <w:t>De duur van een deelmeting bedraagt een half uur. Wanneer het meettechnisch niet mogelijk is de deelmeting in die tijd uit te voeren, mag de deelmeting ten hoogste twee uur bedragen.</w:t>
      </w:r>
    </w:p>
    <w:p w:rsidR="00B04B82" w:rsidRDefault="00B04B82" w:rsidP="00B04B82">
      <w:pPr>
        <w:pStyle w:val="art1enivo"/>
        <w:shd w:val="clear" w:color="auto" w:fill="D9D9D9" w:themeFill="background1" w:themeFillShade="D9"/>
        <w:suppressAutoHyphens/>
      </w:pPr>
      <w:r>
        <w:t>6.</w:t>
      </w:r>
      <w:r>
        <w:tab/>
        <w:t>Periodieke metingen van kwik, de som van cadmium en thallium en de som van antimoon, arseen, chroom, kobalt, lood, mangaan, nikkel en vanadium bestaan uit één deelmeting over een bemonsteringsperiode van ten minste een half uur en ten hoogste 8 uur hoger.</w:t>
      </w:r>
    </w:p>
    <w:p w:rsidR="00B04B82" w:rsidRDefault="00B04B82" w:rsidP="00B04B82">
      <w:pPr>
        <w:pStyle w:val="art1enivo"/>
        <w:shd w:val="clear" w:color="auto" w:fill="D9D9D9" w:themeFill="background1" w:themeFillShade="D9"/>
        <w:suppressAutoHyphens/>
      </w:pPr>
      <w:r>
        <w:t>7.</w:t>
      </w:r>
      <w:r>
        <w:tab/>
        <w:t>Een periodieke meting van dioxinen en furanen bestaat uit één deelmeting over een bemonsteringsperiode van ten minste 6 uur en ten hoogste 8 uur.</w:t>
      </w:r>
    </w:p>
    <w:p w:rsidR="00B04B82" w:rsidRDefault="00B04B82" w:rsidP="00B04B82">
      <w:pPr>
        <w:pStyle w:val="art1enivo"/>
        <w:shd w:val="clear" w:color="auto" w:fill="D9D9D9" w:themeFill="background1" w:themeFillShade="D9"/>
        <w:suppressAutoHyphens/>
      </w:pPr>
      <w:r>
        <w:t>8.</w:t>
      </w:r>
      <w:r>
        <w:tab/>
        <w:t>De duur van een parallelmeting die wordt uitgevoerd ten behoeve van de verificatie van de meetapparatuur voor continue metingen, bedraagt ten minste een half uur.</w:t>
      </w:r>
    </w:p>
    <w:p w:rsidR="00B04B82" w:rsidRDefault="00B04B82" w:rsidP="00B04B82">
      <w:pPr>
        <w:pStyle w:val="art1enivo"/>
        <w:shd w:val="clear" w:color="auto" w:fill="D9D9D9" w:themeFill="background1" w:themeFillShade="D9"/>
        <w:suppressAutoHyphens/>
      </w:pPr>
      <w:r>
        <w:t>9.</w:t>
      </w:r>
      <w:r>
        <w:tab/>
        <w:t>Bij periodieke metingen kan een door een rechtspersoon als bedoeld in het eerste lid aangetoonde 95%-betrouwbaarheidsinterval op dezelfde wijze als artikel 5.19, derde en vierde lid, worden verdisconteerd</w:t>
      </w:r>
      <w:bookmarkStart w:id="375" w:name="d16e2818"/>
      <w:bookmarkEnd w:id="375"/>
      <w:r>
        <w:t>.</w:t>
      </w:r>
    </w:p>
    <w:p w:rsidR="00B04B82" w:rsidRDefault="00B04B82" w:rsidP="00B04B82">
      <w:pPr>
        <w:pStyle w:val="paragraaf"/>
        <w:shd w:val="clear" w:color="auto" w:fill="D9D9D9" w:themeFill="background1" w:themeFillShade="D9"/>
      </w:pPr>
      <w:bookmarkStart w:id="376" w:name="_Toc431375789"/>
      <w:r>
        <w:t xml:space="preserve">§ 5.2.3. </w:t>
      </w:r>
      <w:r>
        <w:tab/>
        <w:t>Beoordeling van de naleving van de emissiegrenswaarden</w:t>
      </w:r>
      <w:bookmarkEnd w:id="376"/>
      <w:r>
        <w:t xml:space="preserve"> </w:t>
      </w:r>
    </w:p>
    <w:p w:rsidR="00B04B82" w:rsidRDefault="00B04B82" w:rsidP="00B04B82">
      <w:pPr>
        <w:pStyle w:val="artikelkop"/>
        <w:shd w:val="clear" w:color="auto" w:fill="D9D9D9" w:themeFill="background1" w:themeFillShade="D9"/>
      </w:pPr>
      <w:bookmarkStart w:id="377" w:name="d16e2822"/>
      <w:bookmarkEnd w:id="377"/>
      <w:r>
        <w:t xml:space="preserve">Artikel 5.21 </w:t>
      </w:r>
    </w:p>
    <w:p w:rsidR="00B04B82" w:rsidRDefault="00B04B82" w:rsidP="00B04B82">
      <w:pPr>
        <w:pStyle w:val="art1enivo"/>
        <w:shd w:val="clear" w:color="auto" w:fill="D9D9D9" w:themeFill="background1" w:themeFillShade="D9"/>
        <w:suppressAutoHyphens/>
      </w:pPr>
      <w:r>
        <w:t>1.</w:t>
      </w:r>
      <w:r>
        <w:tab/>
        <w:t>Aan de van toepassing zijnde emissiegrenswaarden voor afvalverbrandingsinstallaties voor totaal stof, totaal organische koolstof, zoutzuur, waterstoffluoride en zwaveldioxide (SO</w:t>
      </w:r>
      <w:r>
        <w:rPr>
          <w:rFonts w:cs="Arial"/>
          <w:vertAlign w:val="subscript"/>
        </w:rPr>
        <w:t>2</w:t>
      </w:r>
      <w:r>
        <w:t xml:space="preserve">) wordt in ieder geval voldaan, indien: </w:t>
      </w:r>
    </w:p>
    <w:p w:rsidR="00B04B82" w:rsidRDefault="00B04B82" w:rsidP="00B04B82">
      <w:pPr>
        <w:pStyle w:val="art2enivo"/>
        <w:shd w:val="clear" w:color="auto" w:fill="D9D9D9" w:themeFill="background1" w:themeFillShade="D9"/>
        <w:suppressAutoHyphens/>
      </w:pPr>
      <w:r>
        <w:rPr>
          <w:rFonts w:cs="Arial"/>
        </w:rPr>
        <w:t>a.</w:t>
      </w:r>
      <w:r>
        <w:rPr>
          <w:rFonts w:cs="Arial"/>
        </w:rPr>
        <w:tab/>
      </w:r>
      <w:r>
        <w:rPr>
          <w:rStyle w:val="art2enivoChar"/>
        </w:rPr>
        <w:t xml:space="preserve">geen van de </w:t>
      </w:r>
      <w:r>
        <w:t xml:space="preserve">daggemiddelden hoger is dan de bijbehorende emissiegrenswaarde, en </w:t>
      </w:r>
    </w:p>
    <w:p w:rsidR="00B04B82" w:rsidRDefault="00B04B82" w:rsidP="00B04B82">
      <w:pPr>
        <w:pStyle w:val="art2enivo"/>
        <w:shd w:val="clear" w:color="auto" w:fill="D9D9D9" w:themeFill="background1" w:themeFillShade="D9"/>
        <w:suppressAutoHyphens/>
      </w:pPr>
      <w:r>
        <w:rPr>
          <w:rFonts w:cs="Arial"/>
        </w:rPr>
        <w:t>b.</w:t>
      </w:r>
      <w:r>
        <w:rPr>
          <w:rFonts w:cs="Arial"/>
        </w:rPr>
        <w:tab/>
      </w:r>
      <w:r>
        <w:t>97% van de halfuurgemiddelden in één kalenderjaar de bijbehorende emissiegrenswaarde niet overschrijdt.</w:t>
      </w:r>
    </w:p>
    <w:p w:rsidR="00B04B82" w:rsidRDefault="00B04B82" w:rsidP="00B04B82">
      <w:pPr>
        <w:pStyle w:val="art1enivo"/>
        <w:shd w:val="clear" w:color="auto" w:fill="D9D9D9" w:themeFill="background1" w:themeFillShade="D9"/>
        <w:suppressAutoHyphens/>
      </w:pPr>
      <w:r>
        <w:t>2.</w:t>
      </w:r>
      <w:r>
        <w:tab/>
        <w:t>Aan de emissiegrenswaarden voor afvalverbrandingsinstallaties voor stikstofoxiden (NO</w:t>
      </w:r>
      <w:r>
        <w:rPr>
          <w:rFonts w:cs="Arial"/>
          <w:vertAlign w:val="subscript"/>
        </w:rPr>
        <w:t>x</w:t>
      </w:r>
      <w:r>
        <w:t xml:space="preserve">) wordt geacht te zijn voldaan, indien: </w:t>
      </w:r>
    </w:p>
    <w:p w:rsidR="00B04B82" w:rsidRDefault="00B04B82" w:rsidP="00B04B82">
      <w:pPr>
        <w:pStyle w:val="art2enivo"/>
        <w:shd w:val="clear" w:color="auto" w:fill="D9D9D9" w:themeFill="background1" w:themeFillShade="D9"/>
        <w:suppressAutoHyphens/>
      </w:pPr>
      <w:r>
        <w:rPr>
          <w:rFonts w:cs="Arial"/>
        </w:rPr>
        <w:t>a.</w:t>
      </w:r>
      <w:r>
        <w:rPr>
          <w:rFonts w:cs="Arial"/>
        </w:rPr>
        <w:tab/>
      </w:r>
      <w:r>
        <w:rPr>
          <w:rStyle w:val="art2enivoChar"/>
        </w:rPr>
        <w:t xml:space="preserve">geen van de daggemiddelden </w:t>
      </w:r>
      <w:r>
        <w:t xml:space="preserve">hoger is dan de bijbehorende emissiegrenswaarde, </w:t>
      </w:r>
    </w:p>
    <w:p w:rsidR="00B04B82" w:rsidRDefault="00B04B82" w:rsidP="00B04B82">
      <w:pPr>
        <w:pStyle w:val="art2enivo"/>
        <w:shd w:val="clear" w:color="auto" w:fill="D9D9D9" w:themeFill="background1" w:themeFillShade="D9"/>
        <w:suppressAutoHyphens/>
      </w:pPr>
      <w:r>
        <w:rPr>
          <w:rFonts w:cs="Arial"/>
        </w:rPr>
        <w:t>b.</w:t>
      </w:r>
      <w:r>
        <w:rPr>
          <w:rFonts w:cs="Arial"/>
        </w:rPr>
        <w:tab/>
      </w:r>
      <w:r>
        <w:t xml:space="preserve">geen van de maandgemiddelden hoger is dan de bijbehorende emissiegrenswaarde, en </w:t>
      </w:r>
    </w:p>
    <w:p w:rsidR="00B04B82" w:rsidRDefault="00B04B82" w:rsidP="00B04B82">
      <w:pPr>
        <w:pStyle w:val="art2enivo"/>
        <w:shd w:val="clear" w:color="auto" w:fill="D9D9D9" w:themeFill="background1" w:themeFillShade="D9"/>
        <w:suppressAutoHyphens/>
      </w:pPr>
      <w:r>
        <w:rPr>
          <w:rFonts w:cs="Arial"/>
        </w:rPr>
        <w:t>c.</w:t>
      </w:r>
      <w:r>
        <w:rPr>
          <w:rFonts w:cs="Arial"/>
        </w:rPr>
        <w:tab/>
      </w:r>
      <w:r>
        <w:t>97% van de halfuurgemiddelden in één kalenderjaar de bijbehorende emissiegrenswaarde niet overschrijdt.</w:t>
      </w:r>
    </w:p>
    <w:p w:rsidR="00B04B82" w:rsidRDefault="00B04B82" w:rsidP="00B04B82">
      <w:pPr>
        <w:pStyle w:val="art1enivo"/>
        <w:shd w:val="clear" w:color="auto" w:fill="D9D9D9" w:themeFill="background1" w:themeFillShade="D9"/>
        <w:suppressAutoHyphens/>
      </w:pPr>
      <w:r>
        <w:t>3.</w:t>
      </w:r>
      <w:r>
        <w:tab/>
        <w:t xml:space="preserve">Aan de van toepassing zijnde emissiegrenswaarden voor afvalverbrandingsinstallaties voor koolmonoxide wordt in ieder geval voldaan, indien: </w:t>
      </w:r>
    </w:p>
    <w:p w:rsidR="00B04B82" w:rsidRDefault="00B04B82" w:rsidP="00B04B82">
      <w:pPr>
        <w:pStyle w:val="art2enivo"/>
        <w:shd w:val="clear" w:color="auto" w:fill="D9D9D9" w:themeFill="background1" w:themeFillShade="D9"/>
        <w:suppressAutoHyphens/>
      </w:pPr>
      <w:r>
        <w:rPr>
          <w:rFonts w:cs="Arial"/>
        </w:rPr>
        <w:t>a.</w:t>
      </w:r>
      <w:r>
        <w:rPr>
          <w:rFonts w:cs="Arial"/>
        </w:rPr>
        <w:tab/>
      </w:r>
      <w:r>
        <w:rPr>
          <w:rStyle w:val="art2enivoChar"/>
        </w:rPr>
        <w:t xml:space="preserve">97% van de </w:t>
      </w:r>
      <w:r>
        <w:t xml:space="preserve">daggemiddelden in één kalenderjaar de bijbehorende emissiegrenswaarde niet overschrijdt, en </w:t>
      </w:r>
    </w:p>
    <w:p w:rsidR="00B04B82" w:rsidRDefault="00B04B82" w:rsidP="00B04B82">
      <w:pPr>
        <w:pStyle w:val="art2enivo"/>
        <w:shd w:val="clear" w:color="auto" w:fill="D9D9D9" w:themeFill="background1" w:themeFillShade="D9"/>
        <w:suppressAutoHyphens/>
      </w:pPr>
      <w:r>
        <w:rPr>
          <w:rFonts w:cs="Arial"/>
        </w:rPr>
        <w:t>b.</w:t>
      </w:r>
      <w:r>
        <w:rPr>
          <w:rFonts w:cs="Arial"/>
        </w:rPr>
        <w:tab/>
      </w:r>
      <w:r>
        <w:t>95% van alle 10-minutengemiddelden in een willekeurige periode van 24 uur de bijbehorende emissiegrenswaarde niet overschrijdt.</w:t>
      </w:r>
    </w:p>
    <w:p w:rsidR="00B04B82" w:rsidRDefault="00B04B82" w:rsidP="00B04B82">
      <w:pPr>
        <w:pStyle w:val="art1enivo"/>
        <w:shd w:val="clear" w:color="auto" w:fill="D9D9D9" w:themeFill="background1" w:themeFillShade="D9"/>
        <w:suppressAutoHyphens/>
      </w:pPr>
      <w:r>
        <w:t>4.</w:t>
      </w:r>
      <w:r>
        <w:tab/>
        <w:t>Aan de van toepassing zijnde emissiegrenswaarden voor afvalmeeverbrandingsinstallaties voor totaal stof, totaal organische koolstof, zoutzuur, waterstoffluoride, zwaveldioxide (SO</w:t>
      </w:r>
      <w:r>
        <w:rPr>
          <w:rFonts w:cs="Arial"/>
          <w:vertAlign w:val="subscript"/>
        </w:rPr>
        <w:t>2</w:t>
      </w:r>
      <w:r>
        <w:t>), stikstofoxiden (NO</w:t>
      </w:r>
      <w:r>
        <w:rPr>
          <w:rFonts w:cs="Arial"/>
          <w:vertAlign w:val="subscript"/>
        </w:rPr>
        <w:t>x</w:t>
      </w:r>
      <w:r>
        <w:t>) en koolmonoxide wordt in ieder geval voldaan, indien geen van de daggemiddelden hoger is dan de bijbehorende emissiegrenswaarde.</w:t>
      </w:r>
    </w:p>
    <w:p w:rsidR="00B04B82" w:rsidRDefault="00B04B82" w:rsidP="00B04B82">
      <w:pPr>
        <w:pStyle w:val="art1enivo"/>
        <w:shd w:val="clear" w:color="auto" w:fill="D9D9D9" w:themeFill="background1" w:themeFillShade="D9"/>
        <w:suppressAutoHyphens/>
      </w:pPr>
      <w:r>
        <w:t>5.</w:t>
      </w:r>
      <w:r>
        <w:tab/>
        <w:t>Halfuurgemiddelden en tienminutengemiddelden worden bepaald binnen de tijd dat de verbrandingsinstallatie in werking is, met uitzondering van de voor de inwerkingstelling en stillegging van de afvalverbrandingsinstallatie benodigde tijd indien gedurende die tijd geen afvalstoffen worden verbrand.</w:t>
      </w:r>
    </w:p>
    <w:p w:rsidR="00B04B82" w:rsidRDefault="00B04B82" w:rsidP="00B04B82">
      <w:pPr>
        <w:pStyle w:val="art1enivo"/>
        <w:shd w:val="clear" w:color="auto" w:fill="D9D9D9" w:themeFill="background1" w:themeFillShade="D9"/>
        <w:suppressAutoHyphens/>
      </w:pPr>
      <w:r>
        <w:t>6.</w:t>
      </w:r>
      <w:r>
        <w:tab/>
        <w:t>Bij de bepaling van het daggemiddelde worden ten hoogste vijf halfuurgemiddelden wegens defecten of onderhoud van het systeem voor continue metingen buiten beschouwing gelaten. Per kalenderjaar worden ten hoogste tien daggemiddelden wegens defecten of onderhoud van het systeem voor continue metingen buiten beschouwing gelaten.</w:t>
      </w:r>
    </w:p>
    <w:p w:rsidR="00B04B82" w:rsidRDefault="00B04B82" w:rsidP="00B04B82">
      <w:pPr>
        <w:pStyle w:val="art1enivo"/>
        <w:shd w:val="clear" w:color="auto" w:fill="D9D9D9" w:themeFill="background1" w:themeFillShade="D9"/>
        <w:suppressAutoHyphens/>
      </w:pPr>
      <w:r>
        <w:t>7.</w:t>
      </w:r>
      <w:r>
        <w:tab/>
        <w:t>Indien continue metingen niet zijn vereist, wordt aan de toepasselijke emissiegrenswaarden voor zwaveldioxide (SO</w:t>
      </w:r>
      <w:r>
        <w:rPr>
          <w:rFonts w:cs="Arial"/>
          <w:vertAlign w:val="subscript"/>
        </w:rPr>
        <w:t>2</w:t>
      </w:r>
      <w:r>
        <w:t>), stikstofoxiden, waterstoffluoride en zoutzuur in ieder geval voldaan, indien geen enkele gevalideerde meetuitkomst voor de betreffende stof de emissiegrenswaarde overschrijdt.</w:t>
      </w:r>
    </w:p>
    <w:p w:rsidR="00B04B82" w:rsidRDefault="00B04B82" w:rsidP="00B04B82">
      <w:pPr>
        <w:pStyle w:val="art1enivo"/>
        <w:shd w:val="clear" w:color="auto" w:fill="D9D9D9" w:themeFill="background1" w:themeFillShade="D9"/>
        <w:suppressAutoHyphens/>
      </w:pPr>
      <w:r>
        <w:t>8.</w:t>
      </w:r>
      <w:r>
        <w:tab/>
        <w:t>Aan de van toepassing zijnde emissiegrenswaarden voor kwik, de som van cadmium en thallium, de som van antimoon, arseen, chroom, kobalt, lood, mangaan, nikkel en vanadium en dioxinen en furanen wordt in ieder geval voldaan, indien het gevalideerde resultaat van de periodieke metingen lager is dan de bijbehorende emissiegrenswaarde</w:t>
      </w:r>
      <w:bookmarkStart w:id="378" w:name="d16e2920"/>
      <w:bookmarkEnd w:id="378"/>
      <w:r>
        <w:t>.</w:t>
      </w:r>
    </w:p>
    <w:p w:rsidR="00B04B82" w:rsidRDefault="00B04B82" w:rsidP="00B04B82">
      <w:pPr>
        <w:pStyle w:val="artikelkop"/>
        <w:shd w:val="clear" w:color="auto" w:fill="D9D9D9" w:themeFill="background1" w:themeFillShade="D9"/>
      </w:pPr>
      <w:r>
        <w:t xml:space="preserve">Artikel 5.22 </w:t>
      </w:r>
    </w:p>
    <w:p w:rsidR="00B04B82" w:rsidRDefault="00B04B82" w:rsidP="00B04B82">
      <w:pPr>
        <w:pStyle w:val="artplat"/>
        <w:shd w:val="clear" w:color="auto" w:fill="D9D9D9" w:themeFill="background1" w:themeFillShade="D9"/>
        <w:suppressAutoHyphens/>
      </w:pPr>
      <w:r>
        <w:t xml:space="preserve">Aan de van toepassing zijnde emissiegrenswaarden voor emissies naar water wordt in ieder geval voldaan, indien: </w:t>
      </w:r>
    </w:p>
    <w:p w:rsidR="00B04B82" w:rsidRDefault="00B04B82" w:rsidP="00B04B82">
      <w:pPr>
        <w:pStyle w:val="artplatletter"/>
        <w:shd w:val="clear" w:color="auto" w:fill="D9D9D9" w:themeFill="background1" w:themeFillShade="D9"/>
        <w:suppressAutoHyphens/>
      </w:pPr>
      <w:r>
        <w:rPr>
          <w:rFonts w:cs="Arial"/>
        </w:rPr>
        <w:t>a.</w:t>
      </w:r>
      <w:r>
        <w:rPr>
          <w:rFonts w:cs="Arial"/>
        </w:rPr>
        <w:tab/>
      </w:r>
      <w:r>
        <w:t xml:space="preserve">bij metingen van de totale hoeveelheid onopgeloste bestanddelen 95% en 100% van de meetwaarden de toepasselijke emissiegrenswaarden niet overschrijdt, </w:t>
      </w:r>
    </w:p>
    <w:p w:rsidR="00B04B82" w:rsidRDefault="00B04B82" w:rsidP="00B04B82">
      <w:pPr>
        <w:pStyle w:val="artplatletter"/>
        <w:shd w:val="clear" w:color="auto" w:fill="D9D9D9" w:themeFill="background1" w:themeFillShade="D9"/>
        <w:suppressAutoHyphens/>
      </w:pPr>
      <w:r>
        <w:rPr>
          <w:rFonts w:cs="Arial"/>
        </w:rPr>
        <w:t>b.</w:t>
      </w:r>
      <w:r>
        <w:rPr>
          <w:rFonts w:cs="Arial"/>
        </w:rPr>
        <w:tab/>
      </w:r>
      <w:r>
        <w:rPr>
          <w:rStyle w:val="art2enivoChar"/>
        </w:rPr>
        <w:t xml:space="preserve">bij metingen van kwik, cadmium, thallium, arseen, lood, chroom, nikkel, zink, antimoon, kobalt, </w:t>
      </w:r>
      <w:r>
        <w:t xml:space="preserve">mangaan, vanadium en tin niet meer dan eenmaal per jaar de toepasselijke emissiegrenswaarden worden overschreden, of, indien meer dan twintig steekproeven per jaar worden uitgevoerd, bij niet meer dan 5% van deze steekproeven de emissiegrenswaarden van artikel 5.27 van het besluit worden overschreden, en </w:t>
      </w:r>
    </w:p>
    <w:p w:rsidR="00B04B82" w:rsidRDefault="00B04B82" w:rsidP="00B04B82">
      <w:pPr>
        <w:pStyle w:val="artplatletter"/>
        <w:shd w:val="clear" w:color="auto" w:fill="D9D9D9" w:themeFill="background1" w:themeFillShade="D9"/>
        <w:suppressAutoHyphens/>
      </w:pPr>
      <w:r>
        <w:rPr>
          <w:rFonts w:cs="Arial"/>
        </w:rPr>
        <w:t>c.</w:t>
      </w:r>
      <w:r>
        <w:rPr>
          <w:rFonts w:cs="Arial"/>
        </w:rPr>
        <w:tab/>
      </w:r>
      <w:r>
        <w:t>bij metingen van dioxinen en furanen de emissiegrenswaarden niet worden overschreden</w:t>
      </w:r>
      <w:bookmarkStart w:id="379" w:name="d16e2942"/>
      <w:bookmarkEnd w:id="379"/>
      <w:r>
        <w:t>.</w:t>
      </w:r>
    </w:p>
    <w:p w:rsidR="00B04B82" w:rsidRDefault="00B04B82" w:rsidP="00B04B82">
      <w:pPr>
        <w:pStyle w:val="paragraaf"/>
        <w:shd w:val="clear" w:color="auto" w:fill="D9D9D9" w:themeFill="background1" w:themeFillShade="D9"/>
      </w:pPr>
      <w:bookmarkStart w:id="380" w:name="_Toc431375790"/>
      <w:r>
        <w:t>§ 5.2.4.</w:t>
      </w:r>
      <w:r>
        <w:tab/>
        <w:t>Exploitatievoorwaarden</w:t>
      </w:r>
      <w:bookmarkEnd w:id="380"/>
      <w:r>
        <w:t xml:space="preserve"> </w:t>
      </w:r>
    </w:p>
    <w:p w:rsidR="00B04B82" w:rsidRDefault="00B04B82" w:rsidP="00B04B82">
      <w:pPr>
        <w:pStyle w:val="artikelkop"/>
        <w:shd w:val="clear" w:color="auto" w:fill="D9D9D9" w:themeFill="background1" w:themeFillShade="D9"/>
      </w:pPr>
      <w:bookmarkStart w:id="381" w:name="d16e2946"/>
      <w:bookmarkEnd w:id="381"/>
      <w:r>
        <w:t xml:space="preserve">Artikel 5.23 </w:t>
      </w:r>
    </w:p>
    <w:p w:rsidR="00B04B82" w:rsidRDefault="00B04B82" w:rsidP="00B04B82">
      <w:pPr>
        <w:pStyle w:val="art1enivo"/>
        <w:shd w:val="clear" w:color="auto" w:fill="D9D9D9" w:themeFill="background1" w:themeFillShade="D9"/>
        <w:suppressAutoHyphens/>
      </w:pPr>
      <w:r>
        <w:t>1.</w:t>
      </w:r>
      <w:r>
        <w:tab/>
        <w:t xml:space="preserve">Voor zover het betreft een afvalverbrandingsinstallatie wordt aan artikel 5.18, tweede lid, van het besluit in ieder geval voldaan, indien: </w:t>
      </w:r>
    </w:p>
    <w:p w:rsidR="00B04B82" w:rsidRDefault="00B04B82" w:rsidP="00B04B82">
      <w:pPr>
        <w:pStyle w:val="art2enivo"/>
        <w:shd w:val="clear" w:color="auto" w:fill="D9D9D9" w:themeFill="background1" w:themeFillShade="D9"/>
        <w:suppressAutoHyphens/>
        <w:rPr>
          <w:rFonts w:cs="Arial"/>
        </w:rPr>
      </w:pPr>
      <w:r>
        <w:rPr>
          <w:rFonts w:cs="Arial"/>
        </w:rPr>
        <w:t>a.</w:t>
      </w:r>
      <w:r>
        <w:rPr>
          <w:rFonts w:cs="Arial"/>
        </w:rPr>
        <w:tab/>
        <w:t xml:space="preserve">de afvalverbrandingsinstallatie op een zodanige wijze wordt geëxploiteerd dat een niveau van thermische behandeling wordt bereikt waarbij de totale hoeveelheid organische koolstof in de slakken en de bodemas minder bedraagt dan 3% van het droge gewicht van het materiaal, of het gloeiverlies van de slakken en de bodemas minder bedraagt dan 5% van het droge gewicht van het materiaal, zo nodig na voorbehandeling van het afval met passende technieken, </w:t>
      </w:r>
    </w:p>
    <w:p w:rsidR="00B04B82" w:rsidRDefault="00B04B82" w:rsidP="00B04B82">
      <w:pPr>
        <w:pStyle w:val="art2enivo"/>
        <w:shd w:val="clear" w:color="auto" w:fill="D9D9D9" w:themeFill="background1" w:themeFillShade="D9"/>
        <w:suppressAutoHyphens/>
        <w:rPr>
          <w:rFonts w:cs="Arial"/>
        </w:rPr>
      </w:pPr>
      <w:r>
        <w:rPr>
          <w:rFonts w:cs="Arial"/>
        </w:rPr>
        <w:t>b.</w:t>
      </w:r>
      <w:r>
        <w:rPr>
          <w:rFonts w:cs="Arial"/>
        </w:rPr>
        <w:tab/>
        <w:t xml:space="preserve">de afvalverbrandingsinstallatie zodanig wordt uitgerust, gebouwd en geëxploiteerd dat, zelfs in de meest ongunstige omstandigheden, het bij het proces ontstane gas, na de laatste toevoer van verbrandingslucht, gedurende twee seconden op beheerste en homogene wijze wordt verhit tot ten minste 850° C, gemeten dichtbij de binnenwand of op een ander representatief punt van de verbrandingskamer, dan wel de temperatuur gedurende twee seconden tot ten minste 1100° C wordt opgevoerd, indien gevaarlijke afvalstoffen met een gehalte van meer dan 1% gehalogeneerde organische verbindingen, uitgedrukt in chloor, thermisch worden behandeld, </w:t>
      </w:r>
    </w:p>
    <w:p w:rsidR="00B04B82" w:rsidRDefault="00B04B82" w:rsidP="00B04B82">
      <w:pPr>
        <w:pStyle w:val="art2enivo"/>
        <w:shd w:val="clear" w:color="auto" w:fill="D9D9D9" w:themeFill="background1" w:themeFillShade="D9"/>
        <w:suppressAutoHyphens/>
        <w:rPr>
          <w:rFonts w:cs="Arial"/>
        </w:rPr>
      </w:pPr>
      <w:r>
        <w:rPr>
          <w:rFonts w:cs="Arial"/>
        </w:rPr>
        <w:t>c.</w:t>
      </w:r>
      <w:r>
        <w:rPr>
          <w:rFonts w:cs="Arial"/>
        </w:rPr>
        <w:tab/>
        <w:t xml:space="preserve">elke verbrandingskamer van de afvalverbrandingsinstallatie wordt uitgerust met ten minste één hulpbrander, die automatisch wordt ingeschakeld wanneer de temperatuur van de verbrandingsgassen na de laatste toevoer van verbrandingslucht tot onder de op grond van onderdeel b vereiste temperatuur zakt, </w:t>
      </w:r>
    </w:p>
    <w:p w:rsidR="00B04B82" w:rsidRDefault="00B04B82" w:rsidP="00B04B82">
      <w:pPr>
        <w:pStyle w:val="art2enivo"/>
        <w:shd w:val="clear" w:color="auto" w:fill="D9D9D9" w:themeFill="background1" w:themeFillShade="D9"/>
        <w:suppressAutoHyphens/>
        <w:rPr>
          <w:rFonts w:cs="Arial"/>
        </w:rPr>
      </w:pPr>
      <w:r>
        <w:rPr>
          <w:rFonts w:cs="Arial"/>
        </w:rPr>
        <w:t>d.</w:t>
      </w:r>
      <w:r>
        <w:rPr>
          <w:rFonts w:cs="Arial"/>
        </w:rPr>
        <w:tab/>
        <w:t xml:space="preserve">de hulpbrander ook tijdens de inwerkingstelling en de stillegging van de afvalverbrandingsinstallatie wordt gebruikt teneinde ervoor te zorgen dat de op grond van de onderdelen b en c vereiste temperatuur gedurende deze in werking stelling en stillegging steeds wordt gehandhaafd zolang zich onverbrande afvalstoffen in de verbrandingskamer bevinden, </w:t>
      </w:r>
    </w:p>
    <w:p w:rsidR="00B04B82" w:rsidRDefault="00B04B82" w:rsidP="00B04B82">
      <w:pPr>
        <w:pStyle w:val="art2enivo"/>
        <w:shd w:val="clear" w:color="auto" w:fill="D9D9D9" w:themeFill="background1" w:themeFillShade="D9"/>
        <w:suppressAutoHyphens/>
        <w:rPr>
          <w:rFonts w:cs="Arial"/>
        </w:rPr>
      </w:pPr>
      <w:r>
        <w:rPr>
          <w:rFonts w:cs="Arial"/>
        </w:rPr>
        <w:t>e.</w:t>
      </w:r>
      <w:r>
        <w:rPr>
          <w:rFonts w:cs="Arial"/>
        </w:rPr>
        <w:tab/>
        <w:t xml:space="preserve">naar de hulpbrander geen brandstoffen worden toegevoerd die hogere emissies kunnen veroorzaken dan bij het stoken van gasolie voor de scheepvaart als omschreven in artikel 1.1 van het Besluit brandstoffen luchtverontreiniging, vloeibaar gas of aardgas het geval is, en </w:t>
      </w:r>
    </w:p>
    <w:p w:rsidR="00B04B82" w:rsidRDefault="00B04B82" w:rsidP="00B04B82">
      <w:pPr>
        <w:pStyle w:val="art2enivo"/>
        <w:shd w:val="clear" w:color="auto" w:fill="D9D9D9" w:themeFill="background1" w:themeFillShade="D9"/>
        <w:suppressAutoHyphens/>
        <w:rPr>
          <w:rFonts w:cs="Arial"/>
        </w:rPr>
      </w:pPr>
      <w:r>
        <w:rPr>
          <w:rFonts w:cs="Arial"/>
        </w:rPr>
        <w:t>f.</w:t>
      </w:r>
      <w:r>
        <w:rPr>
          <w:rFonts w:cs="Arial"/>
        </w:rPr>
        <w:tab/>
        <w:t>bij de exploitatie van de afvalverbrandingsinstallaties gebruik wordt gemaakt van een automatisch systeem dat de toevoer van afvalstoffen voorkomt totdat bij het in werking stellen de op grond van onderdeel b vereiste temperatuur is bereikt en wanneer de vereiste temperatuur niet gehandhaafd blijft.</w:t>
      </w:r>
    </w:p>
    <w:p w:rsidR="00B04B82" w:rsidRDefault="00B04B82" w:rsidP="00B04B82">
      <w:pPr>
        <w:pStyle w:val="art1enivo"/>
        <w:shd w:val="clear" w:color="auto" w:fill="D9D9D9" w:themeFill="background1" w:themeFillShade="D9"/>
        <w:suppressAutoHyphens/>
      </w:pPr>
      <w:r>
        <w:t>2.</w:t>
      </w:r>
      <w:r>
        <w:tab/>
        <w:t xml:space="preserve">Voor zover het betreft een afvalmeeverbrandingsinstallatie, wordt aan artikel 5.18, tweede lid, van het besluit in ieder geval voldaan, indien: </w:t>
      </w:r>
    </w:p>
    <w:p w:rsidR="00B04B82" w:rsidRDefault="00B04B82" w:rsidP="00B04B82">
      <w:pPr>
        <w:pStyle w:val="art2enivo"/>
        <w:shd w:val="clear" w:color="auto" w:fill="D9D9D9" w:themeFill="background1" w:themeFillShade="D9"/>
        <w:suppressAutoHyphens/>
        <w:rPr>
          <w:rFonts w:cs="Arial"/>
        </w:rPr>
      </w:pPr>
      <w:r>
        <w:rPr>
          <w:rFonts w:cs="Arial"/>
        </w:rPr>
        <w:t>a.</w:t>
      </w:r>
      <w:r>
        <w:rPr>
          <w:rFonts w:cs="Arial"/>
        </w:rPr>
        <w:tab/>
        <w:t xml:space="preserve">de afvalmeeverbrandingsinstallatie zodanig wordt ontworpen, uitgerust, gebouwd en geëxploiteerd dat, zelfs in de meest ongunstige omstandigheden, het door de meeverbranding van afvalstoffen ontstane gas gedurende twee seconden op beheerste en homogene wijze wordt verhit tot ten minste 850° C, dan wel de temperatuur gedurende twee seconden tot ten minste 1100° C opgevoerd, indien gevaarlijke afvalstoffen met een gehalte van meer dan 1% gehalogeneerde organische stoffen, uitgedrukt in chloor, worden meeverbrand, en </w:t>
      </w:r>
    </w:p>
    <w:p w:rsidR="00B04B82" w:rsidRDefault="00B04B82" w:rsidP="00B04B82">
      <w:pPr>
        <w:pStyle w:val="art2enivo"/>
        <w:shd w:val="clear" w:color="auto" w:fill="D9D9D9" w:themeFill="background1" w:themeFillShade="D9"/>
        <w:suppressAutoHyphens/>
        <w:rPr>
          <w:rFonts w:cs="Arial"/>
        </w:rPr>
      </w:pPr>
      <w:r>
        <w:rPr>
          <w:rFonts w:cs="Arial"/>
        </w:rPr>
        <w:t>b.</w:t>
      </w:r>
      <w:r>
        <w:rPr>
          <w:rFonts w:cs="Arial"/>
        </w:rPr>
        <w:tab/>
        <w:t>bij de exploitatie van de afvalmeeverbrandingsinstallatie gebruik wordt gemaakt van een automatisch systeem dat de toevoer van afvalstoffen voorkomt totdat bij het in werking stellen de op grond van onderdeel a vereiste temperatuur is bereikt en wanneer de vereiste temperatuur niet gehandhaafd blijft</w:t>
      </w:r>
      <w:bookmarkStart w:id="382" w:name="d16e3003"/>
      <w:bookmarkEnd w:id="382"/>
      <w:r>
        <w:rPr>
          <w:rFonts w:cs="Arial"/>
        </w:rPr>
        <w:t>.</w:t>
      </w:r>
    </w:p>
    <w:p w:rsidR="00B04B82" w:rsidRDefault="00B04B82" w:rsidP="00B04B82">
      <w:pPr>
        <w:pStyle w:val="artikelkop"/>
        <w:shd w:val="clear" w:color="auto" w:fill="D9D9D9" w:themeFill="background1" w:themeFillShade="D9"/>
      </w:pPr>
      <w:r>
        <w:t xml:space="preserve">Artikel 5.24 </w:t>
      </w:r>
    </w:p>
    <w:p w:rsidR="00B04B82" w:rsidRDefault="00B04B82" w:rsidP="00B04B82">
      <w:pPr>
        <w:pStyle w:val="artplat"/>
        <w:shd w:val="clear" w:color="auto" w:fill="D9D9D9" w:themeFill="background1" w:themeFillShade="D9"/>
        <w:suppressAutoHyphens/>
      </w:pPr>
      <w:r>
        <w:t>Bij de exploitatie van een afvalverbrandingsinstallatie en een afvalmeeverbrandingsinstallatie wordt gebruik gemaakt van een automatisch systeem dat voorkomt dat afvalstoffen worden toegevoerd wanneer uit continue metingen blijkt dat een emissiegrenswaarde wordt overschreden als gevolg van storingen of defecten aan de afgasreinigingsapparatuur</w:t>
      </w:r>
      <w:bookmarkStart w:id="383" w:name="d16e3009"/>
      <w:bookmarkEnd w:id="383"/>
      <w:r>
        <w:t>.</w:t>
      </w:r>
    </w:p>
    <w:p w:rsidR="00B04B82" w:rsidRDefault="00B04B82" w:rsidP="00B04B82">
      <w:pPr>
        <w:pStyle w:val="paragraaf"/>
        <w:shd w:val="clear" w:color="auto" w:fill="D9D9D9" w:themeFill="background1" w:themeFillShade="D9"/>
      </w:pPr>
      <w:bookmarkStart w:id="384" w:name="_Toc431375791"/>
      <w:r>
        <w:t>§ 5.2.5.</w:t>
      </w:r>
      <w:r>
        <w:tab/>
        <w:t xml:space="preserve">Overige </w:t>
      </w:r>
      <w:r>
        <w:rPr>
          <w:bCs/>
        </w:rPr>
        <w:t>voorwaarden</w:t>
      </w:r>
      <w:bookmarkEnd w:id="384"/>
      <w:r>
        <w:t xml:space="preserve"> </w:t>
      </w:r>
    </w:p>
    <w:p w:rsidR="00B04B82" w:rsidRDefault="00B04B82" w:rsidP="00B04B82">
      <w:pPr>
        <w:pStyle w:val="artikelkop"/>
        <w:shd w:val="clear" w:color="auto" w:fill="D9D9D9" w:themeFill="background1" w:themeFillShade="D9"/>
      </w:pPr>
      <w:bookmarkStart w:id="385" w:name="d16e3013"/>
      <w:bookmarkEnd w:id="385"/>
      <w:r>
        <w:t xml:space="preserve">Artikel 5.25 </w:t>
      </w:r>
    </w:p>
    <w:p w:rsidR="00B04B82" w:rsidRDefault="00B04B82" w:rsidP="00B04B82">
      <w:pPr>
        <w:pStyle w:val="art1enivo"/>
        <w:shd w:val="clear" w:color="auto" w:fill="D9D9D9" w:themeFill="background1" w:themeFillShade="D9"/>
        <w:suppressAutoHyphens/>
      </w:pPr>
      <w:r>
        <w:t>1.</w:t>
      </w:r>
      <w:r>
        <w:tab/>
      </w:r>
      <w:r>
        <w:rPr>
          <w:rStyle w:val="art1enivoChar"/>
        </w:rPr>
        <w:t xml:space="preserve">Het vervoer en de tussentijdse opslag van verbrandingsresiduen uit een </w:t>
      </w:r>
      <w:r>
        <w:t>afvalverbrandings- of afvalmeeverbrandingsinstallatie geschiedt op een zodanige wijze, dat wordt voorkomen dat de verbrandingsresiduen in het milieu terechtkomen.</w:t>
      </w:r>
    </w:p>
    <w:p w:rsidR="00B04B82" w:rsidRDefault="00B04B82" w:rsidP="00B04B82">
      <w:pPr>
        <w:pStyle w:val="art1enivo"/>
        <w:shd w:val="clear" w:color="auto" w:fill="D9D9D9" w:themeFill="background1" w:themeFillShade="D9"/>
        <w:suppressAutoHyphens/>
      </w:pPr>
      <w:r>
        <w:t>2.</w:t>
      </w:r>
      <w:r>
        <w:tab/>
        <w:t>Voordat de methoden van verwijdering of hergebruik als materiaal van verbrandingsresiduen worden vastgesteld, worden passende tests uitgevoerd om na te gaan wat de fysische en chemische eigenschappen en het verontreinigend vermogen van de verschillende verbrandingsresiduen zijn. Deze analyse heeft betrekking op de totale oplosbare fractie en de oplosbare fractie zware metalen</w:t>
      </w:r>
      <w:bookmarkStart w:id="386" w:name="d16e3028"/>
      <w:bookmarkEnd w:id="386"/>
      <w:r>
        <w:t>.</w:t>
      </w:r>
    </w:p>
    <w:p w:rsidR="00B04B82" w:rsidRDefault="00B04B82" w:rsidP="00B04B82">
      <w:pPr>
        <w:pStyle w:val="artikelkop"/>
        <w:shd w:val="clear" w:color="auto" w:fill="D9D9D9" w:themeFill="background1" w:themeFillShade="D9"/>
      </w:pPr>
      <w:r>
        <w:t xml:space="preserve">Artikel 5.26 </w:t>
      </w:r>
    </w:p>
    <w:p w:rsidR="00B04B82" w:rsidRDefault="00B04B82" w:rsidP="00B04B82">
      <w:pPr>
        <w:pStyle w:val="artplat"/>
        <w:shd w:val="clear" w:color="auto" w:fill="D9D9D9" w:themeFill="background1" w:themeFillShade="D9"/>
        <w:suppressAutoHyphens/>
        <w:rPr>
          <w:rFonts w:cs="Arial"/>
        </w:rPr>
      </w:pPr>
      <w:r>
        <w:rPr>
          <w:rFonts w:cs="Arial"/>
        </w:rPr>
        <w:t xml:space="preserve">Specifiek ziekenhuisafval wordt rechtstreeks en in hermetisch gesloten verpakking in de oven van </w:t>
      </w:r>
      <w:r>
        <w:t>een</w:t>
      </w:r>
      <w:r>
        <w:rPr>
          <w:rFonts w:cs="Arial"/>
        </w:rPr>
        <w:t xml:space="preserve"> afvalverbrandings- of afvalmeeverbrandingsinstallatie geplaatst, zonder voorafgaande vermenging met andere categorieën van afvalstoffen overeenkomstig de afvalstoffenlijst</w:t>
      </w:r>
      <w:bookmarkStart w:id="387" w:name="d16e3034"/>
      <w:bookmarkEnd w:id="387"/>
      <w:r>
        <w:rPr>
          <w:rFonts w:cs="Arial"/>
        </w:rPr>
        <w:t>.</w:t>
      </w:r>
    </w:p>
    <w:p w:rsidR="00B04B82" w:rsidRDefault="00B04B82" w:rsidP="00B04B82">
      <w:pPr>
        <w:pStyle w:val="artikelkop"/>
        <w:shd w:val="clear" w:color="auto" w:fill="D9D9D9" w:themeFill="background1" w:themeFillShade="D9"/>
      </w:pPr>
      <w:r>
        <w:t xml:space="preserve">Artikel 5.27 </w:t>
      </w:r>
    </w:p>
    <w:p w:rsidR="00B04B82" w:rsidRDefault="00B04B82" w:rsidP="00B04B82">
      <w:pPr>
        <w:pStyle w:val="artplat"/>
        <w:shd w:val="clear" w:color="auto" w:fill="D9D9D9" w:themeFill="background1" w:themeFillShade="D9"/>
        <w:suppressAutoHyphens/>
      </w:pPr>
      <w:r>
        <w:t>Het beheer van een verbrandingsinstallatie is in handen van een natuurlijke persoon die bekwaam is om de verbrandingsinstallatie te beheren</w:t>
      </w:r>
      <w:bookmarkStart w:id="388" w:name="d16e3040"/>
      <w:bookmarkEnd w:id="388"/>
      <w:r>
        <w:t>.</w:t>
      </w:r>
    </w:p>
    <w:p w:rsidR="00B04B82" w:rsidRDefault="00B04B82" w:rsidP="00B04B82">
      <w:pPr>
        <w:pStyle w:val="artikelkop"/>
        <w:shd w:val="clear" w:color="auto" w:fill="D9D9D9" w:themeFill="background1" w:themeFillShade="D9"/>
      </w:pPr>
      <w:r>
        <w:t xml:space="preserve">Artikel 5.28 </w:t>
      </w:r>
    </w:p>
    <w:p w:rsidR="00B04B82" w:rsidRDefault="00B04B82" w:rsidP="00B04B82">
      <w:pPr>
        <w:pStyle w:val="artplat"/>
        <w:shd w:val="clear" w:color="auto" w:fill="D9D9D9" w:themeFill="background1" w:themeFillShade="D9"/>
        <w:suppressAutoHyphens/>
      </w:pPr>
      <w:r>
        <w:t>Het terrein van een afvalverbrandings- of afvalmeeverbrandingsinstallatie, met de bijbehorende terreinen voor de opslag van afval, wordt zodanig ontworpen en geëxploiteerd dat het ongeoorloofd en accidenteel vrijkomen van verontreinigende stoffen in de bodem, het oppervlaktewater of het grondwater wordt voorkomen</w:t>
      </w:r>
      <w:bookmarkStart w:id="389" w:name="d16e3046"/>
      <w:bookmarkEnd w:id="389"/>
      <w:r>
        <w:t>.</w:t>
      </w:r>
    </w:p>
    <w:p w:rsidR="00B04B82" w:rsidRDefault="00B04B82" w:rsidP="00B04B82">
      <w:pPr>
        <w:pStyle w:val="artikelkop"/>
        <w:shd w:val="clear" w:color="auto" w:fill="D9D9D9" w:themeFill="background1" w:themeFillShade="D9"/>
      </w:pPr>
      <w:r>
        <w:t xml:space="preserve">Artikel 5.29 </w:t>
      </w:r>
    </w:p>
    <w:p w:rsidR="00B04B82" w:rsidRDefault="00B04B82" w:rsidP="00B04B82">
      <w:pPr>
        <w:pStyle w:val="art1enivo"/>
        <w:shd w:val="clear" w:color="auto" w:fill="D9D9D9" w:themeFill="background1" w:themeFillShade="D9"/>
        <w:suppressAutoHyphens/>
      </w:pPr>
      <w:r>
        <w:t>1.</w:t>
      </w:r>
      <w:r>
        <w:tab/>
      </w:r>
      <w:r>
        <w:rPr>
          <w:rStyle w:val="art1enivoChar"/>
        </w:rPr>
        <w:t xml:space="preserve">Een </w:t>
      </w:r>
      <w:r>
        <w:t xml:space="preserve">afvalverbrandings- of afvalmeeverbrandingsinstallatie is voorzien van een vloeistofdicht bassin met voldoende capaciteit voor de opvang van: </w:t>
      </w:r>
    </w:p>
    <w:p w:rsidR="00B04B82" w:rsidRDefault="00B04B82" w:rsidP="00B04B82">
      <w:pPr>
        <w:pStyle w:val="art2enivo"/>
        <w:shd w:val="clear" w:color="auto" w:fill="D9D9D9" w:themeFill="background1" w:themeFillShade="D9"/>
        <w:suppressAutoHyphens/>
      </w:pPr>
      <w:r>
        <w:rPr>
          <w:rFonts w:cs="Arial"/>
        </w:rPr>
        <w:t>a.</w:t>
      </w:r>
      <w:r>
        <w:rPr>
          <w:rFonts w:cs="Arial"/>
        </w:rPr>
        <w:tab/>
      </w:r>
      <w:r>
        <w:t xml:space="preserve">wegvloeiend verontreinigd hemelwater van het terrein; </w:t>
      </w:r>
    </w:p>
    <w:p w:rsidR="00B04B82" w:rsidRDefault="00B04B82" w:rsidP="00B04B82">
      <w:pPr>
        <w:pStyle w:val="art2enivo"/>
        <w:shd w:val="clear" w:color="auto" w:fill="D9D9D9" w:themeFill="background1" w:themeFillShade="D9"/>
        <w:suppressAutoHyphens/>
      </w:pPr>
      <w:r>
        <w:t>b.</w:t>
      </w:r>
      <w:r>
        <w:tab/>
        <w:t xml:space="preserve">verontreinigd water dat het gevolg is van overlopen; </w:t>
      </w:r>
    </w:p>
    <w:p w:rsidR="00B04B82" w:rsidRDefault="00B04B82" w:rsidP="00B04B82">
      <w:pPr>
        <w:pStyle w:val="art2enivo"/>
        <w:shd w:val="clear" w:color="auto" w:fill="D9D9D9" w:themeFill="background1" w:themeFillShade="D9"/>
        <w:suppressAutoHyphens/>
      </w:pPr>
      <w:r>
        <w:t>c.</w:t>
      </w:r>
      <w:r>
        <w:tab/>
        <w:t>verontreinigd water dat afkomstig is van brandbestrijding.</w:t>
      </w:r>
    </w:p>
    <w:p w:rsidR="00B04B82" w:rsidRDefault="00B04B82" w:rsidP="00B04B82">
      <w:pPr>
        <w:shd w:val="clear" w:color="auto" w:fill="D9D9D9" w:themeFill="background1" w:themeFillShade="D9"/>
      </w:pPr>
      <w:r>
        <w:t>2.</w:t>
      </w:r>
      <w:r>
        <w:tab/>
        <w:t>De capaciteit van het bassin is zodanig dat het water, voordat het wordt geloosd, kan worden onderzocht en behandeld</w:t>
      </w:r>
      <w:bookmarkStart w:id="390" w:name="d16e3077"/>
      <w:bookmarkEnd w:id="390"/>
      <w:r>
        <w:t>.</w:t>
      </w:r>
    </w:p>
    <w:p w:rsidR="00B04B82" w:rsidRPr="00B04B82" w:rsidRDefault="00B04B82" w:rsidP="00B04B82"/>
    <w:p w:rsidR="00296032" w:rsidRPr="00296032" w:rsidRDefault="00296032">
      <w:pPr>
        <w:pStyle w:val="paragraaf"/>
        <w:rPr>
          <w:rFonts w:cs="Arial"/>
        </w:rPr>
      </w:pPr>
      <w:bookmarkStart w:id="391" w:name="_Toc431375792"/>
      <w:bookmarkStart w:id="392" w:name="Titaandioxideinstallatie"/>
      <w:r w:rsidRPr="00296032">
        <w:rPr>
          <w:rFonts w:cs="Arial"/>
        </w:rPr>
        <w:t>§ 5.1.3</w:t>
      </w:r>
      <w:r w:rsidR="00C667E9">
        <w:rPr>
          <w:rFonts w:cs="Arial"/>
        </w:rPr>
        <w:t>.</w:t>
      </w:r>
      <w:r w:rsidR="00C667E9">
        <w:rPr>
          <w:rFonts w:cs="Arial"/>
        </w:rPr>
        <w:tab/>
      </w:r>
      <w:r w:rsidRPr="00296032">
        <w:rPr>
          <w:rFonts w:cs="Arial"/>
        </w:rPr>
        <w:t>Installatie voor de productie van titaandioxide</w:t>
      </w:r>
      <w:bookmarkEnd w:id="391"/>
    </w:p>
    <w:bookmarkEnd w:id="392"/>
    <w:p w:rsidR="00296032" w:rsidRPr="00296032" w:rsidRDefault="00296032">
      <w:pPr>
        <w:pStyle w:val="artikelkop"/>
        <w:rPr>
          <w:rFonts w:cs="Arial"/>
        </w:rPr>
      </w:pPr>
      <w:r w:rsidRPr="00296032">
        <w:rPr>
          <w:rFonts w:cs="Arial"/>
        </w:rPr>
        <w:t>Artikel 5.31</w:t>
      </w:r>
    </w:p>
    <w:p w:rsidR="00296032" w:rsidRPr="00620047" w:rsidRDefault="00296032">
      <w:pPr>
        <w:pStyle w:val="artplat"/>
        <w:rPr>
          <w:rFonts w:cs="Arial"/>
        </w:rPr>
      </w:pPr>
      <w:r w:rsidRPr="00620047">
        <w:rPr>
          <w:rFonts w:cs="Arial"/>
        </w:rPr>
        <w:t>Deze paragraaf is van toepassing op het in werking hebben van een IPPC-installatie voor de productie van titaandioxide.</w:t>
      </w:r>
    </w:p>
    <w:p w:rsidR="00296032" w:rsidRPr="00296032" w:rsidRDefault="00296032">
      <w:pPr>
        <w:pStyle w:val="artikelkop"/>
        <w:rPr>
          <w:rFonts w:cs="Arial"/>
        </w:rPr>
      </w:pPr>
      <w:r w:rsidRPr="00296032">
        <w:rPr>
          <w:rFonts w:cs="Arial"/>
        </w:rPr>
        <w:t>Artikel 5.32</w:t>
      </w:r>
    </w:p>
    <w:p w:rsidR="00296032" w:rsidRPr="00620047" w:rsidRDefault="00296032">
      <w:pPr>
        <w:pStyle w:val="artplat"/>
        <w:rPr>
          <w:rFonts w:cs="Arial"/>
        </w:rPr>
      </w:pPr>
      <w:r w:rsidRPr="00620047">
        <w:rPr>
          <w:rFonts w:cs="Arial"/>
        </w:rPr>
        <w:t>Het is verboden de volgende afvalstoffen te brengen in het oppervlaktewater, het grondwater of het zeewater:</w:t>
      </w:r>
    </w:p>
    <w:p w:rsidR="00296032" w:rsidRPr="00620047" w:rsidRDefault="00296032">
      <w:pPr>
        <w:pStyle w:val="artplatletter"/>
        <w:rPr>
          <w:rFonts w:cs="Arial"/>
        </w:rPr>
      </w:pPr>
      <w:r w:rsidRPr="00620047">
        <w:rPr>
          <w:rFonts w:cs="Arial"/>
        </w:rPr>
        <w:t>a.</w:t>
      </w:r>
      <w:r w:rsidRPr="00620047">
        <w:rPr>
          <w:rFonts w:cs="Arial"/>
        </w:rPr>
        <w:tab/>
        <w:t>vaste afvalstoffen;</w:t>
      </w:r>
    </w:p>
    <w:p w:rsidR="00296032" w:rsidRPr="00620047" w:rsidRDefault="00296032">
      <w:pPr>
        <w:pStyle w:val="artplatletter"/>
        <w:rPr>
          <w:rFonts w:cs="Arial"/>
        </w:rPr>
      </w:pPr>
      <w:r w:rsidRPr="00620047">
        <w:rPr>
          <w:rFonts w:cs="Arial"/>
        </w:rPr>
        <w:t>b.</w:t>
      </w:r>
      <w:r w:rsidRPr="00620047">
        <w:rPr>
          <w:rFonts w:cs="Arial"/>
        </w:rPr>
        <w:tab/>
        <w:t>moederlogen afkomstig uit de filtratiefase na de hydrolyse van de oplossing van titanylsulfaat van een installatie die het sulfaatproces toepast, waartoe in elk geval behoren:</w:t>
      </w:r>
    </w:p>
    <w:p w:rsidR="00296032" w:rsidRPr="00620047" w:rsidRDefault="00296032">
      <w:pPr>
        <w:pStyle w:val="art2enivo"/>
        <w:rPr>
          <w:rFonts w:cs="Arial"/>
        </w:rPr>
      </w:pPr>
      <w:r w:rsidRPr="00620047">
        <w:rPr>
          <w:rFonts w:cs="Arial"/>
        </w:rPr>
        <w:t>1°.</w:t>
      </w:r>
      <w:r w:rsidRPr="00620047">
        <w:rPr>
          <w:rFonts w:cs="Arial"/>
        </w:rPr>
        <w:tab/>
        <w:t>zure afvalstoffen die met deze logen zijn gecombineerd en die gemiddeld meer dan 0,5 procent vrij zwavelzuur en verschillende zware metalen bevatten;</w:t>
      </w:r>
    </w:p>
    <w:p w:rsidR="00296032" w:rsidRPr="00620047" w:rsidRDefault="00296032">
      <w:pPr>
        <w:pStyle w:val="art2enivo"/>
        <w:rPr>
          <w:rFonts w:cs="Arial"/>
        </w:rPr>
      </w:pPr>
      <w:r w:rsidRPr="00620047">
        <w:rPr>
          <w:rFonts w:cs="Arial"/>
        </w:rPr>
        <w:t>2°.</w:t>
      </w:r>
      <w:r w:rsidRPr="00620047">
        <w:rPr>
          <w:rFonts w:cs="Arial"/>
        </w:rPr>
        <w:tab/>
        <w:t>die moederlogen welke zijn verdund tot ze 0,5 procent of minder vrij zwavelzuur bevatten;</w:t>
      </w:r>
    </w:p>
    <w:p w:rsidR="00296032" w:rsidRPr="00620047" w:rsidRDefault="00296032">
      <w:pPr>
        <w:pStyle w:val="artplatletter"/>
        <w:rPr>
          <w:rFonts w:cs="Arial"/>
        </w:rPr>
      </w:pPr>
      <w:r w:rsidRPr="00620047">
        <w:rPr>
          <w:rFonts w:cs="Arial"/>
        </w:rPr>
        <w:t>c.</w:t>
      </w:r>
      <w:r w:rsidRPr="00620047">
        <w:rPr>
          <w:rFonts w:cs="Arial"/>
        </w:rPr>
        <w:tab/>
        <w:t>afvalstoffen afkomstig van een installatie die het chlorideproces toepast en die meer dan 0,5 procent vrij zoutzuur en verschillende zware metalen bevatten, waartoe in elk geval behoren: afvalstoffen die zijn verdund tot ze 0,5 procent of minder vrij zoutzuur bevatten;</w:t>
      </w:r>
    </w:p>
    <w:p w:rsidR="00296032" w:rsidRPr="00620047" w:rsidRDefault="00296032">
      <w:pPr>
        <w:pStyle w:val="artplatletter"/>
        <w:rPr>
          <w:rFonts w:cs="Arial"/>
        </w:rPr>
      </w:pPr>
      <w:r w:rsidRPr="00620047">
        <w:rPr>
          <w:rFonts w:cs="Arial"/>
        </w:rPr>
        <w:t>d.</w:t>
      </w:r>
      <w:r w:rsidRPr="00620047">
        <w:rPr>
          <w:rFonts w:cs="Arial"/>
        </w:rPr>
        <w:tab/>
        <w:t>filterzouten en slibvormige en vloeibare afvalstoffen die vrijkomen bij de behandeling, in de vorm van concentratie of neutralisatie, van de onder b en c genoemde afvalstoffen en die verschillende zware metalen bevatten, uitgezonderd geneutraliseerde en gefilterde of gedecanteerde afvalstoffen die slechts sporen van zware metalen bevatten en die, vóór enigerlei verdunning, een pH-waarde van meer dan 5,5 hebben.</w:t>
      </w:r>
    </w:p>
    <w:p w:rsidR="00296032" w:rsidRPr="00296032" w:rsidRDefault="00296032">
      <w:pPr>
        <w:pStyle w:val="artikelkop"/>
        <w:rPr>
          <w:rFonts w:cs="Arial"/>
        </w:rPr>
      </w:pPr>
      <w:r w:rsidRPr="00296032">
        <w:rPr>
          <w:rFonts w:cs="Arial"/>
        </w:rPr>
        <w:t>Artikel 5.33</w:t>
      </w:r>
    </w:p>
    <w:p w:rsidR="00296032" w:rsidRPr="00620047" w:rsidRDefault="00296032">
      <w:pPr>
        <w:pStyle w:val="artplat"/>
        <w:rPr>
          <w:rFonts w:cs="Arial"/>
        </w:rPr>
      </w:pPr>
      <w:r w:rsidRPr="00620047">
        <w:rPr>
          <w:rFonts w:cs="Arial"/>
        </w:rPr>
        <w:t>De emissies in het oppervlaktewater, het grondwater of het zeewater afkomstig van een installatie die het sulfaatproces toepast, overschrijden de emissiegrenswaarden van tabel 5.33 niet.</w:t>
      </w:r>
    </w:p>
    <w:p w:rsidR="00296032" w:rsidRPr="00620047" w:rsidRDefault="00296032">
      <w:pPr>
        <w:pStyle w:val="tabelkop"/>
        <w:rPr>
          <w:rFonts w:cs="Arial"/>
        </w:rPr>
      </w:pPr>
      <w:r w:rsidRPr="00620047">
        <w:rPr>
          <w:rFonts w:cs="Arial"/>
        </w:rPr>
        <w:t>Tabel 5.33</w:t>
      </w:r>
    </w:p>
    <w:tbl>
      <w:tblPr>
        <w:tblStyle w:val="Tabelraster"/>
        <w:tblW w:w="0" w:type="auto"/>
        <w:tblInd w:w="0" w:type="dxa"/>
        <w:tblLook w:val="04A0" w:firstRow="1" w:lastRow="0" w:firstColumn="1" w:lastColumn="0" w:noHBand="0" w:noVBand="1"/>
      </w:tblPr>
      <w:tblGrid>
        <w:gridCol w:w="2266"/>
        <w:gridCol w:w="5368"/>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Sulfaat</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100 kg/ton geproduceerde titaandioxide (kalenderjaargemiddelde)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554"/>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Onopgeloste bestanddelen</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2,5 kg/ton geproduceerde titaandioxide (kalenderjaargemiddelde)</w:t>
            </w:r>
          </w:p>
          <w:p w:rsidR="00296032" w:rsidRPr="00620047" w:rsidRDefault="00296032">
            <w:pPr>
              <w:pStyle w:val="Tabeltekst"/>
            </w:pPr>
            <w:r w:rsidRPr="00620047">
              <w:rPr>
                <w:b w:val="0"/>
              </w:rPr>
              <w:t>400 mg/l (daggemiddelde)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593"/>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IJzerverbindingen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0,6 kg/ton geproduceerde titaandioxide (kalenderjaargemiddelde)</w:t>
            </w:r>
          </w:p>
          <w:p w:rsidR="00296032" w:rsidRPr="00620047" w:rsidRDefault="00296032">
            <w:pPr>
              <w:pStyle w:val="Tabeltekst"/>
            </w:pPr>
            <w:r w:rsidRPr="00620047">
              <w:rPr>
                <w:b w:val="0"/>
              </w:rPr>
              <w:t>150 mg/l (daggemiddelde)</w:t>
            </w:r>
          </w:p>
        </w:tc>
      </w:tr>
    </w:tbl>
    <w:p w:rsidR="00296032" w:rsidRPr="00296032" w:rsidRDefault="00296032">
      <w:pPr>
        <w:pStyle w:val="artikelkop"/>
        <w:rPr>
          <w:rFonts w:cs="Arial"/>
        </w:rPr>
      </w:pPr>
      <w:r w:rsidRPr="00296032">
        <w:rPr>
          <w:rFonts w:cs="Arial"/>
        </w:rPr>
        <w:t>Artikel 5.34</w:t>
      </w:r>
    </w:p>
    <w:p w:rsidR="00296032" w:rsidRPr="00620047" w:rsidRDefault="00296032">
      <w:pPr>
        <w:pStyle w:val="art1enivo"/>
        <w:rPr>
          <w:rFonts w:cs="Arial"/>
        </w:rPr>
      </w:pPr>
      <w:r w:rsidRPr="00620047">
        <w:rPr>
          <w:rFonts w:cs="Arial"/>
        </w:rPr>
        <w:t>1.</w:t>
      </w:r>
      <w:r w:rsidRPr="00620047">
        <w:rPr>
          <w:rFonts w:cs="Arial"/>
        </w:rPr>
        <w:tab/>
        <w:t>De emissies in het oppervlaktewater, het grondwater of het zeewater van een installatie die het chlorideproces toepast, overschrijden de emissiegrenswaarden van tabel 5.34 niet.</w:t>
      </w:r>
    </w:p>
    <w:p w:rsidR="00296032" w:rsidRPr="00620047" w:rsidRDefault="00296032">
      <w:pPr>
        <w:pStyle w:val="tabelkop"/>
        <w:rPr>
          <w:rFonts w:cs="Arial"/>
        </w:rPr>
      </w:pPr>
      <w:r w:rsidRPr="00620047">
        <w:rPr>
          <w:rFonts w:cs="Arial"/>
        </w:rPr>
        <w:t>Tabel 5.34</w:t>
      </w:r>
    </w:p>
    <w:tbl>
      <w:tblPr>
        <w:tblStyle w:val="Tabelraster"/>
        <w:tblW w:w="0" w:type="auto"/>
        <w:tblInd w:w="0" w:type="dxa"/>
        <w:tblLook w:val="04A0" w:firstRow="1" w:lastRow="0" w:firstColumn="1" w:lastColumn="0" w:noHBand="0" w:noVBand="1"/>
      </w:tblPr>
      <w:tblGrid>
        <w:gridCol w:w="3574"/>
        <w:gridCol w:w="5491"/>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357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Chloride</w:t>
            </w:r>
          </w:p>
        </w:tc>
        <w:tc>
          <w:tcPr>
            <w:tcW w:w="549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357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Bij gebruik van natuurlijk rutiel</w:t>
            </w:r>
          </w:p>
        </w:tc>
        <w:tc>
          <w:tcPr>
            <w:tcW w:w="549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130 kg/ton geproduceerde titaandioxide (kalenderjaargemiddelde)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357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Bij gebruik van synthetisch rutiel</w:t>
            </w:r>
          </w:p>
        </w:tc>
        <w:tc>
          <w:tcPr>
            <w:tcW w:w="549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228 kg/ton geproduceerde titaandioxide (kalenderjaargemiddelde)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357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 xml:space="preserve">Bij gebruik van slakken voor emissies in zeewater </w:t>
            </w:r>
          </w:p>
        </w:tc>
        <w:tc>
          <w:tcPr>
            <w:tcW w:w="549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450 kg/ton geproduceerde titaandioxide (kalenderjaargemiddelde)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3574"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Bij gebruik van slakken voor emissies in oppervlaktewater</w:t>
            </w:r>
          </w:p>
        </w:tc>
        <w:tc>
          <w:tcPr>
            <w:tcW w:w="5491" w:type="dxa"/>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330 kg/ton geproduceerde titaandioxide (kalenderjaargemiddelde)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270"/>
          <w:tblHeader/>
        </w:trPr>
        <w:tc>
          <w:tcPr>
            <w:tcW w:w="3574"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Onopgeloste bestanddelen</w:t>
            </w:r>
          </w:p>
        </w:tc>
        <w:tc>
          <w:tcPr>
            <w:tcW w:w="5491"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2,5 kg/ton geproduceerde titaandioxide (kalenderjaargemiddelde)</w:t>
            </w:r>
          </w:p>
          <w:p w:rsidR="00296032" w:rsidRPr="00620047" w:rsidRDefault="00296032">
            <w:pPr>
              <w:pStyle w:val="Tabeltekst"/>
            </w:pPr>
            <w:r w:rsidRPr="00620047">
              <w:rPr>
                <w:b w:val="0"/>
              </w:rPr>
              <w:t>400 mg/l (daggemiddelde)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315"/>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szCs w:val="17"/>
                <w:lang w:eastAsia="en-US"/>
              </w:rPr>
            </w:pPr>
          </w:p>
        </w:tc>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szCs w:val="17"/>
                <w:lang w:eastAsia="en-US"/>
              </w:rPr>
            </w:pP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270"/>
          <w:tblHeader/>
        </w:trPr>
        <w:tc>
          <w:tcPr>
            <w:tcW w:w="3574"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t>IJzerverbindingen </w:t>
            </w:r>
          </w:p>
        </w:tc>
        <w:tc>
          <w:tcPr>
            <w:tcW w:w="5491" w:type="dxa"/>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0,6 kg/ton geproduceerde titaandioxide (kalenderjaargemiddelde)</w:t>
            </w:r>
          </w:p>
          <w:p w:rsidR="00296032" w:rsidRPr="00620047" w:rsidRDefault="00296032">
            <w:pPr>
              <w:pStyle w:val="Tabeltekst"/>
            </w:pPr>
            <w:r w:rsidRPr="00620047">
              <w:rPr>
                <w:b w:val="0"/>
              </w:rPr>
              <w:t>150 mg/l (daggemiddelde)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315"/>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szCs w:val="17"/>
                <w:lang w:eastAsia="en-US"/>
              </w:rPr>
            </w:pPr>
          </w:p>
        </w:tc>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szCs w:val="17"/>
                <w:lang w:eastAsia="en-US"/>
              </w:rPr>
            </w:pPr>
          </w:p>
        </w:tc>
      </w:tr>
    </w:tbl>
    <w:p w:rsidR="00296032" w:rsidRPr="00620047" w:rsidRDefault="00296032">
      <w:pPr>
        <w:pStyle w:val="art1enivo"/>
        <w:rPr>
          <w:rFonts w:cs="Arial"/>
        </w:rPr>
      </w:pPr>
      <w:r w:rsidRPr="00620047">
        <w:rPr>
          <w:rFonts w:cs="Arial"/>
        </w:rPr>
        <w:t>2.</w:t>
      </w:r>
      <w:r w:rsidRPr="00620047">
        <w:rPr>
          <w:rFonts w:cs="Arial"/>
        </w:rPr>
        <w:tab/>
        <w:t>Voor een installatie die het chlorideproces toepast en die meer dan één soort van de in de eerste kolom van tabel 5.34 genoemde grondstoffen gebruikt, gelden de voor die grondstoffen genoemde emissiegrenswaarden naar evenredigheid van de hoeveelheden waarin deze grondstoffen worden gebruikt.</w:t>
      </w:r>
    </w:p>
    <w:p w:rsidR="00296032" w:rsidRPr="00296032" w:rsidRDefault="00296032">
      <w:pPr>
        <w:pStyle w:val="artikelkop"/>
        <w:rPr>
          <w:rFonts w:cs="Arial"/>
        </w:rPr>
      </w:pPr>
      <w:r w:rsidRPr="00296032">
        <w:rPr>
          <w:rFonts w:cs="Arial"/>
        </w:rPr>
        <w:t>Artikel 5.35</w:t>
      </w:r>
    </w:p>
    <w:p w:rsidR="00296032" w:rsidRPr="00620047" w:rsidRDefault="00296032">
      <w:pPr>
        <w:pStyle w:val="artplat"/>
        <w:rPr>
          <w:rFonts w:cs="Arial"/>
        </w:rPr>
      </w:pPr>
      <w:r w:rsidRPr="00620047">
        <w:rPr>
          <w:rFonts w:cs="Arial"/>
        </w:rPr>
        <w:t>Degene die de inrichting drijft, draagt er zorg voor dat de emissie van zuurdruppels in de lucht wordt voorkomen.</w:t>
      </w:r>
    </w:p>
    <w:p w:rsidR="00296032" w:rsidRPr="00296032" w:rsidRDefault="00296032">
      <w:pPr>
        <w:pStyle w:val="artikelkop"/>
        <w:rPr>
          <w:rFonts w:cs="Arial"/>
        </w:rPr>
      </w:pPr>
      <w:r w:rsidRPr="00296032">
        <w:rPr>
          <w:rFonts w:cs="Arial"/>
        </w:rPr>
        <w:t>Artikel 5.36</w:t>
      </w:r>
    </w:p>
    <w:p w:rsidR="00296032" w:rsidRPr="00620047" w:rsidRDefault="00296032">
      <w:pPr>
        <w:pStyle w:val="artplat"/>
        <w:rPr>
          <w:rFonts w:cs="Arial"/>
        </w:rPr>
      </w:pPr>
      <w:r w:rsidRPr="00620047">
        <w:rPr>
          <w:rFonts w:cs="Arial"/>
        </w:rPr>
        <w:t>De emissies in de lucht overschrijden de emissiegrenswaarden van tabel 5.36 niet.</w:t>
      </w:r>
    </w:p>
    <w:p w:rsidR="00296032" w:rsidRPr="00620047" w:rsidRDefault="00296032">
      <w:pPr>
        <w:pStyle w:val="tabelkop"/>
        <w:rPr>
          <w:rFonts w:cs="Arial"/>
        </w:rPr>
      </w:pPr>
      <w:r w:rsidRPr="00620047">
        <w:rPr>
          <w:rFonts w:cs="Arial"/>
        </w:rPr>
        <w:t>Tabel 5.36</w:t>
      </w:r>
    </w:p>
    <w:tbl>
      <w:tblPr>
        <w:tblStyle w:val="Tabelraster"/>
        <w:tblW w:w="0" w:type="auto"/>
        <w:tblInd w:w="0" w:type="dxa"/>
        <w:tblLook w:val="04A0" w:firstRow="1" w:lastRow="0" w:firstColumn="1" w:lastColumn="0" w:noHBand="0" w:noVBand="1"/>
      </w:tblPr>
      <w:tblGrid>
        <w:gridCol w:w="3586"/>
        <w:gridCol w:w="5318"/>
      </w:tblGrid>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Totaal stof</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0,2 kg/ton geproduceerde titaandioxide (kalenderjaargemiddelde)</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Massastroom ≥200 g/uur</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5 mg/Nm</w:t>
            </w:r>
            <w:r w:rsidRPr="00620047">
              <w:rPr>
                <w:b w:val="0"/>
                <w:vertAlign w:val="superscript"/>
              </w:rPr>
              <w:t>3</w:t>
            </w:r>
            <w:r w:rsidRPr="00620047">
              <w:rPr>
                <w:b w:val="0"/>
              </w:rPr>
              <w:t xml:space="preserve"> (uurgemiddelde)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Massastroom &lt;200 g/uur</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20 mg/Nm</w:t>
            </w:r>
            <w:r w:rsidRPr="00620047">
              <w:rPr>
                <w:b w:val="0"/>
                <w:vertAlign w:val="superscript"/>
              </w:rPr>
              <w:t>3</w:t>
            </w:r>
            <w:r w:rsidRPr="00620047">
              <w:rPr>
                <w:b w:val="0"/>
              </w:rPr>
              <w:t xml:space="preserve"> (uurgemiddelde) </w:t>
            </w:r>
          </w:p>
        </w:tc>
      </w:tr>
      <w:tr w:rsidR="00296032" w:rsidRPr="0062004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 </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247"/>
          <w:tblHeader/>
        </w:trPr>
        <w:tc>
          <w:tcPr>
            <w:tcW w:w="0" w:type="auto"/>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Gasvormig zwaveldioxide en zwaveltrioxide</w:t>
            </w:r>
          </w:p>
        </w:tc>
        <w:tc>
          <w:tcPr>
            <w:tcW w:w="0" w:type="auto"/>
            <w:vMerge w:val="restart"/>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1,7 kg/ton geproduceerde titaandioxide (kalenderjaargemiddelde)</w:t>
            </w:r>
          </w:p>
          <w:p w:rsidR="00296032" w:rsidRPr="00620047" w:rsidRDefault="00296032">
            <w:pPr>
              <w:pStyle w:val="Tabeltekst"/>
            </w:pPr>
            <w:r w:rsidRPr="00620047">
              <w:rPr>
                <w:b w:val="0"/>
              </w:rPr>
              <w:t>50 mg/Nm</w:t>
            </w:r>
            <w:r w:rsidRPr="00620047">
              <w:rPr>
                <w:b w:val="0"/>
                <w:vertAlign w:val="superscript"/>
              </w:rPr>
              <w:t>3</w:t>
            </w:r>
            <w:r w:rsidRPr="00620047">
              <w:rPr>
                <w:b w:val="0"/>
              </w:rPr>
              <w:t xml:space="preserve"> (uurgemiddelde) </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287"/>
          <w:tblHeader/>
        </w:trPr>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szCs w:val="17"/>
                <w:lang w:eastAsia="en-US"/>
              </w:rPr>
            </w:pPr>
          </w:p>
        </w:tc>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296032" w:rsidRPr="00620047" w:rsidRDefault="00296032">
            <w:pPr>
              <w:spacing w:line="240" w:lineRule="auto"/>
              <w:rPr>
                <w:szCs w:val="17"/>
                <w:lang w:eastAsia="en-US"/>
              </w:rPr>
            </w:pPr>
          </w:p>
        </w:tc>
      </w:tr>
    </w:tbl>
    <w:p w:rsidR="00296032" w:rsidRPr="00296032" w:rsidRDefault="00296032">
      <w:pPr>
        <w:pStyle w:val="artikelkop"/>
        <w:rPr>
          <w:rFonts w:cs="Arial"/>
        </w:rPr>
      </w:pPr>
      <w:r w:rsidRPr="00296032">
        <w:rPr>
          <w:rFonts w:cs="Arial"/>
        </w:rPr>
        <w:t>Artikel 5.37</w:t>
      </w:r>
    </w:p>
    <w:p w:rsidR="00296032" w:rsidRPr="00620047" w:rsidRDefault="00296032">
      <w:pPr>
        <w:pStyle w:val="artplat"/>
        <w:rPr>
          <w:rFonts w:cs="Arial"/>
        </w:rPr>
      </w:pPr>
      <w:r w:rsidRPr="00620047">
        <w:rPr>
          <w:rFonts w:cs="Arial"/>
        </w:rPr>
        <w:t>De emissies in de lucht van chloor en chloorverbindingen van een installatie die het chlorideproces toepast, overschrijden de emissiegrenswaarden van tabel 5.37 niet.</w:t>
      </w:r>
    </w:p>
    <w:p w:rsidR="00296032" w:rsidRPr="00620047" w:rsidRDefault="00296032">
      <w:pPr>
        <w:pStyle w:val="tabelkop"/>
        <w:rPr>
          <w:rFonts w:cs="Arial"/>
        </w:rPr>
      </w:pPr>
      <w:r w:rsidRPr="00620047">
        <w:rPr>
          <w:rFonts w:cs="Arial"/>
        </w:rPr>
        <w:t>Tabel 5.37</w:t>
      </w:r>
    </w:p>
    <w:tbl>
      <w:tblPr>
        <w:tblStyle w:val="Tabelraster"/>
        <w:tblW w:w="0" w:type="auto"/>
        <w:tblInd w:w="0" w:type="dxa"/>
        <w:tblLook w:val="04A0" w:firstRow="1" w:lastRow="0" w:firstColumn="1" w:lastColumn="0" w:noHBand="0" w:noVBand="1"/>
      </w:tblPr>
      <w:tblGrid>
        <w:gridCol w:w="1345"/>
        <w:gridCol w:w="5318"/>
      </w:tblGrid>
      <w:tr w:rsidR="00296032" w:rsidRPr="00620047">
        <w:trPr>
          <w:cnfStyle w:val="100000000000" w:firstRow="1" w:lastRow="0" w:firstColumn="0" w:lastColumn="0" w:oddVBand="0" w:evenVBand="0" w:oddHBand="0" w:evenHBand="0" w:firstRowFirstColumn="0" w:firstRowLastColumn="0" w:lastRowFirstColumn="0" w:lastRowLastColumn="0"/>
          <w:cantSplit/>
          <w:trHeight w:val="606"/>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Zoutzuur (HCl) </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0,1 kg/ton geproduceerde titaandioxide (kalenderjaargemiddelde)</w:t>
            </w:r>
          </w:p>
          <w:p w:rsidR="00296032" w:rsidRPr="00620047" w:rsidRDefault="00296032">
            <w:pPr>
              <w:pStyle w:val="Tabeltekst"/>
            </w:pPr>
            <w:r w:rsidRPr="00620047">
              <w:rPr>
                <w:b w:val="0"/>
              </w:rPr>
              <w:t>10 mg/Nm</w:t>
            </w:r>
            <w:r w:rsidRPr="00620047">
              <w:rPr>
                <w:b w:val="0"/>
                <w:vertAlign w:val="superscript"/>
              </w:rPr>
              <w:t>3</w:t>
            </w:r>
            <w:r w:rsidRPr="00620047">
              <w:rPr>
                <w:b w:val="0"/>
              </w:rPr>
              <w:t xml:space="preserve"> (daggemiddelde)</w:t>
            </w:r>
            <w:r w:rsidR="00244F18">
              <w:rPr>
                <w:b w:val="0"/>
              </w:rPr>
              <w:t xml:space="preserve"> </w:t>
            </w:r>
          </w:p>
        </w:tc>
      </w:tr>
      <w:tr w:rsidR="00296032" w:rsidRPr="00620047">
        <w:trPr>
          <w:cnfStyle w:val="100000000000" w:firstRow="1" w:lastRow="0" w:firstColumn="0" w:lastColumn="0" w:oddVBand="0" w:evenVBand="0" w:oddHBand="0" w:evenHBand="0" w:firstRowFirstColumn="0" w:firstRowLastColumn="0" w:lastRowFirstColumn="0" w:lastRowLastColumn="0"/>
          <w:cantSplit/>
          <w:trHeight w:val="603"/>
          <w:tblHeader/>
        </w:trPr>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Chloor</w:t>
            </w:r>
          </w:p>
        </w:tc>
        <w:tc>
          <w:tcPr>
            <w:tcW w:w="0" w:type="auto"/>
            <w:tcBorders>
              <w:top w:val="single" w:sz="4" w:space="0" w:color="7F7F7F"/>
              <w:left w:val="single" w:sz="4" w:space="0" w:color="7F7F7F"/>
              <w:bottom w:val="single" w:sz="4" w:space="0" w:color="7F7F7F"/>
              <w:right w:val="single" w:sz="4" w:space="0" w:color="7F7F7F"/>
            </w:tcBorders>
            <w:hideMark/>
          </w:tcPr>
          <w:p w:rsidR="00296032" w:rsidRPr="00620047" w:rsidRDefault="00296032">
            <w:pPr>
              <w:pStyle w:val="Tabeltekst"/>
            </w:pPr>
            <w:r w:rsidRPr="00620047">
              <w:rPr>
                <w:b w:val="0"/>
              </w:rPr>
              <w:t>3 mg/Nm</w:t>
            </w:r>
            <w:r w:rsidRPr="00620047">
              <w:rPr>
                <w:b w:val="0"/>
                <w:vertAlign w:val="superscript"/>
              </w:rPr>
              <w:t>3</w:t>
            </w:r>
            <w:r w:rsidRPr="00620047">
              <w:rPr>
                <w:b w:val="0"/>
              </w:rPr>
              <w:t xml:space="preserve"> (daggemiddelde)</w:t>
            </w:r>
          </w:p>
          <w:p w:rsidR="00296032" w:rsidRPr="00620047" w:rsidRDefault="00296032">
            <w:pPr>
              <w:pStyle w:val="Tabeltekst"/>
            </w:pPr>
            <w:r w:rsidRPr="00620047">
              <w:rPr>
                <w:b w:val="0"/>
              </w:rPr>
              <w:t>40 mg/Nm</w:t>
            </w:r>
            <w:r w:rsidRPr="00620047">
              <w:rPr>
                <w:b w:val="0"/>
                <w:vertAlign w:val="superscript"/>
              </w:rPr>
              <w:t xml:space="preserve">3 </w:t>
            </w:r>
            <w:r w:rsidRPr="00620047">
              <w:rPr>
                <w:b w:val="0"/>
              </w:rPr>
              <w:t xml:space="preserve">(momentane waarde) </w:t>
            </w:r>
          </w:p>
        </w:tc>
      </w:tr>
    </w:tbl>
    <w:p w:rsidR="00296032" w:rsidRPr="00296032" w:rsidRDefault="00296032">
      <w:pPr>
        <w:pStyle w:val="artikelkop"/>
        <w:rPr>
          <w:rFonts w:cs="Arial"/>
        </w:rPr>
      </w:pPr>
      <w:r w:rsidRPr="00296032">
        <w:rPr>
          <w:rFonts w:cs="Arial"/>
        </w:rPr>
        <w:t>Artikel 5.38</w:t>
      </w:r>
    </w:p>
    <w:p w:rsidR="00296032" w:rsidRPr="00620047" w:rsidRDefault="00296032">
      <w:pPr>
        <w:pStyle w:val="artplat"/>
        <w:rPr>
          <w:rFonts w:cs="Arial"/>
        </w:rPr>
      </w:pPr>
      <w:r w:rsidRPr="00620047">
        <w:rPr>
          <w:rFonts w:cs="Arial"/>
        </w:rPr>
        <w:t>De meting van de emissies, waaronder tevens begrepen wordt de berekening, registratie en rapportage van de meting, voldoet aan de bij ministeriële regeling gestelde eisen.</w:t>
      </w:r>
    </w:p>
    <w:p w:rsidR="00296032" w:rsidRPr="00296032" w:rsidRDefault="00296032">
      <w:pPr>
        <w:pStyle w:val="artikelkop"/>
        <w:rPr>
          <w:rFonts w:cs="Arial"/>
        </w:rPr>
      </w:pPr>
      <w:r w:rsidRPr="00296032">
        <w:rPr>
          <w:rFonts w:cs="Arial"/>
        </w:rPr>
        <w:t>Artikel 5.39</w:t>
      </w:r>
    </w:p>
    <w:p w:rsidR="00296032" w:rsidRDefault="00296032">
      <w:pPr>
        <w:pStyle w:val="artplat"/>
        <w:rPr>
          <w:rFonts w:cs="Arial"/>
        </w:rPr>
      </w:pPr>
      <w:r w:rsidRPr="00620047">
        <w:rPr>
          <w:rFonts w:cs="Arial"/>
        </w:rPr>
        <w:t>Voor een IPPC-installatie voor de productie van titaandioxide waarvoor onmiddellijk voorafgaand aan het tijdstip van het van toepassing worden van deze paragraaf op die installatie een omgevingsvergunning op grond van artikel 2.1, eerste lid, aanhef en onder e, van de Wet algemene bepalingen omgevingsrecht of een vergunning op grond van hoofdstuk 6 van de Waterwet was verleend, blijven de voorschriften van die vergunning van toepassing, tenzij de betreffende voorschriften gelijkwaardige of minder strenge emissiegrenswaarden bevatten dan die welke gelden op grond van deze paragraaf.</w:t>
      </w:r>
    </w:p>
    <w:p w:rsidR="00B04B82" w:rsidRDefault="00B04B82">
      <w:pPr>
        <w:pStyle w:val="artplat"/>
        <w:rPr>
          <w:rFonts w:cs="Arial"/>
        </w:rPr>
      </w:pPr>
    </w:p>
    <w:p w:rsidR="00B04B82" w:rsidRPr="00F41CD6" w:rsidRDefault="00B04B82" w:rsidP="00B04B82">
      <w:pPr>
        <w:pStyle w:val="afdeling"/>
        <w:shd w:val="clear" w:color="auto" w:fill="D9D9D9" w:themeFill="background1" w:themeFillShade="D9"/>
      </w:pPr>
      <w:bookmarkStart w:id="393" w:name="_Toc431375793"/>
      <w:r w:rsidRPr="00F41CD6">
        <w:t>AFDELING 5.3. INSTALLATIE VOOR DE PRODUCTIE VAN TITAANDIOXIDE</w:t>
      </w:r>
      <w:bookmarkEnd w:id="393"/>
      <w:r w:rsidRPr="00F41CD6">
        <w:t xml:space="preserve"> </w:t>
      </w:r>
    </w:p>
    <w:p w:rsidR="00B04B82" w:rsidRDefault="00B04B82" w:rsidP="00B04B82">
      <w:pPr>
        <w:pStyle w:val="paragraaf"/>
        <w:shd w:val="clear" w:color="auto" w:fill="D9D9D9" w:themeFill="background1" w:themeFillShade="D9"/>
      </w:pPr>
      <w:bookmarkStart w:id="394" w:name="d16e3081"/>
      <w:bookmarkStart w:id="395" w:name="_Toc431375794"/>
      <w:bookmarkEnd w:id="394"/>
      <w:r>
        <w:t xml:space="preserve">§ 5.3.0. </w:t>
      </w:r>
      <w:r>
        <w:tab/>
        <w:t>Algemeen</w:t>
      </w:r>
      <w:bookmarkEnd w:id="395"/>
      <w:r>
        <w:t xml:space="preserve"> </w:t>
      </w:r>
    </w:p>
    <w:p w:rsidR="00B04B82" w:rsidRDefault="00B04B82" w:rsidP="00B04B82">
      <w:pPr>
        <w:pStyle w:val="artikelkop"/>
        <w:shd w:val="clear" w:color="auto" w:fill="D9D9D9" w:themeFill="background1" w:themeFillShade="D9"/>
      </w:pPr>
      <w:bookmarkStart w:id="396" w:name="d16e3085"/>
      <w:bookmarkEnd w:id="396"/>
      <w:r>
        <w:t xml:space="preserve">Artikel 5.30 </w:t>
      </w:r>
    </w:p>
    <w:p w:rsidR="00B04B82" w:rsidRDefault="00B04B82" w:rsidP="00B04B82">
      <w:pPr>
        <w:pStyle w:val="artplat"/>
        <w:shd w:val="clear" w:color="auto" w:fill="D9D9D9" w:themeFill="background1" w:themeFillShade="D9"/>
        <w:suppressAutoHyphens/>
      </w:pPr>
      <w:r>
        <w:t>De meting van de emissies, waaronder tevens begrepen wordt de berekening, registratie en rapportage van de meting, bedoeld in artikel 5.38 van het besluit, voldoet aan de eisen in de artikelen 5.31 tot en met 5.36</w:t>
      </w:r>
      <w:bookmarkStart w:id="397" w:name="d16e3091"/>
      <w:bookmarkEnd w:id="397"/>
      <w:r>
        <w:t>.</w:t>
      </w:r>
    </w:p>
    <w:p w:rsidR="00B04B82" w:rsidRDefault="00B04B82" w:rsidP="00B04B82">
      <w:pPr>
        <w:pStyle w:val="paragraaf"/>
        <w:shd w:val="clear" w:color="auto" w:fill="D9D9D9" w:themeFill="background1" w:themeFillShade="D9"/>
      </w:pPr>
      <w:bookmarkStart w:id="398" w:name="_Toc431375795"/>
      <w:r>
        <w:t xml:space="preserve">§ 5.3.1 </w:t>
      </w:r>
      <w:r>
        <w:tab/>
        <w:t>Monitoring van emissies</w:t>
      </w:r>
      <w:bookmarkEnd w:id="398"/>
      <w:r>
        <w:t xml:space="preserve"> </w:t>
      </w:r>
    </w:p>
    <w:p w:rsidR="00B04B82" w:rsidRDefault="00B04B82" w:rsidP="00B04B82">
      <w:pPr>
        <w:pStyle w:val="artikelkop"/>
        <w:shd w:val="clear" w:color="auto" w:fill="D9D9D9" w:themeFill="background1" w:themeFillShade="D9"/>
      </w:pPr>
      <w:bookmarkStart w:id="399" w:name="d16e3095"/>
      <w:bookmarkEnd w:id="399"/>
      <w:r>
        <w:t xml:space="preserve">Artikel 5.31 </w:t>
      </w:r>
    </w:p>
    <w:p w:rsidR="00B04B82" w:rsidRDefault="00B04B82" w:rsidP="00B04B82">
      <w:pPr>
        <w:pStyle w:val="art1enivo"/>
        <w:shd w:val="clear" w:color="auto" w:fill="D9D9D9" w:themeFill="background1" w:themeFillShade="D9"/>
        <w:suppressAutoHyphens/>
      </w:pPr>
      <w:r>
        <w:t>1.</w:t>
      </w:r>
      <w:r>
        <w:tab/>
        <w:t>Metingen ter bepaling van de emissies zijn representatief.</w:t>
      </w:r>
    </w:p>
    <w:p w:rsidR="00B04B82" w:rsidRDefault="00B04B82" w:rsidP="00B04B82">
      <w:pPr>
        <w:pStyle w:val="art1enivo"/>
        <w:shd w:val="clear" w:color="auto" w:fill="D9D9D9" w:themeFill="background1" w:themeFillShade="D9"/>
        <w:suppressAutoHyphens/>
      </w:pPr>
      <w:r>
        <w:t>2.</w:t>
      </w:r>
      <w:r>
        <w:tab/>
        <w:t>Alle monitoringresultaten worden op zodanige wijze geregistreerd, verwerkt en gepresenteerd dat het bevoegd gezag kan controleren of voldaan wordt aan de toepasselijke emissiegrenswaarden en andere voorschriften</w:t>
      </w:r>
      <w:bookmarkStart w:id="400" w:name="d16e3110"/>
      <w:bookmarkEnd w:id="400"/>
      <w:r>
        <w:t>.</w:t>
      </w:r>
    </w:p>
    <w:p w:rsidR="00B04B82" w:rsidRDefault="00B04B82" w:rsidP="00B04B82">
      <w:pPr>
        <w:pStyle w:val="artikelkop"/>
        <w:shd w:val="clear" w:color="auto" w:fill="D9D9D9" w:themeFill="background1" w:themeFillShade="D9"/>
      </w:pPr>
      <w:r>
        <w:t xml:space="preserve">Artikel 5.32 </w:t>
      </w:r>
    </w:p>
    <w:p w:rsidR="00B04B82" w:rsidRDefault="00B04B82" w:rsidP="00B04B82">
      <w:pPr>
        <w:pStyle w:val="artplat"/>
        <w:shd w:val="clear" w:color="auto" w:fill="D9D9D9" w:themeFill="background1" w:themeFillShade="D9"/>
        <w:suppressAutoHyphens/>
      </w:pPr>
      <w:r>
        <w:t>De meting van emissies in de lucht omvat:</w:t>
      </w:r>
    </w:p>
    <w:p w:rsidR="00B04B82" w:rsidRDefault="00B04B82" w:rsidP="00B04B82">
      <w:pPr>
        <w:pStyle w:val="artplatletter"/>
        <w:shd w:val="clear" w:color="auto" w:fill="D9D9D9" w:themeFill="background1" w:themeFillShade="D9"/>
        <w:suppressAutoHyphens/>
      </w:pPr>
      <w:r>
        <w:rPr>
          <w:rFonts w:cs="Arial"/>
        </w:rPr>
        <w:t>a.</w:t>
      </w:r>
      <w:r>
        <w:rPr>
          <w:rFonts w:cs="Arial"/>
        </w:rPr>
        <w:tab/>
      </w:r>
      <w:r>
        <w:t xml:space="preserve">een continue meting van de emissieconcentratie van totaal stof afkomstig uit puntbronnen met een massastroom van ≥ 200g/uur; </w:t>
      </w:r>
    </w:p>
    <w:p w:rsidR="00B04B82" w:rsidRDefault="00B04B82" w:rsidP="00B04B82">
      <w:pPr>
        <w:pStyle w:val="artplatletter"/>
        <w:shd w:val="clear" w:color="auto" w:fill="D9D9D9" w:themeFill="background1" w:themeFillShade="D9"/>
        <w:suppressAutoHyphens/>
      </w:pPr>
      <w:r>
        <w:rPr>
          <w:rFonts w:cs="Arial"/>
        </w:rPr>
        <w:t>b.</w:t>
      </w:r>
      <w:r>
        <w:rPr>
          <w:rFonts w:cs="Arial"/>
        </w:rPr>
        <w:tab/>
      </w:r>
      <w:r>
        <w:t xml:space="preserve">een eenmalige meting van de emissieconcentratie van totaal stof afkomstig uit puntbronnen met een massastroom van &lt; 200 g/uur; </w:t>
      </w:r>
    </w:p>
    <w:p w:rsidR="00B04B82" w:rsidRDefault="00B04B82" w:rsidP="00B04B82">
      <w:pPr>
        <w:pStyle w:val="artplatletter"/>
        <w:shd w:val="clear" w:color="auto" w:fill="D9D9D9" w:themeFill="background1" w:themeFillShade="D9"/>
        <w:suppressAutoHyphens/>
      </w:pPr>
      <w:r>
        <w:rPr>
          <w:rFonts w:cs="Arial"/>
        </w:rPr>
        <w:t>c.</w:t>
      </w:r>
      <w:r>
        <w:rPr>
          <w:rFonts w:cs="Arial"/>
        </w:rPr>
        <w:tab/>
      </w:r>
      <w:r>
        <w:t>indien de IPPC-installatie gebruik maakt van het sulfaatproces: een continue meting van de emissieconcentratie van gasvormig zwaveldioxide (SO</w:t>
      </w:r>
      <w:r>
        <w:rPr>
          <w:vertAlign w:val="subscript"/>
        </w:rPr>
        <w:t>2</w:t>
      </w:r>
      <w:r>
        <w:t>) en zwaveltrioxide (SO</w:t>
      </w:r>
      <w:r>
        <w:rPr>
          <w:vertAlign w:val="subscript"/>
        </w:rPr>
        <w:t>3</w:t>
      </w:r>
      <w:r>
        <w:t xml:space="preserve">) afkomstig van de ontsluiting en roosting uit inrichtingen voor de concentratie van afvalzuren; </w:t>
      </w:r>
    </w:p>
    <w:p w:rsidR="00B04B82" w:rsidRDefault="00B04B82" w:rsidP="00B04B82">
      <w:pPr>
        <w:pStyle w:val="artplatletter"/>
        <w:shd w:val="clear" w:color="auto" w:fill="D9D9D9" w:themeFill="background1" w:themeFillShade="D9"/>
        <w:suppressAutoHyphens/>
      </w:pPr>
      <w:r>
        <w:rPr>
          <w:rFonts w:cs="Arial"/>
        </w:rPr>
        <w:t>d.</w:t>
      </w:r>
      <w:r>
        <w:rPr>
          <w:rFonts w:cs="Arial"/>
        </w:rPr>
        <w:tab/>
      </w:r>
      <w:r>
        <w:t xml:space="preserve">indien de IPPC-installatie gebruik maakt van het chlorideproces: </w:t>
      </w:r>
    </w:p>
    <w:p w:rsidR="00B04B82" w:rsidRDefault="00B04B82" w:rsidP="00B04B82">
      <w:pPr>
        <w:pStyle w:val="art2enivo"/>
        <w:shd w:val="clear" w:color="auto" w:fill="D9D9D9" w:themeFill="background1" w:themeFillShade="D9"/>
        <w:suppressAutoHyphens/>
      </w:pPr>
      <w:r>
        <w:rPr>
          <w:rFonts w:cs="Arial"/>
        </w:rPr>
        <w:t>1°.</w:t>
      </w:r>
      <w:r>
        <w:rPr>
          <w:rFonts w:cs="Arial"/>
        </w:rPr>
        <w:tab/>
      </w:r>
      <w:r>
        <w:t xml:space="preserve">een eenmalige meting van de emissieconcentratie van gasvormig zwaveldioxide en zwaveltrioxide; </w:t>
      </w:r>
    </w:p>
    <w:p w:rsidR="00B04B82" w:rsidRDefault="00B04B82" w:rsidP="00B04B82">
      <w:pPr>
        <w:pStyle w:val="art2enivo"/>
        <w:shd w:val="clear" w:color="auto" w:fill="D9D9D9" w:themeFill="background1" w:themeFillShade="D9"/>
        <w:suppressAutoHyphens/>
      </w:pPr>
      <w:r>
        <w:rPr>
          <w:rFonts w:cs="Arial"/>
        </w:rPr>
        <w:t>2°.</w:t>
      </w:r>
      <w:r>
        <w:rPr>
          <w:rFonts w:cs="Arial"/>
        </w:rPr>
        <w:tab/>
      </w:r>
      <w:r>
        <w:t xml:space="preserve">een continue meting van de emissieconcentratie van chloor afkomstig uit de voornaamste bronnen; </w:t>
      </w:r>
    </w:p>
    <w:p w:rsidR="00B04B82" w:rsidRDefault="00B04B82" w:rsidP="00B04B82">
      <w:pPr>
        <w:pStyle w:val="art2enivo"/>
        <w:shd w:val="clear" w:color="auto" w:fill="D9D9D9" w:themeFill="background1" w:themeFillShade="D9"/>
        <w:suppressAutoHyphens/>
      </w:pPr>
      <w:r>
        <w:rPr>
          <w:rFonts w:cs="Arial"/>
        </w:rPr>
        <w:t>3°.</w:t>
      </w:r>
      <w:r>
        <w:rPr>
          <w:rFonts w:cs="Arial"/>
        </w:rPr>
        <w:tab/>
      </w:r>
      <w:r>
        <w:t>om het jaar een periodieke meting van de emissieconcentratie van zoutzuur</w:t>
      </w:r>
      <w:bookmarkStart w:id="401" w:name="d16e3159"/>
      <w:bookmarkEnd w:id="401"/>
      <w:r>
        <w:t>.</w:t>
      </w:r>
    </w:p>
    <w:p w:rsidR="00B04B82" w:rsidRDefault="00B04B82" w:rsidP="00B04B82">
      <w:pPr>
        <w:pStyle w:val="artikelkop"/>
        <w:shd w:val="clear" w:color="auto" w:fill="D9D9D9" w:themeFill="background1" w:themeFillShade="D9"/>
      </w:pPr>
      <w:r>
        <w:t xml:space="preserve">Artikel 5.33 </w:t>
      </w:r>
    </w:p>
    <w:p w:rsidR="00B04B82" w:rsidRDefault="00B04B82" w:rsidP="00B04B82">
      <w:pPr>
        <w:pStyle w:val="artplat"/>
        <w:shd w:val="clear" w:color="auto" w:fill="D9D9D9" w:themeFill="background1" w:themeFillShade="D9"/>
        <w:suppressAutoHyphens/>
      </w:pPr>
      <w:r>
        <w:t xml:space="preserve">Op het punt waar het afvalwater wordt geloosd worden ten minste om de zes maanden periodieke metingen uitgevoerd van een met het debiet evenredige steekproef over een periode van 24 uur van: </w:t>
      </w:r>
    </w:p>
    <w:p w:rsidR="00B04B82" w:rsidRDefault="00B04B82" w:rsidP="00B04B82">
      <w:pPr>
        <w:pStyle w:val="artplatletter"/>
        <w:shd w:val="clear" w:color="auto" w:fill="D9D9D9" w:themeFill="background1" w:themeFillShade="D9"/>
        <w:suppressAutoHyphens/>
      </w:pPr>
      <w:r>
        <w:rPr>
          <w:rFonts w:cs="Arial"/>
        </w:rPr>
        <w:t>a.</w:t>
      </w:r>
      <w:r>
        <w:rPr>
          <w:rFonts w:cs="Arial"/>
        </w:rPr>
        <w:tab/>
      </w:r>
      <w:r>
        <w:t xml:space="preserve">onopgeloste bestanddelen; </w:t>
      </w:r>
    </w:p>
    <w:p w:rsidR="00B04B82" w:rsidRDefault="00B04B82" w:rsidP="00B04B82">
      <w:pPr>
        <w:pStyle w:val="artplatletter"/>
        <w:shd w:val="clear" w:color="auto" w:fill="D9D9D9" w:themeFill="background1" w:themeFillShade="D9"/>
        <w:suppressAutoHyphens/>
      </w:pPr>
      <w:r>
        <w:t>b.</w:t>
      </w:r>
      <w:r>
        <w:tab/>
        <w:t xml:space="preserve">ijzerverbindingen; </w:t>
      </w:r>
    </w:p>
    <w:p w:rsidR="00B04B82" w:rsidRDefault="00B04B82" w:rsidP="00B04B82">
      <w:pPr>
        <w:pStyle w:val="artplatletter"/>
        <w:shd w:val="clear" w:color="auto" w:fill="D9D9D9" w:themeFill="background1" w:themeFillShade="D9"/>
        <w:suppressAutoHyphens/>
      </w:pPr>
      <w:r>
        <w:t>c.</w:t>
      </w:r>
      <w:r>
        <w:tab/>
        <w:t xml:space="preserve">sulfaat, indien de IPPC-installatie gebruik maakt van het sulfaatproces; </w:t>
      </w:r>
    </w:p>
    <w:p w:rsidR="00B04B82" w:rsidRDefault="00B04B82" w:rsidP="00B04B82">
      <w:pPr>
        <w:pStyle w:val="artplatletter"/>
        <w:shd w:val="clear" w:color="auto" w:fill="D9D9D9" w:themeFill="background1" w:themeFillShade="D9"/>
        <w:suppressAutoHyphens/>
      </w:pPr>
      <w:r>
        <w:t>d.</w:t>
      </w:r>
      <w:r>
        <w:tab/>
        <w:t xml:space="preserve">chloride, indien de IPPC-installatie gebruik maakt van het chlorideproces; </w:t>
      </w:r>
    </w:p>
    <w:p w:rsidR="00B04B82" w:rsidRDefault="00B04B82" w:rsidP="00B04B82">
      <w:pPr>
        <w:pStyle w:val="artplatletter"/>
        <w:shd w:val="clear" w:color="auto" w:fill="D9D9D9" w:themeFill="background1" w:themeFillShade="D9"/>
        <w:suppressAutoHyphens/>
      </w:pPr>
      <w:r>
        <w:t>e.</w:t>
      </w:r>
      <w:r>
        <w:tab/>
        <w:t>de zuurgraad (pH)</w:t>
      </w:r>
      <w:bookmarkStart w:id="402" w:name="d16e3191"/>
      <w:bookmarkEnd w:id="402"/>
      <w:r>
        <w:t>.</w:t>
      </w:r>
    </w:p>
    <w:p w:rsidR="00B04B82" w:rsidRDefault="00B04B82" w:rsidP="00B04B82">
      <w:pPr>
        <w:pStyle w:val="artikelkop"/>
        <w:shd w:val="clear" w:color="auto" w:fill="D9D9D9" w:themeFill="background1" w:themeFillShade="D9"/>
      </w:pPr>
      <w:r>
        <w:t xml:space="preserve">Artikel 5.34 </w:t>
      </w:r>
    </w:p>
    <w:p w:rsidR="00B04B82" w:rsidRDefault="00B04B82" w:rsidP="00B04B82">
      <w:pPr>
        <w:pStyle w:val="artplat"/>
        <w:shd w:val="clear" w:color="auto" w:fill="D9D9D9" w:themeFill="background1" w:themeFillShade="D9"/>
        <w:suppressAutoHyphens/>
      </w:pPr>
      <w:r>
        <w:t>Jaarlijks voor 1 maart wordt aan het bevoegd gezag opgave gedaan van de productie van titaandioxide over het daaraan voorafgaande kalenderjaar</w:t>
      </w:r>
      <w:bookmarkStart w:id="403" w:name="d16e3197"/>
      <w:bookmarkEnd w:id="403"/>
      <w:r>
        <w:t>.</w:t>
      </w:r>
    </w:p>
    <w:p w:rsidR="00B04B82" w:rsidRDefault="00B04B82" w:rsidP="00B04B82">
      <w:pPr>
        <w:pStyle w:val="paragraaf"/>
        <w:shd w:val="clear" w:color="auto" w:fill="D9D9D9" w:themeFill="background1" w:themeFillShade="D9"/>
      </w:pPr>
      <w:bookmarkStart w:id="404" w:name="_Toc431375796"/>
      <w:r>
        <w:t>§ 5.3.2.</w:t>
      </w:r>
      <w:r>
        <w:tab/>
        <w:t>Meettechnieken</w:t>
      </w:r>
      <w:bookmarkEnd w:id="404"/>
      <w:r>
        <w:t xml:space="preserve"> </w:t>
      </w:r>
    </w:p>
    <w:p w:rsidR="00B04B82" w:rsidRDefault="00B04B82" w:rsidP="00B04B82">
      <w:pPr>
        <w:pStyle w:val="artikelkop"/>
        <w:shd w:val="clear" w:color="auto" w:fill="D9D9D9" w:themeFill="background1" w:themeFillShade="D9"/>
      </w:pPr>
      <w:bookmarkStart w:id="405" w:name="d16e3201"/>
      <w:bookmarkEnd w:id="405"/>
      <w:r>
        <w:t xml:space="preserve">Artikel 5.35 </w:t>
      </w:r>
    </w:p>
    <w:p w:rsidR="00B04B82" w:rsidRDefault="00B04B82" w:rsidP="00B04B82">
      <w:pPr>
        <w:pStyle w:val="artplat"/>
        <w:shd w:val="clear" w:color="auto" w:fill="D9D9D9" w:themeFill="background1" w:themeFillShade="D9"/>
        <w:suppressAutoHyphens/>
      </w:pPr>
      <w:r>
        <w:t xml:space="preserve">De bemonsteringen, analyses en metingen van de parameters die nodig zijn om te bepalen of wordt voldaan aan de emissiegrenswaarden alsmede de andere metingen en berekeningen die zijn voorgeschreven, worden uitgevoerd volgens onderstaande normbladen: </w:t>
      </w:r>
    </w:p>
    <w:p w:rsidR="00B04B82" w:rsidRDefault="00B04B82" w:rsidP="00B04B82">
      <w:pPr>
        <w:pStyle w:val="tabelkop"/>
        <w:shd w:val="clear" w:color="auto" w:fill="D9D9D9" w:themeFill="background1" w:themeFillShade="D9"/>
        <w:suppressAutoHyphens/>
        <w:ind w:hanging="426"/>
        <w:rPr>
          <w:bCs/>
        </w:rPr>
      </w:pPr>
      <w:r>
        <w:rPr>
          <w:bCs/>
        </w:rPr>
        <w:t>Tabel 5.35</w:t>
      </w:r>
    </w:p>
    <w:tbl>
      <w:tblPr>
        <w:tblStyle w:val="Tabelraster"/>
        <w:tblW w:w="0" w:type="auto"/>
        <w:tblInd w:w="0" w:type="dxa"/>
        <w:tblLook w:val="04A0" w:firstRow="1" w:lastRow="0" w:firstColumn="1" w:lastColumn="0" w:noHBand="0" w:noVBand="1"/>
      </w:tblPr>
      <w:tblGrid>
        <w:gridCol w:w="4477"/>
        <w:gridCol w:w="2075"/>
      </w:tblGrid>
      <w:tr w:rsidR="00B04B82" w:rsidTr="00215E35">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b w:val="0"/>
                <w:szCs w:val="18"/>
              </w:rPr>
            </w:pPr>
            <w:r>
              <w:rPr>
                <w:rStyle w:val="Zwaar"/>
                <w:rFonts w:cs="Arial"/>
                <w:b/>
                <w:szCs w:val="18"/>
              </w:rPr>
              <w:t>Normbladen voor continue meting van emissies naar lucht</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Totaal stof</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13284-2</w:t>
            </w:r>
          </w:p>
        </w:tc>
      </w:tr>
      <w:tr w:rsidR="00B04B82" w:rsidTr="00215E35">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B04B82" w:rsidRDefault="00B04B82" w:rsidP="00B04B82">
            <w:pPr>
              <w:shd w:val="clear" w:color="auto" w:fill="D9D9D9" w:themeFill="background1" w:themeFillShade="D9"/>
              <w:suppressAutoHyphens/>
              <w:rPr>
                <w:rFonts w:cs="Arial"/>
                <w:szCs w:val="18"/>
              </w:rPr>
            </w:pPr>
            <w:r>
              <w:rPr>
                <w:rStyle w:val="Zwaar"/>
                <w:rFonts w:cs="Arial"/>
                <w:szCs w:val="18"/>
              </w:rPr>
              <w:t>Normbladen voor periodieke en parallelmetingen van emissies naar lucht</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 xml:space="preserve">Totaal stof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13284-1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Zoutzuur en chloor</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1911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Zwaveldioxide en zwaveltrioxide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14791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Zuurstof</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14789</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Waterdamp</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14790</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Debiet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16911-1</w:t>
            </w:r>
          </w:p>
        </w:tc>
      </w:tr>
      <w:tr w:rsidR="00B04B82" w:rsidTr="00215E35">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B04B82" w:rsidRDefault="00B04B82" w:rsidP="00B04B82">
            <w:pPr>
              <w:shd w:val="clear" w:color="auto" w:fill="D9D9D9" w:themeFill="background1" w:themeFillShade="D9"/>
              <w:suppressAutoHyphens/>
              <w:rPr>
                <w:rFonts w:cs="Arial"/>
                <w:szCs w:val="18"/>
              </w:rPr>
            </w:pPr>
            <w:r>
              <w:rPr>
                <w:rStyle w:val="Zwaar"/>
                <w:rFonts w:cs="Arial"/>
                <w:szCs w:val="18"/>
              </w:rPr>
              <w:t>Normbladen voor de bemonstering en analyse van afvalwater</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Bemonstering</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 6600-1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Ontsluiting</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NEN-EN-ISO 15587-1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Onopgeloste bestanddelen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872</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Sulfaat</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NEN-ISO 22743</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Chloride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NEN-EN-ISO 15682</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IJzerverbindingen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 6966</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Zuurgraad (pH)</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NEN-EN-ISO 10523</w:t>
            </w:r>
          </w:p>
        </w:tc>
      </w:tr>
      <w:tr w:rsidR="00B04B82" w:rsidTr="00215E35">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B04B82" w:rsidRDefault="00B04B82" w:rsidP="00B04B82">
            <w:pPr>
              <w:shd w:val="clear" w:color="auto" w:fill="D9D9D9" w:themeFill="background1" w:themeFillShade="D9"/>
              <w:suppressAutoHyphens/>
              <w:rPr>
                <w:rFonts w:cs="Arial"/>
                <w:szCs w:val="18"/>
              </w:rPr>
            </w:pPr>
            <w:r>
              <w:rPr>
                <w:rStyle w:val="Zwaar"/>
                <w:rFonts w:cs="Arial"/>
                <w:szCs w:val="18"/>
              </w:rPr>
              <w:t>Algemene normbladen voor kwaliteitsborging</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Kwaliteitsborging geautomatiseerde metingsystemen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14181</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Bekwaamheid laboratoria</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NEN-EN-ISO/IEC 17025</w:t>
            </w:r>
          </w:p>
        </w:tc>
      </w:tr>
      <w:tr w:rsidR="00B04B82" w:rsidTr="00215E35">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Monsternamestrategie, meetdoel, -plan en -rapportage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04B82" w:rsidRDefault="00B04B82" w:rsidP="00B04B82">
            <w:pPr>
              <w:shd w:val="clear" w:color="auto" w:fill="D9D9D9" w:themeFill="background1" w:themeFillShade="D9"/>
              <w:suppressAutoHyphens/>
              <w:rPr>
                <w:rFonts w:cs="Arial"/>
                <w:szCs w:val="18"/>
              </w:rPr>
            </w:pPr>
            <w:r>
              <w:rPr>
                <w:rFonts w:cs="Arial"/>
                <w:szCs w:val="18"/>
              </w:rPr>
              <w:t>NEN-EN 15259</w:t>
            </w:r>
          </w:p>
        </w:tc>
      </w:tr>
    </w:tbl>
    <w:p w:rsidR="00B04B82" w:rsidRDefault="00B04B82" w:rsidP="00B04B82">
      <w:pPr>
        <w:pStyle w:val="artikelkop"/>
        <w:shd w:val="clear" w:color="auto" w:fill="D9D9D9" w:themeFill="background1" w:themeFillShade="D9"/>
      </w:pPr>
      <w:bookmarkStart w:id="406" w:name="d16e3429"/>
      <w:bookmarkEnd w:id="406"/>
      <w:r>
        <w:t xml:space="preserve">Artikel 5.36 </w:t>
      </w:r>
    </w:p>
    <w:p w:rsidR="00B04B82" w:rsidRDefault="00B04B82" w:rsidP="00B04B82">
      <w:pPr>
        <w:pStyle w:val="art1enivo"/>
        <w:shd w:val="clear" w:color="auto" w:fill="D9D9D9" w:themeFill="background1" w:themeFillShade="D9"/>
        <w:suppressAutoHyphens/>
      </w:pPr>
      <w:r>
        <w:t>1.</w:t>
      </w:r>
      <w:r>
        <w:tab/>
        <w:t>Geautomatiseerde meetsystemen worden ten minste eenmaal per jaar met behulp van parallelmetingen met de referentiemeetmethoden, bedoeld in artikel 5.35, gecontroleerd.</w:t>
      </w:r>
    </w:p>
    <w:p w:rsidR="00B04B82" w:rsidRDefault="00B04B82" w:rsidP="00B04B82">
      <w:pPr>
        <w:pStyle w:val="art1enivo"/>
        <w:shd w:val="clear" w:color="auto" w:fill="D9D9D9" w:themeFill="background1" w:themeFillShade="D9"/>
        <w:suppressAutoHyphens/>
      </w:pPr>
      <w:r>
        <w:t>2.</w:t>
      </w:r>
      <w:r>
        <w:tab/>
      </w:r>
      <w:r>
        <w:rPr>
          <w:rStyle w:val="art1enivoChar"/>
        </w:rPr>
        <w:t xml:space="preserve">De </w:t>
      </w:r>
      <w:r>
        <w:t>drijver van de inrichting informeert het bevoegd gezag over de resultaten van de in het eerste lid bedoelde controle.</w:t>
      </w:r>
    </w:p>
    <w:p w:rsidR="00B04B82" w:rsidRDefault="00B04B82" w:rsidP="00B04B82">
      <w:pPr>
        <w:pStyle w:val="art1enivo"/>
        <w:shd w:val="clear" w:color="auto" w:fill="D9D9D9" w:themeFill="background1" w:themeFillShade="D9"/>
        <w:suppressAutoHyphens/>
      </w:pPr>
      <w:r>
        <w:t>3.</w:t>
      </w:r>
      <w:r>
        <w:tab/>
        <w:t>Het uitvoeren van een periodieke meting, eenmalige metingen of parallelmetingen geschiedt door een rechtspersoon die voor deze verrichtingen geaccrediteerd is door een accreditatie-instantie.</w:t>
      </w:r>
    </w:p>
    <w:p w:rsidR="00B04B82" w:rsidRDefault="00B04B82" w:rsidP="00B04B82">
      <w:pPr>
        <w:shd w:val="clear" w:color="auto" w:fill="D9D9D9" w:themeFill="background1" w:themeFillShade="D9"/>
      </w:pPr>
    </w:p>
    <w:p w:rsidR="00B04B82" w:rsidRPr="00620047" w:rsidRDefault="00B04B82">
      <w:pPr>
        <w:pStyle w:val="artplat"/>
        <w:rPr>
          <w:rFonts w:cs="Arial"/>
        </w:rPr>
      </w:pPr>
    </w:p>
    <w:p w:rsidR="00296032" w:rsidRPr="00296032" w:rsidRDefault="00296032">
      <w:pPr>
        <w:pStyle w:val="paragraaf"/>
      </w:pPr>
      <w:bookmarkStart w:id="407" w:name="_Toc431375797"/>
      <w:r w:rsidRPr="00296032">
        <w:t>§ 5.1.4.</w:t>
      </w:r>
      <w:r w:rsidR="00C667E9">
        <w:tab/>
      </w:r>
      <w:r w:rsidRPr="00296032">
        <w:t>Installatie, als onderdeel van olieraffinaderijen, voor de productie van zwavel</w:t>
      </w:r>
      <w:bookmarkEnd w:id="407"/>
    </w:p>
    <w:p w:rsidR="00296032" w:rsidRPr="00296032" w:rsidRDefault="00296032">
      <w:pPr>
        <w:pStyle w:val="artikelkop"/>
      </w:pPr>
      <w:r w:rsidRPr="00296032">
        <w:t xml:space="preserve">Artikel 5.40 </w:t>
      </w:r>
    </w:p>
    <w:p w:rsidR="00296032" w:rsidRPr="00620047" w:rsidRDefault="00296032">
      <w:pPr>
        <w:pStyle w:val="artplat"/>
      </w:pPr>
      <w:r w:rsidRPr="00620047">
        <w:t>Deze paragraaf is, in afwijking van artikel 2.3a, tweede lid, en in afwijking van de BBT-conclusies op grond van artikel 13, vijfde en zevende lid, van de EU-richtlijn industriële emissies, van toepassing op het in werking hebben van een installatie, als onderdeel van olieraffinaderijen, voor de productie van zwavel volgens het Clausproces of modificaties van het Clausproces.</w:t>
      </w:r>
    </w:p>
    <w:p w:rsidR="00296032" w:rsidRPr="00296032" w:rsidRDefault="00296032">
      <w:pPr>
        <w:pStyle w:val="artikelkop"/>
      </w:pPr>
      <w:r w:rsidRPr="00296032">
        <w:t xml:space="preserve">Artikel 5.41 </w:t>
      </w:r>
    </w:p>
    <w:p w:rsidR="00296032" w:rsidRPr="00620047" w:rsidRDefault="00296032">
      <w:pPr>
        <w:pStyle w:val="art1enivo"/>
      </w:pPr>
      <w:r w:rsidRPr="00620047">
        <w:t>1.</w:t>
      </w:r>
      <w:r w:rsidRPr="00620047">
        <w:tab/>
        <w:t>De omzettingsgraad van geconcentreerd waterstofsulfide (H2S) naar elementaire zwavel van een installatie als bedoeld in artikel 5.40 is ten minste 99,8% als maandgemiddelde.</w:t>
      </w:r>
    </w:p>
    <w:p w:rsidR="00296032" w:rsidRPr="00620047" w:rsidRDefault="00296032">
      <w:pPr>
        <w:pStyle w:val="art1enivo"/>
      </w:pPr>
      <w:r w:rsidRPr="00620047">
        <w:t>2.</w:t>
      </w:r>
      <w:r w:rsidRPr="00620047">
        <w:tab/>
        <w:t>Een installatie als bedoeld in artikel 5.40 wordt zoveel mogelijk bedreven overeenkomstig het ontwerp.</w:t>
      </w:r>
    </w:p>
    <w:p w:rsidR="00296032" w:rsidRPr="00296032" w:rsidRDefault="00296032">
      <w:pPr>
        <w:pStyle w:val="artikelkop"/>
      </w:pPr>
      <w:r w:rsidRPr="00296032">
        <w:t xml:space="preserve">Artikel 5.42 </w:t>
      </w:r>
    </w:p>
    <w:p w:rsidR="00296032" w:rsidRPr="00620047" w:rsidRDefault="00296032">
      <w:pPr>
        <w:pStyle w:val="art1enivo"/>
      </w:pPr>
      <w:r w:rsidRPr="00620047">
        <w:t xml:space="preserve">1. </w:t>
      </w:r>
      <w:r w:rsidRPr="00620047">
        <w:tab/>
        <w:t>In afwijking van artikel 5.41, eerste lid, geldt voor een bestaande installatie waarvoor onmiddellijk voorafgaand aan de inwerkingtreding van deze paragraaf een vergunning als bedoeld in artikel 2.1, eerste lid, aanhef en onder e, van de Wet algemene bepalingen omgevingsrecht in werking en onherroepelijk was waarin een lagere omzettingsgraad is vastgelegd dan genoemd in artikel 5.41, eerste lid, de in die vergunning voorgeschreven omzettingsgraad.</w:t>
      </w:r>
    </w:p>
    <w:p w:rsidR="00296032" w:rsidRPr="00620047" w:rsidRDefault="00296032">
      <w:pPr>
        <w:pStyle w:val="art1enivo"/>
      </w:pPr>
      <w:r w:rsidRPr="00620047">
        <w:t xml:space="preserve">2. </w:t>
      </w:r>
      <w:r w:rsidRPr="00620047">
        <w:tab/>
        <w:t>Indien de verwerkingscapaciteit van de totale inrichting met meer dan 50% wordt verhoogd, geldt voor de verwerking van het totale H</w:t>
      </w:r>
      <w:r w:rsidRPr="00620047">
        <w:rPr>
          <w:vertAlign w:val="subscript"/>
        </w:rPr>
        <w:t>2</w:t>
      </w:r>
      <w:r w:rsidRPr="00620047">
        <w:t>S-aanbod, met inbegrip van een bestaande installatie als bedoeld in het eerste lid, een omzettingsgraad van ten minste 99,8% als maandgemiddelde.</w:t>
      </w:r>
    </w:p>
    <w:p w:rsidR="00296032" w:rsidRPr="00296032" w:rsidRDefault="00296032">
      <w:pPr>
        <w:pStyle w:val="paragraaf"/>
      </w:pPr>
      <w:bookmarkStart w:id="408" w:name="_Toc431375798"/>
      <w:r w:rsidRPr="00296032">
        <w:t>§ 5.1.5.</w:t>
      </w:r>
      <w:r w:rsidR="00C667E9">
        <w:tab/>
      </w:r>
      <w:r w:rsidRPr="00296032">
        <w:t>Stookinstallatie voor de regeneratie van glycol</w:t>
      </w:r>
      <w:bookmarkEnd w:id="408"/>
    </w:p>
    <w:p w:rsidR="00296032" w:rsidRPr="00296032" w:rsidRDefault="00296032">
      <w:pPr>
        <w:pStyle w:val="artikelkop"/>
      </w:pPr>
      <w:r w:rsidRPr="00296032">
        <w:t xml:space="preserve">Artikel 5.43 </w:t>
      </w:r>
    </w:p>
    <w:p w:rsidR="00296032" w:rsidRPr="00620047" w:rsidRDefault="00296032">
      <w:pPr>
        <w:pStyle w:val="art1enivo"/>
      </w:pPr>
      <w:r w:rsidRPr="00620047">
        <w:t>1.</w:t>
      </w:r>
      <w:r w:rsidRPr="00620047">
        <w:tab/>
        <w:t>Deze paragraaf is, in afwijking van paragraaf 3.2.1, en onverminderd artikel 3.10i, 3.10j en 310p, van toepassing op het in werking hebben van een stookinstallatie voor de regeneratie van glycol.</w:t>
      </w:r>
    </w:p>
    <w:p w:rsidR="00296032" w:rsidRPr="00620047" w:rsidRDefault="00296032">
      <w:pPr>
        <w:pStyle w:val="art1enivo"/>
      </w:pPr>
      <w:r w:rsidRPr="00620047">
        <w:t>2.</w:t>
      </w:r>
      <w:r w:rsidRPr="00620047">
        <w:tab/>
        <w:t>Een stookinstallatie voor de regeneratie van glycol kan gelegen zijn binnen de Nederlandse exclusieve economische zone.</w:t>
      </w:r>
    </w:p>
    <w:p w:rsidR="00296032" w:rsidRPr="00296032" w:rsidRDefault="00296032">
      <w:pPr>
        <w:pStyle w:val="artikelkop"/>
      </w:pPr>
      <w:r w:rsidRPr="00296032">
        <w:t xml:space="preserve">Artikel 5.44 </w:t>
      </w:r>
    </w:p>
    <w:p w:rsidR="00296032" w:rsidRPr="00620047" w:rsidRDefault="00296032">
      <w:pPr>
        <w:pStyle w:val="art1enivo"/>
      </w:pPr>
      <w:r w:rsidRPr="00620047">
        <w:t>1.</w:t>
      </w:r>
      <w:r w:rsidRPr="00620047">
        <w:tab/>
        <w:t>Bij de regeneratie van glycol is de emissiegrenswaarde van stikstofoxiden naar de lucht ten hoogste 80 mg/Nm3.</w:t>
      </w:r>
    </w:p>
    <w:p w:rsidR="00296032" w:rsidRPr="00620047" w:rsidRDefault="00296032">
      <w:pPr>
        <w:pStyle w:val="art1enivo"/>
      </w:pPr>
      <w:r w:rsidRPr="00620047">
        <w:t>2.</w:t>
      </w:r>
      <w:r w:rsidRPr="00620047">
        <w:tab/>
        <w:t>Indien de samenstelling van het gewonnen gas en de technische kenmerken van de betrokken installatie daartoe aanleiding geven, kan het bevoegd gezag, indien het belang van de bescherming van het milieu zich daartegen niet verzet, bij maatwerkvoorschrift een hogere emissiegrenswaarde voor stikstofoxiden dan genoemd in het eerste lid vaststellen. De emissiegrenswaarde voor stikstofoxiden naar de lucht is in dat geval ten hoogste 150 mg/Nm3.</w:t>
      </w:r>
    </w:p>
    <w:p w:rsidR="00296032" w:rsidRPr="00620047" w:rsidRDefault="00296032">
      <w:pPr>
        <w:pStyle w:val="art1enivo"/>
      </w:pPr>
      <w:r w:rsidRPr="00620047">
        <w:t>3.</w:t>
      </w:r>
      <w:r w:rsidRPr="00620047">
        <w:tab/>
        <w:t>In afwijking van het eerste en tweede lid kan het bevoegd gezag, indien het belang van de bescherming van het milieu zich daartegen niet verzet, bij maatwerkvoorschrift een hogere emissiegrenswaarde voor stikstofoxiden dan genoemd in het eerste en tweede lid vaststellen voor een installatie die als brandstof grotendeels organische dampen gebruikt en waarbij de technische kenmerken van de betrokken installatie daartoe aanleiding geven. De emissiegrenswaarde is in dat geval ten hoogste 250 mg/Nm3.</w:t>
      </w:r>
    </w:p>
    <w:p w:rsidR="00296032" w:rsidRPr="00620047" w:rsidRDefault="00296032">
      <w:pPr>
        <w:pStyle w:val="art1enivo"/>
      </w:pPr>
      <w:r w:rsidRPr="00620047">
        <w:t>4.</w:t>
      </w:r>
      <w:r w:rsidRPr="00620047">
        <w:tab/>
        <w:t>Ten aanzien van de technische kenmerken, bedoeld in het tweede en derde lid, wordt onder meer rekening gehouden met de kosteneffectiviteit, bedoeld in artikel 2.7, derde tot en met zevende lid, en met de integrale afweging van de mogelijkheden voor emissiebeperking.</w:t>
      </w:r>
    </w:p>
    <w:p w:rsidR="00296032" w:rsidRPr="00620047" w:rsidRDefault="00296032">
      <w:pPr>
        <w:pStyle w:val="art1enivo"/>
      </w:pPr>
      <w:r w:rsidRPr="00620047">
        <w:t>5.</w:t>
      </w:r>
      <w:r w:rsidRPr="00620047">
        <w:tab/>
      </w:r>
      <w:r w:rsidRPr="00620047">
        <w:rPr>
          <w:b/>
        </w:rPr>
        <w:t>[Dit artikellid vervalt met ingang van 1 januari 2019]</w:t>
      </w:r>
      <w:r w:rsidRPr="00620047">
        <w:rPr>
          <w:b/>
        </w:rPr>
        <w:br/>
      </w:r>
      <w:r w:rsidRPr="00620047">
        <w:t>De emissiegrenswaarden genoemd in het eerste tot en met derde lid zijn tot 1 januari 2019 niet van toepassing op het rookgas van een stookinstallatie voor de regeneratie van glycol die voor 1 januari 2016 in gebruik is genomen.</w:t>
      </w:r>
    </w:p>
    <w:p w:rsidR="00296032" w:rsidRPr="00620047" w:rsidRDefault="00296032">
      <w:pPr>
        <w:pStyle w:val="art1enivo"/>
      </w:pPr>
      <w:r w:rsidRPr="00620047">
        <w:t>6.</w:t>
      </w:r>
      <w:r w:rsidRPr="00620047">
        <w:tab/>
      </w:r>
      <w:r w:rsidRPr="00620047">
        <w:rPr>
          <w:b/>
        </w:rPr>
        <w:t>[Dit artikellid vervalt met ingang van 1 januari 2019]</w:t>
      </w:r>
      <w:r w:rsidRPr="00620047">
        <w:rPr>
          <w:b/>
        </w:rPr>
        <w:br/>
      </w:r>
      <w:r w:rsidRPr="00620047">
        <w:t>Voor installaties als bedoeld in het vijfde lid blijven, in afwijking van artikel 6.1, tot 1 januari 2019 de emissiegrenswaarden van de vergunning van toepassing.</w:t>
      </w:r>
    </w:p>
    <w:p w:rsidR="00296032" w:rsidRPr="00296032" w:rsidRDefault="00296032">
      <w:pPr>
        <w:pStyle w:val="paragraaf"/>
      </w:pPr>
      <w:bookmarkStart w:id="409" w:name="_Toc431375799"/>
      <w:r w:rsidRPr="00296032">
        <w:t>§ 5.1.6.</w:t>
      </w:r>
      <w:r w:rsidR="00C667E9">
        <w:tab/>
      </w:r>
      <w:r w:rsidRPr="00296032">
        <w:t>Installatie voor de productie van asfalt</w:t>
      </w:r>
      <w:bookmarkEnd w:id="409"/>
    </w:p>
    <w:p w:rsidR="00296032" w:rsidRPr="00296032" w:rsidRDefault="00296032">
      <w:pPr>
        <w:pStyle w:val="artikelkop"/>
      </w:pPr>
      <w:r w:rsidRPr="00296032">
        <w:t xml:space="preserve">Artikel 5.45 </w:t>
      </w:r>
    </w:p>
    <w:p w:rsidR="00296032" w:rsidRPr="00620047" w:rsidRDefault="00296032">
      <w:pPr>
        <w:pStyle w:val="artplat"/>
      </w:pPr>
      <w:r w:rsidRPr="00620047">
        <w:t>Deze paragraaf is, in afwijking van artikel 2.3a, tweede lid, en voor zover er in deze paragraaf emissie-eisen worden gesteld aan stoffen in afwijking van die paragraaf 3.2.1, van toepassing op het in werking hebben van een installatie voor de productie van asfalt.</w:t>
      </w:r>
    </w:p>
    <w:p w:rsidR="00296032" w:rsidRPr="00296032" w:rsidRDefault="00296032">
      <w:pPr>
        <w:pStyle w:val="artikelkop"/>
      </w:pPr>
      <w:r w:rsidRPr="00296032">
        <w:t xml:space="preserve">Artikel 5.46 </w:t>
      </w:r>
    </w:p>
    <w:p w:rsidR="00296032" w:rsidRPr="00620047" w:rsidRDefault="00296032">
      <w:pPr>
        <w:pStyle w:val="art1enivo"/>
      </w:pPr>
      <w:r w:rsidRPr="00620047">
        <w:t>1.</w:t>
      </w:r>
      <w:r w:rsidRPr="00620047">
        <w:tab/>
        <w:t>Bij de productie van asfalt is de emissiegrenswaarde van:</w:t>
      </w:r>
    </w:p>
    <w:p w:rsidR="00296032" w:rsidRPr="00620047" w:rsidRDefault="00296032">
      <w:pPr>
        <w:pStyle w:val="art2enivo"/>
      </w:pPr>
      <w:r w:rsidRPr="00620047">
        <w:t>a.</w:t>
      </w:r>
      <w:r w:rsidRPr="00620047">
        <w:tab/>
        <w:t>polycyclische aromatische koolwaterstoffen ten hoogste 0,05 mg/Nm3 indien de massastroom van polycyclische aromatische koolwaterstoffen naar de lucht groter is dan 0,15 gram per uur;</w:t>
      </w:r>
    </w:p>
    <w:p w:rsidR="00296032" w:rsidRPr="00620047" w:rsidRDefault="00296032">
      <w:pPr>
        <w:pStyle w:val="art2enivo"/>
      </w:pPr>
      <w:r w:rsidRPr="00620047">
        <w:t>b.</w:t>
      </w:r>
      <w:r w:rsidRPr="00620047">
        <w:tab/>
        <w:t>totaal stof ten hoogste 5 mg/Nm3, indien de massastroom van een stof of de som van de onder normale procesomstandigheden gedurende één uur optredende massastromen van stoffen binnen deze stofklasse vanuit al die bronnen, groter of gelijk is aan 200 gram per uur en ten hoogste 20 mg/Nm3 indien de massastroom van een stof of de som van de onder normale procesomstandigheden gedurende één uur optredende massastromen van stoffen binnen deze stofklasse vanuit al die bronnen, kleiner is dan 200 gram per uur;</w:t>
      </w:r>
    </w:p>
    <w:p w:rsidR="00296032" w:rsidRPr="00620047" w:rsidRDefault="00296032">
      <w:pPr>
        <w:pStyle w:val="art2enivo"/>
      </w:pPr>
      <w:r w:rsidRPr="00620047">
        <w:t>c.</w:t>
      </w:r>
      <w:r w:rsidRPr="00620047">
        <w:tab/>
        <w:t>stikstofoxiden ten hoogste 50 mg/Nm3 indien de massastroom van stikstofoxiden naar de lucht groter is dan 2</w:t>
      </w:r>
      <w:r w:rsidR="004C133A">
        <w:t>.</w:t>
      </w:r>
      <w:r w:rsidRPr="00620047">
        <w:t>000 gram per uur;</w:t>
      </w:r>
    </w:p>
    <w:p w:rsidR="00296032" w:rsidRPr="00620047" w:rsidRDefault="00296032">
      <w:pPr>
        <w:pStyle w:val="art2enivo"/>
      </w:pPr>
      <w:r w:rsidRPr="00620047">
        <w:t>d.</w:t>
      </w:r>
      <w:r w:rsidRPr="00620047">
        <w:tab/>
        <w:t>zwaveloxiden ten hoogste 50 mg/Nm3 indien de massastroom van zwaveloxiden naar de lucht groter is dan 2</w:t>
      </w:r>
      <w:r w:rsidR="004C133A">
        <w:t>.</w:t>
      </w:r>
      <w:r w:rsidRPr="00620047">
        <w:t>000 gram per uur;</w:t>
      </w:r>
    </w:p>
    <w:p w:rsidR="00296032" w:rsidRPr="00620047" w:rsidRDefault="00296032">
      <w:pPr>
        <w:pStyle w:val="art2enivo"/>
      </w:pPr>
      <w:r w:rsidRPr="00620047">
        <w:t>e.</w:t>
      </w:r>
      <w:r w:rsidRPr="00620047">
        <w:tab/>
        <w:t>vluchtige organische stoffen ten hoogste 200 mg/Nm3 indien de massastroom van vluchtige organische stoffen naar de lucht groter is dan 500 gram per uur.</w:t>
      </w:r>
    </w:p>
    <w:p w:rsidR="00296032" w:rsidRPr="00620047" w:rsidRDefault="00296032">
      <w:pPr>
        <w:pStyle w:val="art1enivo"/>
      </w:pPr>
      <w:r w:rsidRPr="00620047">
        <w:t>2.</w:t>
      </w:r>
      <w:r w:rsidRPr="00620047">
        <w:tab/>
        <w:t>Ten behoeve van het voorkomen dan wel, voor zover dat niet mogelijk is, het tot een aanvaardbaar niveau beperken van geurhinder bij geurgevoelige objecten, wordt bij de productie van asfalt voldaan aan artikel 2.7a.</w:t>
      </w:r>
    </w:p>
    <w:p w:rsidR="00296032" w:rsidRPr="00620047" w:rsidRDefault="00296032">
      <w:pPr>
        <w:pStyle w:val="art1enivo"/>
      </w:pPr>
      <w:r w:rsidRPr="00620047">
        <w:t>3.</w:t>
      </w:r>
      <w:r w:rsidRPr="00620047">
        <w:tab/>
        <w:t>In afwijking van artikel 2.8, zevende lid, onder d, worden emissies van een installatie voor de productie van asfalt herleid op afgas met een volumegehalte aan zuurstof van 17%.</w:t>
      </w:r>
    </w:p>
    <w:p w:rsidR="00296032" w:rsidRPr="00296032" w:rsidRDefault="00296032">
      <w:pPr>
        <w:pStyle w:val="artikelkop"/>
      </w:pPr>
      <w:r w:rsidRPr="00296032">
        <w:t xml:space="preserve">Artikel 5.47 </w:t>
      </w:r>
    </w:p>
    <w:p w:rsidR="00296032" w:rsidRPr="00620047" w:rsidRDefault="00296032">
      <w:pPr>
        <w:pStyle w:val="artplat"/>
      </w:pPr>
      <w:r w:rsidRPr="00620047">
        <w:t>Bij het in werking hebben van een installatie voor de productie van asfalt wordt, ten behoeve van de bescherming van het milieu, voldaan aan de bij ministeriële regeling gestelde eisen.</w:t>
      </w:r>
    </w:p>
    <w:p w:rsidR="00296032" w:rsidRPr="00296032" w:rsidRDefault="00296032">
      <w:pPr>
        <w:pStyle w:val="artikelkop"/>
      </w:pPr>
      <w:r w:rsidRPr="00296032">
        <w:t xml:space="preserve">Artikel 5.48 </w:t>
      </w:r>
    </w:p>
    <w:p w:rsidR="00296032" w:rsidRPr="00620047" w:rsidRDefault="00296032">
      <w:pPr>
        <w:pStyle w:val="art1enivo"/>
      </w:pPr>
      <w:r w:rsidRPr="00620047">
        <w:t>1.</w:t>
      </w:r>
      <w:r w:rsidRPr="00620047">
        <w:tab/>
        <w:t>Artikel 5.46, eerste lid, onderdelen c en d, is niet van toepassing op een installatie voor de productie van asfalt die voor 1 januari 2009 in gebruik genomen is.</w:t>
      </w:r>
    </w:p>
    <w:p w:rsidR="00296032" w:rsidRPr="00620047" w:rsidRDefault="00296032">
      <w:pPr>
        <w:pStyle w:val="art1enivo"/>
      </w:pPr>
      <w:r w:rsidRPr="00620047">
        <w:t>2.</w:t>
      </w:r>
      <w:r w:rsidRPr="00620047">
        <w:tab/>
        <w:t>In de gevallen, bedoeld in het eerste lid, is bij de productie van asfalt, onverminderd de artikelen 2.5 en 2.6, de emissiegrenswaarde van:</w:t>
      </w:r>
    </w:p>
    <w:p w:rsidR="00296032" w:rsidRPr="00620047" w:rsidRDefault="00296032">
      <w:pPr>
        <w:pStyle w:val="art2enivo"/>
      </w:pPr>
      <w:r w:rsidRPr="00620047">
        <w:t>a.</w:t>
      </w:r>
      <w:r w:rsidRPr="00620047">
        <w:tab/>
        <w:t>stikstofoxiden ten hoogste 75 mg/Nm3 indien de massastroom van stikstofoxiden naar de lucht groter is dan 2000 gram per uur;</w:t>
      </w:r>
    </w:p>
    <w:p w:rsidR="00296032" w:rsidRPr="00620047" w:rsidRDefault="00296032">
      <w:pPr>
        <w:pStyle w:val="art2enivo"/>
      </w:pPr>
      <w:r w:rsidRPr="00620047">
        <w:t>b.</w:t>
      </w:r>
      <w:r w:rsidRPr="00620047">
        <w:tab/>
        <w:t>zwaveloxiden ten hoogste 75 mg/Nm3 indien de massastroom van zwaveloxiden naar de lucht groter is dan 2000 gram per uur.</w:t>
      </w:r>
    </w:p>
    <w:p w:rsidR="00B04B82" w:rsidRPr="00F41CD6" w:rsidRDefault="00B04B82" w:rsidP="00B04B82">
      <w:pPr>
        <w:pStyle w:val="afdeling"/>
        <w:shd w:val="clear" w:color="auto" w:fill="D9D9D9" w:themeFill="background1" w:themeFillShade="D9"/>
        <w:rPr>
          <w:rFonts w:eastAsiaTheme="minorEastAsia"/>
        </w:rPr>
      </w:pPr>
      <w:bookmarkStart w:id="410" w:name="_Toc431375800"/>
      <w:r w:rsidRPr="00F41CD6">
        <w:rPr>
          <w:rFonts w:eastAsiaTheme="minorEastAsia"/>
        </w:rPr>
        <w:t>AFDELING 5.4 INSTALLATIE VOOR DE PRODUCTIE VAN ASFALT</w:t>
      </w:r>
      <w:bookmarkEnd w:id="410"/>
    </w:p>
    <w:p w:rsidR="00B04B82" w:rsidRDefault="00B04B82" w:rsidP="00B04B82">
      <w:pPr>
        <w:pStyle w:val="artikelkop"/>
        <w:shd w:val="clear" w:color="auto" w:fill="D9D9D9" w:themeFill="background1" w:themeFillShade="D9"/>
        <w:rPr>
          <w:rFonts w:eastAsiaTheme="minorEastAsia"/>
          <w:lang w:eastAsia="nl-NL"/>
        </w:rPr>
      </w:pPr>
      <w:r>
        <w:rPr>
          <w:rFonts w:eastAsiaTheme="minorEastAsia"/>
          <w:lang w:eastAsia="nl-NL"/>
        </w:rPr>
        <w:t xml:space="preserve">Artikel 5.37 </w:t>
      </w:r>
    </w:p>
    <w:p w:rsidR="00B04B82" w:rsidRDefault="00B04B82" w:rsidP="00B04B82">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Aan artikel 5.46, eerste lid, onder a, van het besluit, wordt in ieder geval voldaan als aan de kwaliteitseisen voor asfalt en asfaltgranulaat volgens de BRL 9320 wordt voldaan.</w:t>
      </w:r>
    </w:p>
    <w:p w:rsidR="00B04B82" w:rsidRPr="00B04B82" w:rsidRDefault="00B04B82" w:rsidP="00B04B82">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Aan artikel 5.46, eerste lid, onder b, wordt in ieder geval voldaan als de emissies van de droogtrommel en de installatie voor de productie van asfalt worden afgezogen en door een filtrerende afscheider worden gevoerd die in goede staat van onderhoud verkeert, periodiek wordt gecontroleerd en zo vaak als voor de goede werking nodig is, wordt schoongemaakt en vervangen.</w:t>
      </w:r>
    </w:p>
    <w:p w:rsidR="00296032" w:rsidRPr="00296032" w:rsidRDefault="00296032">
      <w:pPr>
        <w:pStyle w:val="paragraaf"/>
      </w:pPr>
      <w:bookmarkStart w:id="411" w:name="_Toc431375801"/>
      <w:r w:rsidRPr="00296032">
        <w:t>§ 5.1.7.</w:t>
      </w:r>
      <w:r w:rsidR="00C667E9">
        <w:tab/>
      </w:r>
      <w:r w:rsidRPr="00296032">
        <w:t>Installatie voor de op- en overslag van vloeistoffen</w:t>
      </w:r>
      <w:bookmarkEnd w:id="411"/>
    </w:p>
    <w:p w:rsidR="00296032" w:rsidRPr="00296032" w:rsidRDefault="00296032">
      <w:pPr>
        <w:pStyle w:val="artikelkop"/>
      </w:pPr>
      <w:r w:rsidRPr="00296032">
        <w:t xml:space="preserve">Artikel 5.49 </w:t>
      </w:r>
    </w:p>
    <w:p w:rsidR="00296032" w:rsidRPr="00620047" w:rsidRDefault="00296032">
      <w:pPr>
        <w:pStyle w:val="art1enivo"/>
      </w:pPr>
      <w:r w:rsidRPr="00620047">
        <w:t>1.</w:t>
      </w:r>
      <w:r w:rsidRPr="00620047">
        <w:tab/>
        <w:t>Deze paragraaf is van toepassing op de diffuse emissies van vluchtige organische stoffen bij het in werking hebben van een installatie voor het op- en overslaan van vloeistoffen met een capaciteit van meer dan 150 kubieke meter.</w:t>
      </w:r>
    </w:p>
    <w:p w:rsidR="00296032" w:rsidRPr="00620047" w:rsidRDefault="00296032">
      <w:pPr>
        <w:pStyle w:val="art1enivo"/>
      </w:pPr>
      <w:r w:rsidRPr="00620047">
        <w:t>2.</w:t>
      </w:r>
      <w:r w:rsidRPr="00620047">
        <w:tab/>
        <w:t>Deze paragraaf is niet van toepassing op installaties voor het op- en overslaan van vloeistoffen binnen raffinaderijen indien en voor zover in de BBT-conclusies, bedoeld in artikel 3 van de EU-richtlijn industriële emissies eisen zijn gesteld.</w:t>
      </w:r>
    </w:p>
    <w:p w:rsidR="00296032" w:rsidRPr="00620047" w:rsidRDefault="00296032">
      <w:pPr>
        <w:pStyle w:val="art1enivo"/>
      </w:pPr>
      <w:r w:rsidRPr="00620047">
        <w:t>3.</w:t>
      </w:r>
      <w:r w:rsidRPr="00620047">
        <w:tab/>
        <w:t>Deze paragraaf is niet van toepassing op installaties waarop afdeling 5.2 van toepassing is.</w:t>
      </w:r>
    </w:p>
    <w:p w:rsidR="00296032" w:rsidRPr="00296032" w:rsidRDefault="00296032">
      <w:pPr>
        <w:pStyle w:val="artikelkop"/>
      </w:pPr>
      <w:r w:rsidRPr="00296032">
        <w:t xml:space="preserve">Artikel 5.50 </w:t>
      </w:r>
    </w:p>
    <w:p w:rsidR="00296032" w:rsidRPr="00620047" w:rsidRDefault="00296032">
      <w:pPr>
        <w:pStyle w:val="art1enivo"/>
      </w:pPr>
      <w:r w:rsidRPr="00620047">
        <w:t>1.</w:t>
      </w:r>
      <w:r w:rsidRPr="00620047">
        <w:tab/>
        <w:t>In afwijking van artikel 2.5 zijn de emissiegrenswaarden behorende bij stofklasse gO niet van toepassing op diffuse emissies van vluchtige organische stoffen bij de op- en overslag van vloeistoffen.</w:t>
      </w:r>
    </w:p>
    <w:p w:rsidR="00296032" w:rsidRPr="00620047" w:rsidRDefault="00296032">
      <w:pPr>
        <w:pStyle w:val="art1enivo"/>
      </w:pPr>
      <w:r w:rsidRPr="00620047">
        <w:t>2.</w:t>
      </w:r>
      <w:r w:rsidRPr="00620047">
        <w:tab/>
        <w:t>Ten behoeve van het voorkomen dan wel voor zover dat niet mogelijk is het zoveel mogelijk beperken van diffuse emissies van vluchtige organische stoffen wordt voldaan aan de bij ministeriële regeling gestelde eisen.</w:t>
      </w:r>
    </w:p>
    <w:p w:rsidR="00296032" w:rsidRDefault="00296032">
      <w:pPr>
        <w:pStyle w:val="art1enivo"/>
      </w:pPr>
      <w:r w:rsidRPr="00620047">
        <w:t>3.</w:t>
      </w:r>
      <w:r w:rsidRPr="00620047">
        <w:tab/>
        <w:t>Het tweede lid is niet van toepassing op vloeistoffen met een dampspanning van ten hoogste 1 kPa.</w:t>
      </w:r>
    </w:p>
    <w:p w:rsidR="00B04B82" w:rsidRDefault="00B04B82" w:rsidP="00B04B82"/>
    <w:p w:rsidR="00B04B82" w:rsidRPr="00F41CD6" w:rsidRDefault="00B04B82" w:rsidP="00B04B82">
      <w:pPr>
        <w:pStyle w:val="afdeling"/>
        <w:shd w:val="clear" w:color="auto" w:fill="D9D9D9" w:themeFill="background1" w:themeFillShade="D9"/>
        <w:rPr>
          <w:rFonts w:eastAsiaTheme="minorEastAsia"/>
        </w:rPr>
      </w:pPr>
      <w:bookmarkStart w:id="412" w:name="_Toc431375802"/>
      <w:r w:rsidRPr="00F41CD6">
        <w:rPr>
          <w:rFonts w:eastAsiaTheme="minorEastAsia"/>
        </w:rPr>
        <w:t>AFDELING 5.5 INSTALLATIE VOOR DE OP- EN OVERSLAG VAN VLOEISTOFFEN</w:t>
      </w:r>
      <w:bookmarkEnd w:id="412"/>
    </w:p>
    <w:p w:rsidR="00B04B82" w:rsidRDefault="00B04B82" w:rsidP="00B04B82">
      <w:pPr>
        <w:pStyle w:val="artikelkop"/>
        <w:shd w:val="clear" w:color="auto" w:fill="D9D9D9" w:themeFill="background1" w:themeFillShade="D9"/>
        <w:rPr>
          <w:rFonts w:eastAsiaTheme="minorEastAsia"/>
          <w:lang w:eastAsia="nl-NL"/>
        </w:rPr>
      </w:pPr>
      <w:r>
        <w:rPr>
          <w:rFonts w:eastAsiaTheme="minorEastAsia"/>
          <w:lang w:eastAsia="nl-NL"/>
        </w:rPr>
        <w:t xml:space="preserve">Artikel 5.38 </w:t>
      </w:r>
    </w:p>
    <w:p w:rsidR="00B04B82" w:rsidRDefault="00B04B82" w:rsidP="00B04B82">
      <w:pPr>
        <w:pStyle w:val="artplat"/>
        <w:shd w:val="clear" w:color="auto" w:fill="D9D9D9" w:themeFill="background1" w:themeFillShade="D9"/>
        <w:rPr>
          <w:rFonts w:eastAsiaTheme="minorEastAsia"/>
          <w:lang w:eastAsia="nl-NL"/>
        </w:rPr>
      </w:pPr>
      <w:r>
        <w:rPr>
          <w:rFonts w:eastAsiaTheme="minorEastAsia"/>
          <w:lang w:eastAsia="nl-NL"/>
        </w:rPr>
        <w:t>Ten behoeve van het voorkomen dan wel zoveel mogelijk beperken van diffuse emissies van vluchtige organische stoffen als bedoeld in artikel 5.50, tweede lid, van het besluit, past degene die de inrichting drijft de volgende emissiereducerende maatregelen toe, tenzij deze niet kosteneffectief of niet technisch uitvoerbaar zijn:</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het reduceren van de vul- en ademverliezen van tanks met een vast dak door middel van het aanbrengen van inwendig drijvende dekken of gelijkwaardige voorzieningen bij tanks;</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het vervangen dan wel voorzien van een secundaire afdichting, van primaire afdichtingen in tanks met een drijvend dak om te bereiken dat de spleetbreedte over ten minste 95% van de omtrek van het dak niet meer bedraagt dan 3,2 mm;</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het condenseren of op andere wijze terugwinnen of vernietigen, met inachtneming van de samenhang in de benzineketen, van vrijkomende dampen als gevolg van de belading van lichters met vluchtige vloeistoffen op steigers waar een dampverwerkingsinstallatie aanwezig is;</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het condenseren of op andere wijze terugwinnen of vernietigen, met inachtneming van de samenhang in de benzineketen, van vrijkomende dampen als gevolg van belading van tankwagens en ketelwagens met vluchtige vloeistoffen met uitzondering van kerosine;</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het opstellen en uitvoeren van een programma van intensieve controle en onderhoud bij diffuse bronnen van emissies, zoals pompen of afsluiters, en het schoonmaken van tanks;</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f.</w:t>
      </w:r>
      <w:r>
        <w:rPr>
          <w:rFonts w:eastAsiaTheme="minorEastAsia"/>
          <w:lang w:eastAsia="nl-NL"/>
        </w:rPr>
        <w:tab/>
        <w:t>het reduceren van de fakkelverliezen door middel van minimalisatie van bedrijfsstoringen, effectieve fakkelgasterugwinning of een schema van regelmatige controle op doorlatende afsluiters en veiligheidskleppen naar de fakkel;</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g.</w:t>
      </w:r>
      <w:r>
        <w:rPr>
          <w:rFonts w:eastAsiaTheme="minorEastAsia"/>
          <w:lang w:eastAsia="nl-NL"/>
        </w:rPr>
        <w:tab/>
        <w:t>het invoeren van good-housekeeping en discipline bij drainoperaties;</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h.</w:t>
      </w:r>
      <w:r>
        <w:rPr>
          <w:rFonts w:eastAsiaTheme="minorEastAsia"/>
          <w:lang w:eastAsia="nl-NL"/>
        </w:rPr>
        <w:tab/>
        <w:t>het reduceren van de lekverliezen langs aansluitingen en doorvoeringen van tanks met een uitwendig drijvend dak door het aanbrengen van pakkingen of moffen.</w:t>
      </w:r>
    </w:p>
    <w:p w:rsidR="00B04B82" w:rsidRDefault="00B04B82"/>
    <w:p w:rsidR="00B04B82" w:rsidRPr="00B04B82" w:rsidRDefault="00B04B82" w:rsidP="00B04B82"/>
    <w:p w:rsidR="00296032" w:rsidRPr="00620047" w:rsidRDefault="00296032">
      <w:pPr>
        <w:pStyle w:val="afdeling"/>
      </w:pPr>
      <w:bookmarkStart w:id="413" w:name="_Toc431375803"/>
      <w:r w:rsidRPr="00620047">
        <w:t>AFDELING 5.2. OP- EN OVERSLAG VAN BENZINE</w:t>
      </w:r>
      <w:bookmarkEnd w:id="413"/>
    </w:p>
    <w:p w:rsidR="00296032" w:rsidRPr="00296032" w:rsidRDefault="00296032">
      <w:pPr>
        <w:pStyle w:val="artikelkop"/>
      </w:pPr>
      <w:r w:rsidRPr="00296032">
        <w:t xml:space="preserve">Artikel 5.51 </w:t>
      </w:r>
    </w:p>
    <w:p w:rsidR="00296032" w:rsidRPr="00620047" w:rsidRDefault="00296032">
      <w:pPr>
        <w:pStyle w:val="art1enivo"/>
      </w:pPr>
      <w:r w:rsidRPr="00620047">
        <w:t>1.</w:t>
      </w:r>
      <w:r w:rsidRPr="00620047">
        <w:tab/>
        <w:t>Het begrip ‘vloeibare brandstof’ is niet van toepassing op installaties waarop deze afdeling van toepassing is.</w:t>
      </w:r>
    </w:p>
    <w:p w:rsidR="00296032" w:rsidRPr="00620047" w:rsidRDefault="00296032">
      <w:pPr>
        <w:pStyle w:val="art1enivo"/>
      </w:pPr>
      <w:r w:rsidRPr="00620047">
        <w:t>2.</w:t>
      </w:r>
      <w:r w:rsidRPr="00620047">
        <w:tab/>
        <w:t>Voor de toepassing van deze afdeling wordt verstaan onder:</w:t>
      </w:r>
    </w:p>
    <w:p w:rsidR="00296032" w:rsidRPr="00620047" w:rsidRDefault="00296032">
      <w:pPr>
        <w:pStyle w:val="art2enivo"/>
        <w:ind w:left="426" w:hanging="1"/>
      </w:pPr>
      <w:r w:rsidRPr="00620047">
        <w:rPr>
          <w:i/>
        </w:rPr>
        <w:t>benzine</w:t>
      </w:r>
      <w:r w:rsidRPr="00620047">
        <w:t>: benzine als bedoeld in artikel 2, onderdeel a, van richtlijn 94/63;</w:t>
      </w:r>
    </w:p>
    <w:p w:rsidR="00296032" w:rsidRPr="00620047" w:rsidRDefault="00296032">
      <w:pPr>
        <w:pStyle w:val="art2enivo"/>
        <w:ind w:left="426" w:hanging="1"/>
      </w:pPr>
    </w:p>
    <w:p w:rsidR="00296032" w:rsidRPr="00620047" w:rsidRDefault="00296032">
      <w:pPr>
        <w:pStyle w:val="art2enivo"/>
        <w:ind w:left="426" w:hanging="1"/>
      </w:pPr>
      <w:r w:rsidRPr="00620047">
        <w:rPr>
          <w:i/>
        </w:rPr>
        <w:t>benzinedebiet</w:t>
      </w:r>
      <w:r w:rsidRPr="00620047">
        <w:t>: de in de drie voorgaande jaren gemeten grootste totale jaarlijkse hoeveelheid benzine die van een opslaginstallatie van een terminal is overgeslagen in een mobiele tank;</w:t>
      </w:r>
    </w:p>
    <w:p w:rsidR="00296032" w:rsidRPr="00620047" w:rsidRDefault="00296032">
      <w:pPr>
        <w:pStyle w:val="art2enivo"/>
        <w:ind w:left="426" w:hanging="1"/>
      </w:pPr>
    </w:p>
    <w:p w:rsidR="00296032" w:rsidRPr="00620047" w:rsidRDefault="00296032">
      <w:pPr>
        <w:pStyle w:val="art2enivo"/>
        <w:ind w:left="426" w:hanging="1"/>
      </w:pPr>
      <w:r w:rsidRPr="00620047">
        <w:rPr>
          <w:i/>
        </w:rPr>
        <w:t>damp</w:t>
      </w:r>
      <w:r w:rsidRPr="00620047">
        <w:t>: damp als bedoeld in artikel 2, onderdeel b, van richtlijn 94/63;</w:t>
      </w:r>
    </w:p>
    <w:p w:rsidR="00296032" w:rsidRPr="00620047" w:rsidRDefault="00296032">
      <w:pPr>
        <w:pStyle w:val="art2enivo"/>
        <w:ind w:left="426" w:hanging="1"/>
      </w:pPr>
    </w:p>
    <w:p w:rsidR="00296032" w:rsidRPr="00620047" w:rsidRDefault="00296032">
      <w:pPr>
        <w:pStyle w:val="art2enivo"/>
        <w:ind w:left="426" w:hanging="1"/>
      </w:pPr>
      <w:r w:rsidRPr="00620047">
        <w:rPr>
          <w:i/>
        </w:rPr>
        <w:t>mobiele tank</w:t>
      </w:r>
      <w:r w:rsidRPr="00620047">
        <w:t>: mobiele tank als bedoeld in artikel 2, onderdeel e, van richtlijn 94/63;</w:t>
      </w:r>
    </w:p>
    <w:p w:rsidR="00296032" w:rsidRPr="00620047" w:rsidRDefault="00296032">
      <w:pPr>
        <w:pStyle w:val="art2enivo"/>
        <w:ind w:left="426" w:hanging="1"/>
      </w:pPr>
    </w:p>
    <w:p w:rsidR="00296032" w:rsidRPr="00620047" w:rsidRDefault="00296032">
      <w:pPr>
        <w:pStyle w:val="art2enivo"/>
        <w:ind w:left="426" w:hanging="1"/>
      </w:pPr>
      <w:r w:rsidRPr="00620047">
        <w:rPr>
          <w:i/>
        </w:rPr>
        <w:t>richtlijn 94/63</w:t>
      </w:r>
      <w:r w:rsidRPr="00620047">
        <w:t>: richtlijn 94/63/EG van het Europees Parlement en de Raad van 20 december 1994 betreffende de beheersing van de uitstoot van vluchtige organische stoffen (VOS) als gevolg van de opslag van benzine en de distributie van benzine vanaf terminals naar benzinestations (PbEG1994, L 365);</w:t>
      </w:r>
    </w:p>
    <w:p w:rsidR="00296032" w:rsidRPr="00620047" w:rsidRDefault="00296032">
      <w:pPr>
        <w:pStyle w:val="art2enivo"/>
        <w:ind w:left="426" w:hanging="1"/>
      </w:pPr>
    </w:p>
    <w:p w:rsidR="00296032" w:rsidRPr="00620047" w:rsidRDefault="00296032">
      <w:pPr>
        <w:pStyle w:val="art2enivo"/>
        <w:ind w:left="426" w:hanging="1"/>
      </w:pPr>
      <w:r w:rsidRPr="00620047">
        <w:rPr>
          <w:i/>
        </w:rPr>
        <w:t>terminal</w:t>
      </w:r>
      <w:r w:rsidRPr="00620047">
        <w:t>: inrichting of een gedeelte van een inrichting voor de opslag of overslag van benzine in mobiele tanks;</w:t>
      </w:r>
    </w:p>
    <w:p w:rsidR="00296032" w:rsidRPr="00296032" w:rsidRDefault="00296032">
      <w:pPr>
        <w:pStyle w:val="paragraaf"/>
      </w:pPr>
      <w:bookmarkStart w:id="414" w:name="_Toc431375804"/>
      <w:r w:rsidRPr="00296032">
        <w:t xml:space="preserve">§ 5.2.1. </w:t>
      </w:r>
      <w:r w:rsidR="00C667E9">
        <w:tab/>
      </w:r>
      <w:r w:rsidRPr="00296032">
        <w:t>Opslaginstallaties</w:t>
      </w:r>
      <w:bookmarkEnd w:id="414"/>
    </w:p>
    <w:p w:rsidR="00296032" w:rsidRPr="00296032" w:rsidRDefault="00296032">
      <w:pPr>
        <w:pStyle w:val="artikelkop"/>
      </w:pPr>
      <w:r w:rsidRPr="00296032">
        <w:t xml:space="preserve">Artikel 5.52 </w:t>
      </w:r>
    </w:p>
    <w:p w:rsidR="00296032" w:rsidRPr="00620047" w:rsidRDefault="00296032">
      <w:pPr>
        <w:pStyle w:val="artplat"/>
      </w:pPr>
      <w:r w:rsidRPr="00620047">
        <w:t>Deze paragraaf is van toepassing op het in werking hebben van een terminal met een opslaginstallatie als bedoeld in artikel 2, onderdeel c, van richtlijn 94/63.</w:t>
      </w:r>
    </w:p>
    <w:p w:rsidR="00296032" w:rsidRPr="00296032" w:rsidRDefault="00296032">
      <w:pPr>
        <w:pStyle w:val="artikelkop"/>
      </w:pPr>
      <w:r w:rsidRPr="00296032">
        <w:t xml:space="preserve">Artikel 5.53 </w:t>
      </w:r>
    </w:p>
    <w:p w:rsidR="00296032" w:rsidRDefault="00296032">
      <w:pPr>
        <w:pStyle w:val="artplat"/>
      </w:pPr>
      <w:r w:rsidRPr="00620047">
        <w:t>Degene die een terminal met opslaginstallatie drijft, voldoet ten behoeve van het verminderen van de emissie van benzinedamp naar de lucht aan de bij ministeriële regeling gestelde eisen.</w:t>
      </w:r>
    </w:p>
    <w:p w:rsidR="00B04B82" w:rsidRDefault="00B04B82">
      <w:pPr>
        <w:pStyle w:val="artplat"/>
      </w:pPr>
    </w:p>
    <w:p w:rsidR="00B04B82" w:rsidRDefault="00B04B82" w:rsidP="00B04B82">
      <w:pPr>
        <w:pStyle w:val="paragraaf"/>
        <w:shd w:val="clear" w:color="auto" w:fill="D9D9D9" w:themeFill="background1" w:themeFillShade="D9"/>
        <w:rPr>
          <w:rFonts w:eastAsiaTheme="minorEastAsia"/>
          <w:lang w:eastAsia="nl-NL"/>
        </w:rPr>
      </w:pPr>
      <w:bookmarkStart w:id="415" w:name="_Toc431375805"/>
      <w:r>
        <w:rPr>
          <w:rFonts w:eastAsiaTheme="minorEastAsia"/>
          <w:lang w:eastAsia="nl-NL"/>
        </w:rPr>
        <w:t xml:space="preserve">§ 5.2.1. </w:t>
      </w:r>
      <w:r>
        <w:rPr>
          <w:rFonts w:eastAsiaTheme="minorEastAsia"/>
          <w:lang w:eastAsia="nl-NL"/>
        </w:rPr>
        <w:tab/>
        <w:t>Opslaginstallaties</w:t>
      </w:r>
      <w:bookmarkEnd w:id="415"/>
    </w:p>
    <w:p w:rsidR="00B04B82" w:rsidRDefault="00B04B82" w:rsidP="00B04B82">
      <w:pPr>
        <w:pStyle w:val="artikelkop"/>
        <w:shd w:val="clear" w:color="auto" w:fill="D9D9D9" w:themeFill="background1" w:themeFillShade="D9"/>
        <w:rPr>
          <w:rFonts w:eastAsiaTheme="minorEastAsia"/>
          <w:lang w:eastAsia="nl-NL"/>
        </w:rPr>
      </w:pPr>
      <w:r>
        <w:rPr>
          <w:rFonts w:eastAsiaTheme="minorEastAsia"/>
          <w:lang w:eastAsia="nl-NL"/>
        </w:rPr>
        <w:t xml:space="preserve">Artikel 5.39 </w:t>
      </w:r>
    </w:p>
    <w:p w:rsidR="00B04B82" w:rsidRDefault="00B04B82" w:rsidP="00B04B82">
      <w:pPr>
        <w:pStyle w:val="artplat"/>
        <w:shd w:val="clear" w:color="auto" w:fill="D9D9D9" w:themeFill="background1" w:themeFillShade="D9"/>
        <w:rPr>
          <w:rFonts w:eastAsiaTheme="minorEastAsia"/>
          <w:lang w:eastAsia="nl-NL"/>
        </w:rPr>
      </w:pPr>
      <w:r>
        <w:rPr>
          <w:rFonts w:eastAsiaTheme="minorEastAsia"/>
          <w:lang w:eastAsia="nl-NL"/>
        </w:rPr>
        <w:t>Ten behoeve van het verminderen van de emissie van benzinedamp naar de lucht als bedoeld in artikel 5.53 van het besluit wordt voldaan aan de artikelen 5.40 tot en met 5.44.</w:t>
      </w:r>
    </w:p>
    <w:p w:rsidR="00B04B82" w:rsidRDefault="00B04B82" w:rsidP="00B04B82">
      <w:pPr>
        <w:pStyle w:val="artikelkop"/>
        <w:shd w:val="clear" w:color="auto" w:fill="D9D9D9" w:themeFill="background1" w:themeFillShade="D9"/>
        <w:rPr>
          <w:rFonts w:eastAsiaTheme="minorEastAsia"/>
          <w:lang w:eastAsia="nl-NL"/>
        </w:rPr>
      </w:pPr>
      <w:r>
        <w:rPr>
          <w:rFonts w:eastAsiaTheme="minorEastAsia"/>
          <w:lang w:eastAsia="nl-NL"/>
        </w:rPr>
        <w:t xml:space="preserve">Artikel 5.40 </w:t>
      </w:r>
    </w:p>
    <w:p w:rsidR="00B04B82" w:rsidRDefault="00B04B82" w:rsidP="00B04B82">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buitenwand en het uitwendige dak van een bovengrondse tank worden geschilderd in een kleur waarvan de totale stralingshittereflectie ten minste 70 procent bedraagt. Het schilderen vindt plaats bij een periodieke onderhoudsbeurt van de tank.</w:t>
      </w:r>
    </w:p>
    <w:p w:rsidR="00B04B82" w:rsidRDefault="00B04B82" w:rsidP="00B04B82">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eerste lid is niet van toepassing op een tank die verbonden is met een dampterugwinningseenheid die voldoet aan paragraaf 5.2.2 van het besluit.</w:t>
      </w:r>
    </w:p>
    <w:p w:rsidR="00B04B82" w:rsidRDefault="00B04B82" w:rsidP="00B04B82">
      <w:pPr>
        <w:pStyle w:val="artikelkop"/>
        <w:shd w:val="clear" w:color="auto" w:fill="D9D9D9" w:themeFill="background1" w:themeFillShade="D9"/>
        <w:rPr>
          <w:rFonts w:eastAsiaTheme="minorEastAsia"/>
          <w:lang w:eastAsia="nl-NL"/>
        </w:rPr>
      </w:pPr>
      <w:r>
        <w:rPr>
          <w:rFonts w:eastAsiaTheme="minorEastAsia"/>
          <w:lang w:eastAsia="nl-NL"/>
        </w:rPr>
        <w:t xml:space="preserve">Artikel 5.41 </w:t>
      </w:r>
    </w:p>
    <w:p w:rsidR="00B04B82" w:rsidRDefault="00B04B82" w:rsidP="00B04B82">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Een tank met een uitwendig drijvend dak is voorzien van een primaire afdichting dat de ringvormige ruimte tussen de tankwand en de buitenste rand van het drijvende dak afdicht, met daarboven een secundaire afdichting.</w:t>
      </w:r>
    </w:p>
    <w:p w:rsidR="00B04B82" w:rsidRDefault="00B04B82" w:rsidP="00B04B82">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afdichtingen, bedoeld in het eerste lid, zijn zodanig ontworpen dat in vergelijking met een soortgelijke tank met vast dak zonder dampbeheersingsvoorzieningen ten minste 95 procent van de damp wordt vastgehouden.</w:t>
      </w:r>
    </w:p>
    <w:p w:rsidR="00B04B82" w:rsidRDefault="00B04B82" w:rsidP="00B04B82">
      <w:pPr>
        <w:pStyle w:val="artikelkop"/>
        <w:shd w:val="clear" w:color="auto" w:fill="D9D9D9" w:themeFill="background1" w:themeFillShade="D9"/>
        <w:rPr>
          <w:rFonts w:eastAsiaTheme="minorEastAsia"/>
          <w:lang w:eastAsia="nl-NL"/>
        </w:rPr>
      </w:pPr>
      <w:r>
        <w:rPr>
          <w:rFonts w:eastAsiaTheme="minorEastAsia"/>
          <w:lang w:eastAsia="nl-NL"/>
        </w:rPr>
        <w:t xml:space="preserve">Artikel 5.42 </w:t>
      </w:r>
    </w:p>
    <w:p w:rsidR="00B04B82" w:rsidRDefault="00B04B82" w:rsidP="00B04B82">
      <w:pPr>
        <w:pStyle w:val="artplat"/>
        <w:shd w:val="clear" w:color="auto" w:fill="D9D9D9" w:themeFill="background1" w:themeFillShade="D9"/>
        <w:rPr>
          <w:rFonts w:eastAsiaTheme="minorEastAsia"/>
          <w:lang w:eastAsia="nl-NL"/>
        </w:rPr>
      </w:pPr>
      <w:r>
        <w:rPr>
          <w:rFonts w:eastAsiaTheme="minorEastAsia"/>
          <w:lang w:eastAsia="nl-NL"/>
        </w:rPr>
        <w:t>Een opslaginstallatie die vanaf 31 december 1995 in werking is gebracht of waarvoor vanaf 31 december 1995 een vergunning op grond van artikel 8.1 van de Wet milieubeheer dan wel een omgevingsvergunning op grond van artikel 2.1, eerste lid, aanhef en onder e, van de Wet algemene bepalingen omgevingsrecht is verleend en die onderdeel is van een terminal waarvoor dampterugwinning in paragraaf 5.2.2 van het besluit is voorgeschreven, is:</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een tank met een vast dak die overeenkomstig de paragraaf 5.2.2 van het besluit met de dampterugwinningseenheid is verbonden, of</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een tank met een uitwending of inwendig drijvend dak dat is voorzien van een primaire en secundaire afdichting als bedoeld in artikel 5.41.</w:t>
      </w:r>
    </w:p>
    <w:p w:rsidR="00B04B82" w:rsidRDefault="00B04B82" w:rsidP="00B04B82">
      <w:pPr>
        <w:pStyle w:val="artikelkop"/>
        <w:shd w:val="clear" w:color="auto" w:fill="D9D9D9" w:themeFill="background1" w:themeFillShade="D9"/>
        <w:rPr>
          <w:rFonts w:eastAsiaTheme="minorEastAsia"/>
          <w:lang w:eastAsia="nl-NL"/>
        </w:rPr>
      </w:pPr>
      <w:r>
        <w:rPr>
          <w:rFonts w:eastAsiaTheme="minorEastAsia"/>
          <w:lang w:eastAsia="nl-NL"/>
        </w:rPr>
        <w:t xml:space="preserve">Artikel 5.43 </w:t>
      </w:r>
    </w:p>
    <w:p w:rsidR="00B04B82" w:rsidRDefault="00B04B82" w:rsidP="00B04B82">
      <w:pPr>
        <w:pStyle w:val="artplat"/>
        <w:shd w:val="clear" w:color="auto" w:fill="D9D9D9" w:themeFill="background1" w:themeFillShade="D9"/>
        <w:rPr>
          <w:rFonts w:eastAsiaTheme="minorEastAsia"/>
          <w:lang w:eastAsia="nl-NL"/>
        </w:rPr>
      </w:pPr>
      <w:r>
        <w:rPr>
          <w:rFonts w:eastAsiaTheme="minorEastAsia"/>
          <w:lang w:eastAsia="nl-NL"/>
        </w:rPr>
        <w:t>Een tank met vast dak die voor 31 december 1995 in werking was of waarvoor voor 31 december 1995 een vergunning op grond van artikel 8.1 van de Wet milieubeheer is verleend:</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is verbonden met een dampterugwinningseenheid overeenkomstig paragraaf 5.2.2 van het besluit, of</w:t>
      </w:r>
    </w:p>
    <w:p w:rsidR="00B04B82" w:rsidRDefault="00B04B82" w:rsidP="00B04B82">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heeft een inwendig drijvend dak met een primaire afdichting zodat in vergelijking met een vergelijkbare tank met vast dak zonder dampbeheersingsvoorzieningen ten minste 90 procent van de damp wordt vastgehouden.</w:t>
      </w:r>
    </w:p>
    <w:p w:rsidR="00B04B82" w:rsidRDefault="00B04B82" w:rsidP="00B04B82">
      <w:pPr>
        <w:pStyle w:val="artikelkop"/>
        <w:shd w:val="clear" w:color="auto" w:fill="D9D9D9" w:themeFill="background1" w:themeFillShade="D9"/>
        <w:rPr>
          <w:rFonts w:eastAsiaTheme="minorEastAsia"/>
          <w:lang w:eastAsia="nl-NL"/>
        </w:rPr>
      </w:pPr>
      <w:r>
        <w:rPr>
          <w:rFonts w:eastAsiaTheme="minorEastAsia"/>
          <w:lang w:eastAsia="nl-NL"/>
        </w:rPr>
        <w:t xml:space="preserve">Artikel 5.44 </w:t>
      </w:r>
    </w:p>
    <w:p w:rsidR="00B04B82" w:rsidRDefault="00B04B82" w:rsidP="00B04B82">
      <w:pPr>
        <w:shd w:val="clear" w:color="auto" w:fill="D9D9D9" w:themeFill="background1" w:themeFillShade="D9"/>
      </w:pPr>
      <w:r>
        <w:rPr>
          <w:rFonts w:eastAsiaTheme="minorEastAsia"/>
          <w:lang w:eastAsia="nl-NL"/>
        </w:rPr>
        <w:t>De artikelen 5.42 en 5.43 zijn niet van toepassing op een tank met vast dak van terminals waar voorlopige dampopslag als bedoeld in artikel 5.55, vijfde lid, van het besluit is toegestaan.</w:t>
      </w:r>
    </w:p>
    <w:p w:rsidR="00B04B82" w:rsidRPr="00620047" w:rsidRDefault="00B04B82">
      <w:pPr>
        <w:pStyle w:val="artplat"/>
      </w:pPr>
    </w:p>
    <w:p w:rsidR="00296032" w:rsidRPr="00296032" w:rsidRDefault="00296032">
      <w:pPr>
        <w:pStyle w:val="paragraaf"/>
      </w:pPr>
      <w:bookmarkStart w:id="416" w:name="_Toc431375806"/>
      <w:r w:rsidRPr="00296032">
        <w:t xml:space="preserve">§ 5.2.2. </w:t>
      </w:r>
      <w:r w:rsidR="00C667E9">
        <w:tab/>
      </w:r>
      <w:r w:rsidRPr="00296032">
        <w:t>Overslaginstallaties</w:t>
      </w:r>
      <w:bookmarkEnd w:id="416"/>
    </w:p>
    <w:p w:rsidR="00296032" w:rsidRPr="00296032" w:rsidRDefault="00296032">
      <w:pPr>
        <w:pStyle w:val="artikelkop"/>
      </w:pPr>
      <w:r w:rsidRPr="00296032">
        <w:t xml:space="preserve">Artikel 5.54 </w:t>
      </w:r>
    </w:p>
    <w:p w:rsidR="00296032" w:rsidRPr="00620047" w:rsidRDefault="00296032">
      <w:pPr>
        <w:pStyle w:val="art1enivo"/>
      </w:pPr>
      <w:r w:rsidRPr="00620047">
        <w:t>1.</w:t>
      </w:r>
      <w:r w:rsidRPr="00620047">
        <w:tab/>
        <w:t>Deze paragraaf is van toepassing op het in werking hebben van een terminal met een overslaginstallatie als bedoeld in artikel 2, onderdeel n, van richtlijn 94/63.</w:t>
      </w:r>
    </w:p>
    <w:p w:rsidR="00296032" w:rsidRPr="00620047" w:rsidRDefault="00296032">
      <w:pPr>
        <w:pStyle w:val="art1enivo"/>
      </w:pPr>
      <w:r w:rsidRPr="00620047">
        <w:t>2.</w:t>
      </w:r>
      <w:r w:rsidRPr="00620047">
        <w:tab/>
        <w:t>Deze paragraaf is niet van toepassing op terminals met een benzinedebiet van minder dan 10.000 ton per jaar die voor 31 december 1995 in werking waren of waarvoor voor 31 december 1995 een vergunning krachtens artikel 8.1 van de Wet milieubeheer was verleend en onherroepelijk was.</w:t>
      </w:r>
    </w:p>
    <w:p w:rsidR="00296032" w:rsidRPr="00296032" w:rsidRDefault="00296032">
      <w:pPr>
        <w:pStyle w:val="artikelkop"/>
      </w:pPr>
      <w:r w:rsidRPr="00296032">
        <w:t xml:space="preserve">Artikel 5.55 </w:t>
      </w:r>
    </w:p>
    <w:p w:rsidR="00296032" w:rsidRPr="00620047" w:rsidRDefault="00296032">
      <w:pPr>
        <w:pStyle w:val="art1enivo"/>
      </w:pPr>
      <w:r w:rsidRPr="00620047">
        <w:t>1.</w:t>
      </w:r>
      <w:r w:rsidRPr="00620047">
        <w:tab/>
        <w:t>Tijdens het vullen van een mobiele tank worden verplaatsingsdampen via een dampdichte leiding teruggevoerd naar een dampterugwinningseenheid.</w:t>
      </w:r>
    </w:p>
    <w:p w:rsidR="00296032" w:rsidRPr="00620047" w:rsidRDefault="00296032">
      <w:pPr>
        <w:pStyle w:val="art1enivo"/>
      </w:pPr>
      <w:r w:rsidRPr="00620047">
        <w:t>2.</w:t>
      </w:r>
      <w:r w:rsidRPr="00620047">
        <w:tab/>
        <w:t>Het eerste lid is niet van toepassing op het vullen van een tankwagen langs de bovenzijde.</w:t>
      </w:r>
    </w:p>
    <w:p w:rsidR="00296032" w:rsidRPr="00620047" w:rsidRDefault="00296032">
      <w:pPr>
        <w:pStyle w:val="art1enivo"/>
      </w:pPr>
      <w:r w:rsidRPr="00620047">
        <w:t>3.</w:t>
      </w:r>
      <w:r w:rsidRPr="00620047">
        <w:tab/>
        <w:t>Indien het vullen langs de bovenzijde van een mobiele tank plaatsvindt, wordt het uiteinde van de vularm zoveel mogelijk onderin de mobiele tank gehouden.</w:t>
      </w:r>
    </w:p>
    <w:p w:rsidR="00296032" w:rsidRPr="00620047" w:rsidRDefault="00296032">
      <w:pPr>
        <w:pStyle w:val="art1enivo"/>
      </w:pPr>
      <w:r w:rsidRPr="00620047">
        <w:t>4.</w:t>
      </w:r>
      <w:r w:rsidRPr="00620047">
        <w:tab/>
        <w:t>In afwijking van het eerste lid kan een dampterugwinningseenheid worden vervangen door een dampverbrandingseenheid, indien dampterugwinning onveilig of technisch onmogelijk is vanwege de hoeveelheden retourdamp.</w:t>
      </w:r>
    </w:p>
    <w:p w:rsidR="00296032" w:rsidRPr="00620047" w:rsidRDefault="00296032">
      <w:pPr>
        <w:pStyle w:val="art1enivo"/>
      </w:pPr>
      <w:r w:rsidRPr="00620047">
        <w:t>5.</w:t>
      </w:r>
      <w:r w:rsidRPr="00620047">
        <w:tab/>
        <w:t>Op een terminal met een benzinedebiet van minder dan 25.000 ton per jaar kan onmiddellijke dampterugwinning op de terminal worden vervangen door voorlopige dampopslag in een tank met een vast dak op een terminal voor latere overbrenging naar en terugwinning op een andere terminal, daaronder niet begrepen de overbrenging van damp van de ene naar de andere opslaginstallatie op een terminal.</w:t>
      </w:r>
    </w:p>
    <w:p w:rsidR="00296032" w:rsidRPr="00296032" w:rsidRDefault="00296032">
      <w:pPr>
        <w:pStyle w:val="artikelkop"/>
      </w:pPr>
      <w:r w:rsidRPr="00296032">
        <w:t xml:space="preserve">Artikel 5.56 </w:t>
      </w:r>
    </w:p>
    <w:p w:rsidR="00296032" w:rsidRPr="00620047" w:rsidRDefault="00296032">
      <w:pPr>
        <w:pStyle w:val="art1enivo"/>
      </w:pPr>
      <w:r w:rsidRPr="00620047">
        <w:t>1.</w:t>
      </w:r>
      <w:r w:rsidRPr="00620047">
        <w:tab/>
        <w:t>De gemiddelde concentratie dampen in de afvoer van een dampterugwinningseenheid, gecorrigeerd voor de verdunning tijdens de behandeling, bedraagt ten hoogste 35 g/Nm3 gedurende één uur.</w:t>
      </w:r>
    </w:p>
    <w:p w:rsidR="00296032" w:rsidRPr="00620047" w:rsidRDefault="00296032">
      <w:pPr>
        <w:pStyle w:val="art1enivo"/>
      </w:pPr>
      <w:r w:rsidRPr="00620047">
        <w:t>2.</w:t>
      </w:r>
      <w:r w:rsidRPr="00620047">
        <w:tab/>
        <w:t>Dit artikel is van overeenkomstige toepassing op een dampverbrandingseenheid als bedoeld in artikel 5.55, vierde lid.</w:t>
      </w:r>
    </w:p>
    <w:p w:rsidR="00296032" w:rsidRPr="00296032" w:rsidRDefault="00296032">
      <w:pPr>
        <w:pStyle w:val="artikelkop"/>
      </w:pPr>
      <w:r w:rsidRPr="00296032">
        <w:t xml:space="preserve">Artikel 5.57 </w:t>
      </w:r>
    </w:p>
    <w:p w:rsidR="00296032" w:rsidRPr="00620047" w:rsidRDefault="00296032">
      <w:pPr>
        <w:pStyle w:val="art1enivo"/>
      </w:pPr>
      <w:r w:rsidRPr="00620047">
        <w:t>1.</w:t>
      </w:r>
      <w:r w:rsidRPr="00620047">
        <w:tab/>
        <w:t>Bij het meten van de gemiddelde concentratie dampen wordt voldaan aan de bij ministeriële regeling gestelde eisen.</w:t>
      </w:r>
    </w:p>
    <w:p w:rsidR="00296032" w:rsidRPr="00620047" w:rsidRDefault="00296032">
      <w:pPr>
        <w:pStyle w:val="art1enivo"/>
      </w:pPr>
      <w:r w:rsidRPr="00620047">
        <w:t>2.</w:t>
      </w:r>
      <w:r w:rsidRPr="00620047">
        <w:tab/>
        <w:t>De nauwkeurigheid van de meting bedraagt ten minste 95 procent van de gemeten waarde.</w:t>
      </w:r>
    </w:p>
    <w:p w:rsidR="00296032" w:rsidRPr="00296032" w:rsidRDefault="00296032">
      <w:pPr>
        <w:pStyle w:val="artikelkop"/>
      </w:pPr>
      <w:r w:rsidRPr="00296032">
        <w:t xml:space="preserve">Artikel 5.58 </w:t>
      </w:r>
    </w:p>
    <w:p w:rsidR="00296032" w:rsidRPr="00620047" w:rsidRDefault="00296032">
      <w:pPr>
        <w:pStyle w:val="artplat"/>
      </w:pPr>
      <w:r w:rsidRPr="00620047">
        <w:t>Het normale laaddebiet van benzine per vularm op een laadportaal bedraagt ten hoogste 2.500 liter per minuut.</w:t>
      </w:r>
    </w:p>
    <w:p w:rsidR="00296032" w:rsidRPr="00620047" w:rsidRDefault="00296032" w:rsidP="00C667E9">
      <w:pPr>
        <w:pStyle w:val="artikelkop"/>
      </w:pPr>
      <w:r w:rsidRPr="00620047">
        <w:t xml:space="preserve">Artikel 5.59 </w:t>
      </w:r>
    </w:p>
    <w:p w:rsidR="00296032" w:rsidRPr="00620047" w:rsidRDefault="00296032">
      <w:pPr>
        <w:pStyle w:val="artplat"/>
      </w:pPr>
      <w:r w:rsidRPr="00620047">
        <w:t>Bij piekbelasting van een terminal brengt het dampopvangsysteem van het laadportaal, met inbegrip van de dampterugwinningseenheid, een maximale tegendruk van 55 millibar aan de voertuigzijde van de dampopvangadapter teweeg.</w:t>
      </w:r>
    </w:p>
    <w:p w:rsidR="00296032" w:rsidRPr="00296032" w:rsidRDefault="00296032">
      <w:pPr>
        <w:pStyle w:val="artikelkop"/>
      </w:pPr>
      <w:r w:rsidRPr="00296032">
        <w:t xml:space="preserve">Artikel 5.60 </w:t>
      </w:r>
    </w:p>
    <w:p w:rsidR="00296032" w:rsidRPr="00620047" w:rsidRDefault="00296032">
      <w:pPr>
        <w:pStyle w:val="art1enivo"/>
      </w:pPr>
      <w:r w:rsidRPr="00620047">
        <w:t>1.</w:t>
      </w:r>
      <w:r w:rsidRPr="00620047">
        <w:tab/>
        <w:t>Het vullen van een tankwagen langs de onderzijde is uitsluitend toegestaan indien het vultoelatingssignaal is gegeven door de gecombineerde aardings- en overloopbedieningseenheid.</w:t>
      </w:r>
    </w:p>
    <w:p w:rsidR="00296032" w:rsidRPr="00620047" w:rsidRDefault="00296032">
      <w:pPr>
        <w:pStyle w:val="art1enivo"/>
      </w:pPr>
      <w:r w:rsidRPr="00620047">
        <w:t>2.</w:t>
      </w:r>
      <w:r w:rsidRPr="00620047">
        <w:tab/>
        <w:t>Bij het vullen van een tankwagen langs de onderzijde is de dampopvangslang met de tankwagen verbonden en stroomt de verplaatste damp vrij van de tankwagen naar de dampopvangvoorziening van de terminal.</w:t>
      </w:r>
    </w:p>
    <w:p w:rsidR="00296032" w:rsidRPr="00620047" w:rsidRDefault="00296032">
      <w:pPr>
        <w:pStyle w:val="art1enivo"/>
      </w:pPr>
      <w:r w:rsidRPr="00620047">
        <w:t>3.</w:t>
      </w:r>
      <w:r w:rsidRPr="00620047">
        <w:tab/>
        <w:t>In geval van overloop of onderbreking van de aarding van een tankwagen sluit de bedieningseenheid van het laadportaal de vulcontroleklep aan het laadportaal.</w:t>
      </w:r>
    </w:p>
    <w:p w:rsidR="00296032" w:rsidRPr="00296032" w:rsidRDefault="00296032">
      <w:pPr>
        <w:pStyle w:val="artikelkop"/>
      </w:pPr>
      <w:r w:rsidRPr="00296032">
        <w:t xml:space="preserve">Artikel 5.61 </w:t>
      </w:r>
    </w:p>
    <w:p w:rsidR="00296032" w:rsidRPr="00620047" w:rsidRDefault="00296032">
      <w:pPr>
        <w:pStyle w:val="art1enivo"/>
      </w:pPr>
      <w:r w:rsidRPr="00620047">
        <w:t>1.</w:t>
      </w:r>
      <w:r w:rsidRPr="00620047">
        <w:tab/>
        <w:t>Dampen die worden opgeslagen in een tank met vast dak voor voorlopige dampopslag worden via een dampdichte leiding teruggevoerd naar de mobiele tank van waaruit de benzine wordt geleverd.</w:t>
      </w:r>
    </w:p>
    <w:p w:rsidR="00296032" w:rsidRPr="00620047" w:rsidRDefault="00296032">
      <w:pPr>
        <w:pStyle w:val="art1enivo"/>
      </w:pPr>
      <w:r w:rsidRPr="00620047">
        <w:t>2.</w:t>
      </w:r>
      <w:r w:rsidRPr="00620047">
        <w:tab/>
        <w:t>Vulwerkzaamheden vinden alleen plaats indien de voorzieningen, bedoeld in deze paragraaf, aanwezig zijn en adequaat werken.</w:t>
      </w:r>
    </w:p>
    <w:p w:rsidR="00296032" w:rsidRPr="00296032" w:rsidRDefault="00296032">
      <w:pPr>
        <w:pStyle w:val="artikelkop"/>
      </w:pPr>
      <w:r w:rsidRPr="00296032">
        <w:t xml:space="preserve">Artikel 5.62 </w:t>
      </w:r>
    </w:p>
    <w:p w:rsidR="00296032" w:rsidRPr="00620047" w:rsidRDefault="00296032">
      <w:pPr>
        <w:pStyle w:val="artplat"/>
      </w:pPr>
      <w:r w:rsidRPr="00620047">
        <w:t>Een terminal met een overslaginstallatie voor het vullen van tankwagens is uitgerust met ten minste één laadportaal dat ten behoeve van het verminderen van de emissie van benzinedamp naar de lucht voldoet aan de bij ministeriële regeling gestelde eisen.</w:t>
      </w:r>
    </w:p>
    <w:p w:rsidR="00296032" w:rsidRPr="00296032" w:rsidRDefault="00296032">
      <w:pPr>
        <w:pStyle w:val="artikelkop"/>
      </w:pPr>
      <w:r w:rsidRPr="00296032">
        <w:t xml:space="preserve">Artikel 5.63 </w:t>
      </w:r>
    </w:p>
    <w:p w:rsidR="00296032" w:rsidRDefault="00296032">
      <w:pPr>
        <w:pStyle w:val="artplat"/>
      </w:pPr>
      <w:r w:rsidRPr="00620047">
        <w:t>Degene die een terminal met overslaginstallatie drijft, voldoet ten behoeve van het verminderen van de emissie van benzinedamp naar de lucht aan de bij ministeriële regeling gestelde eisen.</w:t>
      </w:r>
    </w:p>
    <w:p w:rsidR="00611FAC" w:rsidRDefault="00611FAC">
      <w:pPr>
        <w:pStyle w:val="artplat"/>
      </w:pPr>
    </w:p>
    <w:p w:rsidR="00611FAC" w:rsidRDefault="00611FAC" w:rsidP="00611FAC">
      <w:pPr>
        <w:pStyle w:val="paragraaf"/>
        <w:shd w:val="clear" w:color="auto" w:fill="D9D9D9" w:themeFill="background1" w:themeFillShade="D9"/>
        <w:rPr>
          <w:rFonts w:eastAsiaTheme="minorEastAsia"/>
          <w:lang w:eastAsia="nl-NL"/>
        </w:rPr>
      </w:pPr>
      <w:bookmarkStart w:id="417" w:name="_Toc431375807"/>
      <w:r>
        <w:rPr>
          <w:rFonts w:eastAsiaTheme="minorEastAsia"/>
          <w:lang w:eastAsia="nl-NL"/>
        </w:rPr>
        <w:t xml:space="preserve">§ 5.2.2. </w:t>
      </w:r>
      <w:r>
        <w:rPr>
          <w:rFonts w:eastAsiaTheme="minorEastAsia"/>
          <w:lang w:eastAsia="nl-NL"/>
        </w:rPr>
        <w:tab/>
        <w:t>Overslaginstallaties</w:t>
      </w:r>
      <w:bookmarkEnd w:id="417"/>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5.45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Ten behoeve van het verminderen van de emissie van benzinedamp naar de lucht als bedoeld in de artikelen 5.62 en 5.63 van het besluit wordt voldaan aan de artikelen 5.46 tot en met 5.54.</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5.46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aansluitingen en leidingen van een overslaginstallatie worden regelmatig en zoveel als redelijkerwijs nodig is op lekken gecontroleerd.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 geval van een damplek worden de vulwerkzaamheden bij het laadportaal, bedoeld in artikel 5.62 van het besluit onderbroken.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Op het laadportaal is een voorziening geplaatst om een onderbreking als bedoeld in het tweede lid tot stand te brengen.</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5.47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meten van dampen, bedoeld in artikel 5.57 van het besluit, geschiedt gedurende een volle werkdag van ten minste zeven uur met normaal debiet.</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metingen zijn continu of intermitterend.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Intermitterende metingen vinden ten minste vier maal per uur plaats.</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5.48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Het totaal aan meetfouten als gevolg van de gebruikte apparatuur, het kalibratiegas en het toegepaste procedé bedraagt ten hoogste tien procent van de gemeten waarde.</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5.49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De gebruikte apparatuur is ten minste in staat concentraties van ten hoogste 3 g/Nm</w:t>
      </w:r>
      <w:r>
        <w:rPr>
          <w:rFonts w:eastAsiaTheme="minorEastAsia"/>
          <w:position w:val="5"/>
          <w:lang w:eastAsia="nl-NL"/>
        </w:rPr>
        <w:t>3</w:t>
      </w:r>
      <w:r>
        <w:rPr>
          <w:rFonts w:eastAsiaTheme="minorEastAsia"/>
          <w:lang w:eastAsia="nl-NL"/>
        </w:rPr>
        <w:t xml:space="preserve"> te meten.</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5.50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vularm van het laadportaal heeft een vrouwelijke vloeistofaansluiting die gekoppeld kan worden aan een mannelijke API 1004-adapter van 101,6 mm op de tankwagen, overeenkomstig API1004.</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dampopvangslang van het laadportaal heeft een vrouwelijke nok-groef-dampopvangaansluiting die gekoppeld kan worden aan een mannelijke nok-groef-adapter van 101,6 mm op de tankwagen, overeenkomstig API 1004.</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5.51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Een laadportaal is voorzien van een overloopdetectiebedieningseenheid.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Indien een laadportaal wordt verbonden met een tankwagen, geeft de overloopdetectiebedieningseenheid een faalveilig vultoelatingssignaal wanneer de compartimentsoverloopsensoren geen hoog peil signaleren.</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5.52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bedieningseenheid van het laadportaal is via een kabel waaraan een contrasteker is bevestigd, via een standaard 10-pens elektrische contactdoos, verbonden met de steker op de tankwagen.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bedieningseenheid van een vulportaal is geschikt voor zowel tweedraads thermistorsensoren, tweedraads optische sensoren, vijfdraads optische sensoren of gelijkwaardige sensoren op een tankwagen.</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5.53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laadportaal is via de gemeenschappelijke retourdraad van de overloopsensoren verbonden met een tankwagen.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retourdraad is via het chassis van een tankwagen verbonden met pen 10 van de steker.</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Pen 10 van de contrasteker is verbonden met de omsluiting van de bedieningseenheid.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De omsluiting is verbonden met de aarding van het laadportaal.</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5.54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Bij het ontwerp van de vloeistoflaad- en dampopvangvoorzieningen aan een laadportaal wordt uitgegaan van een verbindingssysteem dat voldoet aan de volgende eisen: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hoogte van de hartlijn van de vloeistofadapters bedraagt tussen 0,7 en 1,0 meter,</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indien de vloeistofadapters ongeladen zijn bedraagt de hartlijn ten hoogste 1,4 meter,</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indien de vloeistofadapters geladen zijn, bedraagt de hartlijn ten minste 0,5 meter,</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de horizontale afstand tussen de vloeistofadapters bedraagt ten minste 0,25 meter,</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de vloeistofadapters bevinden zich binnen een lengte van ten hoogste 2,5 meter,</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f.</w:t>
      </w:r>
      <w:r>
        <w:rPr>
          <w:rFonts w:eastAsiaTheme="minorEastAsia"/>
          <w:lang w:eastAsia="nl-NL"/>
        </w:rPr>
        <w:tab/>
        <w:t>de dampopvangadapter bevindt zich bij voorkeur rechts van de vloeistofadapters op een hoogte van ten hoogste 1,5 meter indien de vloeistofadapter ongeladen is en op ten minste 0,5 meter indien de vloeistofadapter geladen is, 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g.</w:t>
      </w:r>
      <w:r>
        <w:rPr>
          <w:rFonts w:eastAsiaTheme="minorEastAsia"/>
          <w:lang w:eastAsia="nl-NL"/>
        </w:rPr>
        <w:tab/>
        <w:t>de aarding of overloopdetectie bevindt zich rechts van de vloeistof- en dampopvangadapters op:</w:t>
      </w:r>
    </w:p>
    <w:p w:rsidR="00611FAC" w:rsidRDefault="00611FAC" w:rsidP="00611FAC">
      <w:pPr>
        <w:pStyle w:val="art3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ten hoogste 1,5 meter indien de vloeistofadapter ongeladen is, of</w:t>
      </w:r>
    </w:p>
    <w:p w:rsidR="00611FAC" w:rsidRDefault="00611FAC" w:rsidP="00611FAC">
      <w:pPr>
        <w:pStyle w:val="art3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ten minste 0,5 meter indien de vloeistofadapter geladen is.</w:t>
      </w:r>
    </w:p>
    <w:p w:rsidR="00611FAC" w:rsidRP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verbindingssysteem, bedoeld in het eerste lid, bevindt zich geheel aan één zijde van de tankwagen.</w:t>
      </w:r>
    </w:p>
    <w:p w:rsidR="00296032" w:rsidRPr="00620047" w:rsidRDefault="00296032">
      <w:pPr>
        <w:pStyle w:val="afdeling"/>
      </w:pPr>
      <w:bookmarkStart w:id="418" w:name="_Toc431375808"/>
      <w:r w:rsidRPr="00620047">
        <w:t>AFDELING 5.3 OVERIGE INSTALLATIES</w:t>
      </w:r>
      <w:bookmarkEnd w:id="418"/>
    </w:p>
    <w:p w:rsidR="00296032" w:rsidRPr="00296032" w:rsidRDefault="00296032">
      <w:pPr>
        <w:pStyle w:val="paragraaf"/>
      </w:pPr>
      <w:bookmarkStart w:id="419" w:name="_Toc431375809"/>
      <w:r w:rsidRPr="00296032">
        <w:t xml:space="preserve">§ 5.3.1. </w:t>
      </w:r>
      <w:r w:rsidR="00C667E9">
        <w:tab/>
      </w:r>
      <w:r w:rsidRPr="00296032">
        <w:t>LPG-tankstations</w:t>
      </w:r>
      <w:bookmarkEnd w:id="419"/>
    </w:p>
    <w:p w:rsidR="00296032" w:rsidRPr="00296032" w:rsidRDefault="00296032">
      <w:pPr>
        <w:pStyle w:val="artikelkop"/>
      </w:pPr>
      <w:r w:rsidRPr="00296032">
        <w:t xml:space="preserve">Artikel 5.64 </w:t>
      </w:r>
    </w:p>
    <w:p w:rsidR="00296032" w:rsidRPr="00620047" w:rsidRDefault="00296032">
      <w:pPr>
        <w:pStyle w:val="artplat"/>
      </w:pPr>
      <w:r w:rsidRPr="00620047">
        <w:t>Deze paragraaf is van toepassing op LPG-tankstations waar:</w:t>
      </w:r>
    </w:p>
    <w:p w:rsidR="00296032" w:rsidRPr="00620047" w:rsidRDefault="00296032">
      <w:pPr>
        <w:pStyle w:val="artplatletter"/>
      </w:pPr>
      <w:r w:rsidRPr="00620047">
        <w:t>a.</w:t>
      </w:r>
      <w:r w:rsidRPr="00620047">
        <w:tab/>
        <w:t>de doorzet van LPG meer bedraagt dan 50 m3 per jaar, en</w:t>
      </w:r>
    </w:p>
    <w:p w:rsidR="00296032" w:rsidRPr="00620047" w:rsidRDefault="00296032">
      <w:pPr>
        <w:pStyle w:val="artplatletter"/>
      </w:pPr>
      <w:r w:rsidRPr="00620047">
        <w:t>b.</w:t>
      </w:r>
      <w:r w:rsidRPr="00620047">
        <w:tab/>
        <w:t>de opslagcapaciteit voor LPG niet meer bedraagt dan 50 ton.</w:t>
      </w:r>
    </w:p>
    <w:p w:rsidR="00296032" w:rsidRPr="00296032" w:rsidRDefault="00296032">
      <w:pPr>
        <w:pStyle w:val="artikelkop"/>
      </w:pPr>
      <w:r w:rsidRPr="00296032">
        <w:t xml:space="preserve">Artikel 5.65 </w:t>
      </w:r>
    </w:p>
    <w:p w:rsidR="00296032" w:rsidRDefault="00296032">
      <w:pPr>
        <w:pStyle w:val="artplat"/>
      </w:pPr>
      <w:r w:rsidRPr="00620047">
        <w:t>Met betrekking tot een LPG-afleverinstallatie, de aflevering van LPG aan een afnemer bij een LPG-tankstation en de opstelplaats van de LPG-tankwagen, wordt ten behoeve van het voorkomen van risico’s voor de omgeving en ongewone voorvallen, dan wel voor zover dat niet mogelijk is het beperken van de risico’s voor de omgeving en de kans dat ongewone voorvallen zich voordoen en de gevolgen hiervan, ten minste voldaan aan de bij ministeriële regeling gestelde eisen.</w:t>
      </w:r>
    </w:p>
    <w:p w:rsidR="00611FAC" w:rsidRDefault="00611FAC">
      <w:pPr>
        <w:pStyle w:val="artplat"/>
      </w:pPr>
    </w:p>
    <w:p w:rsidR="00611FAC" w:rsidRDefault="00611FAC" w:rsidP="00611FAC">
      <w:pPr>
        <w:pStyle w:val="paragraaf"/>
        <w:shd w:val="clear" w:color="auto" w:fill="D9D9D9" w:themeFill="background1" w:themeFillShade="D9"/>
        <w:rPr>
          <w:rFonts w:eastAsiaTheme="minorEastAsia"/>
          <w:lang w:eastAsia="nl-NL"/>
        </w:rPr>
      </w:pPr>
      <w:bookmarkStart w:id="420" w:name="_Toc431375810"/>
      <w:r>
        <w:rPr>
          <w:rFonts w:eastAsiaTheme="minorEastAsia"/>
          <w:lang w:eastAsia="nl-NL"/>
        </w:rPr>
        <w:t xml:space="preserve">§ 5.7.1. </w:t>
      </w:r>
      <w:r>
        <w:rPr>
          <w:rFonts w:eastAsiaTheme="minorEastAsia"/>
          <w:lang w:eastAsia="nl-NL"/>
        </w:rPr>
        <w:tab/>
        <w:t>LPG-tankstations</w:t>
      </w:r>
      <w:bookmarkEnd w:id="420"/>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5.55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Ten behoeve van het voorkomen van risico's voor de omgeving en ongewone voorvallen, dan wel voor zover dat niet mogelijk is het zoveel mogelijk beperken van de risico's voor de omgeving en de kans dat ongewone voorvallen zich voordoen en de gevolgen hiervan voldoet de constructie, plaatsing en uitvoering van de LPG-afleverinstallatie ten minste aan de artikelen 5.56 tot en met 5.62.</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5.56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Een LPG-reservoir is ondergronds dan wel ingeterpt geïnstalleerd.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Een LPG-reservoir heeft een inhoud van ten minste 20 kubieke meter.</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In een LPG-reservoir wordt uitsluitend LPG opgeslagen.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LPG wordt niet opgeslagen in een tijdelijk opgesteld LPG-reservoir.</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Het eerste lid geldt niet voor LPG-reservoirs die deel uitmaken van een LPG-tankstation waarvoor vóór 1 juli 1984 een Hinderwetvergunning is verleend.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Het tweede lid geldt niet voor LPG-reservoirs die deel uitmaken van een LPG-tankstation waarvoor vóór 1 juli 1984 een Hinderwetvergunning is verleend en waarbinnen wegens onvoldoende ruimte het plaatsen van een LPG-reservoir met een inhoud van 20 kubieke meter niet mogelijk is. In het geval, bedoeld in de eerste volzin, is de inhoud van het reservoir niet kleiner dan die van het reservoir dat tot 1 juli 1984 aanwezig was.</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5.57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LPG-reservoirs worden onderling niet gekoppeld dan wel voldoen aan voorschrift 4.9.14 van PGS 16.</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5.58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Een bovengronds LPG-reservoir voldoet aan de voorschriften 4.9.1 tot en met 4.9.5 van PGS 16.</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5.59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Een LPG-afleverinstallatie is voorzien van op afstand bedienbare afsluiters en is uitgevoerd overeenkomstig de voorschriften 4.7.1 tot en met 4.7.10 van PGS 16.</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5.60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Indien het terrein waar een reservoir is opgesteld, toegankelijk is voor het publiek, wordt rondom het LPG-reservoir een hekwerk geplaatst dat voldoet aan de voorschriften 4.9.6 tot en met 4.9.9 van PGS 16.</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5.61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Een LPG-afleverinstallatie wordt geplaatst overeenkomstig de voorschriften 4.6.1 tot en met 4.6.6 van PGS 16.</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5.62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Een LPG-afleverinstallatie is uitgevoerd overeenkomstig de voorschriften 2.3.3 tot en met 2.3.8, 2.4.1 tot en met 2.4.11, 4.5.1 tot en met 4.5.10 en 4.8.1 tot en met 4.8.11 van PGS 16.</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5.63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Ten behoeve van het voorkomen van risico's voor de omgeving en ongewone voorvallen, dan wel voor zover dat niet mogelijk is het zoveel mogelijk beperken van de risico's voor de omgeving en de kans dat ongewone voorvallen zich voordoen en de gevolgen hiervan wordt ten aanzien van keuringen, controle en onderhoud van de LPG-afleverinstallatie ten minste voldaan aan de artikelen 5.64 en 5.65.</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5.64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Een LPG-afleverinstallatie wordt gekeurd, gecontroleerd en onderhouden overeenkomstig de voorschriften 3.3.1, 3.3.2, 3.3.5 tot en met 3.3.8 en 5.2.1 tot en met 5.2.3 van PGS 16.</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5.65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Degene die een LPG-tankstation drijft, beschikt over een installatieboek, dat bestaat uit een bedrijfshandleiding en een logboek, en dat voldoet aan de voorschriften 3.4.2 en 3.4.3 van PGS 16.</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Een logboek bevat ten minste de gegevens, bedoeld in voorschrift 3.4.4 van PGS 16, voor zover deze gegevens niet al zijn vermeld op het aantekenblad, bedoeld in artikel 12e, tweede lid, van het Warenwetbesluit drukapparatuur.</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5.66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Ten behoeve van het voorkomen van risico's voor de omgeving en ongewone voorvallen, dan wel voor zover dat niet mogelijk is het zoveel mogelijk beperken van de risico's voor de omgeving en de kans dat ongewone voorvallen zich voordoen en de gevolgen hiervan voldoen de bedrijfsvoering ten aanzien van een LPG-afleverinstallatie en de in verband met de veiligheid te treffen voorzieningen ten minste aan de artikelen 5.67 tot en met 5.77.</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5.67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Gedurende de openingstijden van een LPG-tankstation is een toezichthoudend persoon binnen de inrichting aanwezig.</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toezichthoudende persoon, bedoeld in het eerste lid:</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is 18 jaar of ouder;</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heeft de beschikking over communicatiemiddelen, waaronder een op het openbaar netwerk aangesloten vast telefoontoestel en is in staat deze te bedienen;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is op de hoogte van de bij normaal bedrijf in acht te nemen veiligheidsvoorschriften, vermeld in deze afdeling;</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is op de hoogte van de in geval van een incident of calamiteit noodzakelijk te verrichten handelingen, bedoeld in artikel 5.68, derde lid, 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e.</w:t>
      </w:r>
      <w:r>
        <w:rPr>
          <w:rFonts w:eastAsiaTheme="minorEastAsia"/>
          <w:lang w:eastAsia="nl-NL"/>
        </w:rPr>
        <w:tab/>
        <w:t>is te allen tijde in staat om de instructies ingeval van een incident of calamiteit, uit te voeren.</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5.68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Binnen de inrichting zijn instructies in geval van calamiteiten of incidenten en het veiligheidsinformatieblad van LPG, bedoeld in artikel 31 van de EG-verordening registratie, evaluatie en autorisatie van chemische stoffen aanwezig.</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Nabij de werkplek van de toezichthoudende persoon als bedoeld in artikel 5.67, eerste lid, zijn de instructies ingeval van calamiteiten of incidenten duidelijk zichtbaar en leesbaar aangebracht.</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instructies ingeval van calamiteiten of incidenten bevatten in elk geval de volgende aspecten: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instructies met betrekking tot het in veiligheid brengen van personen;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handelingen benodigd voor het herstellen van de veilige situatie;</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een actueel overzicht van namen en telefoonnummers van te waarschuwen instanties.</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Degene die een LPG-tankstation drijft, stelt de toezichthoudende persoon en het in het LPG-tankstation werkzame personeel bij de aanvang van de werkzaamheden en vervolgens jaarlijks op de hoogte van de aard en de gevaaraspecten van de LPG-afleverinstallatie, de te nemen maatregelen bij incidenten, de instructies bij incidenten en calamiteiten en het veiligheidsinformatieblad van LPG, bedoeld in artikel 31 van de EG-verordening registratie, evaluatie en autorisatie van chemische stoffen, en laat de betrokken personen een verklaring ondertekenen dat zij hiervan op de hoogte zijn gesteld.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De ondertekende verklaringen worden in het logboek bewaard.</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5.69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toezichthoudende persoon, bedoeld in artikel 5.67, eerste lid, heeft vanaf de plaats waar de knop van de op afstand bedienbare sluiters zijn aangebracht goed zicht op het afleveren van de LPG.</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aflevering van LPG is slechts mogelijk nadat de toezichthoudende persoon de afleverzuil hiertoe heeft vrijgegeven.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Tijdens het afleveren van LPG bevindt de toezichthoudende persoon zich op de plaats waar de knop van de op afstand bedienbare sluiters te allen tijde kan worden bediend.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De toezichthoudende persoon kan tijdens het afleveren van LPG zo nodig mondelinge instructies geven aan degene die de afleverzuil bedient. Indien nodig zijn hiervoor voorzieningen aangebracht.</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Indien een LPG-tankstation niet is geopend voor de aflevering van LPG staan de op afstand bedienbare afsluiters die zich bevinden tussen het LPG-reservoir en de afleverzuilen in de gesloten stand.</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5.70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Op een goed bereikbare en zichtbare plaats nabij een LPG-afleverinstallatie is een blustoestel aanwezig dat voldoet aan de voorschriften 4.9.10 en 4.9.11 van PGS 16.</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5.71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Ter plaatse van de afleverzuil en de opstelplaats van de LPG-tankwagen is voldoende verlichting aanwezig om de benodigde handelingen veilig te kunnen verrichten.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Een LPG-tankstation is tijdens bedrijf dusdanig verlicht dat voldoende overzicht is gewaarborgd.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Er wordt uitsluitend elektrische verlichting toegepast.</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5.72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Op het verrichten van handelingen met betrekking tot het LPG-reservoir zijn de volgende voorschriften van PGS 16 van toepassing:</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werkzaamheden aan het reservoir worden uitgevoerd overeenkomstig voorschrift 5.4.1;</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het ingassen onderscheidenlijk het ontgassen van het reservoir vindt plaats overeenkomstig de voorschriften 5.4.2 en 5.4.3;</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een dompelpomp van het reservoir wordt verwisseld overeenkomstig voorschrift 5.4.4;</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d.</w:t>
      </w:r>
      <w:r>
        <w:rPr>
          <w:rFonts w:eastAsiaTheme="minorEastAsia"/>
          <w:lang w:eastAsia="nl-NL"/>
        </w:rPr>
        <w:tab/>
        <w:t>een veerveiligheid van het reservoir wordt verwisseld overeenkomstig voorschrift 5.4.5.</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Het plaatsen, verplaatsen of verwijderen van het reservoir vindt uitsluitend plaats in vloeistofloze toestand door een bedrijf dat speciaal daarvoor is uitgerust.</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Het reservoir en de afsluiters voldoen aan voorschrift 4.7.11 van PGS 16.</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5.73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afleveren van LPG vindt uitsluitend plaats door middel van de afleverzuil.</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 xml:space="preserve">De afleverzuil levert uitsluitend LPG aan: </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brandstofreservoirs die uitsluitend dienen voor de berging van LPG, die speciaal zijn ingericht voor de aandrijving van motorvoertuigen en die zijn bevestigd aan deze voertuigen en die al dan niet mede zijn ingericht voor de voeding van verwarmingssystemen voor gebruik in motorvoertuigen op de weg en de aanhangers daarvan mits die verwarmingssystemen voldoen aan de eisen van de Regeling voertuigen;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 xml:space="preserve">b. </w:t>
      </w:r>
      <w:r>
        <w:rPr>
          <w:rFonts w:eastAsiaTheme="minorEastAsia"/>
          <w:lang w:eastAsia="nl-NL"/>
        </w:rPr>
        <w:tab/>
        <w:t>het reservoir van de LPG-tankwagen, indien de LPG-afleverinstallatie leeg wordt gemaakt.</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 xml:space="preserve">3. </w:t>
      </w:r>
      <w:r>
        <w:rPr>
          <w:rFonts w:eastAsiaTheme="minorEastAsia"/>
          <w:lang w:eastAsia="nl-NL"/>
        </w:rPr>
        <w:tab/>
        <w:t>Bij het afleveren van LPG is de vulsnelheid gelimiteerd tot 80 liter per minuut.</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5.74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Gasflessen en wisselreservoirs worden niet met LPG gevuld.</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5.75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Op of aan de afleverzuil is een te allen tijde duidelijk leesbaar opschrift met ten minste 3 centimeter hoge letters aangebracht met de tekst:</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Motor afzetten;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Roken en open vuur verboden, 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Gasflessen vullen verboden.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 afwijking van het eerste lid kunnen ook pictogrammen worden gebruikt die ten minste 3 centimeter hoog zijn en voldoen aan een vastgestelde internationale standaard.</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5.76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afleverslang wordt niet eerder aangekoppeld dan nadat de motor van het voertuig waaraan LPG wordt afgeleverd, buiten werking is gesteld.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motor van het voertuig waaraan LPG is afgeleverd, wordt niet eerder in werking gesteld dan nadat de afleverslang is afgekoppeld en is opgeborgen.</w:t>
      </w:r>
    </w:p>
    <w:p w:rsidR="00611FAC" w:rsidRDefault="00611FAC" w:rsidP="00611FAC">
      <w:pPr>
        <w:pStyle w:val="artikelkop"/>
        <w:shd w:val="clear" w:color="auto" w:fill="D9D9D9" w:themeFill="background1" w:themeFillShade="D9"/>
        <w:rPr>
          <w:rFonts w:eastAsiaTheme="minorEastAsia"/>
          <w:lang w:eastAsia="nl-NL"/>
        </w:rPr>
      </w:pPr>
      <w:r w:rsidRPr="00CE1669">
        <w:rPr>
          <w:rFonts w:eastAsiaTheme="minorEastAsia"/>
        </w:rPr>
        <w:t>Artikel</w:t>
      </w:r>
      <w:r>
        <w:rPr>
          <w:rFonts w:eastAsiaTheme="minorEastAsia"/>
          <w:lang w:eastAsia="nl-NL"/>
        </w:rPr>
        <w:t xml:space="preserve"> 5.77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Tijdens het afleveren van LPG wordt niet gerookt en is geen vuur binnen een afstand van 5 meter van de afleverzuil en afleverslang aanwezig.</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5.78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Ten behoeve van het voorkomen van risico's voor de omgeving en ongewone voorvallen, dan wel voor zover dat niet mogelijk is het zoveel mogelijk beperken van de risico's voor de omgeving en de kans dat ongewone voorvallen zich voordoen en de gevolgen hiervan wordt ten aanzien van aflevering door middel van een LPG-afleverautomaat ten minste voldaan aan de artikelen 5.79 tot en met 5.84.</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5.79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Artikel 5.67, eerste lid, en artikel 5.69, eerste tot en met vierde lid, zijn niet van toepassing op een LPG-afleverautomaat.</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Indien LPG wordt afgeleverd door middel van een LPG-afleverautomaat is een toezichthoudend persoon, als bedoeld in artikel 5.67, eerste lid, beschikbaar.</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5.80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Bij het afleveren van LPG zonder direct toezicht door middel van een LPG-afleverautomaat is de LPG-afleverinstallatie uitgevoerd overeenkomstig voorschrift 7.2.1 van PGS 16 en wordt voldaan aan de voorschriften 7.2.2 en 7.2.3 van PGS 16.</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5.81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Aflevering van LPG door middel van een LPG-afleverautomaat geschiedt uitsluitend aan een afnemer die door degene die een LPG-tankstation drijft, is geregistreerd als toegelaten afnemer.</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Ten behoeve van die registratie tekent de afnemer een schriftelijke verklaring waaruit blijkt dat:</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de afnemer bekend is met en zich houdt aan de volgende instructies bij het afleveren van LPG:</w:t>
      </w:r>
    </w:p>
    <w:p w:rsidR="00611FAC" w:rsidRDefault="00611FAC" w:rsidP="00611FAC">
      <w:pPr>
        <w:pStyle w:val="art3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op het terrein van de LPG-installatie wordt niet gerookt en wordt geen open vuur gemaakt;</w:t>
      </w:r>
    </w:p>
    <w:p w:rsidR="00611FAC" w:rsidRDefault="00611FAC" w:rsidP="00611FAC">
      <w:pPr>
        <w:pStyle w:val="art3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afleverslang wordt niet eerder aangekoppeld dan nadat de motor van het voertuig, waaraan LPG wordt afgeleverd, buiten werking is gesteld;</w:t>
      </w:r>
    </w:p>
    <w:p w:rsidR="00611FAC" w:rsidRDefault="00611FAC" w:rsidP="00611FAC">
      <w:pPr>
        <w:pStyle w:val="art3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motor van het voertuig waaraan LPG is afgeleverd, wordt niet eerder in werking gesteld dan nadat de afleverslang is afgekoppeld en is opgeborgen;</w:t>
      </w:r>
    </w:p>
    <w:p w:rsidR="00611FAC" w:rsidRDefault="00611FAC" w:rsidP="00611FAC">
      <w:pPr>
        <w:pStyle w:val="art3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de slangverbinding wordt deugdelijk tot stand gebracht, waarbij geen andere hulpstukken worden toegepast dan de hulpstukken die door degene die een LPG-tankstation drijft, zijn verstrekt, en</w:t>
      </w:r>
    </w:p>
    <w:p w:rsidR="00611FAC" w:rsidRDefault="00611FAC" w:rsidP="00611FAC">
      <w:pPr>
        <w:pStyle w:val="art3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slechts vaste in het motorvoertuig gemonteerde reservoirs als bedoeld in artikel 5.73, tweede lid, onderdeel a, worden gevuld;</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de afnemer een praktijkinstructie heeft ontvangen voor het vullen van het reservoir van een voertuig met het afleversysteem van degene die een LPG-tankstation drijft;</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de afnemer slechts toestemming heeft voor persoonlijk gebruik van de LPG-afleverautomaat.</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afnemer overlegt de verklaring aan degene die het LPG-tankstation drijft.</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Degene die een LPG-tankstation drijft, houdt een registratie bij van de door hem geaccepteerde afnemers en de door hen ondertekende verklaringen.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Degene die een LPG-tankstation drijft, registreert van de afleveringen van LPG door middel van een LPG-afleverautomaat de volgende gegevens en bewaart deze ten minste gedurende twee weken in het logboek:</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registratiegegevens van de afnemer;</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datum en tijd van de aflevering, 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de afgeleverde hoeveelheid LPG.</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5.82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Het in bedrijf stellen van een LPG-afleverinstallatie en het opheffen van de vergrendeling nadat het beveiligingssysteem heeft gewerkt, geschiedt uitsluitend door degene die een LPG-tankstation drijft of door de toezichthoudende persoon, als bedoeld in artikel 5.67, eerste lid.</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Een LPG-afleverinstallatie is zodanig uitgevoerd dat het in bedrijf stellen slechts door de persoon, bedoeld in het eerste lid, kan geschieden.</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5.83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In geval de aflevering van LPG plaatsvindt door middel van een LPG-afleverautomaat verkeert de in bedrijf gestelde LPG-afleverinstallatie in een zodanige toestand dat:</w:t>
      </w:r>
    </w:p>
    <w:p w:rsidR="00611FAC" w:rsidRDefault="00611FAC" w:rsidP="00611FAC">
      <w:pPr>
        <w:pStyle w:val="artplatletter"/>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indien er geen LPG wordt afgeleverd:</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op afstand bedienbare afsluiters zijn gesloten;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pompmotor van het elektrische net is afgekoppeld;</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identificatie- en registratievoorziening voor gebruik gereed is;</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de noodknop voor gebruik gereed is, 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de beveiligingsvoorzieningen voor gebruik gereed zijn;</w:t>
      </w:r>
    </w:p>
    <w:p w:rsidR="00611FAC" w:rsidRDefault="00611FAC" w:rsidP="00611FAC">
      <w:pPr>
        <w:pStyle w:val="artplatletter"/>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tijdens het afleveren van LPG:</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identificatie- en registratievoorziening zijn geactiveerd;</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op afstand bedienbare afsluiters zijn geopend;</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dodemansknop, als bedoeld in voorschrift 2.4.8 van PGS 16 is ingedrukt;</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de pompmotor aan het elektrische net is gekoppeld;</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de noodknop en de oproepinstallatie voor gebruik gereed zijn, 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6°.</w:t>
      </w:r>
      <w:r>
        <w:rPr>
          <w:rFonts w:eastAsiaTheme="minorEastAsia"/>
          <w:lang w:eastAsia="nl-NL"/>
        </w:rPr>
        <w:tab/>
        <w:t>de beveiligingsvoorzieningen voor gebruik gereed zijn;</w:t>
      </w:r>
    </w:p>
    <w:p w:rsidR="00611FAC" w:rsidRDefault="00611FAC" w:rsidP="00611FAC">
      <w:pPr>
        <w:pStyle w:val="artplatletter"/>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indien zich in het LPG-tankstation een incident of calamiteit voordoet:</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LPG-afleverinstallatie automatisch buiten bedrijf wordt gesteld en vergrendeld indien de automatisch werkende beveiligingsvoorzieningen zijn geactiveerd;</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LPG-afleverinstallatie automatisch buiten bedrijf wordt gesteld en vergrendeld indien de noodknop wordt bediend;</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de indicatie van het buiten bedrijf of defect zijn van de LPG-afleverinstallatie voor de afnemer duidelijk zichtbaar wordt;</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4°.</w:t>
      </w:r>
      <w:r>
        <w:rPr>
          <w:rFonts w:eastAsiaTheme="minorEastAsia"/>
          <w:lang w:eastAsia="nl-NL"/>
        </w:rPr>
        <w:tab/>
        <w:t>degene die een LPG-tankstation drijft of de toezichthoudende persoon, als bedoeld in artikel 5.67, eerste lid, automatisch en in elk geval akoestisch wordt gealarmeerd wanneer de noodknop is bediend of de temperatuurgevoelige elementen in de panelen van de afleverzuil of de beveiliging tegen het niet gesloten zijn van de op afstand bedienbare afsluiters is geactiveerd, en</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5°.</w:t>
      </w:r>
      <w:r>
        <w:rPr>
          <w:rFonts w:eastAsiaTheme="minorEastAsia"/>
          <w:lang w:eastAsia="nl-NL"/>
        </w:rPr>
        <w:tab/>
        <w:t>degene die een LPG-tankstation drijft of de toezichthoudende persoon kan worden gewaarschuwd door middel van de oproepinstallatie.</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5.84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De LPG-afleverinstallatie wordt buiten bedrijf gesteld indien degene die een LPG-tankstation drijft of de toezichthoudende persoon, als bedoeld in artikel 5.67, eerste lid:</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a.</w:t>
      </w:r>
      <w:r>
        <w:rPr>
          <w:rFonts w:eastAsiaTheme="minorEastAsia"/>
          <w:lang w:eastAsia="nl-NL"/>
        </w:rPr>
        <w:tab/>
        <w:t>niet in het LPG-tankstation aanwezig is;</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b.</w:t>
      </w:r>
      <w:r>
        <w:rPr>
          <w:rFonts w:eastAsiaTheme="minorEastAsia"/>
          <w:lang w:eastAsia="nl-NL"/>
        </w:rPr>
        <w:tab/>
        <w:t>niet oproepbaar is, of</w:t>
      </w:r>
    </w:p>
    <w:p w:rsidR="00611FAC" w:rsidRDefault="00611FAC" w:rsidP="00611FAC">
      <w:pPr>
        <w:pStyle w:val="art2enivo"/>
        <w:shd w:val="clear" w:color="auto" w:fill="D9D9D9" w:themeFill="background1" w:themeFillShade="D9"/>
        <w:rPr>
          <w:rFonts w:eastAsiaTheme="minorEastAsia"/>
          <w:lang w:eastAsia="nl-NL"/>
        </w:rPr>
      </w:pPr>
      <w:r>
        <w:rPr>
          <w:rFonts w:eastAsiaTheme="minorEastAsia"/>
          <w:lang w:eastAsia="nl-NL"/>
        </w:rPr>
        <w:t>c.</w:t>
      </w:r>
      <w:r>
        <w:rPr>
          <w:rFonts w:eastAsiaTheme="minorEastAsia"/>
          <w:lang w:eastAsia="nl-NL"/>
        </w:rPr>
        <w:tab/>
        <w:t>niet binnen drie minuten ter plaatse van de LPG-afleverinstallatie aanwezig kan zijn.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LPG-afleverinstallatie blijft buiten bedrijf indien de beveiligingen in werking zijn geweest en de oorzaak daarvan nog niet is verholpen.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3.</w:t>
      </w:r>
      <w:r>
        <w:rPr>
          <w:rFonts w:eastAsiaTheme="minorEastAsia"/>
          <w:lang w:eastAsia="nl-NL"/>
        </w:rPr>
        <w:tab/>
        <w:t>Het buiten bedrijf zijn van de LPG-afleverinstallatie wordt op een voor de afnemer duidelijke zichtbare manier weergegeven.</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5.85 </w:t>
      </w:r>
    </w:p>
    <w:p w:rsidR="00611FAC" w:rsidRDefault="00611FAC" w:rsidP="00611FAC">
      <w:pPr>
        <w:pStyle w:val="artplat"/>
        <w:shd w:val="clear" w:color="auto" w:fill="D9D9D9" w:themeFill="background1" w:themeFillShade="D9"/>
        <w:rPr>
          <w:rFonts w:eastAsiaTheme="minorEastAsia"/>
          <w:lang w:eastAsia="nl-NL"/>
        </w:rPr>
      </w:pPr>
      <w:r>
        <w:rPr>
          <w:rFonts w:eastAsiaTheme="minorEastAsia"/>
          <w:lang w:eastAsia="nl-NL"/>
        </w:rPr>
        <w:t>Ten behoeve van het voorkomen van risico's voor de omgeving en ongewone voorvallen, dan wel voor zover dat niet mogelijk is het zoveel mogelijk beperken van de risico's voor de omgeving en de kans dat ongewone voorvallen zich voordoen en de gevolgen hiervan wordt ten aanzien van afstanden van de LPG-afleverinstallatie tot objecten binnen de inrichting en eisen ten aanzien van de opstelplaats van de LPG-tankwagen ten minste voldaan aan de artikelen 5.86 en 5.87.</w:t>
      </w:r>
    </w:p>
    <w:p w:rsidR="00611FAC" w:rsidRDefault="00611FAC" w:rsidP="00611FAC">
      <w:pPr>
        <w:pStyle w:val="artikelkop"/>
        <w:shd w:val="clear" w:color="auto" w:fill="D9D9D9" w:themeFill="background1" w:themeFillShade="D9"/>
        <w:rPr>
          <w:rFonts w:eastAsiaTheme="minorEastAsia"/>
          <w:lang w:eastAsia="nl-NL"/>
        </w:rPr>
      </w:pPr>
      <w:r>
        <w:rPr>
          <w:rFonts w:eastAsiaTheme="minorEastAsia"/>
          <w:lang w:eastAsia="nl-NL"/>
        </w:rPr>
        <w:t xml:space="preserve">Artikel 5.86 </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1.</w:t>
      </w:r>
      <w:r>
        <w:rPr>
          <w:rFonts w:eastAsiaTheme="minorEastAsia"/>
          <w:lang w:eastAsia="nl-NL"/>
        </w:rPr>
        <w:tab/>
        <w:t>Tussen de LPG-afleverinstallatie of onderdelen daarvan en objecten binnen de inrichting worden ten minste de veiligheidsafstanden, genoemd in tabel 4 van PGS 16, in acht genomen.</w:t>
      </w:r>
    </w:p>
    <w:p w:rsidR="00611FAC" w:rsidRDefault="00611FAC" w:rsidP="00611FAC">
      <w:pPr>
        <w:pStyle w:val="art1enivo"/>
        <w:shd w:val="clear" w:color="auto" w:fill="D9D9D9" w:themeFill="background1" w:themeFillShade="D9"/>
        <w:rPr>
          <w:rFonts w:eastAsiaTheme="minorEastAsia"/>
          <w:lang w:eastAsia="nl-NL"/>
        </w:rPr>
      </w:pPr>
      <w:r>
        <w:rPr>
          <w:rFonts w:eastAsiaTheme="minorEastAsia"/>
          <w:lang w:eastAsia="nl-NL"/>
        </w:rPr>
        <w:t>2.</w:t>
      </w:r>
      <w:r>
        <w:rPr>
          <w:rFonts w:eastAsiaTheme="minorEastAsia"/>
          <w:lang w:eastAsia="nl-NL"/>
        </w:rPr>
        <w:tab/>
        <w:t>De voorschriften 4.2.1 tot en met 4.2.14 van PGS 16 zijn van toepassing op de veiligheidsafstanden tussen een LPG-afleverinstallatie of onderdelen daarvan en objecten binnen de inrichting.</w:t>
      </w:r>
    </w:p>
    <w:p w:rsidR="00611FAC" w:rsidRDefault="00611FAC" w:rsidP="00B92B02">
      <w:pPr>
        <w:pStyle w:val="artikelkop"/>
        <w:shd w:val="clear" w:color="auto" w:fill="D9D9D9" w:themeFill="background1" w:themeFillShade="D9"/>
        <w:rPr>
          <w:rFonts w:eastAsiaTheme="minorEastAsia"/>
          <w:lang w:eastAsia="nl-NL"/>
        </w:rPr>
      </w:pPr>
      <w:r>
        <w:rPr>
          <w:rFonts w:eastAsiaTheme="minorEastAsia"/>
          <w:lang w:eastAsia="nl-NL"/>
        </w:rPr>
        <w:t xml:space="preserve">Artikel 5.87 </w:t>
      </w:r>
    </w:p>
    <w:p w:rsidR="00611FAC" w:rsidRPr="00620047" w:rsidRDefault="00B92B02" w:rsidP="00B92B02">
      <w:pPr>
        <w:pStyle w:val="artplat"/>
        <w:shd w:val="clear" w:color="auto" w:fill="D9D9D9" w:themeFill="background1" w:themeFillShade="D9"/>
      </w:pPr>
      <w:r w:rsidRPr="00B92B02">
        <w:rPr>
          <w:rFonts w:eastAsiaTheme="minorEastAsia"/>
          <w:lang w:eastAsia="nl-NL"/>
        </w:rPr>
        <w:t>De opstelplaats van de LPG-tankwagen voldoet aan de voorschriften 4.2.15 tot en met 4.2.23 en voorschrift 5.3.3 van PGS 16.</w:t>
      </w:r>
    </w:p>
    <w:p w:rsidR="00296032" w:rsidRPr="00620047" w:rsidRDefault="00296032">
      <w:pPr>
        <w:pStyle w:val="hoofdstuk"/>
        <w:rPr>
          <w:rFonts w:cs="Arial"/>
        </w:rPr>
      </w:pPr>
      <w:bookmarkStart w:id="421" w:name="_Toc277243272"/>
      <w:bookmarkStart w:id="422" w:name="_Toc431375811"/>
      <w:bookmarkEnd w:id="333"/>
      <w:r w:rsidRPr="00620047">
        <w:rPr>
          <w:rFonts w:cs="Arial"/>
        </w:rPr>
        <w:t>Hoofdstuk 6. Overgangs- en slotbepalingen</w:t>
      </w:r>
      <w:bookmarkEnd w:id="421"/>
      <w:bookmarkEnd w:id="422"/>
    </w:p>
    <w:p w:rsidR="00296032" w:rsidRPr="00296032" w:rsidRDefault="00296032">
      <w:pPr>
        <w:pStyle w:val="artikelkop"/>
      </w:pPr>
      <w:r w:rsidRPr="00296032">
        <w:t>Artikel 6</w:t>
      </w:r>
    </w:p>
    <w:p w:rsidR="00296032" w:rsidRPr="00620047" w:rsidRDefault="00296032">
      <w:pPr>
        <w:pStyle w:val="artplat"/>
      </w:pPr>
      <w:r w:rsidRPr="00620047">
        <w:t>Dit hoofdstuk is van toepassing op degene die een inrichting type A, een inrichting type B, of een inrichting type C drijft.</w:t>
      </w:r>
    </w:p>
    <w:p w:rsidR="00296032" w:rsidRPr="00620047" w:rsidRDefault="00296032"/>
    <w:p w:rsidR="00296032" w:rsidRPr="00296032" w:rsidRDefault="00296032">
      <w:pPr>
        <w:pStyle w:val="paragraaf"/>
      </w:pPr>
      <w:bookmarkStart w:id="423" w:name="_Toc277243273"/>
      <w:bookmarkStart w:id="424" w:name="_Toc431375812"/>
      <w:r w:rsidRPr="00296032">
        <w:t>§ 6.1</w:t>
      </w:r>
      <w:r w:rsidRPr="00296032">
        <w:tab/>
        <w:t>Algemeen overgangsrecht</w:t>
      </w:r>
      <w:bookmarkEnd w:id="423"/>
      <w:bookmarkEnd w:id="424"/>
    </w:p>
    <w:p w:rsidR="00296032" w:rsidRPr="00296032" w:rsidRDefault="00296032">
      <w:pPr>
        <w:pStyle w:val="artikelkop"/>
        <w:rPr>
          <w:rFonts w:cs="Arial"/>
        </w:rPr>
      </w:pPr>
      <w:r w:rsidRPr="00296032">
        <w:rPr>
          <w:rFonts w:cs="Arial"/>
        </w:rPr>
        <w:t>Artikel 6.1</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Voor inrichtingen waarvoor onmiddellijk voorafgaand aan het tijdstip van het van toepassing worden van dit besluit of een deel daarvan op een activiteit in die inrichtingen, een vergunning op grond van artikel 8.1 van de Wet milieubeheer dan wel een omgevingsvergunning op grond van artikel 2.1, eerste lid, aanhef en onder e, van de Wet algemene bepalingen omgevingsrecht in werking en onherroepelijk was, worden de voorschriften van die vergunning gedurende drie jaar na het van toepassing worden van dit besluit of een deel daarvan op een activiteit in die inrichtingen, aangemerkt als maatwerkvoorschriften, mits de voorschriften van die vergunning vallen binnen de bevoegdheid van het bevoegd gezag tot het stellen van maatwerkvoorschriften en voor zover dit besluit op de inrichting van toepassing is.</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De nadere eisen die voor een inrichting onmiddellijk voorafgaand aan het tijdstip van het van toepassing worden van dit besluit of een deel daarvan op een activiteit in die inrichting op grond van de besluiten, bedoeld in artikel 6.43 in werking en onherroepelijk waren, worden aangemerkt als maatwerkvoorschriften, mits de nadere eisen vallen binnen de bevoegdheid van het bevoegd gezag tot het stellen van maatwerkvoorschriften en voor zover dit besluit op de inrichting van toepassing is.</w:t>
      </w:r>
    </w:p>
    <w:p w:rsidR="00296032" w:rsidRPr="00620047" w:rsidRDefault="00296032">
      <w:pPr>
        <w:pStyle w:val="art1enivo"/>
        <w:rPr>
          <w:rFonts w:cs="Arial"/>
        </w:rPr>
      </w:pPr>
      <w:r w:rsidRPr="00620047">
        <w:rPr>
          <w:rFonts w:cs="Arial"/>
        </w:rPr>
        <w:t>3.</w:t>
      </w:r>
      <w:r w:rsidRPr="00620047">
        <w:rPr>
          <w:rFonts w:cs="Arial"/>
        </w:rPr>
        <w:tab/>
        <w:t>De maatwerkvoorschriften die voor een inrichting onmiddellijk voorafgaand aan het tijdstip van het van toepassing worden van dit besluit of een deel daarvan op een activiteit in die inrichting op grond van de besluiten, bedoeld in artikel 6.43 in werking en onherroepelijk waren, blijven van kracht, mits ze vallen binnen de bevoegdheid van het bevoegd gezag tot het stellen van maatwerkvoorschriften en voor zover dit besluit op die inrichting van toepassing is.</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De voorschriften van een vergunning als bedoeld in het eerste lid dan wel de nadere eisen op grond van de besluiten, bedoeld in artikel 6.43, die voor een inrichting onmiddellijk voorafgaand aan het tijdstip van het van toepassing worden van dit besluit of een deel daarvan op een activiteit in die inrichting in werking en onherroepelijk waren en niet vallen binnen de bevoegdheid van het bevoegd gezag tot het stellen van maatwerkvoorschriften, worden indien op grond van dit besluit strengere bepalingen gelden, gedurende zes maanden aangemerkt als maatwerkvoorschriften.</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Voor de toepassing van dit artikel worden de gegevens die in de aanvraag staan en die geacht worden onderdeel te zijn van de voorschriften van de vergunning, bedoeld in het eerste lid, aangemerkt als voorschriften van de vergunning.</w:t>
      </w:r>
    </w:p>
    <w:p w:rsidR="00296032" w:rsidRPr="00296032" w:rsidRDefault="00296032">
      <w:pPr>
        <w:pStyle w:val="artikelkop"/>
        <w:rPr>
          <w:rFonts w:cs="Arial"/>
        </w:rPr>
      </w:pPr>
      <w:r w:rsidRPr="00296032">
        <w:rPr>
          <w:rFonts w:cs="Arial"/>
        </w:rPr>
        <w:t>Artikel 6.2</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Voor het lozen vanuit een inrichting type A of B, waarvoor onmiddellijk voorafgaand aan het tijdstip van het van toepassing worden van dit besluit of een deel daarvan op een activiteit in die inrichting een vergunning op grond van artikel 1 van de Wet verontreiniging oppervlaktewateren dan wel een vergunning op grond van artikel 6.2 van de Waterwet in werking en onherroepelijk was, worden de voorschriften van die vergunning gedurende drie jaar na het tijdstip van het van toepassing worden van dit besluit of een deel daarvan op een activiteit in die inrichting aangemerkt als maatwerkvoorschriften, mits de voorschriften van die vergunning vallen binnen de bevoegdheid van het bevoegd gezag tot het stellen van maatwerkvoorschriften.</w:t>
      </w:r>
    </w:p>
    <w:p w:rsidR="00296032" w:rsidRPr="00620047" w:rsidRDefault="00296032">
      <w:pPr>
        <w:pStyle w:val="art1enivo"/>
        <w:rPr>
          <w:rFonts w:cs="Arial"/>
        </w:rPr>
      </w:pPr>
      <w:r w:rsidRPr="00620047">
        <w:rPr>
          <w:rFonts w:cs="Arial"/>
          <w:bCs/>
        </w:rPr>
        <w:t>2.</w:t>
      </w:r>
      <w:r w:rsidRPr="00620047">
        <w:rPr>
          <w:rFonts w:cs="Arial"/>
        </w:rPr>
        <w:tab/>
        <w:t>Het eerste lid is van overeenkomstige toepassing bij het van toepassing worden van dit besluit of een deel daarvan, met betrekking tot het lozen vanuit een inrichting type C, voor zover het lozen betrekking heeft op de activiteiten genoemd in hoofdstuk 3.</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De nadere eisen die onmiddellijk voorafgaand aan het tijdstip van het van toepassing worden van dit besluit of een deel daarvan op een activiteit in een inrichting golden krachtens het Lozingenbesluit Wvo huishoudelijk afvalwater, het Lozingenbesluit bodemsanering en proefbronnering of het Lozingenbesluit open teelt en veehouderij voor het lozen vanuit een inrichting, blijven na het tijdstip van het van toepassing worden van dit besluit of een deel daarvan op die inrichting gelden als maatwerkvoorschriften, mits de nadere eisen vallen binnen de reikwijdte van een maatwerkvoorschrift.</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De voorschriften van een vergunning dan wel de nadere eisen op grond van het Lozingenbesluit Wvo huishoudelijk afvalwater, het Lozingenbesluit bodemsanering en proefbronnering of het Lozingenbesluit open teelt en veehouderij voor het lozen vanuit een inrichting, die voor een inrichting onmiddellijk voorafgaand aan het tijdstip van het van toepassing worden van dit besluit of een deel daarvan op een activiteit in die inrichting in werking en onherroepelijk waren en niet vallen binnen de bevoegdheid van het bevoegd gezag tot het stellen van maatwerkvoorschriften worden indien op grond van dit besluit strengere bepalingen gelden, gedurende zes maanden aangemerkt als maatwerkvoorschriften.</w:t>
      </w:r>
    </w:p>
    <w:p w:rsidR="00296032" w:rsidRPr="00620047" w:rsidRDefault="00296032">
      <w:pPr>
        <w:pStyle w:val="art1enivo"/>
        <w:rPr>
          <w:rFonts w:cs="Arial"/>
        </w:rPr>
      </w:pPr>
      <w:r w:rsidRPr="00620047">
        <w:rPr>
          <w:rFonts w:cs="Arial"/>
          <w:bCs/>
        </w:rPr>
        <w:t>5.</w:t>
      </w:r>
      <w:r w:rsidRPr="00620047">
        <w:rPr>
          <w:rFonts w:cs="Arial"/>
          <w:bCs/>
        </w:rPr>
        <w:tab/>
      </w:r>
      <w:r w:rsidRPr="00620047">
        <w:rPr>
          <w:rFonts w:cs="Arial"/>
        </w:rPr>
        <w:t>Voor de toepassing van dit artikel worden gegevens die in de aanvraag staan en die geacht worden onderdeel te zijn van de voorschriften van de vergunning, aangemerkt als voorschriften van de vergunning.</w:t>
      </w:r>
    </w:p>
    <w:p w:rsidR="00296032" w:rsidRPr="00296032" w:rsidRDefault="00296032">
      <w:pPr>
        <w:pStyle w:val="artikelkop"/>
        <w:rPr>
          <w:rFonts w:cs="Arial"/>
        </w:rPr>
      </w:pPr>
      <w:r w:rsidRPr="00296032">
        <w:rPr>
          <w:rFonts w:cs="Arial"/>
        </w:rPr>
        <w:t>Artikel 6.2a</w:t>
      </w:r>
    </w:p>
    <w:p w:rsidR="00296032" w:rsidRPr="00620047" w:rsidRDefault="00296032">
      <w:pPr>
        <w:pStyle w:val="art1enivo"/>
        <w:rPr>
          <w:rFonts w:cs="Arial"/>
        </w:rPr>
      </w:pPr>
      <w:r w:rsidRPr="00620047">
        <w:rPr>
          <w:rFonts w:cs="Arial"/>
        </w:rPr>
        <w:t>1.</w:t>
      </w:r>
      <w:r w:rsidRPr="00620047">
        <w:rPr>
          <w:rFonts w:cs="Arial"/>
        </w:rPr>
        <w:tab/>
        <w:t>Voor het lozen anders dan vanuit een inrichting, waarvoor onmiddellijk voorafgaand aan het tijdstip van het van toepassing worden van artikel 1.4a op dat lozen, een vergunning op grond van artikel 6.2 van de Waterwet in werking en onherroepelijk was, worden de voorschriften van die vergunning gedurende drie jaar na het tijdstip van het van toepassing worden van artikel 1.4a op dat lozen aangemerkt als maatwerkvoorschriften, mits de voorschriften van die vergunning vallen binnen de bevoegdheid van het bevoegd gezag tot het stellen van maatwerkvoorschriften.</w:t>
      </w:r>
    </w:p>
    <w:p w:rsidR="00296032" w:rsidRPr="00620047" w:rsidRDefault="00296032">
      <w:pPr>
        <w:pStyle w:val="art1enivo"/>
        <w:rPr>
          <w:rFonts w:cs="Arial"/>
        </w:rPr>
      </w:pPr>
      <w:r w:rsidRPr="00620047">
        <w:rPr>
          <w:rFonts w:cs="Arial"/>
        </w:rPr>
        <w:t>2.</w:t>
      </w:r>
      <w:r w:rsidRPr="00620047">
        <w:rPr>
          <w:rFonts w:cs="Arial"/>
        </w:rPr>
        <w:tab/>
        <w:t>De nadere eisen die onmiddellijk voorafgaand aan het tijdstip van het van toepassing worden van artikel 1.4a voor het lozen anders dan vanuit een inrichting in werking en onherroepelijk waren krachtens het Lozingenbesluit open teelt en veehouderij, blijven na het tijdstip van het van toepassing worden van artikel 1.4a op dat lozen gelden als maatwerkvoorschriften, mits de nadere eisen vallen binnen de bevoegdheid van het bevoegd gezag tot het stellen van maatwerkvoorschriften.</w:t>
      </w:r>
    </w:p>
    <w:p w:rsidR="00296032" w:rsidRPr="00620047" w:rsidRDefault="00296032">
      <w:pPr>
        <w:pStyle w:val="art1enivo"/>
        <w:rPr>
          <w:rFonts w:cs="Arial"/>
        </w:rPr>
      </w:pPr>
      <w:r w:rsidRPr="00620047">
        <w:rPr>
          <w:rFonts w:cs="Arial"/>
        </w:rPr>
        <w:t>3.</w:t>
      </w:r>
      <w:r w:rsidRPr="00620047">
        <w:rPr>
          <w:rFonts w:cs="Arial"/>
        </w:rPr>
        <w:tab/>
        <w:t>De voorschriften van een vergunning dan wel de nadere eisen op grond van het Lozingenbesluit open teelt en veehouderij voor het lozen anders dan vanuit een inrichting, die voor dat lozen onmiddellijk voorafgaand aan het tijdstip van het van toepassing worden van artikel 1.4a op dat lozen in werking en onherroepelijk waren en niet vallen binnen de bevoegdheid van het bevoegd gezag tot het stellen van maatwerkvoorschriften, worden indien op grond van dit besluit strengere bepalingen gelden, gedurende zes maanden aangemerkt als maatwerkvoorschriften.</w:t>
      </w:r>
    </w:p>
    <w:p w:rsidR="00296032" w:rsidRPr="00620047" w:rsidRDefault="00296032">
      <w:pPr>
        <w:pStyle w:val="art1enivo"/>
        <w:rPr>
          <w:rFonts w:cs="Arial"/>
        </w:rPr>
      </w:pPr>
      <w:r w:rsidRPr="00620047">
        <w:rPr>
          <w:rFonts w:cs="Arial"/>
        </w:rPr>
        <w:t>4.</w:t>
      </w:r>
      <w:r w:rsidRPr="00620047">
        <w:rPr>
          <w:rFonts w:cs="Arial"/>
        </w:rPr>
        <w:tab/>
        <w:t>Voor de toepassing van dit artikel worden gegevens die in de aanvraag staan en die worden aangemerkt als onderdeel van de voorschriften van de vergunning, aangemerkt als voorschriften van de vergunning.</w:t>
      </w:r>
    </w:p>
    <w:p w:rsidR="00296032" w:rsidRPr="00296032" w:rsidRDefault="00296032">
      <w:pPr>
        <w:pStyle w:val="artikelkop"/>
        <w:rPr>
          <w:rFonts w:cs="Arial"/>
        </w:rPr>
      </w:pPr>
      <w:r w:rsidRPr="00296032">
        <w:rPr>
          <w:rFonts w:cs="Arial"/>
        </w:rPr>
        <w:t>Artikel 6.3</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Een ontheffing op grond van de artikelen 14, tweede lid, 24, tweede lid, en 25, tweede lid, van het Lozingenbesluit bodembescherming met betrekking tot het lozen, bedoeld in artikel 2.2, eerste lid, onder a, of tweede lid, wordt gedurende de resterende termijn van die ontheffing aangemerkt als een maatwerkvoorschrift als bedoeld in artikel 2.2, derde lid.</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In afwijking van artikel 6.2, eerste lid, wordt een vergunning als bedoeld in artikel 1, tweede lid, van de Wet verontreiniging oppervlaktewateren dan wel een vergunning op grond van artikel 6.2 van de Waterwet met betrekking tot het lozen, bedoeld in artikel 3.1, vijfde lid, gedurende de resterende termijn van die vergunning aangemerkt als een maatwerkvoorschrift als bedoeld in artikel 3.1, zesde lid, onder b.</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Onverminderd artikel 6.2, derde en vierde lid, is het lozen vanuit een bodemsanering in het vuilwaterriool dat op het tijdstip van het van toepassing worden van dit besluit of een deel daarvan op een inrichting was toegestaan volgens het Lozingenbesluit Wvo bodemsanering en proefbronnering, in afwijking van artikel 3.1, vijfde lid, toegestaan en worden de artikelen 5, eerste lid, 6, eerste tot en met derde lid, 7, eerste lid, 8, 12, 13 en 14 van dat besluit aangemerkt als een maatwerkvoorschrift als bedoeld in artikel 3.1, zesde lid, onder b.</w:t>
      </w:r>
    </w:p>
    <w:p w:rsidR="00296032" w:rsidRPr="00620047" w:rsidRDefault="00296032">
      <w:pPr>
        <w:pStyle w:val="art1enivo"/>
        <w:rPr>
          <w:rFonts w:cs="Arial"/>
        </w:rPr>
      </w:pPr>
      <w:r w:rsidRPr="00620047">
        <w:rPr>
          <w:rFonts w:cs="Arial"/>
          <w:bCs/>
        </w:rPr>
        <w:t>4.</w:t>
      </w:r>
      <w:r w:rsidRPr="00620047">
        <w:rPr>
          <w:rFonts w:cs="Arial"/>
          <w:bCs/>
        </w:rPr>
        <w:tab/>
      </w:r>
      <w:r w:rsidRPr="00620047">
        <w:rPr>
          <w:rFonts w:cs="Arial"/>
        </w:rPr>
        <w:t>Indien op het tijdstip van het van toepassing worden van dit besluit of een deel daarvan op een inrichting het lozen van huishoudelijk afvalwater in een oppervlaktewaterlichaam was toegestaan op grond van artikel 14 van het Lozingenbesluit Wvo huishoudelijk afvalwater, blijft die toestemming gelden gedurende de termijn die volgt uit de toepassing van dat artikel.</w:t>
      </w:r>
    </w:p>
    <w:p w:rsidR="00296032" w:rsidRPr="00620047" w:rsidRDefault="00296032">
      <w:pPr>
        <w:pStyle w:val="art1enivo"/>
      </w:pPr>
      <w:r w:rsidRPr="00620047">
        <w:t>5.</w:t>
      </w:r>
      <w:r w:rsidRPr="00620047">
        <w:tab/>
        <w:t>Voor het lozen, bedoeld in artikel 2.2, eerste lid, onder b, waarvoor op 24 april 2013 een ontheffing gold op grond van artikel 10.63, eerste lid, van de wet, geldt gedurende de op die datum resterende termijn waarvoor de ontheffing was verleend, een maatwerkvoorschrift als bedoeld in artikel 2.2, derde lid, waarvan de inhoud overeenkomt met de ontheffing.</w:t>
      </w:r>
    </w:p>
    <w:p w:rsidR="00296032" w:rsidRPr="00620047" w:rsidRDefault="00296032">
      <w:pPr>
        <w:pStyle w:val="art1enivo"/>
      </w:pPr>
      <w:r w:rsidRPr="00620047">
        <w:rPr>
          <w:bCs/>
        </w:rPr>
        <w:t>6.</w:t>
      </w:r>
      <w:r w:rsidRPr="00620047">
        <w:rPr>
          <w:bCs/>
        </w:rPr>
        <w:tab/>
      </w:r>
      <w:r w:rsidRPr="00620047">
        <w:t>Voor de toepassing van dit artikel worden gegevens die in de aanvraag staan en die worden aangemerkt als onderdeel van de voorschriften van de ontheffing of vergunning aangemerkt als voorschriften van de ontheffing of vergunning.</w:t>
      </w:r>
    </w:p>
    <w:p w:rsidR="00296032" w:rsidRPr="00296032" w:rsidRDefault="00296032">
      <w:pPr>
        <w:pStyle w:val="artikelkop"/>
        <w:rPr>
          <w:rFonts w:cs="Arial"/>
        </w:rPr>
      </w:pPr>
      <w:r w:rsidRPr="00296032">
        <w:rPr>
          <w:rFonts w:cs="Arial"/>
        </w:rPr>
        <w:t>Artikel 6.4</w:t>
      </w:r>
    </w:p>
    <w:p w:rsidR="00296032" w:rsidRPr="00620047" w:rsidRDefault="00296032">
      <w:pPr>
        <w:pStyle w:val="art1enivo"/>
        <w:rPr>
          <w:rFonts w:cs="Arial"/>
        </w:rPr>
      </w:pPr>
      <w:r w:rsidRPr="00620047">
        <w:rPr>
          <w:rFonts w:cs="Arial"/>
          <w:bCs/>
        </w:rPr>
        <w:t>1.</w:t>
      </w:r>
      <w:r w:rsidRPr="00620047">
        <w:rPr>
          <w:rFonts w:cs="Arial"/>
          <w:bCs/>
        </w:rPr>
        <w:tab/>
      </w:r>
      <w:r w:rsidRPr="00620047">
        <w:rPr>
          <w:rFonts w:cs="Arial"/>
        </w:rPr>
        <w:t>Degene die een inrichting type B of C drijft die is opgericht voor het van toepassing worden van dit besluit of een deel daarvan op een activiteit in die inrichting en waarvoor onmiddellijk voorafgaand aan het tijdstip van het van toepassing worden van dit besluit of een deel daarvan op een activiteit in die inrichting geen vergunning als bedoeld in artikel 6.1, eerste lid, in werking en onherroepelijk was en geen melding was gedaan op grond van een van de in artikel 6.43 genoemde besluiten, meldt aan het bevoegd gezag dat hij de inrichting in werking heeft.</w:t>
      </w:r>
    </w:p>
    <w:p w:rsidR="00296032" w:rsidRPr="00620047" w:rsidRDefault="00296032">
      <w:pPr>
        <w:pStyle w:val="art1enivo"/>
        <w:rPr>
          <w:rFonts w:cs="Arial"/>
        </w:rPr>
      </w:pPr>
      <w:r w:rsidRPr="00620047">
        <w:rPr>
          <w:rFonts w:cs="Arial"/>
          <w:bCs/>
        </w:rPr>
        <w:t>2.</w:t>
      </w:r>
      <w:r w:rsidRPr="00620047">
        <w:rPr>
          <w:rFonts w:cs="Arial"/>
          <w:bCs/>
        </w:rPr>
        <w:tab/>
      </w:r>
      <w:r w:rsidRPr="00620047">
        <w:rPr>
          <w:rFonts w:cs="Arial"/>
        </w:rPr>
        <w:t>Degene die de inrichting drijft doet de melding, bedoeld in het eerste lid, binnen vier weken na het tijdstip van het van toepassing worden van dit besluit of een deel daarvan op een activiteit in die inrichting. Afdeling 1.2 is van overeenkomstige toepassing.</w:t>
      </w:r>
    </w:p>
    <w:p w:rsidR="00296032" w:rsidRPr="00620047" w:rsidRDefault="00296032">
      <w:pPr>
        <w:pStyle w:val="art1enivo"/>
        <w:rPr>
          <w:rFonts w:cs="Arial"/>
        </w:rPr>
      </w:pPr>
      <w:r w:rsidRPr="00620047">
        <w:rPr>
          <w:rFonts w:cs="Arial"/>
          <w:bCs/>
        </w:rPr>
        <w:t>3.</w:t>
      </w:r>
      <w:r w:rsidRPr="00620047">
        <w:rPr>
          <w:rFonts w:cs="Arial"/>
          <w:bCs/>
        </w:rPr>
        <w:tab/>
      </w:r>
      <w:r w:rsidRPr="00620047">
        <w:rPr>
          <w:rFonts w:cs="Arial"/>
        </w:rPr>
        <w:t>Indien op het tijdstip van het van toepassing worden van dit besluit of een deel daarvan op een activiteit in een inrichting type B ten aanzien van die inrichting nog niet is beslist op een aanvraag om een omgevingsvergunning op grond van artikel 2.1, eerste lid, aanhef en onder e, van de Wet algemene bepalingen omgevingsrecht voor een inrichting, zijn het eerste en tweede lid niet van toepassing en wordt de aanvraag om een vergunning aangemerkt als een melding overeenkomstig artikel 1.10.</w:t>
      </w:r>
    </w:p>
    <w:p w:rsidR="00296032" w:rsidRPr="00296032" w:rsidRDefault="00296032">
      <w:pPr>
        <w:pStyle w:val="artikelkop"/>
        <w:rPr>
          <w:rFonts w:cs="Arial"/>
        </w:rPr>
      </w:pPr>
      <w:r w:rsidRPr="00296032">
        <w:rPr>
          <w:rFonts w:cs="Arial"/>
        </w:rPr>
        <w:t>Artikel 6.5</w:t>
      </w:r>
    </w:p>
    <w:p w:rsidR="00296032" w:rsidRPr="00620047" w:rsidRDefault="00296032">
      <w:pPr>
        <w:rPr>
          <w:rFonts w:cs="Arial"/>
        </w:rPr>
      </w:pPr>
      <w:r w:rsidRPr="00620047">
        <w:rPr>
          <w:rFonts w:cs="Arial"/>
        </w:rPr>
        <w:t>Indien op het tijdstip van het van toepassing worden van dit besluit of een deel daarvan op een activiteit in een inrichting nog niet is beslist op een aanvraag om een vergunning op grond van artikel 1 van de Wet verontreiniging oppervlaktewateren dan wel een vergunning op grond van artikel 6.2 van de Waterwet en dit besluit op het betreffende lozen van toepassing is, wordt de aanvraag om de vergunning aangemerkt als:</w:t>
      </w:r>
    </w:p>
    <w:p w:rsidR="00296032" w:rsidRPr="00620047" w:rsidRDefault="00296032">
      <w:pPr>
        <w:pStyle w:val="artplatletter"/>
        <w:rPr>
          <w:rFonts w:cs="Arial"/>
        </w:rPr>
      </w:pPr>
      <w:r w:rsidRPr="00620047">
        <w:rPr>
          <w:rFonts w:cs="Arial"/>
        </w:rPr>
        <w:t>a.</w:t>
      </w:r>
      <w:r w:rsidRPr="00620047">
        <w:rPr>
          <w:rFonts w:cs="Arial"/>
        </w:rPr>
        <w:tab/>
        <w:t>een melding overeenkomstig artikel 1.10, voor zover het lozen bij of krachtens de in hoofdstuk 3 of 4 van dit besluit gestelde voorschriften is toegestaan;</w:t>
      </w:r>
    </w:p>
    <w:p w:rsidR="00296032" w:rsidRPr="00620047" w:rsidRDefault="00296032">
      <w:pPr>
        <w:pStyle w:val="artplatletter"/>
        <w:rPr>
          <w:rFonts w:cs="Arial"/>
        </w:rPr>
      </w:pPr>
      <w:r w:rsidRPr="00620047">
        <w:rPr>
          <w:rFonts w:cs="Arial"/>
        </w:rPr>
        <w:t>b.</w:t>
      </w:r>
      <w:r w:rsidRPr="00620047">
        <w:rPr>
          <w:rFonts w:cs="Arial"/>
        </w:rPr>
        <w:tab/>
        <w:t>een verzoek tot het stellen van een maatwerkvoorschrift als bedoeld in artikel 3.1, zesde lid, onderdeel b, voor zover de aanvraag lozen betreft als bedoeld in artikel 3.1, vijfde lid.</w:t>
      </w:r>
    </w:p>
    <w:p w:rsidR="00296032" w:rsidRPr="00296032" w:rsidRDefault="00296032">
      <w:pPr>
        <w:pStyle w:val="artikelkop"/>
        <w:rPr>
          <w:rFonts w:cs="Arial"/>
        </w:rPr>
      </w:pPr>
      <w:r w:rsidRPr="00296032">
        <w:rPr>
          <w:rFonts w:cs="Arial"/>
        </w:rPr>
        <w:t>Artikel 6.5a</w:t>
      </w:r>
    </w:p>
    <w:p w:rsidR="00296032" w:rsidRPr="00620047" w:rsidRDefault="00296032">
      <w:pPr>
        <w:pStyle w:val="artplat"/>
        <w:rPr>
          <w:rFonts w:cs="Arial"/>
        </w:rPr>
      </w:pPr>
      <w:r w:rsidRPr="00620047">
        <w:rPr>
          <w:rFonts w:cs="Arial"/>
        </w:rPr>
        <w:t>Indien op het tijdstip van het van toepassing worden van artikel 1.4a op het lozen anders dan vanuit een inrichting, nog niet is beslist op een aanvraag om een vergunning op grond van artikel 6.2 van de Waterwet voor lozen als bedoeld in artikel 1.4a en dit besluit op het betreffende lozen van toepassing is, wordt de aanvraag om de vergunning aangemerkt als een melding overeenkomstig artikel 1.10a.</w:t>
      </w:r>
    </w:p>
    <w:p w:rsidR="00296032" w:rsidRPr="00296032" w:rsidRDefault="00296032">
      <w:pPr>
        <w:pStyle w:val="artikelkop"/>
        <w:rPr>
          <w:rFonts w:cs="Arial"/>
        </w:rPr>
      </w:pPr>
      <w:r w:rsidRPr="00296032">
        <w:rPr>
          <w:rFonts w:cs="Arial"/>
        </w:rPr>
        <w:t>Artikel 6.6</w:t>
      </w:r>
    </w:p>
    <w:p w:rsidR="00296032" w:rsidRPr="00620047" w:rsidRDefault="00296032">
      <w:pPr>
        <w:rPr>
          <w:rFonts w:cs="Arial"/>
        </w:rPr>
      </w:pPr>
      <w:r w:rsidRPr="00620047">
        <w:rPr>
          <w:rFonts w:cs="Arial"/>
        </w:rPr>
        <w:t>Voor de toepassing van dit besluit wordt als eerste dag van de termijn waarbinnen wordt gekeurd aangemerkt: de dag waarop voor het laatst is gekeurd.</w:t>
      </w:r>
    </w:p>
    <w:p w:rsidR="00296032" w:rsidRPr="00296032" w:rsidRDefault="00296032" w:rsidP="00E66C7C">
      <w:pPr>
        <w:pStyle w:val="artikelkop"/>
      </w:pPr>
      <w:r w:rsidRPr="00296032">
        <w:t>Artikel 6.7a</w:t>
      </w:r>
    </w:p>
    <w:p w:rsidR="00A55642" w:rsidRDefault="00296032" w:rsidP="00EF4E5A">
      <w:r w:rsidRPr="00620047">
        <w:rPr>
          <w:rFonts w:cs="Arial"/>
        </w:rPr>
        <w:t>Maatwerkvoorschriften als bedoeld in artikel 2.2, derde lid, zoals dat luidde vóór 22 december 2009, met betrekking tot het lozen in het oppervlaktewater en gesteld vóór dat tijdstip, worden aangemerkt als een vergunning voor het brengen van stoffen in een oppervlaktewaterlichaam als bedoeld in artikel 6.2, eerste lid, van de Waterwet.</w:t>
      </w:r>
      <w:bookmarkStart w:id="425" w:name="_Toc277243282"/>
      <w:r w:rsidR="00EF4E5A">
        <w:t xml:space="preserve"> </w:t>
      </w:r>
    </w:p>
    <w:p w:rsidR="00A55642" w:rsidRDefault="00A55642" w:rsidP="00A55642">
      <w:pPr>
        <w:pStyle w:val="paragraaf"/>
        <w:shd w:val="clear" w:color="auto" w:fill="D9D9D9" w:themeFill="background1" w:themeFillShade="D9"/>
      </w:pPr>
      <w:bookmarkStart w:id="426" w:name="_Toc431375815"/>
      <w:r>
        <w:t>§ 6.1.</w:t>
      </w:r>
      <w:r>
        <w:tab/>
        <w:t xml:space="preserve">Overgangsrecht </w:t>
      </w:r>
      <w:r w:rsidR="002F3040" w:rsidRPr="002F3040">
        <w:t>[Vervallen per 01-01-2016]</w:t>
      </w:r>
      <w:bookmarkEnd w:id="426"/>
    </w:p>
    <w:p w:rsidR="00A55642" w:rsidRDefault="00A55642" w:rsidP="00A55642">
      <w:pPr>
        <w:shd w:val="clear" w:color="auto" w:fill="D9D9D9" w:themeFill="background1" w:themeFillShade="D9"/>
      </w:pPr>
      <w:r>
        <w:t xml:space="preserve"> </w:t>
      </w:r>
    </w:p>
    <w:p w:rsidR="00296032" w:rsidRPr="00620047" w:rsidRDefault="00296032" w:rsidP="00A55642">
      <w:pPr>
        <w:pStyle w:val="art1enivo"/>
        <w:shd w:val="clear" w:color="auto" w:fill="D9D9D9" w:themeFill="background1" w:themeFillShade="D9"/>
      </w:pPr>
      <w:bookmarkStart w:id="427" w:name="_Toc277243286"/>
      <w:bookmarkEnd w:id="425"/>
    </w:p>
    <w:p w:rsidR="00296032" w:rsidRPr="00296032" w:rsidRDefault="00296032" w:rsidP="006C5B2E">
      <w:pPr>
        <w:pStyle w:val="paragraaf"/>
      </w:pPr>
      <w:bookmarkStart w:id="428" w:name="_Toc277243310"/>
      <w:bookmarkStart w:id="429" w:name="_Toc431375816"/>
      <w:bookmarkEnd w:id="427"/>
      <w:r w:rsidRPr="00296032">
        <w:t>§ 6.29</w:t>
      </w:r>
      <w:r w:rsidRPr="00296032">
        <w:tab/>
        <w:t>Slotbepalingen</w:t>
      </w:r>
      <w:bookmarkEnd w:id="428"/>
      <w:bookmarkEnd w:id="429"/>
    </w:p>
    <w:p w:rsidR="00296032" w:rsidRPr="00296032" w:rsidRDefault="00296032" w:rsidP="006C5B2E">
      <w:pPr>
        <w:pStyle w:val="artikelkop"/>
      </w:pPr>
      <w:r w:rsidRPr="00296032">
        <w:t>Artikel 6.41</w:t>
      </w:r>
    </w:p>
    <w:p w:rsidR="00296032" w:rsidRPr="00620047" w:rsidRDefault="00296032">
      <w:pPr>
        <w:rPr>
          <w:rFonts w:cs="Arial"/>
        </w:rPr>
      </w:pPr>
      <w:r w:rsidRPr="00620047">
        <w:rPr>
          <w:rFonts w:cs="Arial"/>
        </w:rPr>
        <w:t>Indien een niet-publiekrechtelijke norm waarnaar in dit besluit wordt verwezen, de NRB wijzigt kan bij ministeriële regeling overgangsrecht worden opgenomen waarbij kan worden bepaald dat de oude norm voor bestaande inrichtingen al dan niet tijdelijk blijft gelden.</w:t>
      </w:r>
    </w:p>
    <w:p w:rsidR="00296032" w:rsidRPr="00296032" w:rsidRDefault="00296032">
      <w:pPr>
        <w:pStyle w:val="artikelkop"/>
        <w:rPr>
          <w:rFonts w:cs="Arial"/>
        </w:rPr>
      </w:pPr>
      <w:r w:rsidRPr="00296032">
        <w:rPr>
          <w:rFonts w:cs="Arial"/>
        </w:rPr>
        <w:t>Artikel 6.42</w:t>
      </w:r>
    </w:p>
    <w:p w:rsidR="00296032" w:rsidRPr="00620047" w:rsidRDefault="00296032">
      <w:pPr>
        <w:rPr>
          <w:rFonts w:cs="Arial"/>
        </w:rPr>
      </w:pPr>
      <w:r w:rsidRPr="00620047">
        <w:rPr>
          <w:rFonts w:cs="Arial"/>
        </w:rPr>
        <w:t>Onze Minister van Volkshuisvesting, Ruimtelijke Ordening en Milieubeheer zendt in overeenstemming met Onze Minister van Verkeer en Waterstaat binnen zes jaar na de inwerkingtreding van artikel 2.1 aan de Staten-Generaal een verslag over de doeltreffendheid en de effecten van dit besluit in de praktijk.</w:t>
      </w:r>
    </w:p>
    <w:p w:rsidR="00296032" w:rsidRPr="00296032" w:rsidRDefault="00296032">
      <w:pPr>
        <w:pStyle w:val="artikelkop"/>
        <w:rPr>
          <w:rFonts w:cs="Arial"/>
        </w:rPr>
      </w:pPr>
      <w:r w:rsidRPr="00296032">
        <w:rPr>
          <w:rFonts w:cs="Arial"/>
        </w:rPr>
        <w:t>Artikel 6.43</w:t>
      </w:r>
    </w:p>
    <w:p w:rsidR="00296032" w:rsidRPr="00620047" w:rsidRDefault="00296032">
      <w:pPr>
        <w:rPr>
          <w:rFonts w:cs="Arial"/>
        </w:rPr>
      </w:pPr>
      <w:r w:rsidRPr="00620047">
        <w:rPr>
          <w:rFonts w:cs="Arial"/>
        </w:rPr>
        <w:t>De volgende besluiten zijn vervallen:</w:t>
      </w:r>
    </w:p>
    <w:p w:rsidR="00296032" w:rsidRPr="00620047" w:rsidRDefault="00296032">
      <w:pPr>
        <w:pStyle w:val="artplatletter"/>
        <w:rPr>
          <w:rFonts w:cs="Arial"/>
        </w:rPr>
      </w:pPr>
      <w:r w:rsidRPr="00620047">
        <w:rPr>
          <w:rFonts w:cs="Arial"/>
        </w:rPr>
        <w:t>*</w:t>
      </w:r>
      <w:r w:rsidRPr="00620047">
        <w:rPr>
          <w:rFonts w:cs="Arial"/>
        </w:rPr>
        <w:tab/>
        <w:t>Besluit bouw- en houtbedrijven milieubeheer</w:t>
      </w:r>
    </w:p>
    <w:p w:rsidR="00296032" w:rsidRPr="00620047" w:rsidRDefault="00296032">
      <w:pPr>
        <w:pStyle w:val="artplatletter"/>
        <w:rPr>
          <w:rFonts w:cs="Arial"/>
        </w:rPr>
      </w:pPr>
      <w:r w:rsidRPr="00620047">
        <w:rPr>
          <w:rFonts w:cs="Arial"/>
        </w:rPr>
        <w:t>*</w:t>
      </w:r>
      <w:r w:rsidRPr="00620047">
        <w:rPr>
          <w:rFonts w:cs="Arial"/>
        </w:rPr>
        <w:tab/>
        <w:t>Besluit detailhandel en ambachtsbedrijven milieubeheer</w:t>
      </w:r>
    </w:p>
    <w:p w:rsidR="00296032" w:rsidRPr="00620047" w:rsidRDefault="00296032">
      <w:pPr>
        <w:pStyle w:val="artplatletter"/>
        <w:rPr>
          <w:rFonts w:cs="Arial"/>
        </w:rPr>
      </w:pPr>
      <w:r w:rsidRPr="00620047">
        <w:rPr>
          <w:rFonts w:cs="Arial"/>
        </w:rPr>
        <w:t>*</w:t>
      </w:r>
      <w:r w:rsidRPr="00620047">
        <w:rPr>
          <w:rFonts w:cs="Arial"/>
        </w:rPr>
        <w:tab/>
        <w:t>Besluit emissie-eisen middelgrote stookinstallaties milieubeheer</w:t>
      </w:r>
    </w:p>
    <w:p w:rsidR="00296032" w:rsidRDefault="00296032">
      <w:pPr>
        <w:pStyle w:val="artplatletter"/>
        <w:rPr>
          <w:rFonts w:cs="Arial"/>
        </w:rPr>
      </w:pPr>
      <w:r w:rsidRPr="00620047">
        <w:rPr>
          <w:rFonts w:cs="Arial"/>
        </w:rPr>
        <w:t>*</w:t>
      </w:r>
      <w:r w:rsidRPr="00620047">
        <w:rPr>
          <w:rFonts w:cs="Arial"/>
        </w:rPr>
        <w:tab/>
        <w:t>Besluit emissie-eisen titaandioxide-inrichtingen</w:t>
      </w:r>
    </w:p>
    <w:p w:rsidR="004C133A" w:rsidRPr="00620047" w:rsidRDefault="004C133A">
      <w:pPr>
        <w:pStyle w:val="artplatletter"/>
        <w:rPr>
          <w:rFonts w:cs="Arial"/>
        </w:rPr>
      </w:pPr>
      <w:r>
        <w:rPr>
          <w:rFonts w:cs="Arial"/>
        </w:rPr>
        <w:t>*</w:t>
      </w:r>
      <w:r>
        <w:rPr>
          <w:rFonts w:cs="Arial"/>
        </w:rPr>
        <w:tab/>
        <w:t>Besluit glastuinbouw</w:t>
      </w:r>
    </w:p>
    <w:p w:rsidR="00296032" w:rsidRDefault="00296032">
      <w:pPr>
        <w:pStyle w:val="artplatletter"/>
        <w:rPr>
          <w:rFonts w:cs="Arial"/>
        </w:rPr>
      </w:pPr>
      <w:r w:rsidRPr="00620047">
        <w:rPr>
          <w:rFonts w:cs="Arial"/>
        </w:rPr>
        <w:t>*</w:t>
      </w:r>
      <w:r w:rsidRPr="00620047">
        <w:rPr>
          <w:rFonts w:cs="Arial"/>
        </w:rPr>
        <w:tab/>
        <w:t>Besluit hefschroefvliegtuigen bij ziekenhuizen milieubeheer</w:t>
      </w:r>
    </w:p>
    <w:p w:rsidR="00296032" w:rsidRPr="00620047" w:rsidRDefault="00296032">
      <w:pPr>
        <w:pStyle w:val="artplatletter"/>
        <w:rPr>
          <w:rFonts w:cs="Arial"/>
        </w:rPr>
      </w:pPr>
      <w:r w:rsidRPr="00620047">
        <w:rPr>
          <w:rFonts w:cs="Arial"/>
        </w:rPr>
        <w:t>*</w:t>
      </w:r>
      <w:r w:rsidRPr="00620047">
        <w:rPr>
          <w:rFonts w:cs="Arial"/>
        </w:rPr>
        <w:tab/>
        <w:t>Besluit horeca-, sport- en recreatie-inrichtingen milieubeheer</w:t>
      </w:r>
    </w:p>
    <w:p w:rsidR="00296032" w:rsidRPr="00620047" w:rsidRDefault="00296032">
      <w:pPr>
        <w:pStyle w:val="artplatletter"/>
        <w:rPr>
          <w:rFonts w:cs="Arial"/>
        </w:rPr>
      </w:pPr>
      <w:r w:rsidRPr="00620047">
        <w:rPr>
          <w:rFonts w:cs="Arial"/>
        </w:rPr>
        <w:t>*</w:t>
      </w:r>
      <w:r w:rsidRPr="00620047">
        <w:rPr>
          <w:rFonts w:cs="Arial"/>
        </w:rPr>
        <w:tab/>
        <w:t>Besluit inrichtingen voor motorvoertuigen milieubeheer</w:t>
      </w:r>
    </w:p>
    <w:p w:rsidR="00296032" w:rsidRDefault="00296032">
      <w:pPr>
        <w:pStyle w:val="artplatletter"/>
        <w:tabs>
          <w:tab w:val="left" w:pos="720"/>
          <w:tab w:val="left" w:pos="1440"/>
          <w:tab w:val="left" w:pos="2160"/>
          <w:tab w:val="left" w:pos="2595"/>
        </w:tabs>
        <w:rPr>
          <w:rFonts w:cs="Arial"/>
        </w:rPr>
      </w:pPr>
      <w:r w:rsidRPr="00620047">
        <w:rPr>
          <w:rFonts w:cs="Arial"/>
        </w:rPr>
        <w:t>*</w:t>
      </w:r>
      <w:r w:rsidRPr="00620047">
        <w:rPr>
          <w:rFonts w:cs="Arial"/>
        </w:rPr>
        <w:tab/>
        <w:t>Besluit jachthavens</w:t>
      </w:r>
      <w:r w:rsidRPr="00620047">
        <w:rPr>
          <w:rFonts w:cs="Arial"/>
        </w:rPr>
        <w:tab/>
      </w:r>
    </w:p>
    <w:p w:rsidR="004C133A" w:rsidRPr="00620047" w:rsidRDefault="004C133A">
      <w:pPr>
        <w:pStyle w:val="artplatletter"/>
        <w:tabs>
          <w:tab w:val="left" w:pos="720"/>
          <w:tab w:val="left" w:pos="1440"/>
          <w:tab w:val="left" w:pos="2160"/>
          <w:tab w:val="left" w:pos="2595"/>
        </w:tabs>
        <w:rPr>
          <w:rFonts w:cs="Arial"/>
        </w:rPr>
      </w:pPr>
      <w:r>
        <w:rPr>
          <w:rFonts w:cs="Arial"/>
        </w:rPr>
        <w:t>*</w:t>
      </w:r>
      <w:r>
        <w:rPr>
          <w:rFonts w:cs="Arial"/>
        </w:rPr>
        <w:tab/>
        <w:t>Besluit landbouw milieubeheer</w:t>
      </w:r>
    </w:p>
    <w:p w:rsidR="000C1825" w:rsidRDefault="00296032">
      <w:pPr>
        <w:pStyle w:val="artplatletter"/>
        <w:tabs>
          <w:tab w:val="left" w:pos="720"/>
          <w:tab w:val="left" w:pos="1440"/>
          <w:tab w:val="left" w:pos="2160"/>
          <w:tab w:val="left" w:pos="2595"/>
        </w:tabs>
        <w:rPr>
          <w:rFonts w:cs="Arial"/>
        </w:rPr>
      </w:pPr>
      <w:r w:rsidRPr="00620047">
        <w:rPr>
          <w:rFonts w:cs="Arial"/>
        </w:rPr>
        <w:t>*</w:t>
      </w:r>
      <w:r w:rsidRPr="00620047">
        <w:rPr>
          <w:rFonts w:cs="Arial"/>
        </w:rPr>
        <w:tab/>
        <w:t>Besluit LPG-tankstations milieubeheer</w:t>
      </w:r>
    </w:p>
    <w:p w:rsidR="000C1825" w:rsidRPr="00620047" w:rsidRDefault="000C1825">
      <w:pPr>
        <w:pStyle w:val="artplatletter"/>
        <w:tabs>
          <w:tab w:val="left" w:pos="720"/>
          <w:tab w:val="left" w:pos="1440"/>
          <w:tab w:val="left" w:pos="2160"/>
          <w:tab w:val="left" w:pos="2595"/>
        </w:tabs>
        <w:rPr>
          <w:rFonts w:cs="Arial"/>
        </w:rPr>
      </w:pPr>
      <w:r>
        <w:rPr>
          <w:rFonts w:cs="Arial"/>
        </w:rPr>
        <w:t>*</w:t>
      </w:r>
      <w:r>
        <w:rPr>
          <w:rFonts w:cs="Arial"/>
        </w:rPr>
        <w:tab/>
        <w:t>Besluit mestbassins milieubeheer</w:t>
      </w:r>
    </w:p>
    <w:p w:rsidR="00296032" w:rsidRPr="00620047" w:rsidRDefault="00296032">
      <w:pPr>
        <w:pStyle w:val="artplatletter"/>
        <w:rPr>
          <w:rFonts w:cs="Arial"/>
        </w:rPr>
      </w:pPr>
      <w:r w:rsidRPr="00620047">
        <w:rPr>
          <w:rFonts w:cs="Arial"/>
        </w:rPr>
        <w:t>*</w:t>
      </w:r>
      <w:r w:rsidRPr="00620047">
        <w:rPr>
          <w:rFonts w:cs="Arial"/>
        </w:rPr>
        <w:tab/>
        <w:t>Besluit opslaan in ondergrondse tanks 1998</w:t>
      </w:r>
    </w:p>
    <w:p w:rsidR="00296032" w:rsidRPr="00620047" w:rsidRDefault="00296032">
      <w:pPr>
        <w:pStyle w:val="artplatletter"/>
        <w:rPr>
          <w:rFonts w:cs="Arial"/>
        </w:rPr>
      </w:pPr>
      <w:r w:rsidRPr="00620047">
        <w:rPr>
          <w:rFonts w:cs="Arial"/>
        </w:rPr>
        <w:t>*</w:t>
      </w:r>
      <w:r w:rsidRPr="00620047">
        <w:rPr>
          <w:rFonts w:cs="Arial"/>
        </w:rPr>
        <w:tab/>
        <w:t>Besluit opslag- en transportbedrijven milieubeheer</w:t>
      </w:r>
    </w:p>
    <w:p w:rsidR="00296032" w:rsidRPr="00620047" w:rsidRDefault="00296032">
      <w:pPr>
        <w:pStyle w:val="artplatletter"/>
        <w:rPr>
          <w:rFonts w:cs="Arial"/>
        </w:rPr>
      </w:pPr>
      <w:r w:rsidRPr="00620047">
        <w:rPr>
          <w:rFonts w:cs="Arial"/>
        </w:rPr>
        <w:t>*</w:t>
      </w:r>
      <w:r w:rsidRPr="00620047">
        <w:rPr>
          <w:rFonts w:cs="Arial"/>
        </w:rPr>
        <w:tab/>
        <w:t>Besluit tandartspraktijken milieubeheer</w:t>
      </w:r>
    </w:p>
    <w:p w:rsidR="00296032" w:rsidRPr="00620047" w:rsidRDefault="00296032">
      <w:pPr>
        <w:pStyle w:val="artplatletter"/>
        <w:rPr>
          <w:rFonts w:cs="Arial"/>
        </w:rPr>
      </w:pPr>
      <w:r w:rsidRPr="00620047">
        <w:rPr>
          <w:rFonts w:cs="Arial"/>
        </w:rPr>
        <w:t>*</w:t>
      </w:r>
      <w:r w:rsidRPr="00620047">
        <w:rPr>
          <w:rFonts w:cs="Arial"/>
        </w:rPr>
        <w:tab/>
        <w:t>Besluit tankstations milieubeheer</w:t>
      </w:r>
    </w:p>
    <w:p w:rsidR="00296032" w:rsidRPr="00620047" w:rsidRDefault="00296032">
      <w:pPr>
        <w:pStyle w:val="artplatletter"/>
        <w:rPr>
          <w:rFonts w:cs="Arial"/>
        </w:rPr>
      </w:pPr>
      <w:r w:rsidRPr="00620047">
        <w:rPr>
          <w:rFonts w:cs="Arial"/>
        </w:rPr>
        <w:t>*</w:t>
      </w:r>
      <w:r w:rsidRPr="00620047">
        <w:rPr>
          <w:rFonts w:cs="Arial"/>
        </w:rPr>
        <w:tab/>
        <w:t>Besluit textielreinigingsbedrijven milieubeheer</w:t>
      </w:r>
    </w:p>
    <w:p w:rsidR="00296032" w:rsidRPr="00620047" w:rsidRDefault="00296032">
      <w:pPr>
        <w:pStyle w:val="artplatletter"/>
        <w:rPr>
          <w:rFonts w:cs="Arial"/>
        </w:rPr>
      </w:pPr>
      <w:r w:rsidRPr="00620047">
        <w:rPr>
          <w:rFonts w:cs="Arial"/>
        </w:rPr>
        <w:t>*</w:t>
      </w:r>
      <w:r w:rsidRPr="00620047">
        <w:rPr>
          <w:rFonts w:cs="Arial"/>
        </w:rPr>
        <w:tab/>
        <w:t>Besluit typekeuring verwarmingstoestellen luchtverontreiniging stikstofoxiden</w:t>
      </w:r>
    </w:p>
    <w:p w:rsidR="00296032" w:rsidRPr="00620047" w:rsidRDefault="00296032">
      <w:pPr>
        <w:pStyle w:val="artplatletter"/>
        <w:rPr>
          <w:rFonts w:cs="Arial"/>
        </w:rPr>
      </w:pPr>
      <w:r w:rsidRPr="00620047">
        <w:rPr>
          <w:rFonts w:cs="Arial"/>
        </w:rPr>
        <w:t>*</w:t>
      </w:r>
      <w:r w:rsidRPr="00620047">
        <w:rPr>
          <w:rFonts w:cs="Arial"/>
        </w:rPr>
        <w:tab/>
        <w:t>Besluit verbranden afvalstoffen</w:t>
      </w:r>
    </w:p>
    <w:p w:rsidR="00296032" w:rsidRPr="00620047" w:rsidRDefault="00296032">
      <w:pPr>
        <w:pStyle w:val="artplatletter"/>
        <w:rPr>
          <w:rFonts w:cs="Arial"/>
        </w:rPr>
      </w:pPr>
      <w:r w:rsidRPr="00620047">
        <w:rPr>
          <w:rFonts w:cs="Arial"/>
        </w:rPr>
        <w:t>*</w:t>
      </w:r>
      <w:r w:rsidRPr="00620047">
        <w:rPr>
          <w:rFonts w:cs="Arial"/>
        </w:rPr>
        <w:tab/>
        <w:t>Besluit voorzieningen en installaties milieubeheer</w:t>
      </w:r>
    </w:p>
    <w:p w:rsidR="00296032" w:rsidRDefault="00296032">
      <w:pPr>
        <w:pStyle w:val="artplatletter"/>
        <w:rPr>
          <w:rFonts w:cs="Arial"/>
        </w:rPr>
      </w:pPr>
      <w:r w:rsidRPr="00620047">
        <w:rPr>
          <w:rFonts w:cs="Arial"/>
        </w:rPr>
        <w:t>*</w:t>
      </w:r>
      <w:r w:rsidRPr="00620047">
        <w:rPr>
          <w:rFonts w:cs="Arial"/>
        </w:rPr>
        <w:tab/>
        <w:t>Besluit woon- en verblijfsgebouwen milieubeheer</w:t>
      </w:r>
    </w:p>
    <w:p w:rsidR="000C1825" w:rsidRPr="000C1825" w:rsidRDefault="000C1825" w:rsidP="000C1825">
      <w:pPr>
        <w:pStyle w:val="artplatletter"/>
        <w:rPr>
          <w:rFonts w:cs="Arial"/>
        </w:rPr>
      </w:pPr>
      <w:r>
        <w:rPr>
          <w:rFonts w:cs="Arial"/>
        </w:rPr>
        <w:t>*</w:t>
      </w:r>
      <w:r>
        <w:rPr>
          <w:rFonts w:cs="Arial"/>
        </w:rPr>
        <w:tab/>
      </w:r>
      <w:r w:rsidRPr="000C1825">
        <w:rPr>
          <w:rFonts w:cs="Arial"/>
        </w:rPr>
        <w:t>Lozingenbesluit bodembescherming</w:t>
      </w:r>
    </w:p>
    <w:p w:rsidR="000C1825" w:rsidRPr="000C1825" w:rsidRDefault="000C1825" w:rsidP="000C1825">
      <w:pPr>
        <w:pStyle w:val="artplatletter"/>
        <w:rPr>
          <w:rFonts w:cs="Arial"/>
        </w:rPr>
      </w:pPr>
      <w:r>
        <w:rPr>
          <w:rFonts w:cs="Arial"/>
        </w:rPr>
        <w:t>*</w:t>
      </w:r>
      <w:r>
        <w:rPr>
          <w:rFonts w:cs="Arial"/>
        </w:rPr>
        <w:tab/>
      </w:r>
      <w:r w:rsidRPr="000C1825">
        <w:rPr>
          <w:rFonts w:cs="Arial"/>
        </w:rPr>
        <w:t>Lozingenbesluit open teelt en veehouderij</w:t>
      </w:r>
    </w:p>
    <w:p w:rsidR="000C1825" w:rsidRPr="00620047" w:rsidRDefault="000C1825" w:rsidP="000C1825">
      <w:pPr>
        <w:pStyle w:val="artplatletter"/>
        <w:rPr>
          <w:rFonts w:cs="Arial"/>
        </w:rPr>
      </w:pPr>
      <w:r>
        <w:rPr>
          <w:rFonts w:cs="Arial"/>
        </w:rPr>
        <w:t>*</w:t>
      </w:r>
      <w:r>
        <w:rPr>
          <w:rFonts w:cs="Arial"/>
        </w:rPr>
        <w:tab/>
      </w:r>
      <w:r w:rsidRPr="000C1825">
        <w:rPr>
          <w:rFonts w:cs="Arial"/>
        </w:rPr>
        <w:t>Lozingenbesluit Wvo huishoudelijk afvalwater</w:t>
      </w:r>
    </w:p>
    <w:p w:rsidR="00296032" w:rsidRPr="00620047" w:rsidRDefault="00296032">
      <w:pPr>
        <w:pStyle w:val="artplatletter"/>
        <w:rPr>
          <w:rFonts w:cs="Arial"/>
        </w:rPr>
      </w:pPr>
      <w:r w:rsidRPr="00620047">
        <w:rPr>
          <w:rFonts w:cs="Arial"/>
        </w:rPr>
        <w:t>*</w:t>
      </w:r>
      <w:r w:rsidRPr="00620047">
        <w:rPr>
          <w:rFonts w:cs="Arial"/>
        </w:rPr>
        <w:tab/>
        <w:t>Oplosmiddelenbesluit omzetting EG-VOS-richtlijn milieubeheer</w:t>
      </w:r>
    </w:p>
    <w:p w:rsidR="00296032" w:rsidRPr="00296032" w:rsidRDefault="00296032">
      <w:pPr>
        <w:pStyle w:val="artikelkop"/>
        <w:rPr>
          <w:rFonts w:cs="Arial"/>
        </w:rPr>
      </w:pPr>
      <w:r w:rsidRPr="00296032">
        <w:rPr>
          <w:rFonts w:cs="Arial"/>
        </w:rPr>
        <w:t>Artikel 6.44</w:t>
      </w:r>
    </w:p>
    <w:p w:rsidR="00296032" w:rsidRPr="00620047" w:rsidRDefault="00296032">
      <w:pPr>
        <w:rPr>
          <w:rFonts w:cs="Arial"/>
        </w:rPr>
      </w:pPr>
      <w:r w:rsidRPr="00620047">
        <w:rPr>
          <w:rFonts w:cs="Arial"/>
        </w:rPr>
        <w:t>Dit besluit treedt in werking met ingang van een bij koninklijk besluit te bepalen tijdstip, dat voor verschillende artikelen of onderdelen en voor verschillende soorten inrichtingen verschillend kan worden vastgesteld.</w:t>
      </w:r>
    </w:p>
    <w:p w:rsidR="00296032" w:rsidRPr="00296032" w:rsidRDefault="00296032">
      <w:pPr>
        <w:pStyle w:val="artikelkop"/>
        <w:rPr>
          <w:rFonts w:cs="Arial"/>
        </w:rPr>
      </w:pPr>
      <w:r w:rsidRPr="00296032">
        <w:rPr>
          <w:rFonts w:cs="Arial"/>
        </w:rPr>
        <w:t>Artikel 6.44a</w:t>
      </w:r>
    </w:p>
    <w:p w:rsidR="00296032" w:rsidRPr="00620047" w:rsidRDefault="00296032">
      <w:pPr>
        <w:rPr>
          <w:rFonts w:cs="Arial"/>
        </w:rPr>
      </w:pPr>
      <w:r w:rsidRPr="00620047">
        <w:rPr>
          <w:rFonts w:cs="Arial"/>
        </w:rPr>
        <w:t>Op een bij koninklijk besluit te bepalen tijdstip vervalt artikel 1.2a.</w:t>
      </w:r>
    </w:p>
    <w:p w:rsidR="00296032" w:rsidRPr="00296032" w:rsidRDefault="00296032">
      <w:pPr>
        <w:pStyle w:val="artikelkop"/>
        <w:rPr>
          <w:rFonts w:cs="Arial"/>
        </w:rPr>
      </w:pPr>
      <w:r w:rsidRPr="00296032">
        <w:rPr>
          <w:rFonts w:cs="Arial"/>
        </w:rPr>
        <w:t>Artikel 6.45</w:t>
      </w:r>
    </w:p>
    <w:p w:rsidR="00296032" w:rsidRDefault="00296032">
      <w:pPr>
        <w:rPr>
          <w:rFonts w:cs="Arial"/>
        </w:rPr>
      </w:pPr>
      <w:r w:rsidRPr="00620047">
        <w:rPr>
          <w:rFonts w:cs="Arial"/>
        </w:rPr>
        <w:t xml:space="preserve">Dit besluit wordt aangehaald als: </w:t>
      </w:r>
      <w:r w:rsidR="001A3B6B">
        <w:rPr>
          <w:rFonts w:cs="Arial"/>
        </w:rPr>
        <w:t>Activiteitenbesluit milieubeheer</w:t>
      </w:r>
      <w:r w:rsidRPr="00620047">
        <w:rPr>
          <w:rFonts w:cs="Arial"/>
        </w:rPr>
        <w:t>.</w:t>
      </w:r>
    </w:p>
    <w:p w:rsidR="00A55642" w:rsidRDefault="00A55642">
      <w:pPr>
        <w:rPr>
          <w:rFonts w:cs="Arial"/>
        </w:rPr>
      </w:pPr>
    </w:p>
    <w:p w:rsidR="00A55642" w:rsidRDefault="00A55642" w:rsidP="00A55642">
      <w:pPr>
        <w:pStyle w:val="paragraaf"/>
        <w:shd w:val="clear" w:color="auto" w:fill="D9D9D9" w:themeFill="background1" w:themeFillShade="D9"/>
      </w:pPr>
      <w:bookmarkStart w:id="430" w:name="_Toc431375817"/>
      <w:r>
        <w:t>6.2.</w:t>
      </w:r>
      <w:r>
        <w:tab/>
        <w:t>Slotbepalingen</w:t>
      </w:r>
      <w:bookmarkEnd w:id="430"/>
    </w:p>
    <w:p w:rsidR="00A55642" w:rsidRDefault="00A55642" w:rsidP="00A55642">
      <w:pPr>
        <w:pStyle w:val="artikelkop"/>
        <w:shd w:val="clear" w:color="auto" w:fill="D9D9D9" w:themeFill="background1" w:themeFillShade="D9"/>
      </w:pPr>
      <w:r>
        <w:t>Artikel 6.13</w:t>
      </w:r>
    </w:p>
    <w:p w:rsidR="00A55642" w:rsidRDefault="00A55642" w:rsidP="00A55642">
      <w:pPr>
        <w:pStyle w:val="artplat"/>
        <w:shd w:val="clear" w:color="auto" w:fill="D9D9D9" w:themeFill="background1" w:themeFillShade="D9"/>
        <w:suppressAutoHyphens/>
        <w:rPr>
          <w:rFonts w:cs="Arial"/>
        </w:rPr>
      </w:pPr>
      <w:r>
        <w:rPr>
          <w:rFonts w:cs="Arial"/>
        </w:rPr>
        <w:t>De Minister van Volkshuisvesting, Ruimtelijke Ordening en Milieubeheer zendt in overeenstemming met de Minister van Verkeer en Waterstaat binnen zes jaar na de inwerkingtreding van deze regeling aan de Staten-Generaal een verslag over de doeltreffendheid en de effecten van deze regeling in de praktijk.</w:t>
      </w:r>
    </w:p>
    <w:p w:rsidR="00A55642" w:rsidRDefault="00A55642" w:rsidP="00A55642">
      <w:pPr>
        <w:pStyle w:val="artikelkop"/>
        <w:shd w:val="clear" w:color="auto" w:fill="D9D9D9" w:themeFill="background1" w:themeFillShade="D9"/>
      </w:pPr>
      <w:r>
        <w:t>Artikel 6.14</w:t>
      </w:r>
    </w:p>
    <w:p w:rsidR="00A55642" w:rsidRDefault="00A55642" w:rsidP="00A55642">
      <w:pPr>
        <w:pStyle w:val="artplat"/>
        <w:shd w:val="clear" w:color="auto" w:fill="D9D9D9" w:themeFill="background1" w:themeFillShade="D9"/>
        <w:suppressAutoHyphens/>
        <w:rPr>
          <w:rFonts w:cs="Arial"/>
        </w:rPr>
      </w:pPr>
      <w:r>
        <w:rPr>
          <w:rFonts w:cs="Arial"/>
        </w:rPr>
        <w:t>De volgende regelingen worden ingetrokken:</w:t>
      </w:r>
    </w:p>
    <w:p w:rsidR="00A55642" w:rsidRDefault="00A55642" w:rsidP="00A55642">
      <w:pPr>
        <w:pStyle w:val="artplatletter"/>
        <w:shd w:val="clear" w:color="auto" w:fill="D9D9D9" w:themeFill="background1" w:themeFillShade="D9"/>
        <w:suppressAutoHyphens/>
        <w:rPr>
          <w:rFonts w:cs="Arial"/>
        </w:rPr>
      </w:pPr>
      <w:r>
        <w:rPr>
          <w:rFonts w:cs="Arial"/>
        </w:rPr>
        <w:t>-</w:t>
      </w:r>
      <w:r>
        <w:rPr>
          <w:rFonts w:cs="Arial"/>
        </w:rPr>
        <w:tab/>
        <w:t>Regeling meldingen tandartspraktijken milieubeheer</w:t>
      </w:r>
    </w:p>
    <w:p w:rsidR="00A55642" w:rsidRDefault="00A55642" w:rsidP="00A55642">
      <w:pPr>
        <w:pStyle w:val="artplatletter"/>
        <w:shd w:val="clear" w:color="auto" w:fill="D9D9D9" w:themeFill="background1" w:themeFillShade="D9"/>
        <w:suppressAutoHyphens/>
        <w:rPr>
          <w:rFonts w:cs="Arial"/>
        </w:rPr>
      </w:pPr>
      <w:r>
        <w:rPr>
          <w:rFonts w:cs="Arial"/>
        </w:rPr>
        <w:t>-</w:t>
      </w:r>
      <w:r>
        <w:rPr>
          <w:rFonts w:cs="Arial"/>
        </w:rPr>
        <w:tab/>
        <w:t>Regeling amalgaamafscheiders tandartspraktijken milieubeheer</w:t>
      </w:r>
    </w:p>
    <w:p w:rsidR="00A55642" w:rsidRDefault="00A55642" w:rsidP="00A55642">
      <w:pPr>
        <w:pStyle w:val="artplatletter"/>
        <w:shd w:val="clear" w:color="auto" w:fill="D9D9D9" w:themeFill="background1" w:themeFillShade="D9"/>
        <w:suppressAutoHyphens/>
        <w:rPr>
          <w:rFonts w:cs="Arial"/>
        </w:rPr>
      </w:pPr>
      <w:r>
        <w:rPr>
          <w:rFonts w:cs="Arial"/>
        </w:rPr>
        <w:t>-</w:t>
      </w:r>
      <w:r>
        <w:rPr>
          <w:rFonts w:cs="Arial"/>
        </w:rPr>
        <w:tab/>
        <w:t>Regeling op,- overslag en distributie benzine milieubeheer.</w:t>
      </w:r>
    </w:p>
    <w:p w:rsidR="00A55642" w:rsidRDefault="00A55642" w:rsidP="00A55642">
      <w:pPr>
        <w:pStyle w:val="artplatletter"/>
        <w:shd w:val="clear" w:color="auto" w:fill="D9D9D9" w:themeFill="background1" w:themeFillShade="D9"/>
        <w:suppressAutoHyphens/>
        <w:rPr>
          <w:rFonts w:cs="Arial"/>
        </w:rPr>
      </w:pPr>
      <w:r>
        <w:rPr>
          <w:rFonts w:cs="Arial"/>
        </w:rPr>
        <w:t>-</w:t>
      </w:r>
      <w:r>
        <w:rPr>
          <w:rFonts w:cs="Arial"/>
        </w:rPr>
        <w:tab/>
        <w:t>Regeling testmethoden amalgaamafscheiders tandartspraktijken milieubeheer</w:t>
      </w:r>
    </w:p>
    <w:p w:rsidR="00A55642" w:rsidRDefault="00A55642" w:rsidP="00A55642">
      <w:pPr>
        <w:pStyle w:val="artplatletter"/>
        <w:shd w:val="clear" w:color="auto" w:fill="D9D9D9" w:themeFill="background1" w:themeFillShade="D9"/>
        <w:suppressAutoHyphens/>
        <w:rPr>
          <w:rFonts w:cs="Arial"/>
        </w:rPr>
      </w:pPr>
      <w:r>
        <w:rPr>
          <w:rFonts w:cs="Arial"/>
        </w:rPr>
        <w:t>-</w:t>
      </w:r>
      <w:r>
        <w:rPr>
          <w:rFonts w:cs="Arial"/>
        </w:rPr>
        <w:tab/>
        <w:t>Aanwijzing vervangende tekst van Handleiding bodemsanering tankstations</w:t>
      </w:r>
    </w:p>
    <w:p w:rsidR="00A55642" w:rsidRDefault="00A55642" w:rsidP="00A55642">
      <w:pPr>
        <w:pStyle w:val="artplatletter"/>
        <w:shd w:val="clear" w:color="auto" w:fill="D9D9D9" w:themeFill="background1" w:themeFillShade="D9"/>
        <w:suppressAutoHyphens/>
        <w:rPr>
          <w:rFonts w:cs="Arial"/>
        </w:rPr>
      </w:pPr>
      <w:r>
        <w:rPr>
          <w:rFonts w:cs="Arial"/>
        </w:rPr>
        <w:t>-</w:t>
      </w:r>
      <w:r>
        <w:rPr>
          <w:rFonts w:cs="Arial"/>
        </w:rPr>
        <w:tab/>
        <w:t>Regeling slibvangputten en vet- of olie-afscheiders</w:t>
      </w:r>
    </w:p>
    <w:p w:rsidR="00A55642" w:rsidRDefault="00A55642" w:rsidP="00A55642">
      <w:pPr>
        <w:pStyle w:val="artikelkop"/>
        <w:shd w:val="clear" w:color="auto" w:fill="D9D9D9" w:themeFill="background1" w:themeFillShade="D9"/>
      </w:pPr>
      <w:r>
        <w:t>Artikel 6.15</w:t>
      </w:r>
    </w:p>
    <w:p w:rsidR="00A55642" w:rsidRDefault="00A55642" w:rsidP="00A55642">
      <w:pPr>
        <w:pStyle w:val="art1enivo"/>
        <w:shd w:val="clear" w:color="auto" w:fill="D9D9D9" w:themeFill="background1" w:themeFillShade="D9"/>
        <w:suppressAutoHyphens/>
      </w:pPr>
      <w:r>
        <w:rPr>
          <w:rFonts w:cs="Arial"/>
        </w:rPr>
        <w:t>1.</w:t>
      </w:r>
      <w:r>
        <w:rPr>
          <w:rFonts w:cs="Arial"/>
        </w:rPr>
        <w:tab/>
        <w:t>De artikelen van deze regeling treden in werking met ingang van 1 januari 2008 met uitzondering van afdeling 2.2 en bijlage 1.</w:t>
      </w:r>
    </w:p>
    <w:p w:rsidR="00A55642" w:rsidRDefault="00A55642" w:rsidP="00A55642">
      <w:pPr>
        <w:pStyle w:val="artikelkop"/>
        <w:shd w:val="clear" w:color="auto" w:fill="D9D9D9" w:themeFill="background1" w:themeFillShade="D9"/>
      </w:pPr>
      <w:r>
        <w:t>Artikel 6.16</w:t>
      </w:r>
    </w:p>
    <w:p w:rsidR="00A55642" w:rsidRDefault="00A55642" w:rsidP="00A55642">
      <w:pPr>
        <w:pStyle w:val="artplat"/>
        <w:shd w:val="clear" w:color="auto" w:fill="D9D9D9" w:themeFill="background1" w:themeFillShade="D9"/>
        <w:suppressAutoHyphens/>
        <w:rPr>
          <w:rFonts w:cs="Arial"/>
        </w:rPr>
      </w:pPr>
      <w:r>
        <w:rPr>
          <w:rFonts w:cs="Arial"/>
        </w:rPr>
        <w:t>Deze regeling wordt aangehaald als: Activiteitenregeling milieubeheer.</w:t>
      </w:r>
    </w:p>
    <w:p w:rsidR="00A55642" w:rsidRDefault="00A55642" w:rsidP="00A55642">
      <w:pPr>
        <w:shd w:val="clear" w:color="auto" w:fill="D9D9D9" w:themeFill="background1" w:themeFillShade="D9"/>
        <w:suppressAutoHyphens/>
        <w:spacing w:line="240" w:lineRule="atLeast"/>
        <w:rPr>
          <w:rFonts w:cs="Arial"/>
        </w:rPr>
      </w:pPr>
    </w:p>
    <w:p w:rsidR="00A55642" w:rsidRDefault="00A55642">
      <w:pPr>
        <w:rPr>
          <w:rFonts w:cs="Arial"/>
        </w:rPr>
      </w:pPr>
    </w:p>
    <w:p w:rsidR="00A55642" w:rsidRPr="00620047" w:rsidRDefault="00A55642">
      <w:pPr>
        <w:rPr>
          <w:rFonts w:cs="Arial"/>
        </w:rPr>
      </w:pPr>
    </w:p>
    <w:p w:rsidR="00296032" w:rsidRPr="00620047" w:rsidRDefault="00296032">
      <w:pPr>
        <w:rPr>
          <w:rFonts w:cs="Arial"/>
        </w:rPr>
      </w:pPr>
      <w:r w:rsidRPr="00620047">
        <w:rPr>
          <w:rFonts w:cs="Arial"/>
        </w:rPr>
        <w:t>Lasten en bevelen dat dit besluit met de daarbij behorende nota van toelichting in het Staatsblad zal worden geplaatst.</w:t>
      </w:r>
    </w:p>
    <w:p w:rsidR="00296032" w:rsidRPr="00620047" w:rsidRDefault="00296032">
      <w:pPr>
        <w:rPr>
          <w:rFonts w:cs="Arial"/>
        </w:rPr>
      </w:pPr>
    </w:p>
    <w:p w:rsidR="00296032" w:rsidRPr="00620047" w:rsidRDefault="00296032">
      <w:pPr>
        <w:rPr>
          <w:rFonts w:cs="Arial"/>
        </w:rPr>
      </w:pPr>
      <w:r w:rsidRPr="00620047">
        <w:rPr>
          <w:rFonts w:cs="Arial"/>
        </w:rPr>
        <w:t>'s-Gravenhage, 19 oktober 2007</w:t>
      </w:r>
    </w:p>
    <w:p w:rsidR="00296032" w:rsidRPr="00620047" w:rsidRDefault="00296032">
      <w:pPr>
        <w:rPr>
          <w:rFonts w:cs="Arial"/>
        </w:rPr>
      </w:pPr>
      <w:r w:rsidRPr="00620047">
        <w:rPr>
          <w:rFonts w:cs="Arial"/>
        </w:rPr>
        <w:t>Beatrix</w:t>
      </w:r>
    </w:p>
    <w:p w:rsidR="00296032" w:rsidRPr="00620047" w:rsidRDefault="00296032">
      <w:pPr>
        <w:rPr>
          <w:rFonts w:cs="Arial"/>
        </w:rPr>
      </w:pPr>
      <w:r w:rsidRPr="00620047">
        <w:rPr>
          <w:rFonts w:cs="Arial"/>
        </w:rPr>
        <w:t xml:space="preserve"> De Minister van Volkshuisvesting, Ruimt</w:t>
      </w:r>
      <w:r w:rsidR="001A3B6B">
        <w:rPr>
          <w:rFonts w:cs="Arial"/>
        </w:rPr>
        <w:t>elijke Ordening en Milieubeheer</w:t>
      </w:r>
      <w:r w:rsidRPr="00620047">
        <w:rPr>
          <w:rFonts w:cs="Arial"/>
        </w:rPr>
        <w:t>,</w:t>
      </w:r>
      <w:r w:rsidRPr="00620047">
        <w:rPr>
          <w:rFonts w:cs="Arial"/>
        </w:rPr>
        <w:br/>
        <w:t>J. M. Cramer</w:t>
      </w:r>
    </w:p>
    <w:p w:rsidR="00296032" w:rsidRPr="00620047" w:rsidRDefault="00296032">
      <w:pPr>
        <w:rPr>
          <w:rFonts w:cs="Arial"/>
        </w:rPr>
      </w:pPr>
      <w:r w:rsidRPr="00620047">
        <w:rPr>
          <w:rFonts w:cs="Arial"/>
        </w:rPr>
        <w:t xml:space="preserve"> De Staatssecretaris van Verkeer en Waterstaat,</w:t>
      </w:r>
      <w:r w:rsidRPr="00620047">
        <w:rPr>
          <w:rFonts w:cs="Arial"/>
        </w:rPr>
        <w:br/>
        <w:t>J. C. Huizinga-Heringa</w:t>
      </w:r>
    </w:p>
    <w:p w:rsidR="00296032" w:rsidRPr="00620047" w:rsidRDefault="00296032">
      <w:pPr>
        <w:rPr>
          <w:rFonts w:cs="Arial"/>
        </w:rPr>
      </w:pPr>
    </w:p>
    <w:p w:rsidR="00296032" w:rsidRPr="00620047" w:rsidRDefault="00296032">
      <w:pPr>
        <w:rPr>
          <w:rFonts w:cs="Arial"/>
        </w:rPr>
      </w:pPr>
      <w:r w:rsidRPr="00620047">
        <w:rPr>
          <w:rFonts w:cs="Arial"/>
        </w:rPr>
        <w:t>Uitgegeven de zesde november 2007</w:t>
      </w:r>
    </w:p>
    <w:p w:rsidR="00296032" w:rsidRPr="00620047" w:rsidRDefault="00296032">
      <w:pPr>
        <w:rPr>
          <w:rFonts w:cs="Arial"/>
        </w:rPr>
      </w:pPr>
    </w:p>
    <w:p w:rsidR="00296032" w:rsidRPr="00620047" w:rsidRDefault="001A3B6B">
      <w:pPr>
        <w:rPr>
          <w:rFonts w:cs="Arial"/>
        </w:rPr>
      </w:pPr>
      <w:r>
        <w:rPr>
          <w:rFonts w:cs="Arial"/>
        </w:rPr>
        <w:t>De Minister van Justitie</w:t>
      </w:r>
      <w:r w:rsidR="00296032" w:rsidRPr="00620047">
        <w:rPr>
          <w:rFonts w:cs="Arial"/>
        </w:rPr>
        <w:t>,</w:t>
      </w:r>
    </w:p>
    <w:p w:rsidR="00296032" w:rsidRPr="001C166D" w:rsidRDefault="00296032">
      <w:pPr>
        <w:rPr>
          <w:rFonts w:cs="Arial"/>
          <w:lang w:val="de-DE"/>
        </w:rPr>
      </w:pPr>
      <w:r w:rsidRPr="001C166D">
        <w:rPr>
          <w:rFonts w:cs="Arial"/>
          <w:lang w:val="de-DE"/>
        </w:rPr>
        <w:t>E. M. H. Hirsch Ballin</w:t>
      </w:r>
    </w:p>
    <w:p w:rsidR="00296032" w:rsidRPr="001C166D" w:rsidRDefault="00296032">
      <w:pPr>
        <w:rPr>
          <w:rFonts w:cs="Arial"/>
          <w:lang w:val="de-DE"/>
        </w:rPr>
      </w:pPr>
    </w:p>
    <w:p w:rsidR="00FC57C8" w:rsidRPr="001C166D" w:rsidRDefault="00FC57C8">
      <w:pPr>
        <w:rPr>
          <w:rFonts w:cs="Arial"/>
          <w:lang w:val="de-DE"/>
        </w:rPr>
      </w:pPr>
    </w:p>
    <w:p w:rsidR="00FC57C8" w:rsidRPr="001C166D" w:rsidRDefault="00FC57C8">
      <w:pPr>
        <w:rPr>
          <w:rFonts w:cs="Arial"/>
          <w:lang w:val="de-DE"/>
        </w:rPr>
      </w:pPr>
    </w:p>
    <w:p w:rsidR="00F507F4" w:rsidRPr="001C166D" w:rsidRDefault="00F507F4" w:rsidP="00F507F4">
      <w:pPr>
        <w:widowControl w:val="0"/>
        <w:autoSpaceDE w:val="0"/>
        <w:autoSpaceDN w:val="0"/>
        <w:adjustRightInd w:val="0"/>
        <w:spacing w:after="240" w:line="240" w:lineRule="auto"/>
        <w:rPr>
          <w:rFonts w:cs="Arial"/>
          <w:b/>
          <w:bCs/>
          <w:szCs w:val="20"/>
          <w:lang w:val="de-DE"/>
        </w:rPr>
      </w:pPr>
      <w:bookmarkStart w:id="431" w:name="Bijlage1AB"/>
      <w:r w:rsidRPr="001C166D">
        <w:rPr>
          <w:rFonts w:cs="Arial"/>
          <w:b/>
          <w:bCs/>
          <w:szCs w:val="20"/>
          <w:lang w:val="de-DE"/>
        </w:rPr>
        <w:t>Bijlage 1</w:t>
      </w:r>
    </w:p>
    <w:bookmarkEnd w:id="431"/>
    <w:p w:rsidR="00F507F4" w:rsidRDefault="00F507F4" w:rsidP="00F507F4">
      <w:pPr>
        <w:widowControl w:val="0"/>
        <w:autoSpaceDE w:val="0"/>
        <w:autoSpaceDN w:val="0"/>
        <w:adjustRightInd w:val="0"/>
        <w:spacing w:after="240" w:line="240" w:lineRule="auto"/>
        <w:rPr>
          <w:rFonts w:cs="Arial"/>
          <w:szCs w:val="20"/>
        </w:rPr>
      </w:pPr>
      <w:r>
        <w:rPr>
          <w:rFonts w:cs="Arial"/>
          <w:szCs w:val="20"/>
        </w:rPr>
        <w:t>Als gebied als bedoeld in artikel 3.80, eerste en tweede lid, zijn aangewezen:</w:t>
      </w:r>
    </w:p>
    <w:p w:rsidR="00F507F4" w:rsidRDefault="00F507F4" w:rsidP="00F507F4">
      <w:pPr>
        <w:widowControl w:val="0"/>
        <w:autoSpaceDE w:val="0"/>
        <w:autoSpaceDN w:val="0"/>
        <w:adjustRightInd w:val="0"/>
        <w:spacing w:line="240" w:lineRule="auto"/>
        <w:ind w:left="640" w:hanging="320"/>
        <w:rPr>
          <w:rFonts w:cs="Arial"/>
          <w:szCs w:val="20"/>
        </w:rPr>
      </w:pPr>
      <w:r>
        <w:rPr>
          <w:rFonts w:cs="Arial"/>
          <w:szCs w:val="20"/>
        </w:rPr>
        <w:t>1°.</w:t>
      </w:r>
      <w:r>
        <w:rPr>
          <w:rFonts w:cs="Arial"/>
          <w:szCs w:val="20"/>
        </w:rPr>
        <w:tab/>
        <w:t>de in de provincie Noord-Holland gelegen gemeenten:</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Den Helder</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Anna Paulowna voor zover gelegen ten westen van de watergangen de Boezem van Zijpe/ Hooge Oude Veer en de Van Ewijcksvaart</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Zijpe voor zover gelegen ten westen van de Groote Sloot</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Schoorl</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Bergen</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Alkmaar</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Egmond</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Heiloo</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Castricum</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Limmen</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Akersloot voor zover gelegen ten westen van het Noordhollandsch Kanaal</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Uitgeest voor zover gelegen ten westen van de rijksweg A9 (Haarlem–Alkmaar)</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Heemskerk</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Haarlemmermeer voor zover gelegen ten westen van de Spieringweg</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Bloemendaal</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Heemstede</w:t>
      </w:r>
    </w:p>
    <w:p w:rsidR="00F507F4" w:rsidRDefault="00F507F4" w:rsidP="00F507F4">
      <w:pPr>
        <w:widowControl w:val="0"/>
        <w:autoSpaceDE w:val="0"/>
        <w:autoSpaceDN w:val="0"/>
        <w:adjustRightInd w:val="0"/>
        <w:spacing w:line="240" w:lineRule="auto"/>
        <w:ind w:left="640" w:hanging="320"/>
        <w:rPr>
          <w:rFonts w:cs="Arial"/>
          <w:szCs w:val="20"/>
        </w:rPr>
      </w:pPr>
      <w:r>
        <w:rPr>
          <w:rFonts w:cs="Arial"/>
          <w:szCs w:val="20"/>
        </w:rPr>
        <w:t>2°.</w:t>
      </w:r>
      <w:r>
        <w:rPr>
          <w:rFonts w:cs="Arial"/>
          <w:szCs w:val="20"/>
        </w:rPr>
        <w:tab/>
        <w:t>de in de provincie Zuid-Holland gelegen gemeenten:</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Hillegom</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Lisse</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Noordwijk</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Noordwijkerhout</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Teylingen</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Katwijk</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Rijnsburg</w:t>
      </w:r>
    </w:p>
    <w:p w:rsidR="00F507F4" w:rsidRDefault="00F507F4" w:rsidP="00F507F4">
      <w:pPr>
        <w:pStyle w:val="Revisie"/>
        <w:widowControl w:val="0"/>
        <w:autoSpaceDE w:val="0"/>
        <w:autoSpaceDN w:val="0"/>
        <w:adjustRightInd w:val="0"/>
        <w:ind w:left="960" w:hanging="320"/>
        <w:rPr>
          <w:rFonts w:cs="Arial"/>
          <w:szCs w:val="20"/>
        </w:rPr>
      </w:pPr>
      <w:r>
        <w:rPr>
          <w:rFonts w:cs="Arial"/>
          <w:szCs w:val="20"/>
        </w:rPr>
        <w:t>–</w:t>
      </w:r>
      <w:r>
        <w:rPr>
          <w:rFonts w:cs="Arial"/>
          <w:szCs w:val="20"/>
        </w:rPr>
        <w:tab/>
        <w:t>Wassenaar</w:t>
      </w:r>
    </w:p>
    <w:p w:rsidR="00FC57C8" w:rsidRDefault="00FC57C8">
      <w:pPr>
        <w:rPr>
          <w:rFonts w:cs="Arial"/>
        </w:rPr>
      </w:pPr>
    </w:p>
    <w:p w:rsidR="009F1BA2" w:rsidRDefault="009F1BA2" w:rsidP="009F1BA2">
      <w:pPr>
        <w:widowControl w:val="0"/>
        <w:autoSpaceDE w:val="0"/>
        <w:autoSpaceDN w:val="0"/>
        <w:adjustRightInd w:val="0"/>
        <w:spacing w:after="240" w:line="240" w:lineRule="auto"/>
        <w:rPr>
          <w:rFonts w:cs="Arial"/>
          <w:b/>
          <w:bCs/>
          <w:szCs w:val="20"/>
        </w:rPr>
      </w:pPr>
      <w:r>
        <w:rPr>
          <w:rFonts w:cs="Arial"/>
          <w:b/>
          <w:bCs/>
          <w:szCs w:val="20"/>
        </w:rPr>
        <w:t>Bijlage 2. Standaard berekeningswijze van de kosteneffectiviteit behorend bij artikel 2.7</w:t>
      </w:r>
    </w:p>
    <w:p w:rsidR="009F1BA2" w:rsidRDefault="009F1BA2" w:rsidP="009F1BA2">
      <w:pPr>
        <w:widowControl w:val="0"/>
        <w:autoSpaceDE w:val="0"/>
        <w:autoSpaceDN w:val="0"/>
        <w:adjustRightInd w:val="0"/>
        <w:spacing w:after="240" w:line="240" w:lineRule="auto"/>
        <w:rPr>
          <w:rFonts w:cs="Arial"/>
          <w:szCs w:val="20"/>
        </w:rPr>
      </w:pPr>
      <w:r>
        <w:rPr>
          <w:rFonts w:cs="Arial"/>
          <w:szCs w:val="20"/>
        </w:rPr>
        <w:t>De methodiek op basis waarvan de kosteneffectiviteit wordt berekend, wordt weergegeven in het schema in figuur 1. Hieronder wordt verder ingegaan op een viertal aspecten in dit schema.</w:t>
      </w:r>
    </w:p>
    <w:p w:rsidR="009F1BA2" w:rsidRDefault="009F1BA2" w:rsidP="009F1BA2">
      <w:pPr>
        <w:widowControl w:val="0"/>
        <w:autoSpaceDE w:val="0"/>
        <w:autoSpaceDN w:val="0"/>
        <w:adjustRightInd w:val="0"/>
        <w:spacing w:after="240" w:line="240" w:lineRule="auto"/>
        <w:rPr>
          <w:rFonts w:cs="Arial"/>
          <w:b/>
          <w:bCs/>
          <w:szCs w:val="20"/>
        </w:rPr>
      </w:pPr>
      <w:r>
        <w:rPr>
          <w:rFonts w:cs="Arial"/>
          <w:b/>
          <w:bCs/>
          <w:szCs w:val="20"/>
        </w:rPr>
        <w:t xml:space="preserve"> Rentevoet en afschrijving </w:t>
      </w:r>
    </w:p>
    <w:p w:rsidR="009F1BA2" w:rsidRDefault="009F1BA2" w:rsidP="009F1BA2">
      <w:pPr>
        <w:widowControl w:val="0"/>
        <w:autoSpaceDE w:val="0"/>
        <w:autoSpaceDN w:val="0"/>
        <w:adjustRightInd w:val="0"/>
        <w:spacing w:after="240" w:line="240" w:lineRule="auto"/>
        <w:rPr>
          <w:rFonts w:cs="Arial"/>
          <w:szCs w:val="20"/>
        </w:rPr>
      </w:pPr>
      <w:r>
        <w:rPr>
          <w:rFonts w:cs="Arial"/>
          <w:szCs w:val="20"/>
        </w:rPr>
        <w:t>Het resultaat van een kostenberekening is sterk afhankelijk van de gehanteerde rentevoet. In deze methodiek is gekozen voor een vaste rentevoet. De vaste rentevoet is gesteld op 10%. Deze 10% is een compromis tussen de nominale kapitaalmarktrente en de interne rentevoet die door bedrijven wordt gehanteerd («return on investment»).</w:t>
      </w:r>
    </w:p>
    <w:p w:rsidR="009F1BA2" w:rsidRDefault="009F1BA2" w:rsidP="009F1BA2">
      <w:pPr>
        <w:widowControl w:val="0"/>
        <w:autoSpaceDE w:val="0"/>
        <w:autoSpaceDN w:val="0"/>
        <w:adjustRightInd w:val="0"/>
        <w:spacing w:after="240" w:line="240" w:lineRule="auto"/>
        <w:rPr>
          <w:rFonts w:cs="Arial"/>
          <w:b/>
          <w:bCs/>
          <w:szCs w:val="20"/>
        </w:rPr>
      </w:pPr>
      <w:r>
        <w:rPr>
          <w:rFonts w:cs="Arial"/>
          <w:b/>
          <w:bCs/>
          <w:szCs w:val="20"/>
        </w:rPr>
        <w:t xml:space="preserve"> Afschrijvingsmethodiek </w:t>
      </w:r>
    </w:p>
    <w:p w:rsidR="009F1BA2" w:rsidRDefault="009F1BA2" w:rsidP="009F1BA2">
      <w:pPr>
        <w:widowControl w:val="0"/>
        <w:autoSpaceDE w:val="0"/>
        <w:autoSpaceDN w:val="0"/>
        <w:adjustRightInd w:val="0"/>
        <w:spacing w:after="240" w:line="240" w:lineRule="auto"/>
        <w:rPr>
          <w:rFonts w:cs="Arial"/>
          <w:szCs w:val="20"/>
        </w:rPr>
      </w:pPr>
      <w:r>
        <w:rPr>
          <w:rFonts w:cs="Arial"/>
          <w:szCs w:val="20"/>
        </w:rPr>
        <w:t>In de methodiek worden investeringen op annuïtaire wijze afgeschreven. In principe kan op twee manieren worden afgeschreven: op lineaire of op annuïtaire wijze. In werkelijkheid worden investeringen vaak op lineaire wijze afgeschreven. De annuïtaire afschrijvingsmethode heeft echter als voordeel dat constante jaarkosten worden verkregen zodat de methodiek eenvoudiger te hanteren is.</w:t>
      </w:r>
    </w:p>
    <w:p w:rsidR="009F1BA2" w:rsidRDefault="009F1BA2" w:rsidP="009F1BA2">
      <w:pPr>
        <w:widowControl w:val="0"/>
        <w:autoSpaceDE w:val="0"/>
        <w:autoSpaceDN w:val="0"/>
        <w:adjustRightInd w:val="0"/>
        <w:spacing w:after="240" w:line="240" w:lineRule="auto"/>
        <w:rPr>
          <w:rFonts w:cs="Arial"/>
          <w:b/>
          <w:bCs/>
          <w:szCs w:val="20"/>
        </w:rPr>
      </w:pPr>
      <w:r>
        <w:rPr>
          <w:rFonts w:cs="Arial"/>
          <w:b/>
          <w:bCs/>
          <w:szCs w:val="20"/>
        </w:rPr>
        <w:t xml:space="preserve"> Afschrijvingstermijn </w:t>
      </w:r>
    </w:p>
    <w:p w:rsidR="009F1BA2" w:rsidRDefault="009F1BA2" w:rsidP="009F1BA2">
      <w:pPr>
        <w:widowControl w:val="0"/>
        <w:autoSpaceDE w:val="0"/>
        <w:autoSpaceDN w:val="0"/>
        <w:adjustRightInd w:val="0"/>
        <w:spacing w:after="240" w:line="240" w:lineRule="auto"/>
        <w:rPr>
          <w:rFonts w:cs="Arial"/>
          <w:szCs w:val="20"/>
        </w:rPr>
      </w:pPr>
      <w:r>
        <w:rPr>
          <w:rFonts w:cs="Arial"/>
          <w:szCs w:val="20"/>
        </w:rPr>
        <w:t>In de methodiek worden de volgende afschrijvingstermijnen gehanteerd:</w:t>
      </w:r>
    </w:p>
    <w:p w:rsidR="009F1BA2" w:rsidRDefault="009F1BA2" w:rsidP="009F1BA2">
      <w:pPr>
        <w:widowControl w:val="0"/>
        <w:autoSpaceDE w:val="0"/>
        <w:autoSpaceDN w:val="0"/>
        <w:adjustRightInd w:val="0"/>
        <w:spacing w:line="240" w:lineRule="auto"/>
        <w:ind w:left="640" w:hanging="320"/>
        <w:rPr>
          <w:rFonts w:cs="Arial"/>
          <w:szCs w:val="20"/>
        </w:rPr>
      </w:pPr>
      <w:r>
        <w:rPr>
          <w:rFonts w:cs="Arial"/>
          <w:szCs w:val="20"/>
        </w:rPr>
        <w:t>●.</w:t>
      </w:r>
      <w:r>
        <w:rPr>
          <w:rFonts w:cs="Arial"/>
          <w:szCs w:val="20"/>
        </w:rPr>
        <w:tab/>
        <w:t>10 jaar voor het elektromechanische deel van de milieu-investering;</w:t>
      </w:r>
    </w:p>
    <w:p w:rsidR="009F1BA2" w:rsidRDefault="009F1BA2" w:rsidP="009F1BA2">
      <w:pPr>
        <w:widowControl w:val="0"/>
        <w:autoSpaceDE w:val="0"/>
        <w:autoSpaceDN w:val="0"/>
        <w:adjustRightInd w:val="0"/>
        <w:spacing w:line="240" w:lineRule="auto"/>
        <w:ind w:left="640" w:hanging="320"/>
        <w:rPr>
          <w:rFonts w:cs="Arial"/>
          <w:szCs w:val="20"/>
        </w:rPr>
      </w:pPr>
      <w:r>
        <w:rPr>
          <w:rFonts w:cs="Arial"/>
          <w:szCs w:val="20"/>
        </w:rPr>
        <w:t>●.</w:t>
      </w:r>
      <w:r>
        <w:rPr>
          <w:rFonts w:cs="Arial"/>
          <w:szCs w:val="20"/>
        </w:rPr>
        <w:tab/>
        <w:t>25 jaar voor het bouwkundig deel van de milieu-investering.</w:t>
      </w:r>
    </w:p>
    <w:p w:rsidR="009F1BA2" w:rsidRDefault="009F1BA2" w:rsidP="009F1BA2">
      <w:pPr>
        <w:widowControl w:val="0"/>
        <w:autoSpaceDE w:val="0"/>
        <w:autoSpaceDN w:val="0"/>
        <w:adjustRightInd w:val="0"/>
        <w:spacing w:line="240" w:lineRule="auto"/>
        <w:rPr>
          <w:rFonts w:cs="Arial"/>
          <w:szCs w:val="20"/>
        </w:rPr>
      </w:pPr>
    </w:p>
    <w:p w:rsidR="009F1BA2" w:rsidRDefault="009F1BA2" w:rsidP="009F1BA2">
      <w:pPr>
        <w:widowControl w:val="0"/>
        <w:autoSpaceDE w:val="0"/>
        <w:autoSpaceDN w:val="0"/>
        <w:adjustRightInd w:val="0"/>
        <w:spacing w:after="240" w:line="240" w:lineRule="auto"/>
        <w:rPr>
          <w:rFonts w:cs="Arial"/>
          <w:szCs w:val="20"/>
        </w:rPr>
      </w:pPr>
      <w:r>
        <w:rPr>
          <w:rFonts w:cs="Arial"/>
          <w:szCs w:val="20"/>
        </w:rPr>
        <w:t>Onder het elektromechanische deel wordt alle apparatuur verstaan, compleet met instrumentatie en dergelijke. Onder het bouwkundige deel worden vaak de hallen, loodsen, funderingen, leidingbruggen en dergelijke verstaan. De reden dat deze bouwkundige investeringen over een langere termijn worden afgeschreven is dat de levensduur veelal langer is dan 10 jaar en dat deze voorzieningen ook bruikbaar blijven als de huidige apparatuur wordt vervangen. Echter, in praktijk zijn (delen van) de bouwkundige investeringen toch installatiespecifiek en moeten worden verwijderd als de apparatuur is afgeschreven, wordt ontmanteld en niet meer wordt vervangen. Indien dit wordt voorzien, dan moeten deze installatiespecifieke bouwkundige voorzieningen worden gerekend tot het elektromechanische gedeelte en dus worden afgeschreven over 10 jaar.</w:t>
      </w:r>
    </w:p>
    <w:p w:rsidR="009F1BA2" w:rsidRDefault="009F1BA2" w:rsidP="009F1BA2">
      <w:pPr>
        <w:widowControl w:val="0"/>
        <w:autoSpaceDE w:val="0"/>
        <w:autoSpaceDN w:val="0"/>
        <w:adjustRightInd w:val="0"/>
        <w:spacing w:after="240" w:line="240" w:lineRule="auto"/>
        <w:rPr>
          <w:rFonts w:cs="Arial"/>
          <w:b/>
          <w:bCs/>
          <w:szCs w:val="20"/>
        </w:rPr>
      </w:pPr>
      <w:r>
        <w:rPr>
          <w:rFonts w:cs="Arial"/>
          <w:b/>
          <w:bCs/>
          <w:szCs w:val="20"/>
        </w:rPr>
        <w:t xml:space="preserve"> Berekening annuïteit </w:t>
      </w:r>
    </w:p>
    <w:p w:rsidR="009F1BA2" w:rsidRDefault="009F1BA2" w:rsidP="009F1BA2">
      <w:pPr>
        <w:widowControl w:val="0"/>
        <w:autoSpaceDE w:val="0"/>
        <w:autoSpaceDN w:val="0"/>
        <w:adjustRightInd w:val="0"/>
        <w:spacing w:after="240" w:line="240" w:lineRule="auto"/>
        <w:rPr>
          <w:rFonts w:cs="Arial"/>
          <w:szCs w:val="20"/>
        </w:rPr>
      </w:pPr>
      <w:r>
        <w:rPr>
          <w:rFonts w:cs="Arial"/>
          <w:szCs w:val="20"/>
        </w:rPr>
        <w:t>De annuïteit is de factor die uitdrukt wat de jaarlijkse kosten zijn van een eenmalige investering. De annuïteit wordt berekend uit rente plus afschrijving volgens:</w:t>
      </w:r>
    </w:p>
    <w:p w:rsidR="009F1BA2" w:rsidRDefault="009F1BA2" w:rsidP="009F1BA2">
      <w:pPr>
        <w:widowControl w:val="0"/>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1E7D863F" wp14:editId="5093EB8A">
            <wp:extent cx="1695450" cy="68961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689610"/>
                    </a:xfrm>
                    <a:prstGeom prst="rect">
                      <a:avLst/>
                    </a:prstGeom>
                    <a:noFill/>
                    <a:ln>
                      <a:noFill/>
                    </a:ln>
                  </pic:spPr>
                </pic:pic>
              </a:graphicData>
            </a:graphic>
          </wp:inline>
        </w:drawing>
      </w:r>
      <w:r>
        <w:rPr>
          <w:rFonts w:cs="Arial"/>
          <w:szCs w:val="20"/>
        </w:rPr>
        <w:t xml:space="preserve"> </w:t>
      </w:r>
    </w:p>
    <w:p w:rsidR="009F1BA2" w:rsidRDefault="009F1BA2" w:rsidP="009F1BA2">
      <w:pPr>
        <w:widowControl w:val="0"/>
        <w:autoSpaceDE w:val="0"/>
        <w:autoSpaceDN w:val="0"/>
        <w:adjustRightInd w:val="0"/>
        <w:spacing w:line="240" w:lineRule="auto"/>
        <w:rPr>
          <w:rFonts w:cs="Arial"/>
          <w:szCs w:val="20"/>
        </w:rPr>
      </w:pPr>
      <w:r>
        <w:rPr>
          <w:rFonts w:cs="Arial"/>
          <w:szCs w:val="20"/>
        </w:rPr>
        <w:t>Waarin i de rentevoet is (dimensieloos) en n de afschrijvingstermijn (in jaar). Voor een rentevoet van 10 procent (i = 0,1) is de annuïteit bij een afschrijvingstermijn van 10 jaar gelijk aan 0,163 en bij een afschrijvingstermijn van 25 jaar gelijk aan 0,110.</w:t>
      </w:r>
    </w:p>
    <w:p w:rsidR="009F1BA2" w:rsidRDefault="009F1BA2" w:rsidP="009F1BA2">
      <w:pPr>
        <w:widowControl w:val="0"/>
        <w:autoSpaceDE w:val="0"/>
        <w:autoSpaceDN w:val="0"/>
        <w:adjustRightInd w:val="0"/>
        <w:spacing w:after="240" w:line="240" w:lineRule="auto"/>
        <w:rPr>
          <w:rFonts w:cs="Arial"/>
          <w:szCs w:val="20"/>
        </w:rPr>
      </w:pPr>
      <w:r>
        <w:rPr>
          <w:rFonts w:cs="Arial"/>
          <w:szCs w:val="20"/>
        </w:rPr>
        <w:t>De afschrijvingstermijn vangt aan op het moment dat de installatie in bedrijf wordt genomen. Kapitaalskosten die worden gemaakt voor dit tijdstip vallen onder het begrip «bouwrente» en maken onderdeel uit van de eenmalige investeringen.</w:t>
      </w:r>
    </w:p>
    <w:p w:rsidR="009F1BA2" w:rsidRDefault="009F1BA2" w:rsidP="009F1BA2">
      <w:pPr>
        <w:widowControl w:val="0"/>
        <w:autoSpaceDE w:val="0"/>
        <w:autoSpaceDN w:val="0"/>
        <w:adjustRightInd w:val="0"/>
        <w:spacing w:line="240" w:lineRule="auto"/>
        <w:rPr>
          <w:rFonts w:cs="Arial"/>
          <w:szCs w:val="20"/>
        </w:rPr>
      </w:pPr>
      <w:r>
        <w:rPr>
          <w:rFonts w:cs="Arial"/>
          <w:b/>
          <w:bCs/>
          <w:szCs w:val="20"/>
        </w:rPr>
        <w:t>Figuur 1. Methodiek kosteneffectiviteit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4541"/>
        <w:gridCol w:w="2333"/>
        <w:gridCol w:w="2456"/>
      </w:tblGrid>
      <w:tr w:rsidR="009F1BA2" w:rsidTr="00FC68FE">
        <w:tc>
          <w:tcPr>
            <w:tcW w:w="4541" w:type="dxa"/>
            <w:tcBorders>
              <w:top w:val="single" w:sz="4" w:space="0" w:color="auto"/>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a Kosten</w:t>
            </w:r>
            <w:r>
              <w:rPr>
                <w:rFonts w:cs="Arial"/>
                <w:sz w:val="16"/>
                <w:szCs w:val="16"/>
              </w:rPr>
              <w:t xml:space="preserve"> </w:t>
            </w:r>
          </w:p>
        </w:tc>
        <w:tc>
          <w:tcPr>
            <w:tcW w:w="2333" w:type="dxa"/>
            <w:tcBorders>
              <w:top w:val="single" w:sz="4" w:space="0" w:color="auto"/>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2456" w:type="dxa"/>
            <w:tcBorders>
              <w:top w:val="single" w:sz="4" w:space="0" w:color="auto"/>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Aanschaffingsprijs</w:t>
            </w:r>
            <w:r>
              <w:rPr>
                <w:rFonts w:cs="Arial"/>
                <w:sz w:val="16"/>
                <w:szCs w:val="16"/>
              </w:rPr>
              <w:br/>
              <w:t xml:space="preserve"> Bijkomende investeringen</w:t>
            </w:r>
            <w:r>
              <w:rPr>
                <w:rFonts w:cs="Arial"/>
                <w:sz w:val="16"/>
                <w:szCs w:val="16"/>
              </w:rPr>
              <w:br/>
              <w:t xml:space="preserve"> Eenmalige investeringen</w:t>
            </w:r>
            <w:r>
              <w:rPr>
                <w:rFonts w:cs="Arial"/>
                <w:sz w:val="16"/>
                <w:szCs w:val="16"/>
              </w:rPr>
              <w:br/>
              <w:t xml:space="preserve"> Kapitaalvernietiging door desinvesteringen</w:t>
            </w:r>
            <w:r>
              <w:rPr>
                <w:rFonts w:cs="Arial"/>
                <w:sz w:val="16"/>
                <w:szCs w:val="16"/>
              </w:rPr>
              <w:br/>
              <w:t xml:space="preserve"> ---------------------------------------------------------- +</w:t>
            </w:r>
            <w:r>
              <w:rPr>
                <w:rFonts w:cs="Arial"/>
                <w:sz w:val="16"/>
                <w:szCs w:val="16"/>
              </w:rPr>
              <w:br/>
              <w:t xml:space="preserve"> Totale investeringen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w:t>
            </w:r>
            <w:r>
              <w:rPr>
                <w:rFonts w:cs="Arial"/>
                <w:sz w:val="16"/>
                <w:szCs w:val="16"/>
              </w:rPr>
              <w:br/>
              <w:t xml:space="preserve"> €......</w:t>
            </w:r>
            <w:r>
              <w:rPr>
                <w:rFonts w:cs="Arial"/>
                <w:sz w:val="16"/>
                <w:szCs w:val="16"/>
              </w:rPr>
              <w:br/>
              <w:t xml:space="preserve"> €......</w:t>
            </w:r>
            <w:r>
              <w:rPr>
                <w:rFonts w:cs="Arial"/>
                <w:sz w:val="16"/>
                <w:szCs w:val="16"/>
              </w:rPr>
              <w:br/>
              <w:t xml:space="preserve"> €......</w:t>
            </w:r>
            <w:r>
              <w:rPr>
                <w:rFonts w:cs="Arial"/>
                <w:sz w:val="16"/>
                <w:szCs w:val="16"/>
              </w:rPr>
              <w:br/>
              <w:t xml:space="preserve"> ------- +</w:t>
            </w:r>
            <w:r>
              <w:rPr>
                <w:rFonts w:cs="Arial"/>
                <w:sz w:val="16"/>
                <w:szCs w:val="16"/>
              </w:rPr>
              <w:br/>
              <w:t xml:space="preserve"> € invest </w:t>
            </w: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Totale investeringen * annuïteit =&gt;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 invest*0.163=&gt; </w:t>
            </w: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Kapitaalskosten </w:t>
            </w: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Bouwkundige investeringen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 bouwk </w:t>
            </w: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Bouwkundige investeringen* annuïteit </w:t>
            </w:r>
            <w:r>
              <w:rPr>
                <w:rFonts w:cs="Arial"/>
                <w:sz w:val="16"/>
                <w:szCs w:val="16"/>
                <w:vertAlign w:val="subscript"/>
              </w:rPr>
              <w:t>bouwk</w:t>
            </w:r>
            <w:r>
              <w:rPr>
                <w:rFonts w:cs="Arial"/>
                <w:sz w:val="16"/>
                <w:szCs w:val="16"/>
              </w:rPr>
              <w:t xml:space="preserve"> =&gt;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 bouwk*0.110=&gt; </w:t>
            </w: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Bouwkundige kapitaalkosten </w:t>
            </w: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Onderhoud</w:t>
            </w:r>
            <w:r>
              <w:rPr>
                <w:rFonts w:cs="Arial"/>
                <w:sz w:val="16"/>
                <w:szCs w:val="16"/>
              </w:rPr>
              <w:br/>
              <w:t xml:space="preserve"> Bediening</w:t>
            </w:r>
            <w:r>
              <w:rPr>
                <w:rFonts w:cs="Arial"/>
                <w:sz w:val="16"/>
                <w:szCs w:val="16"/>
              </w:rPr>
              <w:br/>
              <w:t xml:space="preserve"> Overige vaste operationele kosten</w:t>
            </w:r>
            <w:r>
              <w:rPr>
                <w:rFonts w:cs="Arial"/>
                <w:sz w:val="16"/>
                <w:szCs w:val="16"/>
              </w:rPr>
              <w:br/>
              <w:t xml:space="preserve"> ---------------------------------------------------------- +</w:t>
            </w:r>
            <w:r>
              <w:rPr>
                <w:rFonts w:cs="Arial"/>
                <w:sz w:val="16"/>
                <w:szCs w:val="16"/>
              </w:rPr>
              <w:br/>
              <w:t xml:space="preserve"> Totale vaste operationele kosten =&gt;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w:t>
            </w:r>
            <w:r>
              <w:rPr>
                <w:rFonts w:cs="Arial"/>
                <w:sz w:val="16"/>
                <w:szCs w:val="16"/>
              </w:rPr>
              <w:br/>
              <w:t xml:space="preserve"> €......</w:t>
            </w:r>
            <w:r>
              <w:rPr>
                <w:rFonts w:cs="Arial"/>
                <w:sz w:val="16"/>
                <w:szCs w:val="16"/>
              </w:rPr>
              <w:br/>
              <w:t xml:space="preserve"> €......</w:t>
            </w:r>
            <w:r>
              <w:rPr>
                <w:rFonts w:cs="Arial"/>
                <w:sz w:val="16"/>
                <w:szCs w:val="16"/>
              </w:rPr>
              <w:br/>
              <w:t xml:space="preserve"> ------- +</w:t>
            </w:r>
            <w:r>
              <w:rPr>
                <w:rFonts w:cs="Arial"/>
                <w:sz w:val="16"/>
                <w:szCs w:val="16"/>
              </w:rPr>
              <w:br/>
              <w:t xml:space="preserve"> €......=&gt; </w:t>
            </w: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Vaste operationele kosten </w:t>
            </w: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Voorzieningen (gas, elektriciteit, water, stoom etc.)</w:t>
            </w:r>
            <w:r>
              <w:rPr>
                <w:rFonts w:cs="Arial"/>
                <w:sz w:val="16"/>
                <w:szCs w:val="16"/>
              </w:rPr>
              <w:br/>
              <w:t xml:space="preserve"> Reststoffenverwerking/lozingsheffingen</w:t>
            </w:r>
            <w:r>
              <w:rPr>
                <w:rFonts w:cs="Arial"/>
                <w:sz w:val="16"/>
                <w:szCs w:val="16"/>
              </w:rPr>
              <w:br/>
              <w:t xml:space="preserve"> Overige variabele operationele kosten +</w:t>
            </w:r>
            <w:r>
              <w:rPr>
                <w:rFonts w:cs="Arial"/>
                <w:sz w:val="16"/>
                <w:szCs w:val="16"/>
              </w:rPr>
              <w:br/>
              <w:t xml:space="preserve"> ----------------------------------------------------------</w:t>
            </w:r>
            <w:r>
              <w:rPr>
                <w:rFonts w:cs="Arial"/>
                <w:sz w:val="16"/>
                <w:szCs w:val="16"/>
              </w:rPr>
              <w:br/>
              <w:t xml:space="preserve"> Totale variabele operationele kosten =&gt;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w:t>
            </w:r>
            <w:r>
              <w:rPr>
                <w:rFonts w:cs="Arial"/>
                <w:sz w:val="16"/>
                <w:szCs w:val="16"/>
              </w:rPr>
              <w:br/>
              <w:t xml:space="preserve"> €......</w:t>
            </w:r>
            <w:r>
              <w:rPr>
                <w:rFonts w:cs="Arial"/>
                <w:sz w:val="16"/>
                <w:szCs w:val="16"/>
              </w:rPr>
              <w:br/>
              <w:t xml:space="preserve"> €......</w:t>
            </w:r>
            <w:r>
              <w:rPr>
                <w:rFonts w:cs="Arial"/>
                <w:sz w:val="16"/>
                <w:szCs w:val="16"/>
              </w:rPr>
              <w:br/>
              <w:t xml:space="preserve"> ------- +</w:t>
            </w:r>
            <w:r>
              <w:rPr>
                <w:rFonts w:cs="Arial"/>
                <w:sz w:val="16"/>
                <w:szCs w:val="16"/>
              </w:rPr>
              <w:br/>
              <w:t xml:space="preserve"> €......=&gt; </w:t>
            </w: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Variabele operationele kosten </w:t>
            </w: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w:t>
            </w:r>
            <w:r>
              <w:rPr>
                <w:rFonts w:cs="Arial"/>
                <w:sz w:val="16"/>
                <w:szCs w:val="16"/>
              </w:rPr>
              <w:br/>
              <w:t xml:space="preserve"> = Totale bruto jaarlijkse kosten </w:t>
            </w: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Opbrengsten en besparingen =&gt;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 =&gt; </w:t>
            </w: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Opbrengsten en besparingen </w:t>
            </w:r>
          </w:p>
        </w:tc>
      </w:tr>
      <w:tr w:rsidR="009F1BA2" w:rsidTr="00FC68FE">
        <w:tc>
          <w:tcPr>
            <w:tcW w:w="4541"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2333"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2456"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w:t>
            </w:r>
            <w:r>
              <w:rPr>
                <w:rFonts w:cs="Arial"/>
                <w:sz w:val="16"/>
                <w:szCs w:val="16"/>
              </w:rPr>
              <w:br/>
              <w:t xml:space="preserve"> </w:t>
            </w:r>
            <w:r>
              <w:rPr>
                <w:rFonts w:cs="Arial"/>
                <w:i/>
                <w:iCs/>
                <w:sz w:val="16"/>
                <w:szCs w:val="16"/>
              </w:rPr>
              <w:t>= Totale netto jaarlijkse kosten</w:t>
            </w:r>
            <w:r>
              <w:rPr>
                <w:rFonts w:cs="Arial"/>
                <w:sz w:val="16"/>
                <w:szCs w:val="16"/>
              </w:rPr>
              <w:t xml:space="preserve"> </w:t>
            </w:r>
          </w:p>
        </w:tc>
      </w:tr>
      <w:tr w:rsidR="009F1BA2" w:rsidTr="00FC68FE">
        <w:tc>
          <w:tcPr>
            <w:tcW w:w="4541"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b Effecten</w:t>
            </w:r>
            <w:r>
              <w:rPr>
                <w:rFonts w:cs="Arial"/>
                <w:sz w:val="16"/>
                <w:szCs w:val="16"/>
              </w:rPr>
              <w:t xml:space="preserve"> </w:t>
            </w:r>
          </w:p>
        </w:tc>
        <w:tc>
          <w:tcPr>
            <w:tcW w:w="2333"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2456"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Jaarlijkse ongereinigde vracht =&gt;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 =&gt; </w:t>
            </w: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Jaarlijkse ongereinigde vracht </w:t>
            </w: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Jaarlijkse restemissie</w:t>
            </w:r>
            <w:r>
              <w:rPr>
                <w:rFonts w:cs="Arial"/>
                <w:sz w:val="16"/>
                <w:szCs w:val="16"/>
              </w:rPr>
              <w:br/>
              <w:t xml:space="preserve"> Jaarlijkse emissies tijdens storingen</w:t>
            </w:r>
            <w:r>
              <w:rPr>
                <w:rFonts w:cs="Arial"/>
                <w:sz w:val="16"/>
                <w:szCs w:val="16"/>
              </w:rPr>
              <w:br/>
              <w:t xml:space="preserve"> Jaarlijkse emissies tijdens onderhoud</w:t>
            </w:r>
            <w:r>
              <w:rPr>
                <w:rFonts w:cs="Arial"/>
                <w:sz w:val="16"/>
                <w:szCs w:val="16"/>
              </w:rPr>
              <w:br/>
              <w:t xml:space="preserve"> ----------------------------------------------------------- +</w:t>
            </w:r>
            <w:r>
              <w:rPr>
                <w:rFonts w:cs="Arial"/>
                <w:sz w:val="16"/>
                <w:szCs w:val="16"/>
              </w:rPr>
              <w:br/>
              <w:t xml:space="preserve"> Totale jaarlijkse restemissie =&gt;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w:t>
            </w:r>
            <w:r>
              <w:rPr>
                <w:rFonts w:cs="Arial"/>
                <w:sz w:val="16"/>
                <w:szCs w:val="16"/>
              </w:rPr>
              <w:br/>
              <w:t xml:space="preserve"> ......</w:t>
            </w:r>
            <w:r>
              <w:rPr>
                <w:rFonts w:cs="Arial"/>
                <w:sz w:val="16"/>
                <w:szCs w:val="16"/>
              </w:rPr>
              <w:br/>
              <w:t xml:space="preserve"> ......</w:t>
            </w:r>
            <w:r>
              <w:rPr>
                <w:rFonts w:cs="Arial"/>
                <w:sz w:val="16"/>
                <w:szCs w:val="16"/>
              </w:rPr>
              <w:br/>
              <w:t xml:space="preserve"> ------ +</w:t>
            </w:r>
            <w:r>
              <w:rPr>
                <w:rFonts w:cs="Arial"/>
                <w:sz w:val="16"/>
                <w:szCs w:val="16"/>
              </w:rPr>
              <w:br/>
              <w:t xml:space="preserve"> ...... =&gt; </w:t>
            </w: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Totale jaarlijkse restemissie </w:t>
            </w:r>
          </w:p>
        </w:tc>
      </w:tr>
      <w:tr w:rsidR="009F1BA2" w:rsidTr="00FC68FE">
        <w:tc>
          <w:tcPr>
            <w:tcW w:w="4541"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2333"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2456"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w:t>
            </w:r>
            <w:r>
              <w:rPr>
                <w:rFonts w:cs="Arial"/>
                <w:sz w:val="16"/>
                <w:szCs w:val="16"/>
              </w:rPr>
              <w:br/>
              <w:t xml:space="preserve"> </w:t>
            </w:r>
            <w:r>
              <w:rPr>
                <w:rFonts w:cs="Arial"/>
                <w:i/>
                <w:iCs/>
                <w:sz w:val="16"/>
                <w:szCs w:val="16"/>
              </w:rPr>
              <w:t>= Totale jaarlijkse emissiereductie</w:t>
            </w:r>
            <w:r>
              <w:rPr>
                <w:rFonts w:cs="Arial"/>
                <w:sz w:val="16"/>
                <w:szCs w:val="16"/>
              </w:rPr>
              <w:t xml:space="preserve"> </w:t>
            </w:r>
          </w:p>
        </w:tc>
      </w:tr>
      <w:tr w:rsidR="009F1BA2" w:rsidTr="00FC68FE">
        <w:tc>
          <w:tcPr>
            <w:tcW w:w="4541"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c Kosteneffectiviteit</w:t>
            </w:r>
            <w:r>
              <w:rPr>
                <w:rFonts w:cs="Arial"/>
                <w:sz w:val="16"/>
                <w:szCs w:val="16"/>
              </w:rPr>
              <w:t xml:space="preserve"> </w:t>
            </w:r>
          </w:p>
        </w:tc>
        <w:tc>
          <w:tcPr>
            <w:tcW w:w="2333"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2456"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4541"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Kosteneffectiviteit = </w:t>
            </w:r>
          </w:p>
        </w:tc>
        <w:tc>
          <w:tcPr>
            <w:tcW w:w="2333"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i/>
                <w:iCs/>
                <w:sz w:val="16"/>
                <w:szCs w:val="16"/>
              </w:rPr>
              <w:t>Totale netto jaarlijkse kosten</w:t>
            </w:r>
            <w:r>
              <w:rPr>
                <w:rFonts w:cs="Arial"/>
                <w:sz w:val="16"/>
                <w:szCs w:val="16"/>
              </w:rPr>
              <w:t xml:space="preserve"> </w:t>
            </w:r>
            <w:r>
              <w:rPr>
                <w:rFonts w:cs="Arial"/>
                <w:sz w:val="16"/>
                <w:szCs w:val="16"/>
              </w:rPr>
              <w:br/>
              <w:t xml:space="preserve"> ----------------------</w:t>
            </w:r>
            <w:r>
              <w:rPr>
                <w:rFonts w:cs="Arial"/>
                <w:sz w:val="16"/>
                <w:szCs w:val="16"/>
              </w:rPr>
              <w:br/>
              <w:t xml:space="preserve"> </w:t>
            </w:r>
            <w:r>
              <w:rPr>
                <w:rFonts w:cs="Arial"/>
                <w:i/>
                <w:iCs/>
                <w:sz w:val="16"/>
                <w:szCs w:val="16"/>
              </w:rPr>
              <w:t>Totale jaarlijkse emissiereductie</w:t>
            </w:r>
            <w:r>
              <w:rPr>
                <w:rFonts w:cs="Arial"/>
                <w:sz w:val="16"/>
                <w:szCs w:val="16"/>
              </w:rPr>
              <w:t xml:space="preserve"> </w:t>
            </w:r>
          </w:p>
        </w:tc>
        <w:tc>
          <w:tcPr>
            <w:tcW w:w="2456"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4541"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Standaard waarden*:</w:t>
            </w:r>
            <w:r>
              <w:rPr>
                <w:rFonts w:cs="Arial"/>
                <w:sz w:val="16"/>
                <w:szCs w:val="16"/>
              </w:rPr>
              <w:br/>
              <w:t xml:space="preserve"> Som bijkomende en eenmalige investeringen*:</w:t>
            </w:r>
            <w:r>
              <w:rPr>
                <w:rFonts w:cs="Arial"/>
                <w:sz w:val="16"/>
                <w:szCs w:val="16"/>
              </w:rPr>
              <w:br/>
              <w:t xml:space="preserve"> 30–250% van aanschaffingsprijs</w:t>
            </w:r>
            <w:r>
              <w:rPr>
                <w:rFonts w:cs="Arial"/>
                <w:sz w:val="16"/>
                <w:szCs w:val="16"/>
              </w:rPr>
              <w:br/>
              <w:t xml:space="preserve"> Eenmalige investeringen*:</w:t>
            </w:r>
            <w:r>
              <w:rPr>
                <w:rFonts w:cs="Arial"/>
                <w:sz w:val="16"/>
                <w:szCs w:val="16"/>
              </w:rPr>
              <w:br/>
              <w:t xml:space="preserve"> 25% van aanschaffingsprijs</w:t>
            </w:r>
            <w:r>
              <w:rPr>
                <w:rFonts w:cs="Arial"/>
                <w:sz w:val="16"/>
                <w:szCs w:val="16"/>
              </w:rPr>
              <w:br/>
              <w:t xml:space="preserve"> Vaste operationele kosten*:</w:t>
            </w:r>
            <w:r>
              <w:rPr>
                <w:rFonts w:cs="Arial"/>
                <w:sz w:val="16"/>
                <w:szCs w:val="16"/>
              </w:rPr>
              <w:br/>
              <w:t xml:space="preserve"> 3–5% van de aanschaffingsprijs en bijkomende investeringen</w:t>
            </w:r>
            <w:r>
              <w:rPr>
                <w:rFonts w:cs="Arial"/>
                <w:sz w:val="16"/>
                <w:szCs w:val="16"/>
              </w:rPr>
              <w:br/>
              <w:t xml:space="preserve"> Voorzieningen-prijzen:</w:t>
            </w:r>
            <w:r>
              <w:rPr>
                <w:rFonts w:cs="Arial"/>
                <w:sz w:val="16"/>
                <w:szCs w:val="16"/>
              </w:rPr>
              <w:br/>
              <w:t xml:space="preserve"> Uit DACE-prijzenboekje (24)</w:t>
            </w:r>
            <w:r>
              <w:rPr>
                <w:rFonts w:cs="Arial"/>
                <w:sz w:val="16"/>
                <w:szCs w:val="16"/>
              </w:rPr>
              <w:br/>
              <w:t xml:space="preserve"> Tijdsduur storingen en onderhoud:</w:t>
            </w:r>
            <w:r>
              <w:rPr>
                <w:rFonts w:cs="Arial"/>
                <w:sz w:val="16"/>
                <w:szCs w:val="16"/>
              </w:rPr>
              <w:br/>
              <w:t xml:space="preserve"> 2% van de bedrijfstijd </w:t>
            </w:r>
          </w:p>
        </w:tc>
        <w:tc>
          <w:tcPr>
            <w:tcW w:w="2333"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2456"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p>
        </w:tc>
      </w:tr>
    </w:tbl>
    <w:p w:rsidR="009F1BA2" w:rsidRDefault="009F1BA2" w:rsidP="009F1BA2">
      <w:pPr>
        <w:widowControl w:val="0"/>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9F1BA2" w:rsidRDefault="009F1BA2" w:rsidP="009F1BA2">
      <w:pPr>
        <w:widowControl w:val="0"/>
        <w:autoSpaceDE w:val="0"/>
        <w:autoSpaceDN w:val="0"/>
        <w:adjustRightInd w:val="0"/>
        <w:spacing w:line="240" w:lineRule="auto"/>
        <w:rPr>
          <w:rFonts w:cs="Arial"/>
          <w:szCs w:val="20"/>
        </w:rPr>
      </w:pPr>
    </w:p>
    <w:p w:rsidR="009F1BA2" w:rsidRDefault="009F1BA2" w:rsidP="009F1BA2">
      <w:pPr>
        <w:widowControl w:val="0"/>
        <w:autoSpaceDE w:val="0"/>
        <w:autoSpaceDN w:val="0"/>
        <w:adjustRightInd w:val="0"/>
        <w:spacing w:after="240" w:line="240" w:lineRule="auto"/>
        <w:rPr>
          <w:rFonts w:cs="Arial"/>
          <w:szCs w:val="20"/>
        </w:rPr>
      </w:pPr>
      <w:r>
        <w:rPr>
          <w:rFonts w:cs="Arial"/>
          <w:szCs w:val="20"/>
        </w:rPr>
        <w:t>*</w:t>
      </w:r>
      <w:r>
        <w:rPr>
          <w:rFonts w:cs="Arial"/>
          <w:i/>
          <w:iCs/>
          <w:szCs w:val="20"/>
        </w:rPr>
        <w:t xml:space="preserve"> Het verdient de voorkeur om bijkomende en eenmalige investeringskosten en vaste operationele kosten uit het verkennend ontwerp af te leiden. Alleen indien het verkennend ontwerp niet genoeg houvast biedt, kan met de standaard-waarden worden gewerkt.</w:t>
      </w:r>
      <w:r>
        <w:rPr>
          <w:rFonts w:cs="Arial"/>
          <w:szCs w:val="20"/>
        </w:rPr>
        <w:t xml:space="preserve"> </w:t>
      </w:r>
    </w:p>
    <w:p w:rsidR="009F1BA2" w:rsidRDefault="009F1BA2" w:rsidP="009F1BA2">
      <w:pPr>
        <w:widowControl w:val="0"/>
        <w:autoSpaceDE w:val="0"/>
        <w:autoSpaceDN w:val="0"/>
        <w:adjustRightInd w:val="0"/>
        <w:spacing w:after="240" w:line="240" w:lineRule="auto"/>
        <w:rPr>
          <w:rFonts w:cs="Arial"/>
          <w:b/>
          <w:bCs/>
          <w:szCs w:val="20"/>
        </w:rPr>
      </w:pPr>
      <w:r>
        <w:rPr>
          <w:rFonts w:cs="Arial"/>
          <w:szCs w:val="20"/>
        </w:rPr>
        <w:br/>
      </w:r>
      <w:r>
        <w:rPr>
          <w:rFonts w:cs="Arial"/>
          <w:szCs w:val="20"/>
        </w:rPr>
        <w:br/>
      </w:r>
      <w:r>
        <w:rPr>
          <w:rFonts w:cs="Arial"/>
          <w:b/>
          <w:bCs/>
          <w:szCs w:val="20"/>
        </w:rPr>
        <w:t>Bijlage 3. Stuifklassen behorend bij de artikelen 3.37 en 3.38</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908"/>
        <w:gridCol w:w="6188"/>
        <w:gridCol w:w="1234"/>
      </w:tblGrid>
      <w:tr w:rsidR="009F1BA2" w:rsidTr="00FC68FE">
        <w:tc>
          <w:tcPr>
            <w:tcW w:w="8096" w:type="dxa"/>
            <w:gridSpan w:val="2"/>
            <w:tcBorders>
              <w:top w:val="nil"/>
              <w:left w:val="nil"/>
              <w:bottom w:val="single" w:sz="4" w:space="0" w:color="auto"/>
              <w:right w:val="nil"/>
            </w:tcBorders>
          </w:tcPr>
          <w:p w:rsidR="009F1BA2" w:rsidRDefault="009F1BA2" w:rsidP="00FC68FE">
            <w:pPr>
              <w:widowControl w:val="0"/>
              <w:autoSpaceDE w:val="0"/>
              <w:autoSpaceDN w:val="0"/>
              <w:adjustRightInd w:val="0"/>
              <w:spacing w:after="240" w:line="240" w:lineRule="auto"/>
              <w:jc w:val="center"/>
              <w:rPr>
                <w:rFonts w:cs="Arial"/>
                <w:sz w:val="16"/>
                <w:szCs w:val="16"/>
              </w:rPr>
            </w:pPr>
            <w:r>
              <w:rPr>
                <w:rFonts w:ascii="Times New Roman" w:hAnsi="Times New Roman"/>
                <w:sz w:val="24"/>
              </w:rPr>
              <w:t xml:space="preserve"> </w:t>
            </w:r>
            <w:r>
              <w:rPr>
                <w:rFonts w:cs="Arial"/>
                <w:i/>
                <w:iCs/>
                <w:sz w:val="16"/>
                <w:szCs w:val="16"/>
              </w:rPr>
              <w:t>Specificatie</w:t>
            </w:r>
            <w:r>
              <w:rPr>
                <w:rFonts w:cs="Arial"/>
                <w:sz w:val="16"/>
                <w:szCs w:val="16"/>
              </w:rPr>
              <w:t xml:space="preserve"> </w:t>
            </w:r>
          </w:p>
        </w:tc>
        <w:tc>
          <w:tcPr>
            <w:tcW w:w="1234" w:type="dxa"/>
            <w:tcBorders>
              <w:top w:val="nil"/>
              <w:left w:val="nil"/>
              <w:bottom w:val="single" w:sz="4" w:space="0" w:color="auto"/>
              <w:right w:val="nil"/>
            </w:tcBorders>
          </w:tcPr>
          <w:p w:rsidR="009F1BA2" w:rsidRDefault="009F1BA2" w:rsidP="00FC68FE">
            <w:pPr>
              <w:widowControl w:val="0"/>
              <w:autoSpaceDE w:val="0"/>
              <w:autoSpaceDN w:val="0"/>
              <w:adjustRightInd w:val="0"/>
              <w:spacing w:after="240" w:line="240" w:lineRule="auto"/>
              <w:rPr>
                <w:rFonts w:cs="Arial"/>
                <w:sz w:val="16"/>
                <w:szCs w:val="16"/>
              </w:rPr>
            </w:pPr>
            <w:r>
              <w:rPr>
                <w:rFonts w:cs="Arial"/>
                <w:i/>
                <w:iCs/>
                <w:sz w:val="16"/>
                <w:szCs w:val="16"/>
              </w:rPr>
              <w:t>Stuifklasse</w:t>
            </w:r>
            <w:r>
              <w:rPr>
                <w:rFonts w:cs="Arial"/>
                <w:sz w:val="16"/>
                <w:szCs w:val="16"/>
              </w:rPr>
              <w:t xml:space="preserve"> </w:t>
            </w:r>
          </w:p>
        </w:tc>
      </w:tr>
      <w:tr w:rsidR="009F1BA2" w:rsidTr="00FC68FE">
        <w:tc>
          <w:tcPr>
            <w:tcW w:w="8096" w:type="dxa"/>
            <w:gridSpan w:val="2"/>
            <w:tcBorders>
              <w:top w:val="single" w:sz="4" w:space="0" w:color="auto"/>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Abbrände (pyrietas) </w:t>
            </w:r>
          </w:p>
        </w:tc>
        <w:tc>
          <w:tcPr>
            <w:tcW w:w="1234" w:type="dxa"/>
            <w:tcBorders>
              <w:top w:val="single" w:sz="4" w:space="0" w:color="auto"/>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Aluinaarde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Bariet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Bariet (gemalen)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Bauxiet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China gecalcineerd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gecalcineerd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ruw bauxiet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Bimskies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Borax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Bodemas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vochtgehalte 30%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Bruinsteen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Calcium Carbid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Carborundum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Cement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vochtgehalte 0,3%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klinkers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Cokes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steenkoolcokes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petroleumcokes, grof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petroleumcokes, fijn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petroleumcokes, gecalcineerd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petroleumcokes oiled/non-oiled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fluid cokes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vMerge w:val="restart"/>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Derivaten en aanverwante produkten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aardappelmeel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vMerge w:val="restart"/>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aardappelschijfjes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alfalfapellets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amandelmeel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appelpulppellets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babassupellets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babassuschroot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beendermeel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beenderschroot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bierbostelpellets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bladmeelpellets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boekweitmeel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cacaobonen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corndistillergrainpellets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corndistillergrainmeel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corncobpellets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cornplantpellets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citruspellets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D.F.G. pellets (maiskiempellets)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druivenpulpgranulaat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gerstemeel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gerstpellets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grondnoten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grondnotenpellets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grondnotenschroot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quarbeanmealpellets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quarbeanmeal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havermeel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haverpellets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hominecychoppellets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hominecychopmeel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houtsnippers (vochtgehalte 44%)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katoenzaadpellets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katoenzaadschroot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kapokzaadpellets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kapokzaadschroot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kardizaadschroot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koffiepulppellets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kokosgruis (vochtgehalte 81,1%)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kopra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kopracakes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koprachips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koprapellets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kopraschroot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lijnzaadpellets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lijnzaadschroot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lucernepellets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macojapellets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macojaschroot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macunameel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maisglutenpellets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maisglutenmeel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maismeel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maltsproutpellets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mangopellets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mangoschroot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maniokpellets, hard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maniokwortel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mengvoederpellets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millrunpellets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miloglutenpellets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milomeel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moutkiempellets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negerzaadpellets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negerzaadschroot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olijfpulppellets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olijfschroot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palmpitten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palmpittenpellets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palmpittenschilfers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palmpittenschroot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palmpittencakes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peanuthullpellets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pine-applepellets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pollardpellets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raapzaadpellets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raapzaadschroot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ricehullpellets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ricehuspellets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ricebran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roggemeel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roggepellets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safflowerzaadpellets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safflowerzaadschroot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salseedextractionpellets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salseedschroot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sesamzaadpellets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sesamzaadschroot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shearnutmeel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shearnutschroot (vochtgehalte 10%)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soiulacpellets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sorghumzaadpellets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sojapellets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sojachips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sojameel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sojaschroot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splentgrainpellets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suikerbietenpulppellets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suikerrietpellets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sweetpotatopellets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tapiochips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tapiocabrokjes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tapiocapellets, hard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tapiocapellets, natives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tarwemeel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tarwepellets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theepellets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tucumschroot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veevoederpellets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zonnebloemzaadpellets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zonnebloemzaadschroot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Dolomiet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brokken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gemalen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Erts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amarilerts, brokken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chroomerts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ijzererts (zie IJzererts)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kopererts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looderts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mangaanerts,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mangaanerts, laden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tantalieterts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titaanerts (zie Titaan)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zinkblende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Ferrochroom, brokken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Ferrofosfor, brokken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Ferromangaan, brokken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Ferrosilicium, brokken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Fosfaat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gehalte vrij vocht &gt;4 gew%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gehalte vrij vocht &lt;1 gew%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Gips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gipsstof grof (vochtgehalte 33,5%)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Glasafval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Graan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boekweit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gerst (vochtgehalte 4,2%)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gort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haver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haverscreenings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kaficorn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lijnzaadscreenings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maïs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milicorn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mout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raapzaadscreenings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ricehusk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rogge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rijst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sojagrits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sorghumzaad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tarwe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Graniet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Grind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8096" w:type="dxa"/>
            <w:gridSpan w:val="2"/>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Grof toeslagmateriaal voor de betonmortel en betonproductenindustrie (waaronder grind, lytag, kalksteen, lava, granulaat)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Grond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licht verontreinigde grond (vochtgehalte 4,5%)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leemgrond (vochtgehalte 3,6%)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veengrond (vochtgehalte 50%)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veengrond (vochtgehalte 60%)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Hoogovenslakken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slakken (vochtgehalte 0,2%)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Huisvuil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IJzererts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Beeshoek, fijn erts,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Beeshoek, fijn erts,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Beeshoek, stuk erts,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Beeshoek, stuk erts,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Bomi Hill, stuk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Bong Range pellets,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Bong Range pellets,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Bong Range concentraat,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Bong Range concentraat,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Braz. Nat.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Carol Lake pellets,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Carol Lake pellets,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Carol Lake concentraat,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Carol Lake concentraat,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Cassinga, fijn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Cassinga, stuk erts,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Cassinga, stuk erts,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Cassinga 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Cerro Bolivar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Coto Wagner erts,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Coto Wagner erts,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Dannemora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El Pao, fijn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Fabrica pellets,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Fabrica pellets,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Fabrica Sinter Feed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Fabrica Special pellet ore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F’Derik Ho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Fire Lake pellets,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Fire Lake pellets,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Grängesberg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Hamersley Pebble,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Hamersley Pebble,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llmeniet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Itabira Special sinter feed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Itabira Run of Mine,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Itabira Run of Mine,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Kiruna B, fijn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Kiruna pellets,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Kiruna pellets,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Malmberg 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Manoriver Ho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Menera, fijn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Mount Newman 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Migrolite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Mount Wright concentraat,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Mount Wright concentraat,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Nimba, fijn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Nimba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Pyriet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Robe River, fijn erts,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Robe River, fijn erts,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Samarco pellets,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Samarco pellets,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Sishen, stuk erts,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Sishen, stuk erts,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Sishen, fijn erts,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Sishen, fijn erts,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Svappavaara erts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Svappavaara pellets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Sydvaranger pellets,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Sydvaranger pellets,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Tazadit, fijn erts, opslag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Tazadit, fijn erts, laden en lossen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Kalkzout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Kalk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brokken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gemalen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8096" w:type="dxa"/>
            <w:gridSpan w:val="2"/>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Kalkzandsteen (fijne fractie, droog)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8096" w:type="dxa"/>
            <w:gridSpan w:val="2"/>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Kalkzandsteen granulaat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Kattenbakkorrels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vochtgehalte 0,2%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Klei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bentoniet, brokken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bentoniet, gemalen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chamotte klei, brokken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chamotte klei, gemalen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kaoline (China)klei, brokken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kaoline (China)klei,gemalen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Kolen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bruinkool, briketten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poederkolen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kolen vochtgehalte &gt; 8%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kolen vochtgehalte &lt; 8%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antraciet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Kunstmest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ammonsulfaatsalpeter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diamfosfaat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dubbelsuperfosfaat, poeder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dubbelsuperfosfaat, korrels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kalkammon-salpeter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nitraat meststof (vochtgehalte &lt; 0,2%)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nitraat meststof vermalen (vochtgehalte &lt; 0,2%)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tripelsuperfosfaat, poeder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zwavelzure ammoniak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Kyaniet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Metallisch slijpstof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vochtgehalte 0,6%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Metselpuin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Nepheline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Olivin steen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Ongebluste kalk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Peulvruchten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bonen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erwten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guarsplit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linzen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lupinezaad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paardebonen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sojabonen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sojabeanhusk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sojascreenings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wikken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Piekijzer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Puin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gebroken schoon/gemengd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Puingranulaat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Pyrietas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Polymeerprodukten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kunststofpoeder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Potas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Puimsteen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Roet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8096" w:type="dxa"/>
            <w:gridSpan w:val="2"/>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Schroot, ferrometaal met een belangrijke mate van roestvorming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Sillimaniet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Sintels, slakken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Sintermagnesiet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Soda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Suiker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Talk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gemalen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gebroken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8096" w:type="dxa"/>
            <w:gridSpan w:val="2"/>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Tapioca (zie Derivaten)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1908" w:type="dxa"/>
            <w:vMerge w:val="restart"/>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Titaan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ilmeniet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vMerge w:val="restart"/>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rutiel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vMerge w:val="restart"/>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rutielzand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rutielslakken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8096" w:type="dxa"/>
            <w:gridSpan w:val="2"/>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Toonaarde (zie Aluinaarde)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Ureum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Vanadiumslakken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Veltspaat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Vermiculiet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brokken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gemalen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Vliegas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vochtgehalte &lt; 1%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Vloeispaat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Wolastonie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Wegenzout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Zaden en aanverwante produkten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darizaad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kanariezaad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kardizaad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koolzaad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lijnzaad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maanzaad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millietzaad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mosterdzaad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negerzaad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paricumzaad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raapzaad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safflowerzaad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sesamzaad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tamarinzaad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zonnebloemzaad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Zand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fijn zand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S2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grof zand (waaronder beton-, metsel- en filterzand voor de betonmortel en betonproductenindustrie)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olivin zand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rutielzand (zie Titaan)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speelzand (grof zand, vochtgehalte 2,5%)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zilverzand (vochtgehalte 2,0%)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zilverzand (vochtgehalte 3,8%)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zirconzand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S3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Zwaarspaat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S5 </w:t>
            </w:r>
          </w:p>
        </w:tc>
      </w:tr>
      <w:tr w:rsidR="009F1BA2" w:rsidTr="00FC68FE">
        <w:tc>
          <w:tcPr>
            <w:tcW w:w="190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Zwavel </w:t>
            </w:r>
          </w:p>
        </w:tc>
        <w:tc>
          <w:tcPr>
            <w:tcW w:w="6188"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grof </w:t>
            </w:r>
          </w:p>
        </w:tc>
        <w:tc>
          <w:tcPr>
            <w:tcW w:w="1234" w:type="dxa"/>
            <w:tcBorders>
              <w:top w:val="nil"/>
              <w:left w:val="nil"/>
              <w:bottom w:val="nil"/>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S4 </w:t>
            </w:r>
          </w:p>
        </w:tc>
      </w:tr>
      <w:tr w:rsidR="009F1BA2" w:rsidTr="00FC68FE">
        <w:tc>
          <w:tcPr>
            <w:tcW w:w="1908"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ascii="Times New Roman" w:hAnsi="Times New Roman"/>
                <w:sz w:val="24"/>
              </w:rPr>
              <w:t xml:space="preserve"> </w:t>
            </w:r>
          </w:p>
        </w:tc>
        <w:tc>
          <w:tcPr>
            <w:tcW w:w="6188"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fijn </w:t>
            </w:r>
          </w:p>
        </w:tc>
        <w:tc>
          <w:tcPr>
            <w:tcW w:w="1234" w:type="dxa"/>
            <w:tcBorders>
              <w:top w:val="nil"/>
              <w:left w:val="nil"/>
              <w:bottom w:val="single" w:sz="4" w:space="0" w:color="auto"/>
              <w:right w:val="nil"/>
            </w:tcBorders>
          </w:tcPr>
          <w:p w:rsidR="009F1BA2" w:rsidRDefault="009F1BA2" w:rsidP="00FC68FE">
            <w:pPr>
              <w:widowControl w:val="0"/>
              <w:autoSpaceDE w:val="0"/>
              <w:autoSpaceDN w:val="0"/>
              <w:adjustRightInd w:val="0"/>
              <w:spacing w:line="240" w:lineRule="auto"/>
              <w:rPr>
                <w:rFonts w:cs="Arial"/>
                <w:sz w:val="16"/>
                <w:szCs w:val="16"/>
              </w:rPr>
            </w:pPr>
            <w:r>
              <w:rPr>
                <w:rFonts w:cs="Arial"/>
                <w:sz w:val="16"/>
                <w:szCs w:val="16"/>
              </w:rPr>
              <w:t xml:space="preserve">S1 </w:t>
            </w:r>
          </w:p>
        </w:tc>
      </w:tr>
    </w:tbl>
    <w:p w:rsidR="009F1BA2" w:rsidRDefault="009F1BA2" w:rsidP="009F1BA2">
      <w:pPr>
        <w:widowControl w:val="0"/>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pPr>
        <w:rPr>
          <w:rFonts w:cs="Arial"/>
        </w:rPr>
      </w:pPr>
    </w:p>
    <w:p w:rsidR="00FC57C8" w:rsidRDefault="00FC57C8">
      <w:pPr>
        <w:rPr>
          <w:rFonts w:cs="Arial"/>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bookmarkStart w:id="432" w:name="Bijlage1AR"/>
      <w:r>
        <w:rPr>
          <w:rFonts w:cs="Arial"/>
          <w:b/>
          <w:bCs/>
          <w:szCs w:val="20"/>
        </w:rPr>
        <w:t>Bijlage 1 [Treedt in werking op een nader te bepalen tijdstip]</w:t>
      </w:r>
    </w:p>
    <w:bookmarkEnd w:id="432"/>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4A0EA0B3" wp14:editId="2E37C779">
            <wp:extent cx="4667250" cy="6657975"/>
            <wp:effectExtent l="0" t="0" r="0"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665797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2CEC3BA2" wp14:editId="7DB8850C">
            <wp:extent cx="4667250" cy="688657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6886575"/>
                    </a:xfrm>
                    <a:prstGeom prst="rect">
                      <a:avLst/>
                    </a:prstGeom>
                    <a:noFill/>
                    <a:ln>
                      <a:noFill/>
                    </a:ln>
                  </pic:spPr>
                </pic:pic>
              </a:graphicData>
            </a:graphic>
          </wp:inline>
        </w:drawing>
      </w:r>
      <w:r>
        <w:rPr>
          <w:rFonts w:cs="Arial"/>
          <w:szCs w:val="20"/>
        </w:rPr>
        <w:t xml:space="preserve"> </w:t>
      </w:r>
    </w:p>
    <w:p w:rsidR="00FC57C8" w:rsidRDefault="00FC57C8" w:rsidP="00271D89">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szCs w:val="20"/>
        </w:rPr>
        <w:br/>
      </w:r>
      <w:r>
        <w:rPr>
          <w:rFonts w:cs="Arial"/>
          <w:szCs w:val="20"/>
        </w:rPr>
        <w:br/>
      </w:r>
      <w:bookmarkStart w:id="433" w:name="Bijlage2AR"/>
      <w:r>
        <w:rPr>
          <w:rFonts w:cs="Arial"/>
          <w:b/>
          <w:bCs/>
          <w:szCs w:val="20"/>
        </w:rPr>
        <w:t>Bijlage 2</w:t>
      </w:r>
      <w:bookmarkEnd w:id="433"/>
    </w:p>
    <w:p w:rsidR="00FC57C8" w:rsidRDefault="00FC57C8" w:rsidP="00271D89">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Lijst met grote oppervlaktewaterlichamen*, die met het oog op het lozen geen bijzondere bescherming behoeven per beheerder</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Hoogheemraadschap Amstel Gooi en Vecht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Abcoudermeer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Bijleveld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Bullewijk, Waver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Gaasp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Gein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Grachten en boezemwateren Amsterdam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Grote Heijcop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Heinoomsvaart, Geer, Kerkvaart 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Danne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Heulsloot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Holendrecht en Angstel (Abcoude-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Loenersloot)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Karnemelksloot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Kromme Mijdrecht en Grecht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Muidertrekvaart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Naarder Vestinggrachten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Naardertrekvaart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Nieuwe Wetering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Oude Waver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Ringvaart Waterschap Groot-Mijdrecht en Geuzensloot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Smalweesp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Weespertrekvaart</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szCs w:val="18"/>
        </w:rPr>
        <w:t>Winkel</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Hoogheemraadschap De Stichtse Rijnlanden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Bijleveld</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Caspergauwse Wetering</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Dubbele Wiericke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Enkele Wiericke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Galecopper Wetering</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Haarrijn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Hakswetering</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Gekanaliseerde Hollandse IJssel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Kromme Rijn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Kruisvaart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Leidsche Rijn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Maalvliet de Keulevaart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Maalvliet de Koekkoek</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Maalvliet de Pleyt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Maalvliet voor gemaal Bijleveld</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Maalvliet gemaal de Tol (Machine wetering de Tol)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Merwedekanaal (benoorden de Lek)</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Nieuwe Gracht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Oude Rijn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Vaartsche Rijn en Oude Gracht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cs="Arial"/>
          <w:sz w:val="18"/>
          <w:szCs w:val="18"/>
        </w:rPr>
      </w:pPr>
      <w:r w:rsidRPr="00AD2CF5">
        <w:rPr>
          <w:rFonts w:ascii="Verdana" w:hAnsi="Verdana" w:cs="Arial"/>
          <w:sz w:val="18"/>
          <w:szCs w:val="18"/>
        </w:rPr>
        <w:t>Zilveren schaats Utrecht</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i/>
          <w:iCs/>
          <w:szCs w:val="18"/>
        </w:rPr>
        <w:t>Hoogheemraadschap Hollands Noorderkwartier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Balgzandkanaal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Beemsterringvaart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Buitenhaven Schardam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Buitenhaven van Enkhuizen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Buitenlinie Gracht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Buitenwaterloop Aagtdorperpolder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Buitenwaterloop gemaal De Kampen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Buitenwaterloop gemaal De Leyen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Buitenwaterloop Groeterpolder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Buitenwaterloop van de Kostverlorenpolder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 Kolk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 Rijd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Den Oeversche 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Geul door de Zuiderhaven van Den Oever</w:t>
      </w:r>
    </w:p>
    <w:p w:rsidR="00271D89" w:rsidRPr="00BA35DF"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BA35DF">
        <w:rPr>
          <w:rFonts w:cs="Arial"/>
          <w:i w:val="0"/>
          <w:sz w:val="18"/>
          <w:szCs w:val="18"/>
        </w:rPr>
        <w:t>Egalementsloot</w:t>
      </w:r>
    </w:p>
    <w:p w:rsidR="00271D89" w:rsidRPr="00BA35DF"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BA35DF">
        <w:rPr>
          <w:rFonts w:cs="Arial"/>
          <w:i w:val="0"/>
          <w:sz w:val="18"/>
          <w:szCs w:val="18"/>
        </w:rPr>
        <w:t>Fortgracht fort Dirksz. Admiraal</w:t>
      </w:r>
    </w:p>
    <w:p w:rsidR="00271D89" w:rsidRPr="00BA35DF"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BA35DF">
        <w:rPr>
          <w:rFonts w:cs="Arial"/>
          <w:i w:val="0"/>
          <w:sz w:val="18"/>
          <w:szCs w:val="18"/>
        </w:rPr>
        <w:t>Fortgracht fort Erfprins</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Fortgracht fort Westoever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Gat van de Meer bij Akkersloot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Gouwzee en haven van Monnickendam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Groote 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melkfabriek te Lutjewinkel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van Avenhorn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van Schagen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van Uitgeest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westoever en Spoorweghaven te Den Helder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Havens van Den Helder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Helders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Hoogovenkanaal en Hoogovenhaven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Houtvaart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Industriehaven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Johan van Hasseltkanaal (oost)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Kanaal Alkmaar (Omval) – Kolhorn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Keelgracht of Fortgracht fort Oostoever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Knollendammervaart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Koopvaardersbinnenhaven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Krabbendammervaart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Kromme Gouw</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Maritieme Binnenhaven en Afsluitingskanaal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Markervaart en Kogerpolderkanaal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Molensloot of Oudevaart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Nieuwlandersingel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Noordhollandsch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Ooster Egalementsloot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Oosterhaven en Verlengde Oosterhaven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Oosterveersloot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Oudburgervaart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Oude Haven van Enkhuizen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Parallelsloot zandwinplas Dirkshorn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Purmerringvaarten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Ringvaart van de Schagerwaard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Ringvaart van de Koogpolder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Ringvaart Wijde Wormer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Scarpetten (Groot en Klein)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Scheidingsvliet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Schermerringvaart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Slootvaart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Spoorweghaven en Buyshaven te Enkhuizen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Spoorweghaven te Den Helder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Stadsgrachten ’De Schooten’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Stadswateren Nieuw Den Helder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Stinkevuil of Purmer Ee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’t Zwet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Trekvaart van Het Schouw naar Monnickendam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Uitwatering van de Broekermolen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Uitwateringskanaal Geestmerambacht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Ursemmervaart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Van Ewijcksvaart en Boezem van de Zijpe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Veersloot bij Dirkshorn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Veersloot of Schermersloot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Verbindingssloot Noordhollands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Vuile Graft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Waardkanaal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Waterloop van de Zuurvenspolder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Werkhaven Spaansen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Wester Egalementsloot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Wieringerwerfvaart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Wijzend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Zandwinplas Dirkshorn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Zeddegat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Zijkanaal D en Nauernasche 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Zijkanaal E (Noordzeekanaal)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Zuiderhaven te Oudeschild</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szCs w:val="18"/>
        </w:rPr>
        <w:t>Zwaaihaven</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i/>
          <w:iCs/>
          <w:szCs w:val="18"/>
        </w:rPr>
        <w:t>Hoogheemraadschap van Delfland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Coolhaven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Delfshavense Schie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Havengebied Delfshaven te Rotterdam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Polderwatering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Schiedamse Schie van Coolhaven tot aan Schie-Schiekanaal</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szCs w:val="18"/>
        </w:rPr>
        <w:t>Stadswateren van Schiedam</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szCs w:val="18"/>
        </w:rPr>
      </w:pPr>
      <w:r w:rsidRPr="00AD2CF5">
        <w:rPr>
          <w:rFonts w:cs="Arial"/>
          <w:i/>
          <w:iCs/>
          <w:szCs w:val="18"/>
        </w:rPr>
        <w:t>Hoogheemraadschap van Rijnland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Aarkanaal, Leidse Vaart en Drecht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Does en omliggende kanalen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Gouwe en oostelijk deel Oude Rijn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Noordelijk deel Ringvaart Haarlemmermeer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Oostelijk deel Ringvaart Haarlemmermeer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Spaarne, Mooie Nel en Liede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Trekvaart systeem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Vliet, Rijn-Schiekanaal, Oude Rijn tot uitwatering Katwijk met uitzondering van de singels in Leiden en een gedeelte van de Haarlemmertrekvaart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Westelijk deel Ringvaart Haarlemmerrmeer</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Hoogheemraadschap van Schieland en de Krimpenerwaard</w:t>
      </w:r>
    </w:p>
    <w:p w:rsidR="00271D89" w:rsidRPr="00AD2CF5" w:rsidRDefault="00271D89" w:rsidP="00271D89">
      <w:pPr>
        <w:shd w:val="clear" w:color="auto" w:fill="D9D9D9" w:themeFill="background1" w:themeFillShade="D9"/>
        <w:rPr>
          <w:rFonts w:ascii="Verdana" w:hAnsi="Verdana" w:cs="Arial"/>
          <w:sz w:val="18"/>
          <w:szCs w:val="18"/>
        </w:rPr>
      </w:pPr>
      <w:r w:rsidRPr="00AD2CF5">
        <w:rPr>
          <w:rFonts w:ascii="Verdana" w:hAnsi="Verdana" w:cs="Arial"/>
          <w:sz w:val="18"/>
          <w:szCs w:val="18"/>
        </w:rPr>
        <w:t>Noorderkanaal, Rotte, Boezemsingel</w:t>
      </w:r>
    </w:p>
    <w:p w:rsidR="00271D89" w:rsidRPr="00AD2CF5" w:rsidRDefault="00271D89" w:rsidP="00271D89">
      <w:pPr>
        <w:shd w:val="clear" w:color="auto" w:fill="D9D9D9" w:themeFill="background1" w:themeFillShade="D9"/>
        <w:rPr>
          <w:rFonts w:ascii="Verdana" w:hAnsi="Verdana" w:cs="Arial"/>
          <w:sz w:val="18"/>
          <w:szCs w:val="18"/>
        </w:rPr>
      </w:pPr>
      <w:r w:rsidRPr="00AD2CF5">
        <w:rPr>
          <w:rFonts w:ascii="Verdana" w:hAnsi="Verdana" w:cs="Arial"/>
          <w:sz w:val="18"/>
          <w:szCs w:val="18"/>
        </w:rPr>
        <w:t>Ringvaart ZPP, Hennipsloot</w:t>
      </w:r>
    </w:p>
    <w:p w:rsidR="00271D89" w:rsidRPr="00AD2CF5" w:rsidRDefault="00271D89" w:rsidP="00271D89">
      <w:pPr>
        <w:shd w:val="clear" w:color="auto" w:fill="D9D9D9" w:themeFill="background1" w:themeFillShade="D9"/>
        <w:rPr>
          <w:rFonts w:ascii="Verdana" w:hAnsi="Verdana" w:cs="Arial"/>
          <w:sz w:val="18"/>
          <w:szCs w:val="18"/>
        </w:rPr>
      </w:pPr>
      <w:r w:rsidRPr="00AD2CF5">
        <w:rPr>
          <w:rFonts w:ascii="Verdana" w:hAnsi="Verdana" w:cs="Arial"/>
          <w:sz w:val="18"/>
          <w:szCs w:val="18"/>
        </w:rPr>
        <w:t>Vaart Bleiswijk</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Aa en Maas</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Aa benedenstrooms Veghel tot Den Bosch</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Aa door stedelijk gebied Veghel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Aa van Gemert tot Veghel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Dieze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Drongelens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Eindhovens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Verbindingskanaal in het Bossche Veld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Gekanaliseerde Dieze, Zuid-Willemsvaart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Noord of Burgemeester van Veldhuizenhaven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Hertogswetering, Grave tot Ossermeer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Hoefgraaf</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Industriehaven te Helmond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Industriehavens ’s-Hertogenbosch</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Koningsvliet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Kraaijenbergse Plassen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Ossermeer tot Gewande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Oude Zuid-Willemsvaart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Rietveldenhaven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Stads-Aa</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Stadsdommel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Teeffelensche Wetering</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szCs w:val="18"/>
        </w:rPr>
        <w:t>Traverse door Helmond</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Brabantse Delta</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Aa of Weerijs</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Bovenmark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 Baak (onderdeel Kruislandse Kreken)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 Beek (onderdeel Kruislandse Kreken)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Dintel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Donge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Gat van den Ham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Roosendaal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Kerkvaart en Capelsche 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Markkanaal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Mark-Vliet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Mark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Oude Leij benedenstrooms van de kruising met de N282 (Oude Rijksweg)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Oude Maasje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sz w:val="18"/>
          <w:szCs w:val="18"/>
        </w:rPr>
      </w:pPr>
      <w:r w:rsidRPr="00AD2CF5">
        <w:rPr>
          <w:rFonts w:cs="Arial"/>
          <w:i w:val="0"/>
          <w:sz w:val="18"/>
          <w:szCs w:val="18"/>
        </w:rPr>
        <w:t>Roode vaart ten noorden van Zevenbergen.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Singels Breda</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Steenbergse 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Steenbergse Vliet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Vloedspui en Haven van Hooge Zwaluwe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Waalwijkse 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Zuiderafwateringskanaal</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De Dommel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Afwateringskanaal Dommel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Beatrixkanaal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Dommel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Eindhovens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Essche Stroom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Groote Aa</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Nieuwe Leij</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Voortse Stroom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Wilhelminakanaal (Aa en Maas tot Brabantse Delta)</w:t>
      </w:r>
    </w:p>
    <w:p w:rsidR="00271D89" w:rsidRPr="00AD2CF5" w:rsidRDefault="00271D89" w:rsidP="00271D89">
      <w:pPr>
        <w:shd w:val="clear" w:color="auto" w:fill="D9D9D9" w:themeFill="background1" w:themeFillShade="D9"/>
        <w:rPr>
          <w:rFonts w:ascii="Verdana" w:hAnsi="Verdana" w:cs="Arial"/>
          <w:sz w:val="18"/>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Groot Salland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Ganzendiep, Goot en Scheepvaartgat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Havens Deventer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Stadsgrachten en havens te Zwolle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Vecht, vanaf stuw Vechterweerd tot het Zwarte Water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Venerietekanaal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Hollandse Delta</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Boezemvliet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Devel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van Brielle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te Spijkenisse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van Strijen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Havens van Middelharnis</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Jachthaven van Zwartewaal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Kanaal door Voorne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Koopvaardijhaven te Hellevoetsluit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Scheepvaart-/Voedingskanaal</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szCs w:val="18"/>
        </w:rPr>
        <w:t>Zuiderdiep</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b/>
          <w:i/>
          <w:iCs/>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Hunze en Aa’s</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AG Wildervanckkanaal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Alteveerkanaal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B.L. Tijdenskanaal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Bourtangekanaal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De 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Dreefleiding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Eemskanaal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Havenkanaal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Kanaal Veendam - Musselkanaal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Muntendammerdiep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Mussel Aa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Musselkanaal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Noord Willemskanaal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Oosterdiep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Oosterhornhaven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Oosterhornkanaal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Pekel Aa</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Pekelerhoofddiep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Rensel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Ruiten Aa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Scholtenskanaal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Stadskanaal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Ter Apelkanaal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Termunterzijldiep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Westerwoldse Aa van Klein Ulsda tot en met Nieuw Statenzijl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sz w:val="18"/>
          <w:szCs w:val="18"/>
        </w:rPr>
      </w:pPr>
      <w:r w:rsidRPr="00AD2CF5">
        <w:rPr>
          <w:rFonts w:cs="Arial"/>
          <w:i w:val="0"/>
          <w:sz w:val="18"/>
          <w:szCs w:val="18"/>
        </w:rPr>
        <w:t>Winschoterdiep</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Noorderzijlvest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Aduarderdiep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Bierumermaar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Boterdiep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Damsterdiep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Delthe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Dwarsdiep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Eendrachtskanaal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Eenumermaar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Enumatilster Matsloot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Gave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Garsthuistermaar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Godlinzermaar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Gravelandsewijk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Groote Tjariet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Groeve-Noord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Groote 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Groote Heekt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Grote Masloot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Hoendiep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Hoerediep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Hoornsevaart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Houwerzijlstervaart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Hunsingokanaal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Jonkersvaart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Kanaal Baflo</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Klievemaar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Kloosterlagemaar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Kolonievaart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Kommerzijlsterdiet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Kommerzijlsterrijte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Koningsdiep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Krewerdermaar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Kromme Raken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Langs- of Wolddiep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Leeksterhoofddiep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Leermenstermaar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Leimaar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Lettelberterdiep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Lieversediepje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Lindt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LopsterWijmers</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Losdorpstermaar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Lustigemaar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Mensingeweer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Mensingeweersterloopdiep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Munnikesloot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Nieuwe 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Niezijlsterdiep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Oldehoofsch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Omgelegde Eelderdiep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Oostervoortsediep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Oude Ae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Oude Wijk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Oude Wijmers</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Peizerdiep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Peizer Schipsloot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Pieterbuurstermaar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Poeldiep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Rasquerdermaar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Reitdiep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Rodenerwolder Schipsloot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Rodervaart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Sauwerdermaar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Spijkstermaar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Stitswerdermaar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Uitwierdermaar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Van Starkenborghkanaal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Warffumermaar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Warfhuisterloopdiep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Westerwijtwerdermaar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Westeremdermaar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Wetsingermaar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Winsumerdiep</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Veenhuizerkanaal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Verbinding-Heekt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Vismaar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Zesde wijk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Zijldijkstermaar</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Zuidwending</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Reest en Wieden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Beilervaart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Drentsche Hoofdvaart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van Vollenhove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Hoogeveensche Vaart, Verlengde Hoogeveensche 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Linthorst Homankanaal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Mallegat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Meppelerdiep</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szCs w:val="18"/>
        </w:rPr>
        <w:t>Oranjekanaal</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Cs/>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Regge en Dinkel</w:t>
      </w:r>
    </w:p>
    <w:p w:rsidR="00271D89" w:rsidRPr="00AD2CF5" w:rsidRDefault="00271D89" w:rsidP="00271D89">
      <w:pPr>
        <w:shd w:val="clear" w:color="auto" w:fill="D9D9D9" w:themeFill="background1" w:themeFillShade="D9"/>
        <w:rPr>
          <w:rFonts w:ascii="Verdana" w:hAnsi="Verdana" w:cs="Arial"/>
          <w:sz w:val="18"/>
          <w:szCs w:val="18"/>
        </w:rPr>
      </w:pPr>
      <w:r w:rsidRPr="00AD2CF5">
        <w:rPr>
          <w:rFonts w:ascii="Verdana" w:hAnsi="Verdana" w:cs="Arial"/>
          <w:sz w:val="18"/>
          <w:szCs w:val="18"/>
        </w:rPr>
        <w:t>Linderbeek</w:t>
      </w:r>
    </w:p>
    <w:p w:rsidR="00271D89" w:rsidRPr="00AD2CF5" w:rsidRDefault="00271D89" w:rsidP="00271D89">
      <w:pPr>
        <w:shd w:val="clear" w:color="auto" w:fill="D9D9D9" w:themeFill="background1" w:themeFillShade="D9"/>
        <w:rPr>
          <w:rFonts w:ascii="Verdana" w:hAnsi="Verdana" w:cs="Arial"/>
          <w:sz w:val="18"/>
          <w:szCs w:val="18"/>
        </w:rPr>
      </w:pPr>
      <w:r w:rsidRPr="00AD2CF5">
        <w:rPr>
          <w:rFonts w:ascii="Verdana" w:hAnsi="Verdana" w:cs="Arial"/>
          <w:sz w:val="18"/>
          <w:szCs w:val="18"/>
        </w:rPr>
        <w:t>Lateraalkanaal</w:t>
      </w:r>
    </w:p>
    <w:p w:rsidR="00271D89" w:rsidRPr="00AD2CF5" w:rsidRDefault="00271D89" w:rsidP="00271D89">
      <w:pPr>
        <w:shd w:val="clear" w:color="auto" w:fill="D9D9D9" w:themeFill="background1" w:themeFillShade="D9"/>
        <w:rPr>
          <w:rFonts w:ascii="Verdana" w:hAnsi="Verdana" w:cs="Arial"/>
          <w:sz w:val="18"/>
          <w:szCs w:val="18"/>
        </w:rPr>
      </w:pPr>
      <w:r w:rsidRPr="00AD2CF5">
        <w:rPr>
          <w:rFonts w:ascii="Verdana" w:hAnsi="Verdana" w:cs="Arial"/>
          <w:sz w:val="18"/>
          <w:szCs w:val="18"/>
        </w:rPr>
        <w:t>Bornsche Beek</w:t>
      </w:r>
    </w:p>
    <w:p w:rsidR="00271D89" w:rsidRPr="00AD2CF5" w:rsidRDefault="00271D89" w:rsidP="00271D89">
      <w:pPr>
        <w:shd w:val="clear" w:color="auto" w:fill="D9D9D9" w:themeFill="background1" w:themeFillShade="D9"/>
        <w:rPr>
          <w:rFonts w:ascii="Verdana" w:hAnsi="Verdana" w:cs="Arial"/>
          <w:sz w:val="18"/>
          <w:szCs w:val="18"/>
        </w:rPr>
      </w:pPr>
      <w:r w:rsidRPr="00AD2CF5">
        <w:rPr>
          <w:rFonts w:ascii="Verdana" w:hAnsi="Verdana" w:cs="Arial"/>
          <w:sz w:val="18"/>
          <w:szCs w:val="18"/>
        </w:rPr>
        <w:t>Elsbeek</w:t>
      </w:r>
    </w:p>
    <w:p w:rsidR="00271D89" w:rsidRPr="00AD2CF5" w:rsidRDefault="00271D89" w:rsidP="00271D89">
      <w:pPr>
        <w:shd w:val="clear" w:color="auto" w:fill="D9D9D9" w:themeFill="background1" w:themeFillShade="D9"/>
        <w:rPr>
          <w:rFonts w:ascii="Verdana" w:hAnsi="Verdana" w:cs="Arial"/>
          <w:sz w:val="18"/>
          <w:szCs w:val="18"/>
        </w:rPr>
      </w:pPr>
      <w:r w:rsidRPr="00AD2CF5">
        <w:rPr>
          <w:rFonts w:ascii="Verdana" w:hAnsi="Verdana" w:cs="Arial"/>
          <w:sz w:val="18"/>
          <w:szCs w:val="18"/>
        </w:rPr>
        <w:t>Kanaal Almelo-De Haandrik</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i/>
          <w:iCs/>
          <w:szCs w:val="18"/>
        </w:rPr>
        <w:t>Waterschap Rijn en IJssel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Aastrang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Barchemse Veengoot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Bolksbeek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Didamse Wetering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Dommerbeek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Eefse Beek en Molenbeek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Elsbeek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Grote Waterleiding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Keizersbeek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Meibeek / Nieuwe Waterleiding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Oosterwijkse Vloed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Oude IJssel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Oude Schipbeek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Stroomkanaal Hackfort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Vierakkerselaak</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szCs w:val="18"/>
        </w:rPr>
        <w:t>Wehlse Beek</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szCs w:val="18"/>
        </w:rPr>
        <w:t>Wijde Wetering en Zevenaarse Wetering</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szCs w:val="18"/>
        </w:rPr>
        <w:t>Zuidelijk Afwateringskanaal</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Rivierenland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Linge (mond Kanaal van Steenenhoek tot Boven Merwede)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Merwede kanaal</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szCs w:val="18"/>
        </w:rPr>
      </w:pPr>
      <w:r w:rsidRPr="00AD2CF5">
        <w:rPr>
          <w:rFonts w:cs="Arial"/>
          <w:szCs w:val="18"/>
        </w:rPr>
        <w:t>Haven te Vianen</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Scheldestromen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Havens van Middelburg, ten zuid-oosten van het Kanaal door Walcheren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Kanaal door Walcheren vanaf Vlissingen tot Veere, met uitzondering van de bebouwde kom van Middelburg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Massagoedhaven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Noorderkanaalhaven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Toeleidingskanaal Oostsluis/Oostbuitenhaven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Zevenaarhaven</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Vallei en Veluwe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Arkervaart en haven van Nijkerk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 Grote Wetering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 Oude IJssel bij Zutphen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 Veluwse Wetering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De Waa in Hattem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Eem en havens van Amersfoort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 Harderwijk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Havenkanaal Elburg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Het Apeldoorns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Noordermerkkanaal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Stadsgracht Elburg</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Toegangsgeul en Lorentzhaven te Harderwijk</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Toevoerkanaal en Uitvliet (bij Terwolde)</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Uitvliet Gelderse gracht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Uitvliet Polder Hattem</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Valleikanaal</w:t>
      </w: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Velt en Vecht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Binnengracht (westelijk deel)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Bladderswijk (Oranjekanaal) en Bargermeerkanaal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Coevorden-Vechtkanaal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Kanaal Almelo-De Haandrik (Overijsselsch Kanaal)</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Reest en Wieden Oost, regionale kanalen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Velt en Vecht, kanalen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Verbindingskanaal en Buitengracht te Coevorden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Waterschap Zuiderzeeland</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Creilervaart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Espelervaart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Hoge Dwarsvaart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Hoge 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Kampersluisvaart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Kuindervaart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Lage Dwarsvaart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Lage 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Larservaart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Leemvaart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Lemstervaart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Luttelgeestervaart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Marknesservaart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Nagelervaart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Oostervaart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Ruttensevaart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Sluisvaart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Swiftervaart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Urkervaart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Zuidervaart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r w:rsidRPr="00AD2CF5">
        <w:rPr>
          <w:rFonts w:cs="Arial"/>
          <w:i w:val="0"/>
          <w:sz w:val="18"/>
          <w:szCs w:val="18"/>
        </w:rPr>
        <w:t>Zwolse Vaart</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p>
    <w:p w:rsidR="00271D89" w:rsidRPr="00AD2CF5" w:rsidRDefault="00271D89" w:rsidP="00271D89">
      <w:pPr>
        <w:pStyle w:val="Lijstopsomteken2"/>
        <w:widowControl w:val="0"/>
        <w:shd w:val="clear" w:color="auto" w:fill="D9D9D9" w:themeFill="background1" w:themeFillShade="D9"/>
        <w:autoSpaceDE w:val="0"/>
        <w:autoSpaceDN w:val="0"/>
        <w:adjustRightInd w:val="0"/>
        <w:spacing w:after="240" w:line="276" w:lineRule="auto"/>
        <w:rPr>
          <w:rFonts w:cs="Arial"/>
          <w:i/>
          <w:iCs/>
          <w:szCs w:val="18"/>
        </w:rPr>
      </w:pPr>
      <w:r w:rsidRPr="00AD2CF5">
        <w:rPr>
          <w:rFonts w:cs="Arial"/>
          <w:i/>
          <w:iCs/>
          <w:szCs w:val="18"/>
        </w:rPr>
        <w:t>Wetterskip Fryslan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1</w:t>
      </w:r>
      <w:r w:rsidRPr="00AD2CF5">
        <w:rPr>
          <w:rFonts w:ascii="Verdana" w:hAnsi="Verdana"/>
          <w:sz w:val="18"/>
          <w:szCs w:val="18"/>
          <w:vertAlign w:val="superscript"/>
        </w:rPr>
        <w:t>e</w:t>
      </w:r>
      <w:r w:rsidRPr="00AD2CF5">
        <w:rPr>
          <w:rFonts w:ascii="Verdana" w:hAnsi="Verdana"/>
          <w:sz w:val="18"/>
          <w:szCs w:val="18"/>
        </w:rPr>
        <w:t xml:space="preserve"> Industriehaven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2</w:t>
      </w:r>
      <w:r w:rsidRPr="00AD2CF5">
        <w:rPr>
          <w:rFonts w:ascii="Verdana" w:hAnsi="Verdana"/>
          <w:sz w:val="18"/>
          <w:szCs w:val="18"/>
          <w:vertAlign w:val="superscript"/>
        </w:rPr>
        <w:t>e</w:t>
      </w:r>
      <w:r w:rsidRPr="00AD2CF5">
        <w:rPr>
          <w:rFonts w:ascii="Verdana" w:hAnsi="Verdana"/>
          <w:sz w:val="18"/>
          <w:szCs w:val="18"/>
        </w:rPr>
        <w:t xml:space="preserve"> Industriehaven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Afvoerkanaal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Akkrumerrak</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Bakhuizervaart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Biggemar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Blauwhuisteropvaart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Blijaervaart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Boksleat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Boksumer Zool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Bolswardertrekvaart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Bolswardervaart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Bonkesloot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Bosksleat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Brandeburevaart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Brandemeer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Broere 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Buitendijksche Hoofdvaart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Burmaniasloot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Cornjumervaart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Baai</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Bliken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Boarn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Drait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Ee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Geeuw</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Greuns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Grote Potten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Haven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Lauwers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Lits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Luts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Potmarge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Rijd</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Swadde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Tijnje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Zwemmer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De Zwette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Diepe Dolte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Diepsloot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Dijgracht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Dijkvaart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Doezumertocht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Dokkumer Ee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Dokkumerdiep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Dokkumergrootdiep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Dolte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Drachtstervaart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Drogge Dolte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Dwarsmeer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Dwarsried</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Exmorravaartje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Fammegat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Fammensrakken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Foudgumervaart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Franekervaart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Gaastmeer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Geeuw</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Goengahustersleat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Gooyumervaart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Graft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Greft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Grietmansrak</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Groote Brekken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Groote Gaastmeer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Groote Zijlroede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Grote Sluis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Haan’s Krite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Haiemer Dolte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Haklandshop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Hallumertrekvaart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Harlingervaart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Hartwerdervaart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Haven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Heafeart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Heegervar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Heerengracht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Heerensloot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Heerenwegstervaart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Heidenschapstervaart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Heloma of Jonkersvaart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Hennaarderopvaart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Henshuister Deel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Het Diep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Het Diepe Gat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Het Ges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Het Hop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Het Nieuwe 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Het Ouddeel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Het Oudhof</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Het Var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Het Vliet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Hofmeer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Hollegracht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Holwerdervaart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Horsae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Horseweg</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Houkesloot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Houtvaart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Idskenhuistervaart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Idzegaster Poel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Indijk</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It Swin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Jaanvaart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Jachthavenkanaal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Janssleat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Jelsumervaart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Jelsumervaart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Jeltesloot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Johan Friso 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Jongebuurstersleat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Jorwerdervaart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Joustervaart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Jutrijpervaart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Kalkhaven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Keizersgracht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Kerksloot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Kipsloot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Kleine Zijlroede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Koevordermeer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Kollumerkanaal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Koude Maag</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Koudumervaart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Kromme Grou</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Kromme Ie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Kromme Knjilles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Kromme Sleat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Kroonduikersvaart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Kruiswater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Kuikhornstervaart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Langdeel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Langstaarte Poel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Leijenpoel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Leijensloot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Lemsterrijn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Lijkvaart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Linde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Lollumervaart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Louwe Poel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Lutkewierumer-opvaart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Mantgumervaart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Marssumervaart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Meinesleat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Melkvaart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Moddergat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Modderige Bol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Molendraai</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Murk</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Nauwe Galle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Nauwe Geeuw</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Nauwe Greuns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Nauwe Larts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Nauwe Wijmerts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Neare Golle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Nieuwe Diep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Nieuwe Drait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Nieuwe Dwarskanaal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Nieuwe Heerenveense 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Nieuwe 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Nieuwe 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Nieuwe Zwemmer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Nije Sansleat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Nijegaastervaart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Nijhuizemervaart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Nonnegat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Noordbroekstervaart of 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Noorder Ee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Noordergracht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Noordwoldervaart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Oosterbrugsloot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Oosterse Hei</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Oosterwierumeroudvaart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Oud Dokkumerdiep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Ouddiep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Oude Drait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Oude Geeuw</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Oude Harlingervaart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Oude Meer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Oude Ried</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Oude 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Oude weg</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Peanster Ie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Pier Cristiaansloot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Pikmeer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Pingjumervaart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Piter Jehannes gat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Polsleat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Potmarge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Prinsengracht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Prinsenwijk</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Prinses Margrietkanaal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Rien Sluis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Rijperkerkstervaart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Rijstervaart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Rjochte Grou</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Rogsloot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Rozengracht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Sansleat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Scharsterrijn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Scheensloot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Schipsloot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Schoterlandse Compagnonsvaart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Sexbierumervaart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Singel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Sitebuorster Ie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Slachtegat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Sminkevaart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St. Jacobsvaart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Steggerdavaart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Stienservaart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Stroobossertrekvaart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Stroomkanaal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Terhernster Djip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Terhernster Mar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Terkaplesterpoelen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Tersoalster Zijlroede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Tienesloot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Tietjerkstervaart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Tjonger of Kuinder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Trekvaart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Tsjaerderfeart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Twizelerfeart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Tzummarumervaart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Ulekrite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Vaart van St. Nicolaasga</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Valomstervaart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Van Harinxmakanaal, Lange Meer</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van Panhuijskanaal</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Vlakke Brekken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Vliet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Wartenster Wiid</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Weidumervaart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Welle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Welsrijpervaart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Wergeasterfeart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Westerdijksvaart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Westerse Hei</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Wielhals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Wijddraai</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Wijde Ee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Wijde 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Wijde Wijmerts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Wijmerts</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Wijtgaardstervaart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Wirdumervaart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Witakkersvaart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Witmarsumervaart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Workumertrekvaart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Woudmansdiep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Woudsenderrakken</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Woudvaart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Wynservaart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Zandrak</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Zandvaart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Zijldiep</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Zijlroede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Zijlsterrijd</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Zijltjessloot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Zoolsloot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Zuidensstervaart</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Zuider Ee</w:t>
      </w:r>
    </w:p>
    <w:p w:rsidR="00271D89" w:rsidRPr="00AD2CF5" w:rsidRDefault="00271D89" w:rsidP="00271D89">
      <w:pPr>
        <w:pStyle w:val="al"/>
        <w:shd w:val="clear" w:color="auto" w:fill="D9D9D9" w:themeFill="background1" w:themeFillShade="D9"/>
        <w:spacing w:before="0" w:beforeAutospacing="0" w:after="0" w:afterAutospacing="0" w:line="276" w:lineRule="auto"/>
        <w:rPr>
          <w:rFonts w:ascii="Verdana" w:hAnsi="Verdana"/>
          <w:sz w:val="18"/>
          <w:szCs w:val="18"/>
        </w:rPr>
      </w:pPr>
      <w:r w:rsidRPr="00AD2CF5">
        <w:rPr>
          <w:rFonts w:ascii="Verdana" w:hAnsi="Verdana"/>
          <w:sz w:val="18"/>
          <w:szCs w:val="18"/>
        </w:rPr>
        <w:t>Zwettehaven</w:t>
      </w: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76" w:lineRule="auto"/>
        <w:rPr>
          <w:rFonts w:cs="Arial"/>
          <w:i w:val="0"/>
          <w:sz w:val="18"/>
          <w:szCs w:val="18"/>
        </w:rPr>
      </w:pP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40" w:lineRule="auto"/>
        <w:rPr>
          <w:rFonts w:cs="Arial"/>
          <w:i w:val="0"/>
          <w:sz w:val="18"/>
          <w:szCs w:val="18"/>
        </w:rPr>
      </w:pP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40" w:lineRule="auto"/>
        <w:rPr>
          <w:rFonts w:cs="Arial"/>
          <w:sz w:val="18"/>
          <w:szCs w:val="18"/>
        </w:rPr>
      </w:pPr>
    </w:p>
    <w:tbl>
      <w:tblPr>
        <w:tblW w:w="9330" w:type="dxa"/>
        <w:tblInd w:w="70" w:type="dxa"/>
        <w:tblLayout w:type="fixed"/>
        <w:tblCellMar>
          <w:top w:w="70" w:type="dxa"/>
          <w:left w:w="70" w:type="dxa"/>
          <w:bottom w:w="70" w:type="dxa"/>
          <w:right w:w="70" w:type="dxa"/>
        </w:tblCellMar>
        <w:tblLook w:val="0000" w:firstRow="0" w:lastRow="0" w:firstColumn="0" w:lastColumn="0" w:noHBand="0" w:noVBand="0"/>
      </w:tblPr>
      <w:tblGrid>
        <w:gridCol w:w="5007"/>
        <w:gridCol w:w="4323"/>
      </w:tblGrid>
      <w:tr w:rsidR="00271D89" w:rsidRPr="00AD2CF5" w:rsidTr="00C606E7">
        <w:tc>
          <w:tcPr>
            <w:tcW w:w="9330" w:type="dxa"/>
            <w:gridSpan w:val="2"/>
            <w:tcBorders>
              <w:top w:val="single" w:sz="4" w:space="0" w:color="auto"/>
              <w:left w:val="nil"/>
              <w:bottom w:val="single" w:sz="4" w:space="0" w:color="auto"/>
              <w:right w:val="nil"/>
            </w:tcBorders>
          </w:tcPr>
          <w:p w:rsidR="00271D89" w:rsidRPr="00AD2CF5" w:rsidRDefault="00271D89" w:rsidP="00271D89">
            <w:pPr>
              <w:pStyle w:val="Huisstijl-Kopie"/>
              <w:widowControl w:val="0"/>
              <w:shd w:val="clear" w:color="auto" w:fill="D9D9D9" w:themeFill="background1" w:themeFillShade="D9"/>
              <w:autoSpaceDE w:val="0"/>
              <w:autoSpaceDN w:val="0"/>
              <w:adjustRightInd w:val="0"/>
              <w:spacing w:after="240" w:line="240" w:lineRule="auto"/>
              <w:rPr>
                <w:rFonts w:cs="Arial"/>
                <w:sz w:val="18"/>
                <w:szCs w:val="18"/>
              </w:rPr>
            </w:pPr>
            <w:r w:rsidRPr="00AD2CF5">
              <w:rPr>
                <w:rFonts w:cs="Arial"/>
                <w:sz w:val="18"/>
                <w:szCs w:val="18"/>
              </w:rPr>
              <w:t>Rijkswaterstaat**</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after="240" w:line="240" w:lineRule="auto"/>
              <w:rPr>
                <w:rFonts w:cs="Arial"/>
              </w:rPr>
            </w:pPr>
            <w:r w:rsidRPr="00AD2CF5">
              <w:rPr>
                <w:rFonts w:cs="Arial"/>
              </w:rPr>
              <w:t>Naam waterlichaam KRW</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after="240" w:line="240" w:lineRule="auto"/>
              <w:rPr>
                <w:rFonts w:cs="Arial"/>
              </w:rPr>
            </w:pPr>
            <w:r w:rsidRPr="00AD2CF5">
              <w:rPr>
                <w:rFonts w:cs="Arial"/>
              </w:rPr>
              <w:t>Nr. Waterlichaam KRW</w:t>
            </w:r>
          </w:p>
        </w:tc>
      </w:tr>
      <w:tr w:rsidR="00271D89" w:rsidRPr="00AD2CF5" w:rsidTr="00C606E7">
        <w:tc>
          <w:tcPr>
            <w:tcW w:w="5007" w:type="dxa"/>
            <w:tcBorders>
              <w:top w:val="single" w:sz="4" w:space="0" w:color="auto"/>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Waddenzee</w:t>
            </w:r>
          </w:p>
        </w:tc>
        <w:tc>
          <w:tcPr>
            <w:tcW w:w="4323" w:type="dxa"/>
            <w:tcBorders>
              <w:top w:val="single" w:sz="4" w:space="0" w:color="auto"/>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NL81_1</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Merwedekanaal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NL14 7</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Hollandsche IJssel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NL14 10</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Waddenzee</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NL81 1</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Eems-Dollard</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NL81_2</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Eems-Dollard Kust</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NL81_3</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Waddenzee vastelandskust</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 81 10</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ARK Betuwepand</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NL86_5</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Amsterdam-Rijnkanaal Noordpand</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NL86_6</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Noordzeekanaal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NL87_1</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Antwerps kanaal pand</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NL89_antwknpd</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Grevelingenmeer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NL89_grevlemr</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Kanaal Zuid Beveland</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NL89_kandzbvld</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Kanaal Terneuzen Gent</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NL89_kantnzgt</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Oosterschelde</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NL89_oostsde</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Bathse Spuikanaal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NL89_spuiknl</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Veerse meer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NL89_veersmr</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Volkerak</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NL89_volkerak</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Westerschelde</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NL89_westsde</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Zoommeer/Eendracht</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NL89_zoommedt</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Zwin</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NL89_zwin</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Midden Limburgse en Noord Brabantse kanalen</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NL90_1</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Bedijkte Maas</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NL91BM</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Bovenmaas</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NL91BOM</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Grensmaas</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NL91GM</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Julianakanaal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NL91JK</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Maas-Waalkanaal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NL91MWK</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Zandmaas</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NL91ZM</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IJsselmeer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NL92_IJSSELMEER</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Ketelmeer + Vossemeer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NL92_KETELMEER_VOSSEMEER</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Markermeer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NL92_MARKERMEER</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Randmeren-Oost</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NL92_RANDMEREN_OOST</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Randmeren-Zuid</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NL92_RANDMEREN_ZUID</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Zwartemeer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NL92_ZWARTEMEER</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Nederrijn/Lek</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NL93_7</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Waal, Bovenrijn</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NL93_8</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IJssel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NL93_IJSSEL</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Twentekanalen</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NL93_TWENTHEKANALEN</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Haringvliet oost, Hollandsch Diep</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NL94_1</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Brabantse Biesbosch, Amer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NL94_10</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Haringvliet west</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NL94_11</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Dortsche Biesbosch, Nieuwe Merwede</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NL94_2</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Beneden Merwede, Boven Merwede, Sliedrechtse Biesbosch, Afgedamde Maas Noord</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NL94_3</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Oude Maas (bovenstrooms Hartelkanaal), Spui, Noord, Dordtsche Kil, Lek</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NL94_4</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Benedenmaas,</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NL94_5</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Bergsche Maas</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NL94_6</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Nieuwe Maas, Oude Maas (benedenstrooms Hartelkanaal)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NL94_8</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Nieuwe Waterweg, Hartel-, Caland-, Beerkanaal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NL94_9</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Zeeuwse kust (kustwaterdeel)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NL95_1A</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Zeeuwse kust (territoriaal waterdeel)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NL95_1B</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Noordelijke Deltakust (kustwaterdeel)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NL95_2A</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Noordelijke Deltakust (territoriaal waterdeel)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NL95_2B</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Hollandse kust (kustwater)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NL95_3A</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Hollandse kust (territoriaal water)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NL95_3B</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Waddenkust (kustwater)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NL95_4A</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Waddenkust (territoriaal water)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NL95_4B</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Eems kust (territoriaal waterdeel)</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NL95_5B</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Meppelerdiep</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NL99_MEPPELERDIEP</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Noordervaart (waterlichaamdeel Peelkanalen)</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 99 PLK 01 4H</w:t>
            </w:r>
          </w:p>
        </w:tc>
      </w:tr>
      <w:tr w:rsidR="00271D89" w:rsidRPr="00AD2CF5" w:rsidTr="00C606E7">
        <w:tc>
          <w:tcPr>
            <w:tcW w:w="5007"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Vecht – Zwarte Water</w:t>
            </w:r>
          </w:p>
        </w:tc>
        <w:tc>
          <w:tcPr>
            <w:tcW w:w="4323" w:type="dxa"/>
            <w:tcBorders>
              <w:top w:val="nil"/>
              <w:left w:val="nil"/>
              <w:bottom w:val="single" w:sz="4" w:space="0" w:color="auto"/>
              <w:right w:val="nil"/>
            </w:tcBorders>
          </w:tcPr>
          <w:p w:rsidR="00271D89" w:rsidRPr="00AD2CF5" w:rsidRDefault="00271D89" w:rsidP="00271D89">
            <w:pPr>
              <w:pStyle w:val="Huisstijl-NAW"/>
              <w:widowControl w:val="0"/>
              <w:shd w:val="clear" w:color="auto" w:fill="D9D9D9" w:themeFill="background1" w:themeFillShade="D9"/>
              <w:autoSpaceDE w:val="0"/>
              <w:autoSpaceDN w:val="0"/>
              <w:spacing w:line="240" w:lineRule="auto"/>
              <w:rPr>
                <w:rFonts w:cs="Arial"/>
              </w:rPr>
            </w:pPr>
            <w:r w:rsidRPr="00AD2CF5">
              <w:rPr>
                <w:rFonts w:cs="Arial"/>
              </w:rPr>
              <w:t>NL99_VechtZwarteWater</w:t>
            </w:r>
          </w:p>
        </w:tc>
      </w:tr>
    </w:tbl>
    <w:p w:rsidR="00271D89" w:rsidRPr="00AD2CF5" w:rsidRDefault="00271D89" w:rsidP="00271D89">
      <w:pPr>
        <w:widowControl w:val="0"/>
        <w:shd w:val="clear" w:color="auto" w:fill="D9D9D9" w:themeFill="background1" w:themeFillShade="D9"/>
        <w:autoSpaceDE w:val="0"/>
        <w:autoSpaceDN w:val="0"/>
        <w:adjustRightInd w:val="0"/>
        <w:spacing w:line="240" w:lineRule="auto"/>
        <w:rPr>
          <w:rFonts w:ascii="Verdana" w:hAnsi="Verdana"/>
          <w:sz w:val="18"/>
          <w:szCs w:val="18"/>
        </w:rPr>
      </w:pP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40" w:lineRule="auto"/>
        <w:rPr>
          <w:rFonts w:cs="Arial"/>
          <w:sz w:val="18"/>
          <w:szCs w:val="18"/>
        </w:rPr>
      </w:pPr>
    </w:p>
    <w:p w:rsidR="00271D89" w:rsidRPr="00AD2CF5" w:rsidRDefault="00271D89" w:rsidP="00271D89">
      <w:pPr>
        <w:pStyle w:val="Huisstijl-Voorwaarden"/>
        <w:widowControl w:val="0"/>
        <w:shd w:val="clear" w:color="auto" w:fill="D9D9D9" w:themeFill="background1" w:themeFillShade="D9"/>
        <w:autoSpaceDE w:val="0"/>
        <w:autoSpaceDN w:val="0"/>
        <w:adjustRightInd w:val="0"/>
        <w:spacing w:line="240" w:lineRule="auto"/>
        <w:rPr>
          <w:rFonts w:cs="Arial"/>
          <w:sz w:val="18"/>
          <w:szCs w:val="18"/>
        </w:rPr>
      </w:pPr>
      <w:r w:rsidRPr="00AD2CF5">
        <w:rPr>
          <w:rFonts w:cs="Arial"/>
          <w:sz w:val="18"/>
          <w:szCs w:val="18"/>
        </w:rPr>
        <w:t>* Ook voor zover niet expliciet aangegeven worden onder deze oppervlaktewaterlichamen eveneens de aanliggende zijkanalen en de aanliggende havens met de toeleidende kanalen verstaan.</w:t>
      </w:r>
    </w:p>
    <w:p w:rsidR="00271D89" w:rsidRPr="00701CDE" w:rsidRDefault="00271D89" w:rsidP="00701CDE">
      <w:pPr>
        <w:pStyle w:val="Lijstopsomteken2"/>
        <w:widowControl w:val="0"/>
        <w:shd w:val="clear" w:color="auto" w:fill="D9D9D9" w:themeFill="background1" w:themeFillShade="D9"/>
        <w:autoSpaceDE w:val="0"/>
        <w:autoSpaceDN w:val="0"/>
        <w:adjustRightInd w:val="0"/>
        <w:spacing w:after="240" w:line="240" w:lineRule="auto"/>
        <w:rPr>
          <w:rFonts w:cs="Arial"/>
          <w:i/>
          <w:szCs w:val="18"/>
        </w:rPr>
      </w:pPr>
      <w:r w:rsidRPr="00AD2CF5">
        <w:rPr>
          <w:rFonts w:cs="Arial"/>
          <w:i/>
          <w:szCs w:val="18"/>
        </w:rPr>
        <w:t xml:space="preserve">** Voor de namen van de waterlichamen is gebruik gemaakt van de naamgeving en </w:t>
      </w:r>
      <w:r w:rsidRPr="00701CDE">
        <w:rPr>
          <w:rFonts w:cs="Arial"/>
          <w:i/>
          <w:szCs w:val="18"/>
        </w:rPr>
        <w:t>nummering van de Kaderrichtlijn water.</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Fonts w:ascii="Verdana" w:hAnsi="Verdana"/>
          <w:sz w:val="18"/>
          <w:szCs w:val="18"/>
        </w:rPr>
        <w:t>Toelichting</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 xml:space="preserve">Sinds de inwerkingtreding van het </w:t>
      </w:r>
      <w:hyperlink r:id="rId14" w:history="1">
        <w:r w:rsidRPr="00701CDE">
          <w:rPr>
            <w:rStyle w:val="Hyperlink"/>
            <w:rFonts w:ascii="Verdana" w:hAnsi="Verdana"/>
            <w:sz w:val="18"/>
            <w:szCs w:val="18"/>
          </w:rPr>
          <w:t>Activiteitenbesluit</w:t>
        </w:r>
      </w:hyperlink>
      <w:r w:rsidRPr="00701CDE">
        <w:rPr>
          <w:rFonts w:ascii="Verdana" w:hAnsi="Verdana"/>
          <w:sz w:val="18"/>
          <w:szCs w:val="18"/>
        </w:rPr>
        <w:t xml:space="preserve"> en de -regeling in 2008 is de lijst met grote oppervlaktewaterlichamen die met het oog op het lozen geen bijzondere bescherming behoeven niet meer gewijzigd. Dit terwijl pas eind 2009 de deelstroomgebied beheerplannen voor de Kaderrichtlijn water gereed waren. In deze plannen zijn kwaliteitsdoelstellingen voor waterlichamen benoemd. Daaraan zijn maatregelenprogramma’s gekoppeld die op Europees niveau getoetst worden. Actualisatie van deze lijst aan de deelstroomgebied beheerplannen is daarom gewenst. Een aantal waterschappen heeft daarnaast de door haar eerder gebruikte criteria voor het selecteren van oppervlaktewaterlichamen die geen bijzondere bescherming behoeven heroverwogen. Ook is de gelegenheid te baat genomen de lijst aan te passen aan ommissies en redactionele punten. Tevens hebben er fusies plaatsgevonden van waterschappen, dat leidt ertoe dat de lijsten van de opgenomen wateren voor deze waterschappen zijn samengevoegd. Hieronder wordt per beheerder kort aangegeven welke aanpassingen zijn doorgevoerd.</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51. Hoogheemraadschap Amstel Gooi en Vecht:</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52. Aanpassingen in verband met het waterbeheerplan en het maatregelenprogramma van het hoogheemraadschap.</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53.</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54. Hoogheemraadschap van Rijnland: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55. Heroverweging toegepaste criteria: het emissiebeheerplan is nu gebruikt als leidraad in plaats van de eerder gehanteerde criteria uit het Bouwstoffenbesluit die bij nader inzien niet goed toepasbaar bleken voor de afweging of een water wel of geen bijzondere bescherming nodig heeft. Daardoor bevatte de lijst een aantal kwetsbare wateren, zoals de Nieuwkoopse Plassen, welke een Natura 2000 gebied en een geprioriteerd waterlichaam zijn.</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56. Omissies en redactionele punten: naamgeving en begrenzing van de lijst kwam niet overeen met de KRW waterlichamen. Dit is nu aangepast.</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57.</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58. Waterschap Brabantse Delta:</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59. Heroverweging toegepaste criteria: uitbreiding van de lijst vanwege het invoeren van het uitgangspunt dat het moet gaan om wateren waarbij het minimale maanddebiet (langjarig gemiddeld) in die wateren minimaal 0,25 m³/s bedraagt of dat de wateren een breedte van meer dan 30 m hebben.</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60.</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61. Waterschap Hunze en Aa’s:</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62. Omissies en redactionele punten: in de vorige lijst waren alleen de boezemkanalen opgenomen. Deze lijst is uitgebreid met de overige kanalen en aangepast met de juiste benamingen van de boezemkanalen.</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63.</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64. Waterschap Noorderzijlvest:</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65. Redactionele punten: er zijn een aantal redactionele wijzigingen in de lijst uitgevoerd. Heroverweging toegepaste criteria: het Lauwersmeer en het Leekstermeer met de functie zwemwater worden om die reden van de lijst afgehaald.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66.</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67. Waterschap Peel en Maasvallei:</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68. Heroverweging toegepaste criteria: in verband met de specifiek ecologische functie zijn de Neerbeek en de Niers van de lijst afgevoerd. Ook de Helenavaart is van de lijst gehaald in verband met het lage debiet en het feit dat de vaart deel uitmaakt van het wateraanvoersysteem.</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69. De Maasplassen-Heel, waarmee bedoeld wordt de Lange Vlieter en Fase B, zijn van de lijst gehaald omdat deze dienen als water voor de bereiding van drinkwater.</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70. Omissies en redactionele punten: De industriehaven Venlo en het Julianakanaal, Bergsche Maas en Amer stonden ten onrechte bij het Waterschap genoemd op de lijst, omdat het rijkswateren zijn.</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71.</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72. Waterschap Rijn en IJssel:</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73. Aanpassingen in verband met het waterbeheerplan en het maatregelenprogramma van het hoogheemraadschap: in verband daarmee zijn zowel een aantal wateren toegevoegd als van de lijst verwijderd.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74.</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75. Waterschap Scheldestromen:</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76. Fusie van waterschappen: Waterschap Scheldestromen is een fusie van de waterschappen Zeeuwse Eilanden en Zeeuws-Vlaanderen. Om die reden zijn de lijsten samengevoegd.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77.</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78. Waterschap Vallei en Veluwe:</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79. Fusie van waterschappen: Waterschap Vallei en Eem en Waterschap Veluwe zijn gefuseerd tot het nieuwe Waterschap Vallei en Veluwe. Om die reden zijn de lijsten samengevoegd.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80.</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81. Waterschap Velt en Vecht:</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82. Aanpassingen in verband met het waterbeheerplan en het maatregelenprogramma van het hoogheemraadschap: in verband daarmee zijn zowel een aantal wateren toegevoegd als van de lijst verwijderd.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83.</w:t>
      </w:r>
    </w:p>
    <w:p w:rsidR="00701CDE" w:rsidRPr="00701CDE" w:rsidRDefault="00701CDE" w:rsidP="00701CDE">
      <w:pPr>
        <w:pStyle w:val="Kop3"/>
        <w:shd w:val="clear" w:color="auto" w:fill="D9D9D9" w:themeFill="background1" w:themeFillShade="D9"/>
        <w:rPr>
          <w:rFonts w:ascii="Verdana" w:hAnsi="Verdana"/>
          <w:sz w:val="18"/>
          <w:szCs w:val="18"/>
        </w:rPr>
      </w:pPr>
      <w:r w:rsidRPr="00701CDE">
        <w:rPr>
          <w:rStyle w:val="Nadruk"/>
          <w:rFonts w:ascii="Verdana" w:hAnsi="Verdana"/>
          <w:sz w:val="18"/>
          <w:szCs w:val="18"/>
        </w:rPr>
        <w:t>84. Waterschap Zuiderzeeland: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85. Aanpassingen in verband met het waterbeheerplan en het maatregelenprogramma van het hoogheemraadschap: de lijst is aangepast aan het waterbeheerplan 2010–2015 waarin de gebruiksfuncties en gebruiksdoelen voor oppervlaktewaterlichamen zijn opgenomen. Deze gebruiksfuncties en doelen worden voor lozingen vertaald naar kwetsbare en niet kwetsbare oppervlaktewateren. De uit de lijst geschrapte wateren hebben in het waterbeheerplan de functie bijzondere waterkwaliteit (kwetsbaar oppervlaktewater) en worden om die reden van de lijst met grote oppervlaktewaterlichamen geschrapt die geen bijzondere bescherming behoeven.</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86. Omissies: Daarnaast wordt een oppervlaktewaterlichaam, de Luttelgeestervaart aan de lijst toegevoegd die per abuis in de vorige lijst niet is meegenomen.</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Geen wijzigingen in de aangewezen oppervlaktewaterlichamen zijn doorgevoerd bij Rijkswaterstaat en de volgende Hoogheemraadschappen en Waterschappen:</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Hoogheemraadschap van Delfland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Hoogheemraadschap De Stichtse Rijnlanden</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Hoogheemraadschap Hollands Noorderkwartier</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Hoogheemraadschap van Schieland en de Krimpenerwaard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Waterschap Aa en Maas</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Waterschap De Dommel</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Waterschap Groot Salland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Waterschap Hollandse Delta</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Waterschap Regge en Dinkel</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Waterschap Reest en Wieden</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Waterschap Rivierenland</w:t>
      </w:r>
    </w:p>
    <w:p w:rsidR="00701CDE" w:rsidRPr="00701CDE" w:rsidRDefault="00701CDE" w:rsidP="00701CDE">
      <w:pPr>
        <w:pStyle w:val="al"/>
        <w:shd w:val="clear" w:color="auto" w:fill="D9D9D9" w:themeFill="background1" w:themeFillShade="D9"/>
        <w:rPr>
          <w:rFonts w:ascii="Verdana" w:hAnsi="Verdana"/>
          <w:sz w:val="18"/>
          <w:szCs w:val="18"/>
        </w:rPr>
      </w:pPr>
      <w:r w:rsidRPr="00701CDE">
        <w:rPr>
          <w:rFonts w:ascii="Verdana" w:hAnsi="Verdana"/>
          <w:sz w:val="18"/>
          <w:szCs w:val="18"/>
        </w:rPr>
        <w:t>Wetterskip Fryslan</w:t>
      </w:r>
    </w:p>
    <w:p w:rsidR="0045313F" w:rsidRPr="00701CDE" w:rsidRDefault="0045313F" w:rsidP="00701CDE">
      <w:pPr>
        <w:pStyle w:val="Lijstopsomteken2"/>
        <w:widowControl w:val="0"/>
        <w:numPr>
          <w:ilvl w:val="0"/>
          <w:numId w:val="0"/>
        </w:numPr>
        <w:shd w:val="clear" w:color="auto" w:fill="D9D9D9" w:themeFill="background1" w:themeFillShade="D9"/>
        <w:autoSpaceDE w:val="0"/>
        <w:autoSpaceDN w:val="0"/>
        <w:adjustRightInd w:val="0"/>
        <w:spacing w:after="240" w:line="240" w:lineRule="auto"/>
        <w:rPr>
          <w:rFonts w:cs="Arial"/>
          <w:szCs w:val="18"/>
        </w:rPr>
      </w:pPr>
    </w:p>
    <w:p w:rsidR="00FC57C8" w:rsidRDefault="00FC57C8" w:rsidP="00271D89">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szCs w:val="20"/>
        </w:rPr>
        <w:br/>
      </w:r>
      <w:r>
        <w:rPr>
          <w:rFonts w:cs="Arial"/>
          <w:szCs w:val="20"/>
        </w:rPr>
        <w:br/>
      </w:r>
      <w:bookmarkStart w:id="434" w:name="Bijlage3AR"/>
      <w:r>
        <w:rPr>
          <w:rFonts w:cs="Arial"/>
          <w:b/>
          <w:bCs/>
          <w:szCs w:val="20"/>
        </w:rPr>
        <w:t>Bijlage 3. Lijst met dierpathogenen</w:t>
      </w:r>
      <w:bookmarkEnd w:id="434"/>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Virussen:</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745"/>
        <w:gridCol w:w="783"/>
        <w:gridCol w:w="1424"/>
        <w:gridCol w:w="1140"/>
        <w:gridCol w:w="961"/>
        <w:gridCol w:w="890"/>
        <w:gridCol w:w="890"/>
        <w:gridCol w:w="748"/>
        <w:gridCol w:w="748"/>
      </w:tblGrid>
      <w:tr w:rsidR="00FC57C8" w:rsidTr="00F43C9B">
        <w:tc>
          <w:tcPr>
            <w:tcW w:w="1745"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Naam ziekte (Engelse benaming) </w:t>
            </w:r>
          </w:p>
        </w:tc>
        <w:tc>
          <w:tcPr>
            <w:tcW w:w="783"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Gevoelige diersoort o.a. </w:t>
            </w:r>
          </w:p>
        </w:tc>
        <w:tc>
          <w:tcPr>
            <w:tcW w:w="1424"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Virus naam </w:t>
            </w:r>
          </w:p>
        </w:tc>
        <w:tc>
          <w:tcPr>
            <w:tcW w:w="114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Species </w:t>
            </w:r>
          </w:p>
        </w:tc>
        <w:tc>
          <w:tcPr>
            <w:tcW w:w="961"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Genus </w:t>
            </w:r>
          </w:p>
        </w:tc>
        <w:tc>
          <w:tcPr>
            <w:tcW w:w="89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Subfamily </w:t>
            </w:r>
          </w:p>
        </w:tc>
        <w:tc>
          <w:tcPr>
            <w:tcW w:w="89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Familie </w:t>
            </w:r>
          </w:p>
        </w:tc>
        <w:tc>
          <w:tcPr>
            <w:tcW w:w="748"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Inschaling 2008 dierpathogenen </w:t>
            </w:r>
          </w:p>
        </w:tc>
        <w:tc>
          <w:tcPr>
            <w:tcW w:w="748"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2000/54/EG (humaan) </w:t>
            </w:r>
          </w:p>
        </w:tc>
      </w:tr>
      <w:tr w:rsidR="00FC57C8" w:rsidTr="00F43C9B">
        <w:tc>
          <w:tcPr>
            <w:tcW w:w="1745" w:type="dxa"/>
            <w:tcBorders>
              <w:top w:val="single" w:sz="4" w:space="0" w:color="auto"/>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Runderpest (Rinderpest) </w:t>
            </w:r>
          </w:p>
        </w:tc>
        <w:tc>
          <w:tcPr>
            <w:tcW w:w="783" w:type="dxa"/>
            <w:tcBorders>
              <w:top w:val="single" w:sz="4" w:space="0" w:color="auto"/>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single" w:sz="4" w:space="0" w:color="auto"/>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Rinderpest virus </w:t>
            </w:r>
          </w:p>
        </w:tc>
        <w:tc>
          <w:tcPr>
            <w:tcW w:w="1140" w:type="dxa"/>
            <w:tcBorders>
              <w:top w:val="single" w:sz="4" w:space="0" w:color="auto"/>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Rinderpest virus </w:t>
            </w:r>
          </w:p>
        </w:tc>
        <w:tc>
          <w:tcPr>
            <w:tcW w:w="961" w:type="dxa"/>
            <w:tcBorders>
              <w:top w:val="single" w:sz="4" w:space="0" w:color="auto"/>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Morbillivirus </w:t>
            </w:r>
          </w:p>
        </w:tc>
        <w:tc>
          <w:tcPr>
            <w:tcW w:w="890" w:type="dxa"/>
            <w:tcBorders>
              <w:top w:val="single" w:sz="4" w:space="0" w:color="auto"/>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Paramyxovirinae </w:t>
            </w:r>
          </w:p>
        </w:tc>
        <w:tc>
          <w:tcPr>
            <w:tcW w:w="890" w:type="dxa"/>
            <w:tcBorders>
              <w:top w:val="single" w:sz="4" w:space="0" w:color="auto"/>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Paramyxoviridae </w:t>
            </w:r>
          </w:p>
        </w:tc>
        <w:tc>
          <w:tcPr>
            <w:tcW w:w="748" w:type="dxa"/>
            <w:tcBorders>
              <w:top w:val="single" w:sz="4" w:space="0" w:color="auto"/>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c>
          <w:tcPr>
            <w:tcW w:w="748" w:type="dxa"/>
            <w:tcBorders>
              <w:top w:val="single" w:sz="4" w:space="0" w:color="auto"/>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ascii="Times New Roman" w:hAnsi="Times New Roman"/>
                <w:sz w:val="24"/>
                <w:lang w:val="en-US"/>
              </w:rPr>
              <w:t xml:space="preserve"> </w:t>
            </w:r>
            <w:r w:rsidRPr="00FC57C8">
              <w:rPr>
                <w:rFonts w:cs="Arial"/>
                <w:sz w:val="16"/>
                <w:szCs w:val="16"/>
                <w:lang w:val="en-US"/>
              </w:rPr>
              <w:t xml:space="preserve">* Mond- en Klauwzeer (Foot and mouth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Varkens, runderen, schapen</w:t>
            </w:r>
            <w:r>
              <w:rPr>
                <w:rFonts w:cs="Arial"/>
                <w:sz w:val="16"/>
                <w:szCs w:val="16"/>
              </w:rPr>
              <w:t xml:space="preserve"> </w:t>
            </w:r>
          </w:p>
        </w:tc>
        <w:tc>
          <w:tcPr>
            <w:tcW w:w="1424"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sz w:val="16"/>
                <w:szCs w:val="16"/>
                <w:lang w:val="en-US"/>
              </w:rPr>
              <w:t xml:space="preserve">Foot-and-mouth disease virus (verschillende typen) </w:t>
            </w:r>
          </w:p>
        </w:tc>
        <w:tc>
          <w:tcPr>
            <w:tcW w:w="1140"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sz w:val="16"/>
                <w:szCs w:val="16"/>
                <w:lang w:val="en-US"/>
              </w:rPr>
              <w:t xml:space="preserve">Foot-and-mouth disease virus (verschillende typen)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Aphthovirus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Picornaviridae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Klassieke varkenspest (Hog cholera, Classical swine fever)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sz w:val="16"/>
                <w:szCs w:val="16"/>
                <w:lang w:val="en-US"/>
              </w:rPr>
              <w:t xml:space="preserve">Classical swine fever virus/Hog cholera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Classical swine fever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Pestivirus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Flaviviridae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Afrikaanse varkenspest (African swine fever)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African swine fever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African swine fever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Asfivirus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Asfarviridae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Hondsdolheid (Rabies)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Warm bloedigen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Rabies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Rabies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Lyssavirus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Rhabdoviridae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Virale paardenencefalomyelitiden (Eastern and western equine encephalitis)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vogels </w:t>
            </w:r>
          </w:p>
        </w:tc>
        <w:tc>
          <w:tcPr>
            <w:tcW w:w="1424"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sz w:val="16"/>
                <w:szCs w:val="16"/>
                <w:lang w:val="en-US"/>
              </w:rPr>
              <w:t xml:space="preserve">Eastern and Western equine encephalitis virus </w:t>
            </w:r>
          </w:p>
        </w:tc>
        <w:tc>
          <w:tcPr>
            <w:tcW w:w="1140"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Togaviridae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w:t>
            </w:r>
            <w:r>
              <w:rPr>
                <w:rFonts w:cs="Arial"/>
                <w:sz w:val="16"/>
                <w:szCs w:val="16"/>
              </w:rPr>
              <w:br/>
              <w:t xml:space="preserve"> (in vivo: 3</w:t>
            </w:r>
            <w:r>
              <w:rPr>
                <w:rFonts w:cs="Arial"/>
                <w:sz w:val="16"/>
                <w:szCs w:val="16"/>
                <w:vertAlign w:val="superscript"/>
              </w:rPr>
              <w:t>3</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745"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s-ES"/>
              </w:rPr>
            </w:pPr>
            <w:r w:rsidRPr="00FC57C8">
              <w:rPr>
                <w:rFonts w:ascii="Times New Roman" w:hAnsi="Times New Roman"/>
                <w:sz w:val="24"/>
                <w:lang w:val="es-ES"/>
              </w:rPr>
              <w:t xml:space="preserve"> </w:t>
            </w:r>
            <w:r w:rsidRPr="00FC57C8">
              <w:rPr>
                <w:rFonts w:cs="Arial"/>
                <w:sz w:val="16"/>
                <w:szCs w:val="16"/>
                <w:lang w:val="es-ES"/>
              </w:rPr>
              <w:t xml:space="preserve">* Virale paardenencefalomyelitiden (Venezuelan equine encephalitis)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Venezuelan equine encephalitis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Venezuelan equine encephalitis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Togaviridae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w:t>
            </w:r>
            <w:r>
              <w:rPr>
                <w:rFonts w:cs="Arial"/>
                <w:sz w:val="16"/>
                <w:szCs w:val="16"/>
              </w:rPr>
              <w:br/>
              <w:t xml:space="preserve"> (in vivo: 3</w:t>
            </w:r>
            <w:r>
              <w:rPr>
                <w:rFonts w:cs="Arial"/>
                <w:sz w:val="16"/>
                <w:szCs w:val="16"/>
                <w:vertAlign w:val="superscript"/>
              </w:rPr>
              <w:t>3</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Infectieuze anemie (Equine infectious anaemia)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Equine infectious anemia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Equine infectious anemia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Lentivirus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Orthoretrovirinae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Retroviridae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Afrikaanse paardepest (African horse sickness)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African horse sickness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African horse sickness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Orbivirus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w:t>
            </w:r>
            <w:r>
              <w:rPr>
                <w:rFonts w:cs="Arial"/>
                <w:sz w:val="16"/>
                <w:szCs w:val="16"/>
              </w:rPr>
              <w:br/>
              <w:t xml:space="preserve"> (in vivo: 3</w:t>
            </w:r>
            <w:r>
              <w:rPr>
                <w:rFonts w:cs="Arial"/>
                <w:sz w:val="16"/>
                <w:szCs w:val="16"/>
                <w:vertAlign w:val="superscript"/>
              </w:rPr>
              <w:t>3</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Vesiculaire stomatitis (Vesicular stomatitis)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runderen, 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Vesicular stomatitis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Vesiculovirus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Rhabdoviridae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Endemische leukose bij runderen (Enzootic bovine leukosis)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leukemia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leukemia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Deltaretrovirus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Orthoretrovirinae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Retroviridae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Teschener-ziekte, besmettelijke varkensverlamming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enterovirus 1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teschovirus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Teschovirus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Picornaviridae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Blaasjesziekte (Swine vesicular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Swine Vesicular Disease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Swine Vesicular Disease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Enterovirus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Picornaviridae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Ziekte van Aujeszky (Aujeszky’s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honden, katten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Pseudorabies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Suid herpesvirus 1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Varicellovirus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Blauwtong (Bluetongue)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Schapen, runderen, geiten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Bluetongue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Orbivirus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w:t>
            </w:r>
            <w:r>
              <w:rPr>
                <w:rFonts w:cs="Arial"/>
                <w:sz w:val="16"/>
                <w:szCs w:val="16"/>
              </w:rPr>
              <w:br/>
              <w:t xml:space="preserve"> (in vivo: 3</w:t>
            </w:r>
            <w:r>
              <w:rPr>
                <w:rFonts w:cs="Arial"/>
                <w:sz w:val="16"/>
                <w:szCs w:val="16"/>
                <w:vertAlign w:val="superscript"/>
              </w:rPr>
              <w:t>3</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Pest van de kleine herkauwer (Peste des petits ruminants)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Kleine herkauwers, schapen, geiten </w:t>
            </w:r>
          </w:p>
        </w:tc>
        <w:tc>
          <w:tcPr>
            <w:tcW w:w="1424"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fr-FR"/>
              </w:rPr>
            </w:pPr>
            <w:r w:rsidRPr="00FC57C8">
              <w:rPr>
                <w:rFonts w:cs="Arial"/>
                <w:sz w:val="16"/>
                <w:szCs w:val="16"/>
                <w:lang w:val="fr-FR"/>
              </w:rPr>
              <w:t xml:space="preserve">Peste-des-petits-ruminants virus </w:t>
            </w:r>
          </w:p>
        </w:tc>
        <w:tc>
          <w:tcPr>
            <w:tcW w:w="1140"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fr-FR"/>
              </w:rPr>
            </w:pPr>
            <w:r w:rsidRPr="00FC57C8">
              <w:rPr>
                <w:rFonts w:cs="Arial"/>
                <w:sz w:val="16"/>
                <w:szCs w:val="16"/>
                <w:lang w:val="fr-FR"/>
              </w:rPr>
              <w:t xml:space="preserve">Peste-des-petits-ruminants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Morbillivirus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Rift Valley koorst (Rift Valley fever)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schapen, geiten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Rift Valley fever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Rift Valley fever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Phlebovirus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Bunyaviridae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w:t>
            </w:r>
            <w:r>
              <w:rPr>
                <w:rFonts w:cs="Arial"/>
                <w:sz w:val="16"/>
                <w:szCs w:val="16"/>
              </w:rPr>
              <w:br/>
              <w:t xml:space="preserve"> (in vivo: 3</w:t>
            </w:r>
            <w:r>
              <w:rPr>
                <w:rFonts w:cs="Arial"/>
                <w:sz w:val="16"/>
                <w:szCs w:val="16"/>
                <w:vertAlign w:val="superscript"/>
              </w:rPr>
              <w:t>3</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Schape- en geitenpokken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Schapen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Sheeppox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Sheeppox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Capripoxvirus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fr-FR"/>
              </w:rPr>
            </w:pPr>
            <w:r w:rsidRPr="00FC57C8">
              <w:rPr>
                <w:rFonts w:ascii="Times New Roman" w:hAnsi="Times New Roman"/>
                <w:sz w:val="24"/>
                <w:lang w:val="fr-FR"/>
              </w:rPr>
              <w:t xml:space="preserve"> </w:t>
            </w:r>
            <w:r w:rsidRPr="00FC57C8">
              <w:rPr>
                <w:rFonts w:cs="Arial"/>
                <w:sz w:val="16"/>
                <w:szCs w:val="16"/>
                <w:lang w:val="fr-FR"/>
              </w:rPr>
              <w:t xml:space="preserve">* Nodulaire dermatose (Lumpy skin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Lumpy skin disease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Lumpy skin disease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Capripoxvirus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Enzoötische hemorraghische ziekte bij herten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Herkauwers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Epizootic hemorrhagic disease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Orbivirus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w:t>
            </w:r>
            <w:r>
              <w:rPr>
                <w:rFonts w:cs="Arial"/>
                <w:sz w:val="16"/>
                <w:szCs w:val="16"/>
              </w:rPr>
              <w:br/>
              <w:t xml:space="preserve"> (in vivo: 3</w:t>
            </w:r>
            <w:r>
              <w:rPr>
                <w:rFonts w:cs="Arial"/>
                <w:sz w:val="16"/>
                <w:szCs w:val="16"/>
                <w:vertAlign w:val="superscript"/>
              </w:rPr>
              <w:t>3</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ascii="Times New Roman" w:hAnsi="Times New Roman"/>
                <w:sz w:val="24"/>
                <w:lang w:val="en-US"/>
              </w:rPr>
              <w:t xml:space="preserve"> </w:t>
            </w:r>
            <w:r w:rsidRPr="00FC57C8">
              <w:rPr>
                <w:rFonts w:cs="Arial"/>
                <w:sz w:val="16"/>
                <w:szCs w:val="16"/>
                <w:lang w:val="en-US"/>
              </w:rPr>
              <w:t xml:space="preserve">* Vogelpest (Fowl plague) subtype H1-4, H6, H8-16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Vogels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 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 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Influenzavirus A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Vogelpest (Fowl plague) subtype H5-H7 Laag pathogeen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Vogels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 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 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Influenzavirus A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Vogelpest (Fowl plague) subtype H5-H7 Hoog pathogeen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Vogels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 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 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Influenzavirus A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w:t>
            </w:r>
            <w:r>
              <w:rPr>
                <w:rFonts w:cs="Arial"/>
                <w:sz w:val="16"/>
                <w:szCs w:val="16"/>
                <w:vertAlign w:val="superscript"/>
              </w:rPr>
              <w:t>1</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Pseudo-vogelpest (Newcastle disease) ICPI &gt; 0,7 of meerdere basische aminozuren aanwezig in het F protein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Kippen, pluimvee, duiven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Avian parainfluenza virus 1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Newcastle disease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Avulavirus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w:t>
            </w:r>
            <w:r>
              <w:rPr>
                <w:rFonts w:cs="Arial"/>
                <w:sz w:val="16"/>
                <w:szCs w:val="16"/>
                <w:vertAlign w:val="superscript"/>
              </w:rPr>
              <w:t>1</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Pseudo-vogelpest (Newcastle disease) ICPI &lt; 0,7 or geen basische aminozuren aanwezig in het F eiwit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Kippen, pluimvee, duiven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Avian parainfluenza virus 1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Newcastle disease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Avulavirus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Hemorragische koortsen (Ebola, Marburg)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Primaten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Marburgvirus/Ebolavirus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Filoviridae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(Simian immunodeficiency)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Simian immunodeficiency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Simian immunodeficiency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Lentivirus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Orthoretrovirinae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Retroviridae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Apenpokken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Primaten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Monkeypox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Monkeypox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Orthopoxvirus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(Epizootic haematopoietic necrosis)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Epizootic haematopoietic necrosis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Epizootic haematopoietic necrosis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Ranavirus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Iridoviridae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Virale hemorragische septikemie (Viral Haemorrhagic Septicemia)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(forellen)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Viral hemorrhagic septicemia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Viral hemorrhagic septicemia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Novirhabdovirus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Rhabdoviridae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Infectieuze hematopoïetische necrose (Infectious Hematopoietic Necrosis)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(Salmoniden)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Infectious hematopoietic necrosis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Infectious hematopoietic necrosis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Novirhabdovirus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Rhabdoviridae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Koi Herpesvirus infectie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(koi, karpers)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Cyprinid herpesvirus 3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Cyprinid herpesvirus 3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Infectieuze zalmanemie (Infectious Salmon Anaemia)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(zalm)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Infectious salmon anemia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Infectious salmon anemia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Isavirus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w:t>
            </w:r>
          </w:p>
        </w:tc>
        <w:tc>
          <w:tcPr>
            <w:tcW w:w="1424"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sz w:val="16"/>
                <w:szCs w:val="16"/>
                <w:lang w:val="en-US"/>
              </w:rPr>
              <w:t xml:space="preserve">Spring viremia of carp virus </w:t>
            </w:r>
          </w:p>
        </w:tc>
        <w:tc>
          <w:tcPr>
            <w:tcW w:w="1140"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sz w:val="16"/>
                <w:szCs w:val="16"/>
                <w:lang w:val="en-US"/>
              </w:rPr>
              <w:t xml:space="preserve">Spring viremia of carp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Vesiculovirus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Rhabdoviridae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Zwoegerziekte (Maedi Visna)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Schapen, geiten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Visna/Maedi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Visna/maedi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Lentivirus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Orthoretrovirinae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Retroviridae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Caprine arthritis encephalitis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Geiten, andere diersoorten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Caprine arthritis-encephalitis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Caprine arthritis encephalitis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Lentivirus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Orthoretrovirinae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Retroviridae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Hepatitis E</w:t>
            </w:r>
            <w:r>
              <w:rPr>
                <w:rFonts w:cs="Arial"/>
                <w:sz w:val="16"/>
                <w:szCs w:val="16"/>
              </w:rPr>
              <w:br/>
              <w:t xml:space="preserve"> Hepatitis splenomegalie syndroom bij kippen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(virus genotype 3) en kippen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Hepatitis 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Hepatitis 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Hepevirus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Hepeviridae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Boosaardige catarraal koorts (Bovine malignant catharral fever)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Alcelaphine herpesvirus 1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Alcelaphine herpesvirus 1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Rhadinovirus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Gammaherpesvirinae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(Aleutian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Nertsen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Aleutian mink disease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Aleutian mink disease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Amdovirus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s-ES"/>
              </w:rPr>
            </w:pPr>
            <w:r w:rsidRPr="00FC57C8">
              <w:rPr>
                <w:rFonts w:ascii="Times New Roman" w:hAnsi="Times New Roman"/>
                <w:sz w:val="24"/>
                <w:lang w:val="es-ES"/>
              </w:rPr>
              <w:t xml:space="preserve"> </w:t>
            </w:r>
            <w:r w:rsidRPr="00FC57C8">
              <w:rPr>
                <w:rFonts w:cs="Arial"/>
                <w:sz w:val="16"/>
                <w:szCs w:val="16"/>
                <w:lang w:val="es-ES"/>
              </w:rPr>
              <w:t xml:space="preserve">(Chicken embryo lethal orphan, Celo)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Pluimvee (kalkoenen)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Fowl adenovirus 1 (CELO)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Fowl adenovirus A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Aviadenovirus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Adenoviridae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Trilziekte (Avian encephalomyelitis)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Kippen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Avian encephalomyelitis-like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Avian encephalomyelitis-like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Hepatovirus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Picornaviridae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fr-FR"/>
              </w:rPr>
            </w:pPr>
            <w:r w:rsidRPr="00FC57C8">
              <w:rPr>
                <w:rFonts w:ascii="Times New Roman" w:hAnsi="Times New Roman"/>
                <w:sz w:val="24"/>
                <w:lang w:val="fr-FR"/>
              </w:rPr>
              <w:t xml:space="preserve"> </w:t>
            </w:r>
            <w:r w:rsidRPr="00FC57C8">
              <w:rPr>
                <w:rFonts w:cs="Arial"/>
                <w:sz w:val="16"/>
                <w:szCs w:val="16"/>
                <w:lang w:val="fr-FR"/>
              </w:rPr>
              <w:t xml:space="preserve">Aviaire infectieuze bronchitis (Avian infectious bronchitis)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Kippen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Avian infectious bronchitis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Infectious bronchitis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Coronaviridae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Coronaviridae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ascii="Times New Roman" w:hAnsi="Times New Roman"/>
                <w:sz w:val="24"/>
                <w:lang w:val="en-US"/>
              </w:rPr>
              <w:t xml:space="preserve"> </w:t>
            </w:r>
            <w:r w:rsidRPr="00FC57C8">
              <w:rPr>
                <w:rFonts w:cs="Arial"/>
                <w:sz w:val="16"/>
                <w:szCs w:val="16"/>
                <w:lang w:val="en-US"/>
              </w:rPr>
              <w:t xml:space="preserve">(Avian infectious laryngotracheitis, Gallid herpesvirus I)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Pluimvee (papegaaien)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Gallid herpesvirus 1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Gallid herpesvirus 1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Iltovirus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Aviaire leukose (Avian leucosis)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Kippen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Avian leukosis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Avian leukosis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Alpharetrovirus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Orthoretrovirinae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Retroviridae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Pluimvee, exotische vogels, kippen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Avian paramyxovirus 2-9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Avulavirus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Kippepokken (Fowl pox)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Pluimvee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Fowlpox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Fowlpox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Avipoxvirus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Ziekte van Gumboro (Infectious bursal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Kippen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Infectious bursal disease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Infectious bursal disease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Avibirnavirus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Birnaviridae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Birnavirus infectie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Birnavirus disease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Birnavirus (various)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Birnavirus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Birnaviridae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adenovirus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adenovirus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Atadenovirus/  Mastadenovirus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Adenoviridae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Koeiengriep (Infectious bovine rhinotracheitis, IBR)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herpesvirus 1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herpesvirus 1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Varicellovirus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(Bovine mammilitis)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herpesvirus 2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herpesvirus 2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Simplexvirus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herpesvirus 4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herpesvirus 4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Rhadinovirus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Gammaherpesvirinae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herpesvirus 5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herpesvirus 5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Varicellovirus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Pinkengriep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respiratory syncytial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respiratory syncytial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Pneumovirus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Pneumovirinae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rhinovirus 1-3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rhinovirus 1-3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Rhinovirus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Picornaviridae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Rotavirus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Rotavirus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Rotavirus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Reovirus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Hondenhepatitis (Hepatitis contagiosa canis)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Honden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Canine adenovirus 1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Canine adenovirus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Mastadenovirus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Adenoviridae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Infectieuze laryngotracheïtis (Infectious laryngotracheitis)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Honden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Canine adenovirus 2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Canine adenovirus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Mastadenovirus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Adenoviridae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Honden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Canine herpesvirus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Canid herpesvirus 1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Varicellovirus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(Parvovirosis (enteritis))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Honden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Canine parvovirus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Feline panleukopenia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(Channel catfish virus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Channel catfish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Ictalurid herpesvirus 1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Ictalurivirus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Channel catfish reovirus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Aquareovirus D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Aquareovirus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Infectieuze kippenanemie (Blue wing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Kippen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Chicken anemia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Chicken anemia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Gyrovirus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Circoviridae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Kippen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Chicken parvovirus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Chicken parvovirus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(Contagious ecthyma)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Schapen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Contagious ecthyma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Orf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Parapoxvirus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(Crimian Congo Haemorrhagic Fever)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schapen, geiten, hazen.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Crimean-Congo hemorrhagic fever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Crimean-Congo hemorrhagic fever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Nairovirus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Bunyaviridae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w:t>
            </w:r>
            <w:r>
              <w:rPr>
                <w:rFonts w:cs="Arial"/>
                <w:sz w:val="16"/>
                <w:szCs w:val="16"/>
                <w:vertAlign w:val="superscript"/>
              </w:rPr>
              <w:t>3</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Cyprinid herpesvirus 1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Cyprinid herpesvirus 1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Cyprinid herpesvirus 2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Cyprinid herpesvirus 2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(Duck plague)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Pluimvee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Duck plague herpesvirus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Anatid herpesvirus 1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Eel virus European X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Rhabdoviridae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Encephalomyocarditis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Encephalomyocarditis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Cardiovirus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Picornaviridae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ascii="Times New Roman" w:hAnsi="Times New Roman"/>
                <w:sz w:val="24"/>
                <w:lang w:val="en-US"/>
              </w:rPr>
              <w:t xml:space="preserve"> </w:t>
            </w:r>
            <w:r w:rsidRPr="00FC57C8">
              <w:rPr>
                <w:rFonts w:cs="Arial"/>
                <w:sz w:val="16"/>
                <w:szCs w:val="16"/>
                <w:lang w:val="en-US"/>
              </w:rPr>
              <w:t xml:space="preserve">Equine virale arteritis (Infectious arteritis of horse)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Equine arteritis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Equine arteritis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Arterivirus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Arteriviridae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(Equine abortion e.q. viral rhinopneumonitis)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Equine rhinopneumonitis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Equid herpesvirus 4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Varicellovirus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Equid herpesvirus 2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Equid herpesvirus 2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Rhadinovirus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Gammaherpesvirinae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Equine influenza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 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Influenzavirus A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Hendra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Hendra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Henipavirus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(Japanese B encephalitis, West Nile Fever)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West Nile Virus/Japanese B encephalitis Virus/Uganda 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Flavivirus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Flaviviridae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w:t>
            </w:r>
            <w:r>
              <w:rPr>
                <w:rFonts w:cs="Arial"/>
                <w:sz w:val="16"/>
                <w:szCs w:val="16"/>
                <w:vertAlign w:val="superscript"/>
              </w:rPr>
              <w:t>3</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(Porcine hemagglutinating encephalomyelitis)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hemagglutinating encephalomyelitis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hemagglutinating encephalomyelitis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Coronavirus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Coronaviridae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(Duck hepatitis)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Eenden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Duck hepatitis B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Duck hepatitis B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Avihepadnavirus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Hepadnaviridae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Herpes bij paling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(paling)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Anguillid herpesvirus 1</w:t>
            </w:r>
            <w:r>
              <w:rPr>
                <w:rFonts w:cs="Arial"/>
                <w:sz w:val="16"/>
                <w:szCs w:val="16"/>
              </w:rPr>
              <w:br/>
              <w:t xml:space="preserve"> (herpesvirus anguillae)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Anguillid herpesvirus 1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Alloherpesviridae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(Infectious Pancreatic Necrosis)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(forellen) </w:t>
            </w:r>
          </w:p>
        </w:tc>
        <w:tc>
          <w:tcPr>
            <w:tcW w:w="1424"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sz w:val="16"/>
                <w:szCs w:val="16"/>
                <w:lang w:val="en-US"/>
              </w:rPr>
              <w:t xml:space="preserve">Infectious pancreatic necrosis virus – Jasper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Infectious pancreatic necrosis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Aquabirnavirus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Birnaviridae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(Swine influenza)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 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 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Influenzavirus A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Lymphocystis disease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Lymphocystis disease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Lymphocystivirus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Iridoviridae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Ziekte van Marek (Marek’s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Pluimvee (vnl kippen) </w:t>
            </w:r>
          </w:p>
        </w:tc>
        <w:tc>
          <w:tcPr>
            <w:tcW w:w="1424"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sz w:val="16"/>
                <w:szCs w:val="16"/>
                <w:lang w:val="en-US"/>
              </w:rPr>
              <w:t xml:space="preserve">Marek's disease virus type 1 and 2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Gallid herpesvirus 2 en 3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Mardivirus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Alphaherpesvirinae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Molluscum contagiosum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Molluscum contagiosum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Molluscipoxvirus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Murine Leukemia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Ratten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Murine leukemia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Murine leukemia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Gammaretrovirus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Orthoretrovirinae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Retroviridae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Ratten, muizen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Mouse mammary tumor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Mouse mammary tumor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Betaretrovirus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Orthoretrovirinae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Retroviridae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Schapen, geiten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Ovine adenovirus (verschillende typen)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Ovine adenovirus (verschillende typen)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Mastadenovirus/Atadenovirus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Adenoviridae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Diverse soorten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Papillomavirus (verschillende typen)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Papillomavirus  (verschillende typen)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Deltapap.virus/ Xipapillomavirus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Papillomaviridae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schapen, geiten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parainfluenza virus 3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parainfluenza virus 3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Respirovirus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(Nipah virus encephalitis)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Nipah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Nipah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Henipavirus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(Mucosal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viral diarrhea virus (verschillende typen)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viral diarrhea virus (verschillende typen)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Pestivirus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Flaviviridae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(Border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Schapen, geiten, 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Border disease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Border disease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Pestivirus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Flaviviridae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(Nairobi sheep disease)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Schapen, geiten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Nairobi sheep disease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Dugbe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Nairovirus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Bunyaviridae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w:t>
            </w:r>
            <w:r>
              <w:rPr>
                <w:rFonts w:cs="Arial"/>
                <w:sz w:val="16"/>
                <w:szCs w:val="16"/>
              </w:rPr>
              <w:br/>
              <w:t xml:space="preserve"> (in vivo: 3</w:t>
            </w:r>
            <w:r>
              <w:rPr>
                <w:rFonts w:cs="Arial"/>
                <w:sz w:val="16"/>
                <w:szCs w:val="16"/>
                <w:vertAlign w:val="superscript"/>
              </w:rPr>
              <w:t>3</w:t>
            </w:r>
            <w:r>
              <w:rPr>
                <w:rFonts w:cs="Arial"/>
                <w:sz w:val="16"/>
                <w:szCs w:val="16"/>
              </w:rPr>
              <w:t xml:space="preserv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Vissen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Pike fry rhabdovirus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Pike fry rhabdovirus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Vesiculovirus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Rhabdoviridae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adenovirus (verschillende typen)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adenovirus (verschillende typen)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Mastadenovirus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Adenoviridae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ascii="Times New Roman" w:hAnsi="Times New Roman"/>
                <w:sz w:val="24"/>
                <w:lang w:val="en-US"/>
              </w:rPr>
              <w:t xml:space="preserve"> </w:t>
            </w:r>
            <w:r w:rsidRPr="00FC57C8">
              <w:rPr>
                <w:rFonts w:cs="Arial"/>
                <w:sz w:val="16"/>
                <w:szCs w:val="16"/>
                <w:lang w:val="en-US"/>
              </w:rPr>
              <w:t xml:space="preserve">(Transmissible gastro-enteritis of Pig)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Transmissible gastroenteritis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Transmissible gastroenteritis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Coronavirus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Coronaviridae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Swine cytomegalovirus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Suid herpesvirus 2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Herpesviridae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(Porcine epidemic diarrhea, PEDV)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epidemic diarrhea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epidemic diarrhea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Coronavirus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Coronaviridae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(Porcine parvovirus infection)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parvovirus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parvovirus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Parvoviridae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ascii="Times New Roman" w:hAnsi="Times New Roman"/>
                <w:sz w:val="24"/>
                <w:lang w:val="en-US"/>
              </w:rPr>
              <w:t xml:space="preserve"> </w:t>
            </w:r>
            <w:r w:rsidRPr="00FC57C8">
              <w:rPr>
                <w:rFonts w:cs="Arial"/>
                <w:sz w:val="16"/>
                <w:szCs w:val="16"/>
                <w:lang w:val="en-US"/>
              </w:rPr>
              <w:t xml:space="preserve">(Porc. Epidemic Abortion and Respiratory Syndrome, PEARS)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reproductive and respiratory syndrome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reproductive and respiratory syndrome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Arterivirus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Arteriviridae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Porcine rotavirus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Rotavirus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Rotavirus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Myxomatose (Myxomatosis)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Myxoma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Myxoma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Leporipoxvirus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(Camelpox)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Kameelachtige dieren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Camelpox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Camelpox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Orthopoxvirus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(Haemorragic disease of rabbit)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Konijnen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Rabbit calicivirus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Rabbit hemorrhagic disease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Lagovirus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Caliciviridae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Semliki Forest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Semliki Forest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Togaviridae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Sindbis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Sindbis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Alphavirus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Togaviridae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(Bovine papular stomatitis, pseudocowpox)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Bovine papular stomatitis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Parapoxvirus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(Swinepox)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Swinepox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Swinepox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Suipoxvirus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1424"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sz w:val="16"/>
                <w:szCs w:val="16"/>
                <w:lang w:val="en-US"/>
              </w:rPr>
              <w:t xml:space="preserve">Vesicular exanthema of swine virus </w:t>
            </w:r>
          </w:p>
        </w:tc>
        <w:tc>
          <w:tcPr>
            <w:tcW w:w="1140"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sz w:val="16"/>
                <w:szCs w:val="16"/>
                <w:lang w:val="en-US"/>
              </w:rPr>
              <w:t xml:space="preserve">Vesicular exanthema of swine 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Vesivirus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Caliciviridae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174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(Rhinotracheitis) </w:t>
            </w:r>
          </w:p>
        </w:tc>
        <w:tc>
          <w:tcPr>
            <w:tcW w:w="78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Kalkoenen </w:t>
            </w:r>
          </w:p>
        </w:tc>
        <w:tc>
          <w:tcPr>
            <w:tcW w:w="142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Turkey rhinotracheitis virus </w:t>
            </w:r>
          </w:p>
        </w:tc>
        <w:tc>
          <w:tcPr>
            <w:tcW w:w="114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Avian metapneumovirus </w:t>
            </w:r>
          </w:p>
        </w:tc>
        <w:tc>
          <w:tcPr>
            <w:tcW w:w="961"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Metapneumovirus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Pneumovirinae </w:t>
            </w:r>
          </w:p>
        </w:tc>
        <w:tc>
          <w:tcPr>
            <w:tcW w:w="89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Paramyxoviridae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745"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783"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1424"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Vaccinia virus </w:t>
            </w:r>
          </w:p>
        </w:tc>
        <w:tc>
          <w:tcPr>
            <w:tcW w:w="114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Vaccinia virus </w:t>
            </w:r>
          </w:p>
        </w:tc>
        <w:tc>
          <w:tcPr>
            <w:tcW w:w="961"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Orthopoxvirus </w:t>
            </w:r>
          </w:p>
        </w:tc>
        <w:tc>
          <w:tcPr>
            <w:tcW w:w="89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Chordopoxvirinae </w:t>
            </w:r>
          </w:p>
        </w:tc>
        <w:tc>
          <w:tcPr>
            <w:tcW w:w="89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Poxviridae </w:t>
            </w:r>
          </w:p>
        </w:tc>
        <w:tc>
          <w:tcPr>
            <w:tcW w:w="748"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48"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szCs w:val="20"/>
          <w:vertAlign w:val="superscript"/>
        </w:rPr>
        <w:t>1</w:t>
      </w:r>
      <w:r>
        <w:rPr>
          <w:rFonts w:cs="Arial"/>
          <w:szCs w:val="20"/>
        </w:rPr>
        <w:t xml:space="preserve"> = hoog pathogeen, velogeen of niet gekarakteriseerd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szCs w:val="20"/>
          <w:vertAlign w:val="superscript"/>
        </w:rPr>
        <w:t>2</w:t>
      </w:r>
      <w:r>
        <w:rPr>
          <w:rFonts w:cs="Arial"/>
          <w:szCs w:val="20"/>
        </w:rPr>
        <w:t xml:space="preserve"> = pathogeen of niet gekarakteriseerd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szCs w:val="20"/>
          <w:vertAlign w:val="superscript"/>
        </w:rPr>
        <w:t>3</w:t>
      </w:r>
      <w:r>
        <w:rPr>
          <w:rFonts w:cs="Arial"/>
          <w:szCs w:val="20"/>
        </w:rPr>
        <w:t xml:space="preserve"> = plus een ‘vectorproof’ voorziening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algemeen: voor endemisch voorkomende virustypen kan een verzoek voor lagere inschaling bij de CVO worden voorgelegd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 uit: ‘Regeling preventie, bestrijding en monitoring van besmettelijke dierziekten en zoönosen en TSE’s’, Ministerie van Landbouw, Natuur en Voedselkwaliteit, Regeling van 7 juni 2005, nr. TRCJZ/2005/1411</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 met aanvullende quarantainemaatregelen en persoonsregistratie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Bacteriën/Parasieten*</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2305"/>
        <w:gridCol w:w="1801"/>
        <w:gridCol w:w="2125"/>
        <w:gridCol w:w="1657"/>
        <w:gridCol w:w="1441"/>
      </w:tblGrid>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Naam ziekte (Engelse benaming)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Gevoelige diersoort o.a.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Bacterie naam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Inschaling 2008 dierpathogeen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Richtlijn 2000/54/EG (humaan)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Dourine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Trypanosoma equiperdum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Kwade droes (glanders)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Paarden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Burkholderia mallei (Pseudomonas mallei)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Miltvuur (Anthrax)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Meerdere diersoorten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Bacillus antracis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Trichinellose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Meerdere diersoorten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Trichinella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Brucellose bij runderen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Brucella abortus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Brucellose bij honden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Honden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Brucella canis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Brucellose bij schapen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Schapen, geiten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Brucella ovis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Brucellose bij varkens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Varkens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Brucella suis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Brucellose bij schapen en geiten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Schapen, geiten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Brucella melitensis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Brucellose bij walvisachtigen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Walvisachtigen, zeehonden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Brucella ceti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Brucellose bij vinpotigen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Vinpotigen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Brucella pinnipedialis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Bovine tuberculose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Mycobacterium bovis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Tuberculose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honden, katten, wilde fauna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Mycobacterium tuberculosis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Besmettelijke bovine pleuropneumonie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Herkauwers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Mycoplasma mycoïdes spp. mycoïdes SC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Q koorts (Q-fever)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Runderen, schapen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Coxiella burnetii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Amerikaans vuilbroed (American foul brood)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Bijen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Paenibacillus larvae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Kleine bijenkastkever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Bijen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Kleine bijenkastkever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Tropilaelapsmijt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Bijen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Tropilaelapsmijt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Tularaemie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Haasachtigen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Francisella tularensis type A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Tularaemie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Haasachtigen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Francisella tularensis type B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r>
      <w:tr w:rsidR="00FC57C8" w:rsidTr="00F43C9B">
        <w:tc>
          <w:tcPr>
            <w:tcW w:w="23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Psittacose en Ornithose </w:t>
            </w:r>
          </w:p>
        </w:tc>
        <w:tc>
          <w:tcPr>
            <w:tcW w:w="180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Pluimvee </w:t>
            </w:r>
          </w:p>
        </w:tc>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Chlamydophila psittaci </w:t>
            </w:r>
          </w:p>
        </w:tc>
        <w:tc>
          <w:tcPr>
            <w:tcW w:w="165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3/2***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 uit: ‘Regeling preventie, bestrijding en monitoring van besmettelijke dierziekten en zoönosen en TSE’s’, Ministerie van Landbouw, Natuur en Voedselkwaliteit, Regeling van 7 juni 2005, nr. TRCJZ/2005/1411</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 uitgezonderd BCG stam</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 niet gevogelde stammen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szCs w:val="20"/>
        </w:rPr>
        <w:br/>
      </w:r>
      <w:r>
        <w:rPr>
          <w:rFonts w:cs="Arial"/>
          <w:szCs w:val="20"/>
        </w:rPr>
        <w:br/>
      </w:r>
      <w:bookmarkStart w:id="435" w:name="Bijlage4AR"/>
      <w:r>
        <w:rPr>
          <w:rFonts w:cs="Arial"/>
          <w:b/>
          <w:bCs/>
          <w:szCs w:val="20"/>
        </w:rPr>
        <w:t>Bijlage 4. bij de Regeling algemene regels voor inrichtingen milieubeheer</w:t>
      </w:r>
      <w:bookmarkEnd w:id="435"/>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Reken- en meetvoorschrift windturbines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1. Inleiding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Het voorliggende reken- en meetvoorschrift beschrijft de methode om de geluidsbelasting in de omgeving ten gevolge van windturbines en windturbineparken te bepalen. Het voorschrift is in eerste instantie bedoeld voor moderne, hoge windturbines, maar is in principe geschikt voor alle windturbines met horizontale as. Er gelden geen beperkingen met betrekking tot de bronhoogte, de afstand tussen bron en ontvanger, het aantal windturbines, of de technische uitvoering daarvan.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Aanleiding voor het uitbrengen van deze regeling is de wijziging van het beoordelingssysteem. Bij het voorgaande stelsel gold het langtijdgemiddelde beoordelingsniveau </w:t>
      </w:r>
      <w:r>
        <w:rPr>
          <w:rFonts w:cs="Arial"/>
          <w:i/>
          <w:iCs/>
          <w:szCs w:val="20"/>
        </w:rPr>
        <w:t>L</w:t>
      </w:r>
      <w:r>
        <w:rPr>
          <w:rFonts w:cs="Arial"/>
          <w:i/>
          <w:iCs/>
          <w:szCs w:val="20"/>
          <w:vertAlign w:val="subscript"/>
        </w:rPr>
        <w:t>Ar,lt</w:t>
      </w:r>
      <w:r>
        <w:rPr>
          <w:rFonts w:cs="Arial"/>
          <w:i/>
          <w:iCs/>
          <w:szCs w:val="20"/>
        </w:rPr>
        <w:t xml:space="preserve"> </w:t>
      </w:r>
      <w:r>
        <w:rPr>
          <w:rFonts w:cs="Arial"/>
          <w:szCs w:val="20"/>
        </w:rPr>
        <w:t xml:space="preserve"> in de dag-, avond- en nachtperiode als dosismaat en waren de normen gebaseerd op het Activiteitenbesluit c.q. de Handreiking industrielawaai en vergunningverlening. De exacte normering was afhankelijk van de Windnormcurve, waarbij de grenswaarde afhankelijk werd gesteld van de windsnelheid op 10 meter hoogte. Uit diverse onderzoeken is echter gebleken dat die beoordelingssystematiek geen goede indicator is voor hinderbeleving, vooral bij hoge windturbines. Bij het nieuwe beoordelingssysteem wordt overgegaan op de Europese dosismaten </w:t>
      </w:r>
      <w:r>
        <w:rPr>
          <w:rFonts w:cs="Arial"/>
          <w:i/>
          <w:iCs/>
          <w:szCs w:val="20"/>
        </w:rPr>
        <w:t>L</w:t>
      </w:r>
      <w:r>
        <w:rPr>
          <w:rFonts w:cs="Arial"/>
          <w:i/>
          <w:iCs/>
          <w:szCs w:val="20"/>
          <w:vertAlign w:val="subscript"/>
        </w:rPr>
        <w:t>den</w:t>
      </w:r>
      <w:r>
        <w:rPr>
          <w:rFonts w:cs="Arial"/>
          <w:i/>
          <w:iCs/>
          <w:szCs w:val="20"/>
        </w:rPr>
        <w:t xml:space="preserve"> </w:t>
      </w:r>
      <w:r>
        <w:rPr>
          <w:rFonts w:cs="Arial"/>
          <w:szCs w:val="20"/>
        </w:rPr>
        <w:t xml:space="preserve"> en </w:t>
      </w:r>
      <w:r>
        <w:rPr>
          <w:rFonts w:cs="Arial"/>
          <w:i/>
          <w:iCs/>
          <w:szCs w:val="20"/>
        </w:rPr>
        <w:t>L</w:t>
      </w:r>
      <w:r>
        <w:rPr>
          <w:rFonts w:cs="Arial"/>
          <w:i/>
          <w:iCs/>
          <w:szCs w:val="20"/>
          <w:vertAlign w:val="subscript"/>
        </w:rPr>
        <w:t>night</w:t>
      </w:r>
      <w:r>
        <w:rPr>
          <w:rFonts w:cs="Arial"/>
          <w:i/>
          <w:iCs/>
          <w:szCs w:val="20"/>
        </w:rPr>
        <w:t xml:space="preserve"> </w:t>
      </w:r>
      <w:r>
        <w:rPr>
          <w:rFonts w:cs="Arial"/>
          <w:szCs w:val="20"/>
        </w:rPr>
        <w:t>. Bij deze systematiek wordt de geluidsbelasting op de beoordelingspunten gemiddeld over alle etmaal-, respectievelijk nachtperioden van een jaar.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Tevens bleek dat de gangbare extrapolatiemethode voor de bepaling van de windsnelheid op ashoogte, van belang voor het kunnen vaststellen van de geluidproductie, vooral in de nachtelijke periode tot een te lage waarde leidt. Ten gevolge van de zwakkere koppeling tussen luchtlagen kan ’s nachts op ashoogte van moderne turbines een verrassend hoge winsnelheid optreden. De daarmee gepaard gaande hogere geluidsemissie werd onvoldoende in de berekeningen meegenomen. In de hier beschreven reken- en meetmethode wordt aangegeven op welke wijze de emissie van de turbine of turbines, op meer representatieve wijze, afhankelijk van de windstatistiek op ashoogte bepaald wordt. Voorts wordt een rekenwijze beschreven waarin het effect van de statistische verdeling van de windrichting en -snelheid voor de overdracht van het geluid verdisconteerd is.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Het voorschrift omvat een standaardmeetmethode om de windsnelheidsafhankelijke geluidsemissie van windturbines te bepalen indien deze gegevens niet reeds bekend zijn en een standaardrekenmethode, waarmee de geluidsbelasting in de omgeving wordt berekend. Er wordt geen immissiemeetmethode aangereikt. De mogelijkheid om </w:t>
      </w:r>
      <w:r>
        <w:rPr>
          <w:rFonts w:cs="Arial"/>
          <w:i/>
          <w:iCs/>
          <w:szCs w:val="20"/>
        </w:rPr>
        <w:t>L</w:t>
      </w:r>
      <w:r>
        <w:rPr>
          <w:rFonts w:cs="Arial"/>
          <w:i/>
          <w:iCs/>
          <w:szCs w:val="20"/>
          <w:vertAlign w:val="subscript"/>
        </w:rPr>
        <w:t>den</w:t>
      </w:r>
      <w:r>
        <w:rPr>
          <w:rFonts w:cs="Arial"/>
          <w:i/>
          <w:iCs/>
          <w:szCs w:val="20"/>
        </w:rPr>
        <w:t xml:space="preserve"> </w:t>
      </w:r>
      <w:r>
        <w:rPr>
          <w:rFonts w:cs="Arial"/>
          <w:szCs w:val="20"/>
        </w:rPr>
        <w:t xml:space="preserve"> door controlemetingen bij geluidsgevoelige bestemmingen vast te stellen, vervalt dus. Hiertoe zouden metingen moeten worden verricht bij alle mogelijke meteorologische omstandigheden, wat praktisch gezien niet goed uitvoerbaar is.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voorschrift is uitsluitend gericht op equivalent geluid; piekgeluiden zijn bij windturbines niet relevant. De regeling biedt verder geen mogelijkheden om een toeslag toe te kennen voor tonaal of impulsachtig geluid. Het karakteristieke geluid van windturbines is immers meegenomen bij de normstelling.</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Standaardmeetmethode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geluidsemissie van windturbines is afhankelijk van de windsnelheid ter hoogte van de as van de rotor. Voor de exacte bepaling van de jaargemiddelde situatie is het daarom van belang om emissiegegevens te verwerven, behorende bij een groot aantal verschillende windsnelheden.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windbranche is sterk internationaal georiënteerd. Om uitwisseling van gegevens te vergemakkelijken, sluit de standaardmeetmethode goed aan bij de wijdverbreide norm NEN-EN-IEC-61400 deel 11 (2002). De belangrijkste verschillen met deze norm zijn: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Het te bemeten windsnelheidsgebied wordt uitgebreid van 6–10 m/s op 10 meter hoogte tot alle relevante snelheden op ashoogte.</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Het geluidsvermogen wordt gerelateerd aan de windsnelheid op ashoogte in plaats van op de standaardhoogte van 10 meter.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Om de volgende redenen vormen deze verschillen in de praktijk geen belemmering voor het gebruik van door de leverancier opgegeven geluidsspecificaties:</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Gewoonlijk hebben leveranciersgegevens betrekking op een uitgestrekter windsnelheidsgebied dan in de IEC norm is voorgeschreven.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Het op 10 meter hoogte betrokken geluidsvermogen kan foutloos worden geëxtrapoleerd naar ashoogte, mits de windsnelheid is gemeten conform de vermogenscurve methode. Dit is vrijwel altijd het geval.</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Standaardrekenmethode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Voor wat betreft de overdrachtsberekeningen is zo veel mogelijk aansluiting gezocht bij de Handleiding Meten en Rekenen Industrielawaai, uitgave 1999 van het Ministerie van VROM. Methode II.8, die de verzwakkingstermen bij gunstige overdrachts-omstandigheden beschrijft, is (behoudens enkele tekstuele aanpassingen) integraal overgenomen.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meteocorrectie, die geen onderdeel uitmaakt van methode II.8, is wel gewijzigd. De reden hiervoor is dat de verdeling van de windrichting over de windroos niet symmetrisch is. In Nederland is het zuidwesten de overheersende windrichting. Deze windrichting komt niet alleen het meest voor, maar ook de krachtigste winden komen uit die windstreek. Bij overdracht over grote afstanden is gemiddelde overdrachtsdemping in noordoostelijke richting hierdoor lager dan in andere richtingen. Bij andere bronnen dan windturbines (wegen, spoorwegen, industrieterreinen) is dit effect zo klein dat het wordt verwaarloosd. Bij vrijwel alle windturbines neemt de geluidsproductie echter sterk toe met de windsnelheid en doordat de krachtigste winden uit het zuidwesten komen, bestaat er een correlatie tussen geluidsproductie en overdrachtsrichting. Dit leidt er toe dat het effect van een verhoogde geluidsbelasting in noordoostelijke richting wordt versterkt. In geval van windturbines is de asymmetrische verdeling van de windrichting verdisconteerd door meteocorrectieterm afhankelijk te stellen van de richting van de ontvanger ten opzichte van de bron. Het effect hiervan treedt in werking bij grote afstanden tussen windturbine en ontvanger.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 Standaardmeetmethode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2.1. Principe van de meting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Het doel van de meting is het bepalen van het geluidsvermogen per octaafband als functie van de windsnelheid op ashoogte. Ter bepaling van het jaargemiddelde geluidsvermogen dient de geluidsemissie bij een uitgestrekt windsnelheidsgebied te worden gemeten.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geluidsmetingen worden verricht in asrichting, benedenwinds van de turbine (referentierichting). In andere richtingen dan de referentierichting is de geluidsuitstraling van windturbines doorgaans lager. Daarom wordt een (optionele) procedure geboden om een correctiefactor voor de richtwerking vast te stellen. Deze factor is relatief ten opzicht van het in referentierichting uitgestraalde geluidsvermogen.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windsnelheid op ashoogte wordt afgeleid uit het gemeten elektrisch vermogen van de turbine. Hierbij wordt gebruik gemaakt van de vermogenscurve van de turbine. Deze curve geeft de relatie tussen de windsnelheid op ashoogte en het opgewekte elektrische vermogen. Deze methode is nauwkeuriger dan het extrapoleren van de windsnelheid, gemeten op relatief lage hoogte (bijvoorbeeld 10 meter).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geluidsmetingen worden verricht op betrekkelijk korte afstand van de turbine. Om verstoring met stromingsgeluid rond de microfoon en variërende bodemeffecten te voorkomen wordt de microfoon op een vlakke reflecterende plaat bevestigd, zodat er bij elke frequentie sprake is van drukverdubbeling en dus 6 dB toename van het geluidsniveau.</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resultaten van de geluidmetingen worden aangevuld met meteorologische data en met gegevens die door de exploitant van de turbine geleverd dienen te worden, zoals het opgewekte elektrische vermogen en de oriëntatie van de as van de turbine ten opzichte van de heersende windrichting.</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2.2. Apparatuur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Bij de geluidsmetingen wordt de volgende apparatuur gebruikt:</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a)</w:t>
      </w:r>
      <w:r>
        <w:rPr>
          <w:rFonts w:cs="Arial"/>
          <w:szCs w:val="20"/>
        </w:rPr>
        <w:tab/>
        <w:t>Een rondomgevoelige microfoon met een diameter van ten hoogste ½”.</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b)</w:t>
      </w:r>
      <w:r>
        <w:rPr>
          <w:rFonts w:cs="Arial"/>
          <w:szCs w:val="20"/>
        </w:rPr>
        <w:tab/>
        <w:t>Een instrument waarmee de A-weging kan worden uitgevoerd.</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c)</w:t>
      </w:r>
      <w:r>
        <w:rPr>
          <w:rFonts w:cs="Arial"/>
          <w:szCs w:val="20"/>
        </w:rPr>
        <w:tab/>
        <w:t>Een integrerende octaafbandanalysator.</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d)</w:t>
      </w:r>
      <w:r>
        <w:rPr>
          <w:rFonts w:cs="Arial"/>
          <w:szCs w:val="20"/>
        </w:rPr>
        <w:tab/>
        <w:t>Een akoestische ijkbron, die geschikt is voor het gebruikte type microfoon.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e)</w:t>
      </w:r>
      <w:r>
        <w:rPr>
          <w:rFonts w:cs="Arial"/>
          <w:szCs w:val="20"/>
        </w:rPr>
        <w:tab/>
        <w:t>Een ronde geluidsreflecterende plaat met een diameter van minstens 1 meter, vervaardigd van akoestisch hard materiaal; bijvoorbeeld 12 mm multiplex.</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f)</w:t>
      </w:r>
      <w:r>
        <w:rPr>
          <w:rFonts w:cs="Arial"/>
          <w:szCs w:val="20"/>
        </w:rPr>
        <w:tab/>
        <w:t>Een voorziening om windgeruis te onderdrukken zonder daarbij het resultaat te beïnvloeden; bijvoorbeeld de helft van een akoestische windbol.</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functionaliteit van de onder b) en c) genoemde instrumenten is meestal samengevoegd in één apparaat. De meetketen dient te voldoen aan de relevante specificaties voor klasse 1 apparatuur van de NEN-EN-IEC-publicatie 61672 en de octaafbandfilters aan NEN-EN-IEC 61260. De akoestische ijkbron voldoet aan de norm voor klasse 1 apparatuur conform NEN-EN-IEC 60942. De specificaties van de instrumentatie dienen minstens iedere twee jaar te worden gecontroleerd.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meteorologische toestand wordt als volgt geregistreerd:</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g)</w:t>
      </w:r>
      <w:r>
        <w:rPr>
          <w:rFonts w:cs="Arial"/>
          <w:szCs w:val="20"/>
        </w:rPr>
        <w:tab/>
        <w:t>Windsnelheid met een nauwkeurigheid van 0,2 m/s bij windsnelheden van 1 tot 15 m/s.</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h)</w:t>
      </w:r>
      <w:r>
        <w:rPr>
          <w:rFonts w:cs="Arial"/>
          <w:szCs w:val="20"/>
        </w:rPr>
        <w:tab/>
        <w:t>Windrichting met een nauwkeurigheid van 6°.</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i)</w:t>
      </w:r>
      <w:r>
        <w:rPr>
          <w:rFonts w:cs="Arial"/>
          <w:szCs w:val="20"/>
        </w:rPr>
        <w:tab/>
        <w:t>Luchtdruk met een nauwkeurigheid van 1 kPa.</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j)</w:t>
      </w:r>
      <w:r>
        <w:rPr>
          <w:rFonts w:cs="Arial"/>
          <w:szCs w:val="20"/>
        </w:rPr>
        <w:tab/>
        <w:t>Temperatuur met een nauwkeurigheid van 1°C.</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2.3. Meetprocedure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2.3.1. Geluidsmetingen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Meetposities en meetopstelling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Het geluidniveau ten gevolge van de turbine wordt op één verplichte positie en optioneel op 6 posities bepaald. De optionele meetpunten zijn gelijkmatig verdeeld over een cirkel met straal </w:t>
      </w:r>
      <w:r>
        <w:rPr>
          <w:rFonts w:cs="Arial"/>
          <w:i/>
          <w:iCs/>
          <w:szCs w:val="20"/>
        </w:rPr>
        <w:t>R</w:t>
      </w:r>
      <w:r>
        <w:rPr>
          <w:rFonts w:cs="Arial"/>
          <w:i/>
          <w:iCs/>
          <w:szCs w:val="20"/>
          <w:vertAlign w:val="subscript"/>
        </w:rPr>
        <w:t>0</w:t>
      </w:r>
      <w:r>
        <w:rPr>
          <w:rFonts w:cs="Arial"/>
          <w:i/>
          <w:iCs/>
          <w:szCs w:val="20"/>
        </w:rPr>
        <w:t xml:space="preserve"> </w:t>
      </w:r>
      <w:r>
        <w:rPr>
          <w:rFonts w:cs="Arial"/>
          <w:szCs w:val="20"/>
        </w:rPr>
        <w:t xml:space="preserve">, zoals aangegeven in figuur 2.1 en 2.2. Hierbij stelt </w:t>
      </w:r>
      <w:r>
        <w:rPr>
          <w:rFonts w:cs="Arial"/>
          <w:i/>
          <w:iCs/>
          <w:szCs w:val="20"/>
        </w:rPr>
        <w:t>R</w:t>
      </w:r>
      <w:r>
        <w:rPr>
          <w:rFonts w:cs="Arial"/>
          <w:i/>
          <w:iCs/>
          <w:szCs w:val="20"/>
          <w:vertAlign w:val="subscript"/>
        </w:rPr>
        <w:t>0</w:t>
      </w:r>
      <w:r>
        <w:rPr>
          <w:rFonts w:cs="Arial"/>
          <w:i/>
          <w:iCs/>
          <w:szCs w:val="20"/>
        </w:rPr>
        <w:t xml:space="preserve"> </w:t>
      </w:r>
      <w:r>
        <w:rPr>
          <w:rFonts w:cs="Arial"/>
          <w:szCs w:val="20"/>
        </w:rPr>
        <w:t xml:space="preserve"> de horizontale afstand voor tussen het meetpunt en de verticale hartlijn van de turbinemast. Deze afstand is circa:</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2.1) </w:t>
      </w:r>
      <w:r>
        <w:rPr>
          <w:rFonts w:cs="Arial"/>
          <w:i/>
          <w:iCs/>
          <w:szCs w:val="20"/>
        </w:rPr>
        <w:t>R</w:t>
      </w:r>
      <w:r>
        <w:rPr>
          <w:rFonts w:cs="Arial"/>
          <w:i/>
          <w:iCs/>
          <w:szCs w:val="20"/>
          <w:vertAlign w:val="subscript"/>
        </w:rPr>
        <w:t>0</w:t>
      </w:r>
      <w:r>
        <w:rPr>
          <w:rFonts w:cs="Arial"/>
          <w:i/>
          <w:iCs/>
          <w:szCs w:val="20"/>
        </w:rPr>
        <w:t>=H+D/2,</w:t>
      </w:r>
      <w:r>
        <w:rPr>
          <w:rFonts w:cs="Arial"/>
          <w:szCs w:val="20"/>
        </w:rPr>
        <w:t xml:space="preserve"> met</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H</w:t>
      </w:r>
      <w:r>
        <w:rPr>
          <w:rFonts w:cs="Arial"/>
          <w:szCs w:val="20"/>
        </w:rPr>
        <w:t xml:space="preserve"> de verticale afstand tussen het maaiveld en de ashoogte;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D</w:t>
      </w:r>
      <w:r>
        <w:rPr>
          <w:rFonts w:cs="Arial"/>
          <w:szCs w:val="20"/>
        </w:rPr>
        <w:t xml:space="preserve"> de diameter van de rotor.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verplichte referentiemeetpunt P1 bevindt zich benedenwinds van de windturbine en dient ter bepaling van het geluidsvermogen van de turbine. De meetpunten P2 t/m P6 worden gebruikt bij de vaststelling van de correctiefactor voor de richtwerking van de turbine (optioneel). Tijdens de metingen dient de as van de rotor parallel te zijn met de op ashoogte heersende windrichting. Verder mag de richting van de as P1–P4 tot ±15° afwijken van de heersende windrichting.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1DB37E0E" wp14:editId="09F78E38">
            <wp:extent cx="2886075" cy="378142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3781425"/>
                    </a:xfrm>
                    <a:prstGeom prst="rect">
                      <a:avLst/>
                    </a:prstGeom>
                    <a:noFill/>
                    <a:ln>
                      <a:noFill/>
                    </a:ln>
                  </pic:spPr>
                </pic:pic>
              </a:graphicData>
            </a:graphic>
          </wp:inline>
        </w:drawing>
      </w:r>
      <w:r>
        <w:rPr>
          <w:rFonts w:cs="Arial"/>
          <w:szCs w:val="20"/>
        </w:rPr>
        <w:t xml:space="preserve"> </w:t>
      </w:r>
      <w:r>
        <w:rPr>
          <w:rFonts w:cs="Arial"/>
          <w:szCs w:val="20"/>
        </w:rPr>
        <w:br/>
        <w:t xml:space="preserve">figuur 2.1 bovenaanzicht van de geluidmeetposities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7917B77B" wp14:editId="1DE6F248">
            <wp:extent cx="3590925" cy="22955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2295525"/>
                    </a:xfrm>
                    <a:prstGeom prst="rect">
                      <a:avLst/>
                    </a:prstGeom>
                    <a:noFill/>
                    <a:ln>
                      <a:noFill/>
                    </a:ln>
                  </pic:spPr>
                </pic:pic>
              </a:graphicData>
            </a:graphic>
          </wp:inline>
        </w:drawing>
      </w:r>
      <w:r>
        <w:rPr>
          <w:rFonts w:cs="Arial"/>
          <w:szCs w:val="20"/>
        </w:rPr>
        <w:t xml:space="preserve"> </w:t>
      </w:r>
      <w:r>
        <w:rPr>
          <w:rFonts w:cs="Arial"/>
          <w:szCs w:val="20"/>
        </w:rPr>
        <w:br/>
        <w:t>figuur 2.2 schematische weergave meetposities P1 (benedenwinds) en P4 (bovenwinds); doordat het middelpunt van de rotor niet samenvalt met het middelpunt van de mast zullen R</w:t>
      </w:r>
      <w:r>
        <w:rPr>
          <w:rFonts w:cs="Arial"/>
          <w:szCs w:val="20"/>
          <w:vertAlign w:val="subscript"/>
        </w:rPr>
        <w:t>1</w:t>
      </w:r>
      <w:r>
        <w:rPr>
          <w:rFonts w:cs="Arial"/>
          <w:szCs w:val="20"/>
        </w:rPr>
        <w:t xml:space="preserve"> en R</w:t>
      </w:r>
      <w:r>
        <w:rPr>
          <w:rFonts w:cs="Arial"/>
          <w:szCs w:val="20"/>
          <w:vertAlign w:val="subscript"/>
        </w:rPr>
        <w:t>4</w:t>
      </w:r>
      <w:r>
        <w:rPr>
          <w:rFonts w:cs="Arial"/>
          <w:szCs w:val="20"/>
        </w:rPr>
        <w:t xml:space="preserve"> (in geringe mate) verschillen.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directe omgeving van de meetpositie en het gebied tussen de microfoon en de windturbine dient vrij te zijn van obstakels die van invloed zijn op het resultaat.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Bij de metingen is de microfoon op de reflecterende plaat bevestigd met de hartlijn van de microfoon gericht op de windturbine, zoals aangegeven in figuur 2.3. Hierbij sluit de reflecterende plaat goed aan op de bodem.</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3FE96CBA" wp14:editId="78FCFABA">
            <wp:extent cx="5038725" cy="183832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1838325"/>
                    </a:xfrm>
                    <a:prstGeom prst="rect">
                      <a:avLst/>
                    </a:prstGeom>
                    <a:noFill/>
                    <a:ln>
                      <a:noFill/>
                    </a:ln>
                  </pic:spPr>
                </pic:pic>
              </a:graphicData>
            </a:graphic>
          </wp:inline>
        </w:drawing>
      </w:r>
      <w:r>
        <w:rPr>
          <w:rFonts w:cs="Arial"/>
          <w:szCs w:val="20"/>
        </w:rPr>
        <w:t xml:space="preserve"> </w:t>
      </w:r>
      <w:r>
        <w:rPr>
          <w:rFonts w:cs="Arial"/>
          <w:szCs w:val="20"/>
        </w:rPr>
        <w:br/>
        <w:t xml:space="preserve">figuur 2.3 weergave van de meetopstelling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Meetcondities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Bij dichte mist of neerslag mag niet worden gemeten.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Voor en na iedere serie metingen dient het meetsysteem te worden gekalibreerd met een akoestische ijkbron. Bij langdurige metingen dient het meetsysteem ook tussentijds te worden gekalibreerd. Indien blijkt dat de kalibratiewaarden meer dan 0,5 dB afwijken van de initiële waarden, zijn de meetresultaten niet geldig.</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Periodes waarin sprake is van stoorgeluid met een discontinu karakter (zoals incidentele voertuigpassages, vogels, vliegtuigen) worden niet meegenomen in de analyse. Wanneer er sprake is van stoorgeluid van continue aard (zoals windgeruis) wordt hiervoor gecorrigeerd.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Metingen ter bepaling van het windsnelheidsafhankelijke geluidsvermogen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metingen ter bepaling van het windsnelheidsafhankelijke geluidsvermogen van de windturbine worden uitgevoerd op meetpunt P1. Bij de metingen worden de equivalente A-gewogen octaafbandspectra met middenfrequenties van 31,5 tot 8000 Hz vastgesteld over periodes met een duur van minimaal 1,0 minuut.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metingen dienen te worden uitgevoerd bij windsnelheden op ashoogte (</w:t>
      </w:r>
      <w:r>
        <w:rPr>
          <w:rFonts w:cs="Arial"/>
          <w:i/>
          <w:iCs/>
          <w:szCs w:val="20"/>
        </w:rPr>
        <w:t>V</w:t>
      </w:r>
      <w:r>
        <w:rPr>
          <w:rFonts w:cs="Arial"/>
          <w:i/>
          <w:iCs/>
          <w:szCs w:val="20"/>
          <w:vertAlign w:val="subscript"/>
        </w:rPr>
        <w:t>H</w:t>
      </w:r>
      <w:r>
        <w:rPr>
          <w:rFonts w:cs="Arial"/>
          <w:i/>
          <w:iCs/>
          <w:szCs w:val="20"/>
        </w:rPr>
        <w:t xml:space="preserve"> </w:t>
      </w:r>
      <w:r>
        <w:rPr>
          <w:rFonts w:cs="Arial"/>
          <w:szCs w:val="20"/>
        </w:rPr>
        <w:t xml:space="preserve">) die variëren tussen </w:t>
      </w:r>
      <w:r>
        <w:rPr>
          <w:rFonts w:cs="Arial"/>
          <w:i/>
          <w:iCs/>
          <w:szCs w:val="20"/>
        </w:rPr>
        <w:t>V</w:t>
      </w:r>
      <w:r>
        <w:rPr>
          <w:rFonts w:cs="Arial"/>
          <w:i/>
          <w:iCs/>
          <w:szCs w:val="20"/>
          <w:vertAlign w:val="subscript"/>
        </w:rPr>
        <w:t>ci</w:t>
      </w:r>
      <w:r>
        <w:rPr>
          <w:rFonts w:cs="Arial"/>
          <w:i/>
          <w:iCs/>
          <w:szCs w:val="20"/>
        </w:rPr>
        <w:t xml:space="preserve"> </w:t>
      </w:r>
      <w:r>
        <w:rPr>
          <w:rFonts w:cs="Arial"/>
          <w:szCs w:val="20"/>
        </w:rPr>
        <w:t xml:space="preserve"> tot 95% van </w:t>
      </w:r>
      <w:r>
        <w:rPr>
          <w:rFonts w:cs="Arial"/>
          <w:i/>
          <w:iCs/>
          <w:szCs w:val="20"/>
        </w:rPr>
        <w:t>V</w:t>
      </w:r>
      <w:r>
        <w:rPr>
          <w:rFonts w:cs="Arial"/>
          <w:i/>
          <w:iCs/>
          <w:szCs w:val="20"/>
          <w:vertAlign w:val="subscript"/>
        </w:rPr>
        <w:t>rated</w:t>
      </w:r>
      <w:r>
        <w:rPr>
          <w:rFonts w:cs="Arial"/>
          <w:i/>
          <w:iCs/>
          <w:szCs w:val="20"/>
        </w:rPr>
        <w:t xml:space="preserve"> </w:t>
      </w:r>
      <w:r>
        <w:rPr>
          <w:rFonts w:cs="Arial"/>
          <w:szCs w:val="20"/>
        </w:rPr>
        <w:t>. Hier wordt onder verstaan:</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8610"/>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ci</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laagste windsnelheid waarbij de turbine in bedrijf is (cut in snelheid);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rated</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windsnelheid, waarbij de turbine juist het nominale vermogen levert.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Bij iedere gehele waarde van de windsnelheid </w:t>
      </w:r>
      <w:r>
        <w:rPr>
          <w:rFonts w:cs="Arial"/>
          <w:i/>
          <w:iCs/>
          <w:szCs w:val="20"/>
        </w:rPr>
        <w:t>V</w:t>
      </w:r>
      <w:r>
        <w:rPr>
          <w:rFonts w:cs="Arial"/>
          <w:i/>
          <w:iCs/>
          <w:szCs w:val="20"/>
          <w:vertAlign w:val="subscript"/>
        </w:rPr>
        <w:t>H</w:t>
      </w:r>
      <w:r>
        <w:rPr>
          <w:rFonts w:cs="Arial"/>
          <w:i/>
          <w:iCs/>
          <w:szCs w:val="20"/>
        </w:rPr>
        <w:t xml:space="preserve"> </w:t>
      </w:r>
      <w:r>
        <w:rPr>
          <w:rFonts w:cs="Arial"/>
          <w:szCs w:val="20"/>
        </w:rPr>
        <w:t xml:space="preserve"> dienen binnen een marge van ±0,5 m/s minstens drie metingen te worden verricht. De totale meetset bedraagt ten minste 30 metingen van minimaal 1,0 minuut.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Om voldoende gegevens te verkrijgen bij alle relevante windsnelheidscondities kan het noodzakelijk zijn om meerdere meetsessies te organiseren. Bij controlemetingen ten behoeve van handhaving kan het meetprogramma echter worden ingeperkt, zie paragraaf 2.6.</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Rondommetingen ter bepaling van de richtingsindex (optioneel)</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Ter bepaling van de richtingsindex van de windturbine worden simultaan metingen verricht op de meetpunten P1 tot en met P6. Volstaan wordt met de bepaling van het equivalente totale A-gewogen geluidsniveau ten gevolge van de windturbine. De meetserie bestaat uit ten minste 10 metingen per positie met een duur van ieder minimaal 1,0 minuut. De windsnelheid op ashoogte ligt tijdens de metingen tussen 0,75</w:t>
      </w:r>
      <w:r>
        <w:rPr>
          <w:rFonts w:cs="Arial"/>
          <w:i/>
          <w:iCs/>
          <w:szCs w:val="20"/>
        </w:rPr>
        <w:t>V</w:t>
      </w:r>
      <w:r>
        <w:rPr>
          <w:rFonts w:cs="Arial"/>
          <w:i/>
          <w:iCs/>
          <w:szCs w:val="20"/>
          <w:vertAlign w:val="subscript"/>
        </w:rPr>
        <w:t>rated</w:t>
      </w:r>
      <w:r>
        <w:rPr>
          <w:rFonts w:cs="Arial"/>
          <w:i/>
          <w:iCs/>
          <w:szCs w:val="20"/>
        </w:rPr>
        <w:t xml:space="preserve"> </w:t>
      </w:r>
      <w:r>
        <w:rPr>
          <w:rFonts w:cs="Arial"/>
          <w:szCs w:val="20"/>
        </w:rPr>
        <w:t xml:space="preserve"> en 0,95 </w:t>
      </w:r>
      <w:r>
        <w:rPr>
          <w:rFonts w:cs="Arial"/>
          <w:i/>
          <w:iCs/>
          <w:szCs w:val="20"/>
        </w:rPr>
        <w:t>V</w:t>
      </w:r>
      <w:r>
        <w:rPr>
          <w:rFonts w:cs="Arial"/>
          <w:i/>
          <w:iCs/>
          <w:szCs w:val="20"/>
          <w:vertAlign w:val="subscript"/>
        </w:rPr>
        <w:t>rated</w:t>
      </w:r>
      <w:r>
        <w:rPr>
          <w:rFonts w:cs="Arial"/>
          <w:i/>
          <w:iCs/>
          <w:szCs w:val="20"/>
        </w:rPr>
        <w:t>.</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Geluidsmetingen ter bepaling van stoorgeluid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stoorgeluidcorrectie geschiedt op basis van metingen van het achtergrondgeluid bij uitgeschakelde windturbine. Tijdens de achtergrondmetingen dienen geluidmeetpositie, meetopstelling en omstandigheden overeen te komen met de situatie bij ingeschakelde turbine. Het bereik van de te bemeten windsnelheden moet overeenstemmen met de windtoestand op die hoogte bij ingeschakelde turbine.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2.3.2. Windsnelheid op ashoogte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windsnelheid op ashoogte wordt afgeleid van het opgewekte elektrisch vermogen en de vermogenscurvevan de installatie. De vermogenscurve moet zijn vastgesteld volgens een gangbare en controleerbare richtlijn. De periodes waarover het gemiddelde vermogen wordt vastgesteld, hebben een duur van 1,0 minuut en vallen samen met die van de geluidsmetingen.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Bij sommige windturbines kan de geluidsemissie softwarematig worden gestuurd door het verlagen van het rotortoerental (geluidsmodus). Het rendement is dan wel lager dan bij het toerental dat voor energieopwekking het meest optimaal is. Voor een geluidsmodus geldt daardoor een afwijkende vermogenscurve. Vanzelfsprekend dient de te hanteren vermogenscurve betrekking te hebben op de modus die tijdens de metingen is ingesteld.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Alternatieve methoden ter bepaling van de windsnelheid op ashoogte kunnen worden toegepast, indien wordt aangetoond dat de nauwkeurigheid ervan gelijkwaardig is aan of beter is dan de vermogenscurve methode. Het afleiden van de windsnelheid op ashoogte uit metingen op relatief lage hoogte (bijvoorbeeld 10 meter) is onvoldoende nauwkeurig, tenzij sprake is van een kleine windturbine, waarvan de ashoogte lager is dan 20 meter.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2.3.3. Windsnelheid ten behoeve van achtergrondgeluidcorrectie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Ter bepaling van de correctie voor stoorgeluid wordt de windsnelheid (</w:t>
      </w:r>
      <w:r>
        <w:rPr>
          <w:rFonts w:cs="Arial"/>
          <w:i/>
          <w:iCs/>
          <w:szCs w:val="20"/>
        </w:rPr>
        <w:t>VA</w:t>
      </w:r>
      <w:r>
        <w:rPr>
          <w:rFonts w:cs="Arial"/>
          <w:szCs w:val="20"/>
        </w:rPr>
        <w:t xml:space="preserve"> ) gemeten op een afstand van 2</w:t>
      </w:r>
      <w:r>
        <w:rPr>
          <w:rFonts w:cs="Arial"/>
          <w:i/>
          <w:iCs/>
          <w:szCs w:val="20"/>
        </w:rPr>
        <w:t>D</w:t>
      </w:r>
      <w:r>
        <w:rPr>
          <w:rFonts w:cs="Arial"/>
          <w:szCs w:val="20"/>
        </w:rPr>
        <w:t xml:space="preserve"> bovenwinds van de turbine, zowel bij ingeschakelde als bij uitgeschakelde turbine. Hierbij wordt een hoogte aangehouden van 5 tot 10 meter boven het plaatselijke maaiveld. De periodes waarover de gemiddelde windsnelheid wordt bepaald, komen overeen met die van de geluidsmetingen.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2.3.4. Windrichting, temperatuur en luchtdruk</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Informatie over de windrichting op ashoogte, de oriëntatie van de rotoras ten opzichte van de wind, temperatuur en luchtdruk kan worden overgenomen van het informatiesysteem van de turbine. Als alternatief kunnen de metingen worden uitgevoerd op de in paragraaf 2.3.3 aangegeven positie.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2.4. Verwerking van de meetgegevens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2.4.1. Correctie windsnelheid op ashoogte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In het algemeen is de vermogenscurve genormeerd op standaard atmosferische omstandigheden (veelal </w:t>
      </w:r>
      <w:r>
        <w:rPr>
          <w:rFonts w:cs="Arial"/>
          <w:i/>
          <w:iCs/>
          <w:szCs w:val="20"/>
        </w:rPr>
        <w:t>p</w:t>
      </w:r>
      <w:r>
        <w:rPr>
          <w:rFonts w:cs="Arial"/>
          <w:i/>
          <w:iCs/>
          <w:szCs w:val="20"/>
          <w:vertAlign w:val="subscript"/>
        </w:rPr>
        <w:t>ref</w:t>
      </w:r>
      <w:r>
        <w:rPr>
          <w:rFonts w:cs="Arial"/>
          <w:i/>
          <w:iCs/>
          <w:szCs w:val="20"/>
        </w:rPr>
        <w:t xml:space="preserve"> </w:t>
      </w:r>
      <w:r>
        <w:rPr>
          <w:rFonts w:cs="Arial"/>
          <w:szCs w:val="20"/>
        </w:rPr>
        <w:t xml:space="preserve"> = 101,3 kPa en </w:t>
      </w:r>
      <w:r>
        <w:rPr>
          <w:rFonts w:cs="Arial"/>
          <w:i/>
          <w:iCs/>
          <w:szCs w:val="20"/>
        </w:rPr>
        <w:t>T</w:t>
      </w:r>
      <w:r>
        <w:rPr>
          <w:rFonts w:cs="Arial"/>
          <w:i/>
          <w:iCs/>
          <w:szCs w:val="20"/>
          <w:vertAlign w:val="subscript"/>
        </w:rPr>
        <w:t>ref</w:t>
      </w:r>
      <w:r>
        <w:rPr>
          <w:rFonts w:cs="Arial"/>
          <w:i/>
          <w:iCs/>
          <w:szCs w:val="20"/>
        </w:rPr>
        <w:t xml:space="preserve"> </w:t>
      </w:r>
      <w:r>
        <w:rPr>
          <w:rFonts w:cs="Arial"/>
          <w:szCs w:val="20"/>
        </w:rPr>
        <w:t xml:space="preserve"> = 288°K). Bij grote afwijkingen ten opzichte van de standaardcondities worden de met behulp van de vermogenscurveafgeleide windsnelheden gecorrigeerd voor de energie-inhoud van de heersende wind volgens: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2.2)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1C2BA5A3" wp14:editId="517E1FA0">
            <wp:extent cx="1028700" cy="409575"/>
            <wp:effectExtent l="0" t="0" r="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40957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waarbij</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405"/>
        <w:gridCol w:w="7925"/>
      </w:tblGrid>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H</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gecorrigeerde windsnelheid op ashoogte in m/s;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D</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windsnelheid, afgeleid van de power curve in m/s;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p</w:t>
            </w:r>
            <w:r>
              <w:rPr>
                <w:rFonts w:cs="Arial"/>
                <w:i/>
                <w:iCs/>
                <w:sz w:val="16"/>
                <w:szCs w:val="16"/>
                <w:vertAlign w:val="subscript"/>
              </w:rPr>
              <w:t>ref</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referentie luchtdruk;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T</w:t>
            </w:r>
            <w:r>
              <w:rPr>
                <w:rFonts w:cs="Arial"/>
                <w:i/>
                <w:iCs/>
                <w:sz w:val="16"/>
                <w:szCs w:val="16"/>
                <w:vertAlign w:val="subscript"/>
              </w:rPr>
              <w:t>ref</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referentie luchttemperatuur;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p</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luchtdruk in kPa;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T</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luchttemperatuur in K.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2.4.2. Correctie voor stoorgeluid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Het niveau van het stoorgeluid </w:t>
      </w:r>
      <w:r>
        <w:rPr>
          <w:rFonts w:cs="Arial"/>
          <w:i/>
          <w:iCs/>
          <w:szCs w:val="20"/>
        </w:rPr>
        <w:t>L</w:t>
      </w:r>
      <w:r>
        <w:rPr>
          <w:rFonts w:cs="Arial"/>
          <w:i/>
          <w:iCs/>
          <w:szCs w:val="20"/>
          <w:vertAlign w:val="subscript"/>
        </w:rPr>
        <w:t>stoor</w:t>
      </w:r>
      <w:r>
        <w:rPr>
          <w:rFonts w:cs="Arial"/>
          <w:i/>
          <w:iCs/>
          <w:szCs w:val="20"/>
        </w:rPr>
        <w:t xml:space="preserve"> </w:t>
      </w:r>
      <w:r>
        <w:rPr>
          <w:rFonts w:cs="Arial"/>
          <w:szCs w:val="20"/>
        </w:rPr>
        <w:t xml:space="preserve"> wordt berekend op basis van achtergrondmetingen op het betreffende geluidmeetpunt bij uitgeschakelde turbine. Hiertoe worden de geluidsniveaus op P1 (of P1-P6) uitgezet tegen de windsnelheid, gemeten op de in paragraaf 2.3.3 aangegeven posistie. Vervolgens worden de coëfficiënten bepaald van het tweede graads polynoom dat zo goed mogelijk aansluit bij de meetwaarden.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2.3)</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6E902CEA" wp14:editId="2C180D83">
            <wp:extent cx="1562100" cy="180975"/>
            <wp:effectExtent l="0" t="0" r="0"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80975"/>
                    </a:xfrm>
                    <a:prstGeom prst="rect">
                      <a:avLst/>
                    </a:prstGeom>
                    <a:noFill/>
                    <a:ln>
                      <a:noFill/>
                    </a:ln>
                  </pic:spPr>
                </pic:pic>
              </a:graphicData>
            </a:graphic>
          </wp:inline>
        </w:drawing>
      </w:r>
      <w:r>
        <w:rPr>
          <w:rFonts w:cs="Arial"/>
          <w:szCs w:val="20"/>
        </w:rPr>
        <w:t xml:space="preserve"> </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8610"/>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A</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windsnelheid op 5 tot 10 meter hoogte boven het maaiveld, gemeten op een afstand van </w:t>
            </w:r>
            <w:r>
              <w:rPr>
                <w:rFonts w:cs="Arial"/>
                <w:i/>
                <w:iCs/>
                <w:sz w:val="16"/>
                <w:szCs w:val="16"/>
              </w:rPr>
              <w:t>2D</w:t>
            </w:r>
            <w:r>
              <w:rPr>
                <w:rFonts w:cs="Arial"/>
                <w:sz w:val="16"/>
                <w:szCs w:val="16"/>
              </w:rPr>
              <w:t xml:space="preserve"> bovenwinds van de turbine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1-minuutgemiddelde geluidsniveaus, gemeten bij ingeschakelde turbine worden vervolgens gecorrigeerd voor stoorgeluid met: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2.4)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31CB21D9" wp14:editId="58DE51B4">
            <wp:extent cx="1857375" cy="35242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35242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waarbij</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8610"/>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eq</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geluidsniveau ten gevolge van de turbine;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eq</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geluidsniveau ten gevolge van de windturbine inclusief stoorgeluid;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stoor</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niveau van het stoorgeluid, berekend met de op dat moment heersende windsnelheid (</w:t>
            </w:r>
            <w:r>
              <w:rPr>
                <w:rFonts w:cs="Arial"/>
                <w:i/>
                <w:iCs/>
                <w:sz w:val="16"/>
                <w:szCs w:val="16"/>
              </w:rPr>
              <w:t>V</w:t>
            </w:r>
            <w:r>
              <w:rPr>
                <w:rFonts w:cs="Arial"/>
                <w:i/>
                <w:iCs/>
                <w:sz w:val="16"/>
                <w:szCs w:val="16"/>
                <w:vertAlign w:val="subscript"/>
              </w:rPr>
              <w:t>A</w:t>
            </w:r>
            <w:r>
              <w:rPr>
                <w:rFonts w:cs="Arial"/>
                <w:i/>
                <w:iCs/>
                <w:sz w:val="16"/>
                <w:szCs w:val="16"/>
              </w:rPr>
              <w:t xml:space="preserve"> </w:t>
            </w:r>
            <w:r>
              <w:rPr>
                <w:rFonts w:cs="Arial"/>
                <w:sz w:val="16"/>
                <w:szCs w:val="16"/>
              </w:rPr>
              <w:t xml:space="preserve">) volgens formule 2.3.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Ten behoeve van de geluidsvermogensbepaling geschiedt stoorgeluidcorrectie met formule 2.3 en 2.4 per octaafband. Bij het bepalen van de correctiefactor voor de richtwerking kan worden volstaan met correctie van totale A-gewogen niveaus. Het stoorgeluidsniveau </w:t>
      </w:r>
      <w:r>
        <w:rPr>
          <w:rFonts w:cs="Arial"/>
          <w:i/>
          <w:iCs/>
          <w:szCs w:val="20"/>
        </w:rPr>
        <w:t>L</w:t>
      </w:r>
      <w:r>
        <w:rPr>
          <w:rFonts w:cs="Arial"/>
          <w:i/>
          <w:iCs/>
          <w:szCs w:val="20"/>
          <w:vertAlign w:val="subscript"/>
        </w:rPr>
        <w:t>stoor</w:t>
      </w:r>
      <w:r>
        <w:rPr>
          <w:rFonts w:cs="Arial"/>
          <w:i/>
          <w:iCs/>
          <w:szCs w:val="20"/>
        </w:rPr>
        <w:t xml:space="preserve"> </w:t>
      </w:r>
      <w:r>
        <w:rPr>
          <w:rFonts w:cs="Arial"/>
          <w:szCs w:val="20"/>
        </w:rPr>
        <w:t xml:space="preserve"> wordt beperkt tot een waarde die ten minste 3,0 dB onder het niveau bij ingeschakelde turbine ligt.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2.4.3. Bepaling windsnelheidsafhankelijk geluidsvermogen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op P1 gemeten octaafbandniveaus bij ingeschakelde turbine worden uitgezet tegen de windsnelheid op ashoogte. Vervolgens wordt per octaafband de best passende derde graads polynoom berekend van de relatie tussen het geluidniveau in de betreffende octaafband en de gecorrigeerde windsnelheid op ashoogte</w:t>
      </w:r>
      <w:r>
        <w:rPr>
          <w:rFonts w:cs="Arial"/>
          <w:i/>
          <w:iCs/>
          <w:szCs w:val="20"/>
        </w:rPr>
        <w:t>V</w:t>
      </w:r>
      <w:r>
        <w:rPr>
          <w:rFonts w:cs="Arial"/>
          <w:i/>
          <w:iCs/>
          <w:szCs w:val="20"/>
          <w:vertAlign w:val="subscript"/>
        </w:rPr>
        <w:t>H</w:t>
      </w:r>
      <w:r>
        <w:rPr>
          <w:rFonts w:cs="Arial"/>
          <w:i/>
          <w:iCs/>
          <w:szCs w:val="20"/>
        </w:rPr>
        <w:t xml:space="preserve"> </w:t>
      </w:r>
      <w:r>
        <w:rPr>
          <w:rFonts w:cs="Arial"/>
          <w:szCs w:val="20"/>
        </w:rPr>
        <w: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2.5)</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63F1585B" wp14:editId="3CD77F77">
            <wp:extent cx="2200275" cy="2000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20002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i</w:t>
      </w:r>
      <w:r>
        <w:rPr>
          <w:rFonts w:cs="Arial"/>
          <w:szCs w:val="20"/>
        </w:rPr>
        <w:t xml:space="preserve"> 1,2…9 (31,5, 63…8000 Hz)</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Hieruit worden vervolgens bij iedere gehele waarde van de windsnelheid in m/s op ashoogte in het bereik van </w:t>
      </w:r>
      <w:r>
        <w:rPr>
          <w:rFonts w:cs="Arial"/>
          <w:i/>
          <w:iCs/>
          <w:szCs w:val="20"/>
        </w:rPr>
        <w:t>V</w:t>
      </w:r>
      <w:r>
        <w:rPr>
          <w:rFonts w:cs="Arial"/>
          <w:i/>
          <w:iCs/>
          <w:szCs w:val="20"/>
          <w:vertAlign w:val="subscript"/>
        </w:rPr>
        <w:t>ci</w:t>
      </w:r>
      <w:r>
        <w:rPr>
          <w:rFonts w:cs="Arial"/>
          <w:i/>
          <w:iCs/>
          <w:szCs w:val="20"/>
        </w:rPr>
        <w:t xml:space="preserve"> </w:t>
      </w:r>
      <w:r>
        <w:rPr>
          <w:rFonts w:cs="Arial"/>
          <w:szCs w:val="20"/>
        </w:rPr>
        <w:t xml:space="preserve"> tot en met </w:t>
      </w:r>
      <w:r>
        <w:rPr>
          <w:rFonts w:cs="Arial"/>
          <w:i/>
          <w:iCs/>
          <w:szCs w:val="20"/>
        </w:rPr>
        <w:t>V</w:t>
      </w:r>
      <w:r>
        <w:rPr>
          <w:rFonts w:cs="Arial"/>
          <w:i/>
          <w:iCs/>
          <w:szCs w:val="20"/>
          <w:vertAlign w:val="subscript"/>
        </w:rPr>
        <w:t>rated</w:t>
      </w:r>
      <w:r>
        <w:rPr>
          <w:rFonts w:cs="Arial"/>
          <w:i/>
          <w:iCs/>
          <w:szCs w:val="20"/>
        </w:rPr>
        <w:t xml:space="preserve"> </w:t>
      </w:r>
      <w:r>
        <w:rPr>
          <w:rFonts w:cs="Arial"/>
          <w:szCs w:val="20"/>
        </w:rPr>
        <w:t xml:space="preserve"> de equivalente octaafbandniveaus </w:t>
      </w:r>
      <w:r>
        <w:rPr>
          <w:rFonts w:cs="Arial"/>
          <w:i/>
          <w:iCs/>
          <w:szCs w:val="20"/>
        </w:rPr>
        <w:t>L</w:t>
      </w:r>
      <w:r>
        <w:rPr>
          <w:rFonts w:cs="Arial"/>
          <w:i/>
          <w:iCs/>
          <w:szCs w:val="20"/>
          <w:vertAlign w:val="subscript"/>
        </w:rPr>
        <w:t>eq,i,j</w:t>
      </w:r>
      <w:r>
        <w:rPr>
          <w:rFonts w:cs="Arial"/>
          <w:i/>
          <w:iCs/>
          <w:szCs w:val="20"/>
        </w:rPr>
        <w:t xml:space="preserve"> </w:t>
      </w:r>
      <w:r>
        <w:rPr>
          <w:rFonts w:cs="Arial"/>
          <w:szCs w:val="20"/>
        </w:rPr>
        <w:t xml:space="preserve"> berekend.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Het geluidsvermogen per octaafband wordt vervolgens berekend met: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2.6)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3241BAFE" wp14:editId="1EAF760C">
            <wp:extent cx="2781300" cy="25717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25717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waarbij</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405"/>
        <w:gridCol w:w="7925"/>
      </w:tblGrid>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W,i,j</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geluidsvermogen per octaafband </w:t>
            </w:r>
            <w:r>
              <w:rPr>
                <w:rFonts w:cs="Arial"/>
                <w:i/>
                <w:iCs/>
                <w:sz w:val="16"/>
                <w:szCs w:val="16"/>
              </w:rPr>
              <w:t>i</w:t>
            </w:r>
            <w:r>
              <w:rPr>
                <w:rFonts w:cs="Arial"/>
                <w:sz w:val="16"/>
                <w:szCs w:val="16"/>
              </w:rPr>
              <w:t xml:space="preserve"> en per windsnelheidsklasse </w:t>
            </w:r>
            <w:r>
              <w:rPr>
                <w:rFonts w:cs="Arial"/>
                <w:i/>
                <w:iCs/>
                <w:sz w:val="16"/>
                <w:szCs w:val="16"/>
              </w:rPr>
              <w:t>j</w:t>
            </w:r>
            <w:r>
              <w:rPr>
                <w:rFonts w:cs="Arial"/>
                <w:sz w:val="16"/>
                <w:szCs w:val="16"/>
              </w:rPr>
              <w:t xml:space="preserve">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1</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afstand tussen meetpunt P1 en het middelpunt van de rotor, zoals aangegeven in figuur 2.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j</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integer, gelijk aan de windsnelheid in m/s vanaf </w:t>
            </w:r>
            <w:r>
              <w:rPr>
                <w:rFonts w:cs="Arial"/>
                <w:i/>
                <w:iCs/>
                <w:sz w:val="16"/>
                <w:szCs w:val="16"/>
              </w:rPr>
              <w:t>V</w:t>
            </w:r>
            <w:r>
              <w:rPr>
                <w:rFonts w:cs="Arial"/>
                <w:i/>
                <w:iCs/>
                <w:sz w:val="16"/>
                <w:szCs w:val="16"/>
                <w:vertAlign w:val="subscript"/>
              </w:rPr>
              <w:t>ci</w:t>
            </w:r>
            <w:r>
              <w:rPr>
                <w:rFonts w:cs="Arial"/>
                <w:i/>
                <w:iCs/>
                <w:sz w:val="16"/>
                <w:szCs w:val="16"/>
              </w:rPr>
              <w:t xml:space="preserve"> </w:t>
            </w:r>
            <w:r>
              <w:rPr>
                <w:rFonts w:cs="Arial"/>
                <w:sz w:val="16"/>
                <w:szCs w:val="16"/>
              </w:rPr>
              <w:t xml:space="preserve"> tot en met </w:t>
            </w:r>
            <w:r>
              <w:rPr>
                <w:rFonts w:cs="Arial"/>
                <w:i/>
                <w:iCs/>
                <w:sz w:val="16"/>
                <w:szCs w:val="16"/>
              </w:rPr>
              <w:t>V</w:t>
            </w:r>
            <w:r>
              <w:rPr>
                <w:rFonts w:cs="Arial"/>
                <w:i/>
                <w:iCs/>
                <w:sz w:val="16"/>
                <w:szCs w:val="16"/>
                <w:vertAlign w:val="subscript"/>
              </w:rPr>
              <w:t>rated</w:t>
            </w:r>
            <w:r>
              <w:rPr>
                <w:rFonts w:cs="Arial"/>
                <w:i/>
                <w:iCs/>
                <w:sz w:val="16"/>
                <w:szCs w:val="16"/>
              </w:rPr>
              <w:t xml:space="preserve"> </w:t>
            </w:r>
            <w:r>
              <w:rPr>
                <w:rFonts w:cs="Arial"/>
                <w:sz w:val="16"/>
                <w:szCs w:val="16"/>
              </w:rPr>
              <w:t xml:space="preserve">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6</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correctie voor drukverdubbeling als gevolg van meting op reflecterende plaat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2.4.4. Bepaling van de correctiefactor voor de richtwerking (optioneel)</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Voor iedere meetwaarde op meetpunt </w:t>
      </w:r>
      <w:r>
        <w:rPr>
          <w:rFonts w:cs="Arial"/>
          <w:i/>
          <w:iCs/>
          <w:szCs w:val="20"/>
        </w:rPr>
        <w:t>k</w:t>
      </w:r>
      <w:r>
        <w:rPr>
          <w:rFonts w:cs="Arial"/>
          <w:szCs w:val="20"/>
        </w:rPr>
        <w:t xml:space="preserve"> (</w:t>
      </w:r>
      <w:r>
        <w:rPr>
          <w:rFonts w:cs="Arial"/>
          <w:i/>
          <w:iCs/>
          <w:szCs w:val="20"/>
        </w:rPr>
        <w:t>k</w:t>
      </w:r>
      <w:r>
        <w:rPr>
          <w:rFonts w:cs="Arial"/>
          <w:szCs w:val="20"/>
        </w:rPr>
        <w:t>= 1,2,…6) wordt het verschil bepaald met het niveau dat simultaan is geregistreerd op referentiepositie P1. Hierbij wordt als volgt rekening gehouden met het verschil in afstand tot het middelpunt van de rotor: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2.7)</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4C5060AF" wp14:editId="4299E780">
            <wp:extent cx="1647825" cy="35242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waarbij</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405"/>
        <w:gridCol w:w="7925"/>
      </w:tblGrid>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w:t>
            </w:r>
            <w:r>
              <w:rPr>
                <w:rFonts w:cs="Arial"/>
                <w:i/>
                <w:iCs/>
                <w:sz w:val="16"/>
                <w:szCs w:val="16"/>
              </w:rPr>
              <w:t>L</w:t>
            </w:r>
            <w:r>
              <w:rPr>
                <w:rFonts w:cs="Arial"/>
                <w:i/>
                <w:iCs/>
                <w:sz w:val="16"/>
                <w:szCs w:val="16"/>
                <w:vertAlign w:val="subscript"/>
              </w:rPr>
              <w:t>k</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richtingsindex in dB op meetpunt </w:t>
            </w:r>
            <w:r>
              <w:rPr>
                <w:rFonts w:cs="Arial"/>
                <w:i/>
                <w:iCs/>
                <w:sz w:val="16"/>
                <w:szCs w:val="16"/>
              </w:rPr>
              <w:t>k,</w:t>
            </w:r>
            <w:r>
              <w:rPr>
                <w:rFonts w:cs="Arial"/>
                <w:sz w:val="16"/>
                <w:szCs w:val="16"/>
              </w:rPr>
              <w:t xml:space="preserve">relatief ten opzichte van het referentiemeetpunt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L</w:t>
            </w:r>
            <w:r>
              <w:rPr>
                <w:rFonts w:cs="Arial"/>
                <w:sz w:val="16"/>
                <w:szCs w:val="16"/>
                <w:vertAlign w:val="subscript"/>
              </w:rPr>
              <w:t>Aeq,k</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gemeten equivalente geluidsniveau in dB(A) op meetpunt met index </w:t>
            </w:r>
            <w:r>
              <w:rPr>
                <w:rFonts w:cs="Arial"/>
                <w:i/>
                <w:iCs/>
                <w:sz w:val="16"/>
                <w:szCs w:val="16"/>
              </w:rPr>
              <w:t>k</w:t>
            </w:r>
            <w:r>
              <w:rPr>
                <w:rFonts w:cs="Arial"/>
                <w:sz w:val="16"/>
                <w:szCs w:val="16"/>
              </w:rPr>
              <w:t xml:space="preserve">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k</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afstand van meetpunt met index </w:t>
            </w:r>
            <w:r>
              <w:rPr>
                <w:rFonts w:cs="Arial"/>
                <w:i/>
                <w:iCs/>
                <w:sz w:val="16"/>
                <w:szCs w:val="16"/>
              </w:rPr>
              <w:t>k</w:t>
            </w:r>
            <w:r>
              <w:rPr>
                <w:rFonts w:cs="Arial"/>
                <w:sz w:val="16"/>
                <w:szCs w:val="16"/>
              </w:rPr>
              <w:t xml:space="preserve"> tot het middelpunt van de rotor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k</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1,2…6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Vervolgens wordt de correctiefactor voor de richtwerking berekend uit: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2.8)</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2552EFBF" wp14:editId="79C4287B">
            <wp:extent cx="790575" cy="40005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Deze correctiefactor is relatief ten opzichte ten opzichte van het in referentierichting uitgestraalde geluidsvermogen en neemt doorgaans een negatieve waarde aan.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 xml:space="preserve">2.5. Geluidsvermogen bij windsnelheden hoger dan </w:t>
      </w:r>
      <w:r>
        <w:rPr>
          <w:rFonts w:cs="Arial"/>
          <w:b/>
          <w:bCs/>
          <w:i/>
          <w:iCs/>
          <w:szCs w:val="20"/>
        </w:rPr>
        <w:t>V</w:t>
      </w:r>
      <w:r>
        <w:rPr>
          <w:rFonts w:cs="Arial"/>
          <w:b/>
          <w:bCs/>
          <w:i/>
          <w:iCs/>
          <w:szCs w:val="20"/>
          <w:vertAlign w:val="subscript"/>
        </w:rPr>
        <w:t>rated</w:t>
      </w:r>
      <w:r>
        <w:rPr>
          <w:rFonts w:cs="Arial"/>
          <w:b/>
          <w:bCs/>
          <w:i/>
          <w:iCs/>
          <w:szCs w:val="20"/>
        </w:rPr>
        <w:t xml:space="preserve"> </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De vaststelling van de windsnelheid op ashoogte op basis van de vermogenscurve geeft betrouwbare resultaten tot aan de windsnelheid </w:t>
      </w:r>
      <w:r>
        <w:rPr>
          <w:rFonts w:cs="Arial"/>
          <w:i/>
          <w:iCs/>
          <w:szCs w:val="20"/>
        </w:rPr>
        <w:t>V</w:t>
      </w:r>
      <w:r>
        <w:rPr>
          <w:rFonts w:cs="Arial"/>
          <w:i/>
          <w:iCs/>
          <w:szCs w:val="20"/>
          <w:vertAlign w:val="subscript"/>
        </w:rPr>
        <w:t>rated</w:t>
      </w:r>
      <w:r>
        <w:rPr>
          <w:rFonts w:cs="Arial"/>
          <w:i/>
          <w:iCs/>
          <w:szCs w:val="20"/>
        </w:rPr>
        <w:t xml:space="preserve"> </w:t>
      </w:r>
      <w:r>
        <w:rPr>
          <w:rFonts w:cs="Arial"/>
          <w:szCs w:val="20"/>
        </w:rPr>
        <w:t xml:space="preserve"> waarbij de turbine het nominale vermogen (</w:t>
      </w:r>
      <w:r>
        <w:rPr>
          <w:rFonts w:cs="Arial"/>
          <w:i/>
          <w:iCs/>
          <w:szCs w:val="20"/>
        </w:rPr>
        <w:t>P</w:t>
      </w:r>
      <w:r>
        <w:rPr>
          <w:rFonts w:cs="Arial"/>
          <w:i/>
          <w:iCs/>
          <w:szCs w:val="20"/>
          <w:vertAlign w:val="subscript"/>
        </w:rPr>
        <w:t>rated</w:t>
      </w:r>
      <w:r>
        <w:rPr>
          <w:rFonts w:cs="Arial"/>
          <w:i/>
          <w:iCs/>
          <w:szCs w:val="20"/>
        </w:rPr>
        <w:t xml:space="preserve"> </w:t>
      </w:r>
      <w:r>
        <w:rPr>
          <w:rFonts w:cs="Arial"/>
          <w:szCs w:val="20"/>
        </w:rPr>
        <w:t xml:space="preserve">) levert. Als het windaanbod hoger is dan het nominale vermogen van de windturbine wordt de overtollige windenergie niet benut voor de opwekking van elektriciteit. De vermogenscurvemethode is daarom voor waarden boven </w:t>
      </w:r>
      <w:r>
        <w:rPr>
          <w:rFonts w:cs="Arial"/>
          <w:i/>
          <w:iCs/>
          <w:szCs w:val="20"/>
        </w:rPr>
        <w:t>P</w:t>
      </w:r>
      <w:r>
        <w:rPr>
          <w:rFonts w:cs="Arial"/>
          <w:i/>
          <w:iCs/>
          <w:szCs w:val="20"/>
          <w:vertAlign w:val="subscript"/>
        </w:rPr>
        <w:t>rated</w:t>
      </w:r>
      <w:r>
        <w:rPr>
          <w:rFonts w:cs="Arial"/>
          <w:i/>
          <w:iCs/>
          <w:szCs w:val="20"/>
        </w:rPr>
        <w:t xml:space="preserve"> </w:t>
      </w:r>
      <w:r>
        <w:rPr>
          <w:rFonts w:cs="Arial"/>
          <w:szCs w:val="20"/>
        </w:rPr>
        <w:t xml:space="preserve"> niet direct bruikbaar en dientengevolge hoeven voor windsnelheden die uitstijgen boven </w:t>
      </w:r>
      <w:r>
        <w:rPr>
          <w:rFonts w:cs="Arial"/>
          <w:i/>
          <w:iCs/>
          <w:szCs w:val="20"/>
        </w:rPr>
        <w:t>V</w:t>
      </w:r>
      <w:r>
        <w:rPr>
          <w:rFonts w:cs="Arial"/>
          <w:i/>
          <w:iCs/>
          <w:szCs w:val="20"/>
          <w:vertAlign w:val="subscript"/>
        </w:rPr>
        <w:t>rated</w:t>
      </w:r>
      <w:r>
        <w:rPr>
          <w:rFonts w:cs="Arial"/>
          <w:i/>
          <w:iCs/>
          <w:szCs w:val="20"/>
        </w:rPr>
        <w:t xml:space="preserve"> </w:t>
      </w:r>
      <w:r>
        <w:rPr>
          <w:rFonts w:cs="Arial"/>
          <w:szCs w:val="20"/>
        </w:rPr>
        <w:t xml:space="preserve"> geen metingen verricht te worden. Voor de berekening van het jaargemiddelde geluidsvermogen is de informatie bij hoge windsnelheden echter wel nodig.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Vrijwel alle moderne turbines beschikken over een zogenaamde </w:t>
      </w:r>
      <w:r>
        <w:rPr>
          <w:rFonts w:cs="Arial"/>
          <w:i/>
          <w:iCs/>
          <w:szCs w:val="20"/>
        </w:rPr>
        <w:t>pitch</w:t>
      </w:r>
      <w:r>
        <w:rPr>
          <w:rFonts w:cs="Arial"/>
          <w:szCs w:val="20"/>
        </w:rPr>
        <w:t xml:space="preserve"> regeling. Hierbij wordt het aandrijfvermogen boven het nominale vermogen gereduceerd door verkleining van de invalshoek van de rotorbladen. Bij dergelijke turbines is het geluidsvermogen boven </w:t>
      </w:r>
      <w:r>
        <w:rPr>
          <w:rFonts w:cs="Arial"/>
          <w:i/>
          <w:iCs/>
          <w:szCs w:val="20"/>
        </w:rPr>
        <w:t>P</w:t>
      </w:r>
      <w:r>
        <w:rPr>
          <w:rFonts w:cs="Arial"/>
          <w:i/>
          <w:iCs/>
          <w:szCs w:val="20"/>
          <w:vertAlign w:val="subscript"/>
        </w:rPr>
        <w:t>rated</w:t>
      </w:r>
      <w:r>
        <w:rPr>
          <w:rFonts w:cs="Arial"/>
          <w:i/>
          <w:iCs/>
          <w:szCs w:val="20"/>
        </w:rPr>
        <w:t xml:space="preserve"> </w:t>
      </w:r>
      <w:r>
        <w:rPr>
          <w:rFonts w:cs="Arial"/>
          <w:szCs w:val="20"/>
        </w:rPr>
        <w:t xml:space="preserve"> nagenoeg onafhankelijk van de windsnelheid. Daarom wordt voor dergelijke windturbines uitgegaan van: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2.9) </w:t>
      </w:r>
      <w:r>
        <w:rPr>
          <w:rFonts w:cs="Arial"/>
          <w:i/>
          <w:iCs/>
          <w:szCs w:val="20"/>
        </w:rPr>
        <w:t>L</w:t>
      </w:r>
      <w:r>
        <w:rPr>
          <w:rFonts w:cs="Arial"/>
          <w:i/>
          <w:iCs/>
          <w:szCs w:val="20"/>
          <w:vertAlign w:val="subscript"/>
        </w:rPr>
        <w:t>W,i,j</w:t>
      </w:r>
      <w:r>
        <w:rPr>
          <w:rFonts w:cs="Arial"/>
          <w:i/>
          <w:iCs/>
          <w:szCs w:val="20"/>
        </w:rPr>
        <w:t xml:space="preserve"> = L</w:t>
      </w:r>
      <w:r>
        <w:rPr>
          <w:rFonts w:cs="Arial"/>
          <w:i/>
          <w:iCs/>
          <w:szCs w:val="20"/>
          <w:vertAlign w:val="subscript"/>
        </w:rPr>
        <w:t>W,i,Vrated</w:t>
      </w:r>
      <w:r>
        <w:rPr>
          <w:rFonts w:cs="Arial"/>
          <w:i/>
          <w:iCs/>
          <w:szCs w:val="20"/>
        </w:rPr>
        <w:t xml:space="preserve"> </w:t>
      </w:r>
      <w:r>
        <w:rPr>
          <w:rFonts w:cs="Arial"/>
          <w:szCs w:val="20"/>
        </w:rPr>
        <w:t xml:space="preserve"> bij </w:t>
      </w:r>
      <w:r>
        <w:rPr>
          <w:rFonts w:cs="Arial"/>
          <w:i/>
          <w:iCs/>
          <w:szCs w:val="20"/>
        </w:rPr>
        <w:t>V</w:t>
      </w:r>
      <w:r>
        <w:rPr>
          <w:rFonts w:cs="Arial"/>
          <w:i/>
          <w:iCs/>
          <w:szCs w:val="20"/>
          <w:vertAlign w:val="subscript"/>
        </w:rPr>
        <w:t>rated</w:t>
      </w:r>
      <w:r>
        <w:rPr>
          <w:rFonts w:cs="Arial"/>
          <w:i/>
          <w:iCs/>
          <w:szCs w:val="20"/>
        </w:rPr>
        <w:t xml:space="preserve"> </w:t>
      </w:r>
      <w:r>
        <w:rPr>
          <w:rFonts w:cs="Arial"/>
          <w:szCs w:val="20"/>
        </w:rPr>
        <w:t xml:space="preserve">&lt; </w:t>
      </w:r>
      <w:r>
        <w:rPr>
          <w:rFonts w:cs="Arial"/>
          <w:i/>
          <w:iCs/>
          <w:szCs w:val="20"/>
        </w:rPr>
        <w:t>j</w:t>
      </w:r>
      <w:r>
        <w:rPr>
          <w:rFonts w:cs="Arial"/>
          <w:szCs w:val="20"/>
        </w:rPr>
        <w:t xml:space="preserve">≤ </w:t>
      </w:r>
      <w:r>
        <w:rPr>
          <w:rFonts w:cs="Arial"/>
          <w:i/>
          <w:iCs/>
          <w:szCs w:val="20"/>
        </w:rPr>
        <w:t>V</w:t>
      </w:r>
      <w:r>
        <w:rPr>
          <w:rFonts w:cs="Arial"/>
          <w:i/>
          <w:iCs/>
          <w:szCs w:val="20"/>
          <w:vertAlign w:val="subscript"/>
        </w:rPr>
        <w:t>co</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Hierbij stelt </w:t>
      </w:r>
      <w:r>
        <w:rPr>
          <w:rFonts w:cs="Arial"/>
          <w:i/>
          <w:iCs/>
          <w:szCs w:val="20"/>
        </w:rPr>
        <w:t>V</w:t>
      </w:r>
      <w:r>
        <w:rPr>
          <w:rFonts w:cs="Arial"/>
          <w:i/>
          <w:iCs/>
          <w:szCs w:val="20"/>
          <w:vertAlign w:val="subscript"/>
        </w:rPr>
        <w:t>co</w:t>
      </w:r>
      <w:r>
        <w:rPr>
          <w:rFonts w:cs="Arial"/>
          <w:i/>
          <w:iCs/>
          <w:szCs w:val="20"/>
        </w:rPr>
        <w:t xml:space="preserve"> </w:t>
      </w:r>
      <w:r>
        <w:rPr>
          <w:rFonts w:cs="Arial"/>
          <w:szCs w:val="20"/>
        </w:rPr>
        <w:t xml:space="preserve"> de hoogste windsnelheid voor, waarbij de turbine in bedrijf is (</w:t>
      </w:r>
      <w:r>
        <w:rPr>
          <w:rFonts w:cs="Arial"/>
          <w:i/>
          <w:iCs/>
          <w:szCs w:val="20"/>
        </w:rPr>
        <w:t>cut out</w:t>
      </w:r>
      <w:r>
        <w:rPr>
          <w:rFonts w:cs="Arial"/>
          <w:szCs w:val="20"/>
        </w:rPr>
        <w:t xml:space="preserve"> snelheid).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Bij een beperkte groep windturbines wordt het elektrisch vermogen boven </w:t>
      </w:r>
      <w:r>
        <w:rPr>
          <w:rFonts w:cs="Arial"/>
          <w:i/>
          <w:iCs/>
          <w:szCs w:val="20"/>
        </w:rPr>
        <w:t>P</w:t>
      </w:r>
      <w:r>
        <w:rPr>
          <w:rFonts w:cs="Arial"/>
          <w:i/>
          <w:iCs/>
          <w:szCs w:val="20"/>
          <w:vertAlign w:val="subscript"/>
        </w:rPr>
        <w:t>rated</w:t>
      </w:r>
      <w:r>
        <w:rPr>
          <w:rFonts w:cs="Arial"/>
          <w:i/>
          <w:iCs/>
          <w:szCs w:val="20"/>
        </w:rPr>
        <w:t xml:space="preserve"> </w:t>
      </w:r>
      <w:r>
        <w:rPr>
          <w:rFonts w:cs="Arial"/>
          <w:szCs w:val="20"/>
        </w:rPr>
        <w:t xml:space="preserve"> passief gereduceerd, doordat de rotorbladen in overtrektoestand geraken (</w:t>
      </w:r>
      <w:r>
        <w:rPr>
          <w:rFonts w:cs="Arial"/>
          <w:i/>
          <w:iCs/>
          <w:szCs w:val="20"/>
        </w:rPr>
        <w:t>stall</w:t>
      </w:r>
      <w:r>
        <w:rPr>
          <w:rFonts w:cs="Arial"/>
          <w:szCs w:val="20"/>
        </w:rPr>
        <w:t xml:space="preserve"> regeling). Bij </w:t>
      </w:r>
      <w:r>
        <w:rPr>
          <w:rFonts w:cs="Arial"/>
          <w:i/>
          <w:iCs/>
          <w:szCs w:val="20"/>
        </w:rPr>
        <w:t>stall</w:t>
      </w:r>
      <w:r>
        <w:rPr>
          <w:rFonts w:cs="Arial"/>
          <w:szCs w:val="20"/>
        </w:rPr>
        <w:t xml:space="preserve"> geregelde turbines neemt de geluidsemissie boven </w:t>
      </w:r>
      <w:r>
        <w:rPr>
          <w:rFonts w:cs="Arial"/>
          <w:i/>
          <w:iCs/>
          <w:szCs w:val="20"/>
        </w:rPr>
        <w:t>P</w:t>
      </w:r>
      <w:r>
        <w:rPr>
          <w:rFonts w:cs="Arial"/>
          <w:i/>
          <w:iCs/>
          <w:szCs w:val="20"/>
          <w:vertAlign w:val="subscript"/>
        </w:rPr>
        <w:t>rated</w:t>
      </w:r>
      <w:r>
        <w:rPr>
          <w:rFonts w:cs="Arial"/>
          <w:i/>
          <w:iCs/>
          <w:szCs w:val="20"/>
        </w:rPr>
        <w:t xml:space="preserve"> </w:t>
      </w:r>
      <w:r>
        <w:rPr>
          <w:rFonts w:cs="Arial"/>
          <w:szCs w:val="20"/>
        </w:rPr>
        <w:t xml:space="preserve"> in de regel sterk toe met de windsnelheid. Voor dit type windturbines mag worden uitgegaan van formule 2.9 als de windsnelheid op ashoogte niet meer dan 10% van de tijd hoger is dan </w:t>
      </w:r>
      <w:r>
        <w:rPr>
          <w:rFonts w:cs="Arial"/>
          <w:i/>
          <w:iCs/>
          <w:szCs w:val="20"/>
        </w:rPr>
        <w:t>V</w:t>
      </w:r>
      <w:r>
        <w:rPr>
          <w:rFonts w:cs="Arial"/>
          <w:i/>
          <w:iCs/>
          <w:szCs w:val="20"/>
          <w:vertAlign w:val="subscript"/>
        </w:rPr>
        <w:t>rated</w:t>
      </w:r>
      <w:r>
        <w:rPr>
          <w:rFonts w:cs="Arial"/>
          <w:i/>
          <w:iCs/>
          <w:szCs w:val="20"/>
        </w:rPr>
        <w:t xml:space="preserve"> </w:t>
      </w:r>
      <w:r>
        <w:rPr>
          <w:rFonts w:cs="Arial"/>
          <w:szCs w:val="20"/>
        </w:rPr>
        <w:t>. Indien niet aan deze voorwaarde wordt voldaan, dient een specialistische meet- of rekenmethode te worden gehanteerd ter bepaling van het geluidsvermogen in het betreffende windsnelheidsgebied.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2.6. Handhaving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Handhaving door middel van immissiemetingen is door de invloed van stoorgeluid en problemen ten aanzien van representativiteit niet goed mogelijk. Daarom worden handhavingsmetingen toegespitst op controle van het geluidsvermogen.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bepalen van het geluidsvermogen bij alle voorkomende windsnelheden kan tijdrovend zijn en is in het algemeen niet nodig. Daarom kan – ter beoordeling van het bevoegd gezag – worden volstaan met steekproefsgewijze controle van het geluidsvermogen. De uitvoering en uitwerking hiervan geschiedt conform de methode die in voorgaande paragrafen is beschreven, met uitzondering van het volgende:</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 xml:space="preserve">Bij de te onderzoeken gehele waarde van de windsnelheid op ashoogte (index </w:t>
      </w:r>
      <w:r>
        <w:rPr>
          <w:rFonts w:cs="Arial"/>
          <w:i/>
          <w:iCs/>
          <w:szCs w:val="20"/>
        </w:rPr>
        <w:t>j</w:t>
      </w:r>
      <w:r>
        <w:rPr>
          <w:rFonts w:cs="Arial"/>
          <w:szCs w:val="20"/>
        </w:rPr>
        <w:t xml:space="preserve">) worden binnen een marge van ±0,5 m/s minstens </w:t>
      </w:r>
      <w:r>
        <w:rPr>
          <w:rFonts w:cs="Arial"/>
          <w:i/>
          <w:iCs/>
          <w:szCs w:val="20"/>
        </w:rPr>
        <w:t>zes</w:t>
      </w:r>
      <w:r>
        <w:rPr>
          <w:rFonts w:cs="Arial"/>
          <w:szCs w:val="20"/>
        </w:rPr>
        <w:t xml:space="preserve"> metingen verricht met een duur van ten minste 1,0 minuut per meting.</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 xml:space="preserve">De </w:t>
      </w:r>
      <w:r>
        <w:rPr>
          <w:rFonts w:cs="Arial"/>
          <w:i/>
          <w:iCs/>
          <w:szCs w:val="20"/>
        </w:rPr>
        <w:t>totale A-gewogen niveaus</w:t>
      </w:r>
      <w:r>
        <w:rPr>
          <w:rFonts w:cs="Arial"/>
          <w:szCs w:val="20"/>
        </w:rPr>
        <w:t xml:space="preserve"> worden beschouwd in plaats van octaafbandniveaus.</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 xml:space="preserve">Op de gemeten totale A-gewogen niveaus wordt </w:t>
      </w:r>
      <w:r>
        <w:rPr>
          <w:rFonts w:cs="Arial"/>
          <w:i/>
          <w:iCs/>
          <w:szCs w:val="20"/>
        </w:rPr>
        <w:t>lineaire regressie</w:t>
      </w:r>
      <w:r>
        <w:rPr>
          <w:rFonts w:cs="Arial"/>
          <w:szCs w:val="20"/>
        </w:rPr>
        <w:t xml:space="preserve"> uitgevoerd, waarna het geluidsvermogen bij de gehele waarde van de windsnelheid op ashoogte(index </w:t>
      </w:r>
      <w:r>
        <w:rPr>
          <w:rFonts w:cs="Arial"/>
          <w:i/>
          <w:iCs/>
          <w:szCs w:val="20"/>
        </w:rPr>
        <w:t>j</w:t>
      </w:r>
      <w:r>
        <w:rPr>
          <w:rFonts w:cs="Arial"/>
          <w:szCs w:val="20"/>
        </w:rPr>
        <w:t>) wordt berekend.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Bij de bepaling van de windsnelheid op ashoogte wordt in principe uitgegaan van door de exploitant aan te leveren productiegegevens. De gegevens kunnen in veel gevallen extern worden getoetst door registratie van het rotortoerental.</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 Standaardrekenmethode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3.1. Principe van de berekening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De geluidsbelasting wordt uitgedrukt in </w:t>
      </w:r>
      <w:r>
        <w:rPr>
          <w:rFonts w:cs="Arial"/>
          <w:i/>
          <w:iCs/>
          <w:szCs w:val="20"/>
        </w:rPr>
        <w:t>L</w:t>
      </w:r>
      <w:r>
        <w:rPr>
          <w:rFonts w:cs="Arial"/>
          <w:i/>
          <w:iCs/>
          <w:szCs w:val="20"/>
          <w:vertAlign w:val="subscript"/>
        </w:rPr>
        <w:t>den</w:t>
      </w:r>
      <w:r>
        <w:rPr>
          <w:rFonts w:cs="Arial"/>
          <w:i/>
          <w:iCs/>
          <w:szCs w:val="20"/>
        </w:rPr>
        <w:t xml:space="preserve"> </w:t>
      </w:r>
      <w:r>
        <w:rPr>
          <w:rFonts w:cs="Arial"/>
          <w:szCs w:val="20"/>
        </w:rPr>
        <w:t xml:space="preserve"> en </w:t>
      </w:r>
      <w:r>
        <w:rPr>
          <w:rFonts w:cs="Arial"/>
          <w:i/>
          <w:iCs/>
          <w:szCs w:val="20"/>
        </w:rPr>
        <w:t>L</w:t>
      </w:r>
      <w:r>
        <w:rPr>
          <w:rFonts w:cs="Arial"/>
          <w:i/>
          <w:iCs/>
          <w:szCs w:val="20"/>
          <w:vertAlign w:val="subscript"/>
        </w:rPr>
        <w:t>night</w:t>
      </w:r>
      <w:r>
        <w:rPr>
          <w:rFonts w:cs="Arial"/>
          <w:i/>
          <w:iCs/>
          <w:szCs w:val="20"/>
        </w:rPr>
        <w:t xml:space="preserve"> </w:t>
      </w:r>
      <w:r>
        <w:rPr>
          <w:rFonts w:cs="Arial"/>
          <w:szCs w:val="20"/>
        </w:rPr>
        <w:t xml:space="preserve">. De beoordelingsmaat </w:t>
      </w:r>
      <w:r>
        <w:rPr>
          <w:rFonts w:cs="Arial"/>
          <w:i/>
          <w:iCs/>
          <w:szCs w:val="20"/>
        </w:rPr>
        <w:t>L</w:t>
      </w:r>
      <w:r>
        <w:rPr>
          <w:rFonts w:cs="Arial"/>
          <w:i/>
          <w:iCs/>
          <w:szCs w:val="20"/>
          <w:vertAlign w:val="subscript"/>
        </w:rPr>
        <w:t>den</w:t>
      </w:r>
      <w:r>
        <w:rPr>
          <w:rFonts w:cs="Arial"/>
          <w:i/>
          <w:iCs/>
          <w:szCs w:val="20"/>
        </w:rPr>
        <w:t xml:space="preserve"> </w:t>
      </w:r>
      <w:r>
        <w:rPr>
          <w:rFonts w:cs="Arial"/>
          <w:szCs w:val="20"/>
        </w:rPr>
        <w:t xml:space="preserve"> is het gewogen jaargemiddelde van het equivalente geluidsniveau met een toeslag van 5 dB voor de avond- en 10 dB voor de nachtperiode. De maat </w:t>
      </w:r>
      <w:r>
        <w:rPr>
          <w:rFonts w:cs="Arial"/>
          <w:i/>
          <w:iCs/>
          <w:szCs w:val="20"/>
        </w:rPr>
        <w:t>L</w:t>
      </w:r>
      <w:r>
        <w:rPr>
          <w:rFonts w:cs="Arial"/>
          <w:i/>
          <w:iCs/>
          <w:szCs w:val="20"/>
          <w:vertAlign w:val="subscript"/>
        </w:rPr>
        <w:t>night</w:t>
      </w:r>
      <w:r>
        <w:rPr>
          <w:rFonts w:cs="Arial"/>
          <w:i/>
          <w:iCs/>
          <w:szCs w:val="20"/>
        </w:rPr>
        <w:t xml:space="preserve"> </w:t>
      </w:r>
      <w:r>
        <w:rPr>
          <w:rFonts w:cs="Arial"/>
          <w:szCs w:val="20"/>
        </w:rPr>
        <w:t>is het gemiddelde equivalente geluidsniveau over alle nachtperioden in een jaar.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 algemene zin wordt het equivalente geluidsniveau L</w:t>
      </w:r>
      <w:r>
        <w:rPr>
          <w:rFonts w:cs="Arial"/>
          <w:szCs w:val="20"/>
          <w:vertAlign w:val="subscript"/>
        </w:rPr>
        <w:t>Aeq,T</w:t>
      </w:r>
      <w:r>
        <w:rPr>
          <w:rFonts w:cs="Arial"/>
          <w:szCs w:val="20"/>
        </w:rPr>
        <w:t xml:space="preserve"> in dB(A) over een tijdvak T van t</w:t>
      </w:r>
      <w:r>
        <w:rPr>
          <w:rFonts w:cs="Arial"/>
          <w:szCs w:val="20"/>
          <w:vertAlign w:val="subscript"/>
        </w:rPr>
        <w:t>1</w:t>
      </w:r>
      <w:r>
        <w:rPr>
          <w:rFonts w:cs="Arial"/>
          <w:szCs w:val="20"/>
        </w:rPr>
        <w:t xml:space="preserve"> tot t</w:t>
      </w:r>
      <w:r>
        <w:rPr>
          <w:rFonts w:cs="Arial"/>
          <w:szCs w:val="20"/>
          <w:vertAlign w:val="subscript"/>
        </w:rPr>
        <w:t>2</w:t>
      </w:r>
      <w:r>
        <w:rPr>
          <w:rFonts w:cs="Arial"/>
          <w:szCs w:val="20"/>
        </w:rPr>
        <w:t xml:space="preserve"> als volgt bepaald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7551FC6D" wp14:editId="654DEAA4">
            <wp:extent cx="2124075" cy="476250"/>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476250"/>
                    </a:xfrm>
                    <a:prstGeom prst="rect">
                      <a:avLst/>
                    </a:prstGeom>
                    <a:noFill/>
                    <a:ln>
                      <a:noFill/>
                    </a:ln>
                  </pic:spPr>
                </pic:pic>
              </a:graphicData>
            </a:graphic>
          </wp:inline>
        </w:drawing>
      </w:r>
      <w:r>
        <w:rPr>
          <w:rFonts w:cs="Arial"/>
          <w:szCs w:val="20"/>
        </w:rPr>
        <w:t xml:space="preserve"> </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1405"/>
        <w:gridCol w:w="7205"/>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met </w:t>
            </w:r>
          </w:p>
        </w:tc>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 </w:t>
            </w:r>
          </w:p>
        </w:tc>
        <w:tc>
          <w:tcPr>
            <w:tcW w:w="72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t</w:t>
            </w:r>
            <w:r>
              <w:rPr>
                <w:rFonts w:cs="Arial"/>
                <w:sz w:val="16"/>
                <w:szCs w:val="16"/>
                <w:vertAlign w:val="subscript"/>
              </w:rPr>
              <w:t>2</w:t>
            </w:r>
            <w:r>
              <w:rPr>
                <w:rFonts w:cs="Arial"/>
                <w:sz w:val="16"/>
                <w:szCs w:val="16"/>
              </w:rPr>
              <w:t xml:space="preserve"> – t</w:t>
            </w:r>
            <w:r>
              <w:rPr>
                <w:rFonts w:cs="Arial"/>
                <w:sz w:val="16"/>
                <w:szCs w:val="16"/>
                <w:vertAlign w:val="subscript"/>
              </w:rPr>
              <w:t>1</w:t>
            </w:r>
            <w:r>
              <w:rPr>
                <w:rFonts w:cs="Arial"/>
                <w:sz w:val="16"/>
                <w:szCs w:val="16"/>
              </w:rPr>
              <w:t xml:space="preserve">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p</w:t>
            </w:r>
            <w:r>
              <w:rPr>
                <w:rFonts w:cs="Arial"/>
                <w:sz w:val="16"/>
                <w:szCs w:val="16"/>
                <w:vertAlign w:val="subscript"/>
              </w:rPr>
              <w:t>A(t)</w:t>
            </w:r>
            <w:r>
              <w:rPr>
                <w:rFonts w:cs="Arial"/>
                <w:sz w:val="16"/>
                <w:szCs w:val="16"/>
              </w:rPr>
              <w:t xml:space="preserve"> </w:t>
            </w:r>
          </w:p>
        </w:tc>
        <w:tc>
          <w:tcPr>
            <w:tcW w:w="72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de A-gewogen momentane geluidsdruk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 </w:t>
            </w:r>
          </w:p>
        </w:tc>
        <w:tc>
          <w:tcPr>
            <w:tcW w:w="72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referentiedruk van 20 µPa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Het equivalente geluidsniveau </w:t>
      </w:r>
      <w:r>
        <w:rPr>
          <w:rFonts w:cs="Arial"/>
          <w:i/>
          <w:iCs/>
          <w:szCs w:val="20"/>
        </w:rPr>
        <w:t>L</w:t>
      </w:r>
      <w:r>
        <w:rPr>
          <w:rFonts w:cs="Arial"/>
          <w:i/>
          <w:iCs/>
          <w:szCs w:val="20"/>
          <w:vertAlign w:val="subscript"/>
        </w:rPr>
        <w:t>eq</w:t>
      </w:r>
      <w:r>
        <w:rPr>
          <w:rFonts w:cs="Arial"/>
          <w:i/>
          <w:iCs/>
          <w:szCs w:val="20"/>
        </w:rPr>
        <w:t xml:space="preserve"> </w:t>
      </w:r>
      <w:r>
        <w:rPr>
          <w:rFonts w:cs="Arial"/>
          <w:szCs w:val="20"/>
        </w:rPr>
        <w:t xml:space="preserve"> van een windturbine wordt berekend als de som van de jaargemiddelde geluidsemissie </w:t>
      </w:r>
      <w:r>
        <w:rPr>
          <w:rFonts w:cs="Arial"/>
          <w:i/>
          <w:iCs/>
          <w:szCs w:val="20"/>
        </w:rPr>
        <w:t>L</w:t>
      </w:r>
      <w:r>
        <w:rPr>
          <w:rFonts w:cs="Arial"/>
          <w:i/>
          <w:iCs/>
          <w:szCs w:val="20"/>
          <w:vertAlign w:val="subscript"/>
        </w:rPr>
        <w:t>E</w:t>
      </w:r>
      <w:r>
        <w:rPr>
          <w:rFonts w:cs="Arial"/>
          <w:i/>
          <w:iCs/>
          <w:szCs w:val="20"/>
        </w:rPr>
        <w:t xml:space="preserve"> </w:t>
      </w:r>
      <w:r>
        <w:rPr>
          <w:rFonts w:cs="Arial"/>
          <w:szCs w:val="20"/>
        </w:rPr>
        <w:t>, de geluidsoverdracht van de bron naar het beoordelingspunt bij gestandaardiseerde (gunstige) omstandigheden Σ</w:t>
      </w:r>
      <w:r>
        <w:rPr>
          <w:rFonts w:cs="Arial"/>
          <w:i/>
          <w:iCs/>
          <w:szCs w:val="20"/>
        </w:rPr>
        <w:t>D</w:t>
      </w:r>
      <w:r>
        <w:rPr>
          <w:rFonts w:cs="Arial"/>
          <w:szCs w:val="20"/>
        </w:rPr>
        <w:t xml:space="preserve"> en de meteocorrectieterm </w:t>
      </w:r>
      <w:r>
        <w:rPr>
          <w:rFonts w:cs="Arial"/>
          <w:i/>
          <w:iCs/>
          <w:szCs w:val="20"/>
        </w:rPr>
        <w:t>C</w:t>
      </w:r>
      <w:r>
        <w:rPr>
          <w:rFonts w:cs="Arial"/>
          <w:i/>
          <w:iCs/>
          <w:szCs w:val="20"/>
          <w:vertAlign w:val="subscript"/>
        </w:rPr>
        <w:t>meteo</w:t>
      </w:r>
      <w:r>
        <w:rPr>
          <w:rFonts w:cs="Arial"/>
          <w:i/>
          <w:iCs/>
          <w:szCs w:val="20"/>
        </w:rPr>
        <w:t xml:space="preserve"> </w:t>
      </w:r>
      <w:r>
        <w:rPr>
          <w:rFonts w:cs="Arial"/>
          <w:szCs w:val="20"/>
        </w:rPr>
        <w:t>. De berekening wordt uitgesplitst per dag-, avond- en nachtperiode.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emissieterm wordt bepaald uit de convolutie van het windsnelheidsafhankelijke geluidsvermogen en de langjaargemiddelde lokale windsnelheidsverdeling op ashoogte. Indien de bron niet kan worden gekenmerkt door een zuivere monopool en dus niet in alle richtingen gelijkmatig uitstraalt, kan de richtingsindex worden meegewogen.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geluidsoverdracht bij gestandaardiseerde omstandigheden wordt getypeerd door een positieve verticale geluidssnelheidsgradiënt. Dit betekent wind in de richting van het beoordelingspunt en een geringe invloed van de temperatuursgradiënt. De methode om de overdracht te berekenen is integraal overgenomen uit de Handleiding Meten en Rekenen Industrielawaai, uitgave 1999 van het Ministerie van VROM (methode II.8). Deze methode wordt veelvuldig gebruikt bij andere geluidsbronnen van industriële aard en behoeft om die reden geen nadere toelichting.</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Met de meteocorrectieterm wordt het verschil tussen de gestandaardiseerde en de gemiddelde overdrachtssituatie in rekening gebracht. De hier gebruikte term wijkt, zoals reeds aangegeven, af van de in de HMRI-1999 gedefinieerde term als gevolg van het meenemen van de windrichtingstatistiek. De correctieterm is daarom afhankelijk van de richting van de ontvanger ten opzichte van de bron.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3.2. Beschrijving van de bron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geluidsuitstraling ten gevolge van een windturbine kan worden gemodelleerd met één puntbron, indien de horizontale afstand tussen de hartlijn van de mast en het immsiepunt ten minste gelijk is aan de ashoogte, vermeerderd met de helft van de rotordiameter, ofwel</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 </w:t>
      </w:r>
      <w:r>
        <w:rPr>
          <w:rFonts w:cs="Arial"/>
          <w:i/>
          <w:iCs/>
          <w:szCs w:val="20"/>
        </w:rPr>
        <w:t>r</w:t>
      </w:r>
      <w:r>
        <w:rPr>
          <w:rFonts w:cs="Arial"/>
          <w:i/>
          <w:iCs/>
          <w:szCs w:val="20"/>
          <w:vertAlign w:val="subscript"/>
        </w:rPr>
        <w:t>HOR</w:t>
      </w:r>
      <w:r>
        <w:rPr>
          <w:rFonts w:cs="Arial"/>
          <w:i/>
          <w:iCs/>
          <w:szCs w:val="20"/>
        </w:rPr>
        <w:t xml:space="preserve"> </w:t>
      </w:r>
      <w:r>
        <w:rPr>
          <w:rFonts w:cs="Arial"/>
          <w:szCs w:val="20"/>
        </w:rPr>
        <w:t xml:space="preserve"> ≥ </w:t>
      </w:r>
      <w:r>
        <w:rPr>
          <w:rFonts w:cs="Arial"/>
          <w:i/>
          <w:iCs/>
          <w:szCs w:val="20"/>
        </w:rPr>
        <w:t>H</w:t>
      </w:r>
      <w:r>
        <w:rPr>
          <w:rFonts w:cs="Arial"/>
          <w:szCs w:val="20"/>
        </w:rPr>
        <w:t xml:space="preserve"> + </w:t>
      </w:r>
      <w:r>
        <w:rPr>
          <w:rFonts w:cs="Arial"/>
          <w:i/>
          <w:iCs/>
          <w:szCs w:val="20"/>
        </w:rPr>
        <w:t>D</w:t>
      </w:r>
      <w:r>
        <w:rPr>
          <w:rFonts w:cs="Arial"/>
          <w:szCs w:val="20"/>
        </w:rPr>
        <w:t>/2.</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958"/>
        <w:gridCol w:w="7372"/>
      </w:tblGrid>
      <w:tr w:rsidR="00FC57C8" w:rsidTr="00F43C9B">
        <w:tc>
          <w:tcPr>
            <w:tcW w:w="195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sz w:val="16"/>
                <w:szCs w:val="16"/>
              </w:rPr>
              <w:t xml:space="preserve"> </w:t>
            </w:r>
          </w:p>
        </w:tc>
        <w:tc>
          <w:tcPr>
            <w:tcW w:w="7372"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ashoogte </w:t>
            </w:r>
          </w:p>
        </w:tc>
      </w:tr>
      <w:tr w:rsidR="00FC57C8" w:rsidTr="00F43C9B">
        <w:tc>
          <w:tcPr>
            <w:tcW w:w="195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sz w:val="16"/>
                <w:szCs w:val="16"/>
              </w:rPr>
              <w:t xml:space="preserve"> </w:t>
            </w:r>
          </w:p>
        </w:tc>
        <w:tc>
          <w:tcPr>
            <w:tcW w:w="7372"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rotordiameter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De hoogte van de puntbron </w:t>
      </w:r>
      <w:r>
        <w:rPr>
          <w:rFonts w:cs="Arial"/>
          <w:i/>
          <w:iCs/>
          <w:szCs w:val="20"/>
        </w:rPr>
        <w:t>h</w:t>
      </w:r>
      <w:r>
        <w:rPr>
          <w:rFonts w:cs="Arial"/>
          <w:i/>
          <w:iCs/>
          <w:szCs w:val="20"/>
          <w:vertAlign w:val="subscript"/>
        </w:rPr>
        <w:t>b</w:t>
      </w:r>
      <w:r>
        <w:rPr>
          <w:rFonts w:cs="Arial"/>
          <w:i/>
          <w:iCs/>
          <w:szCs w:val="20"/>
        </w:rPr>
        <w:t xml:space="preserve"> </w:t>
      </w:r>
      <w:r>
        <w:rPr>
          <w:rFonts w:cs="Arial"/>
          <w:szCs w:val="20"/>
        </w:rPr>
        <w:t xml:space="preserve"> ten opzichte van het maaiveld ter plaatse komt daarbij overeen met de hoogte van de rotoras: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 </w:t>
      </w:r>
      <w:r>
        <w:rPr>
          <w:rFonts w:cs="Arial"/>
          <w:i/>
          <w:iCs/>
          <w:szCs w:val="20"/>
        </w:rPr>
        <w:t>h</w:t>
      </w:r>
      <w:r>
        <w:rPr>
          <w:rFonts w:cs="Arial"/>
          <w:i/>
          <w:iCs/>
          <w:szCs w:val="20"/>
          <w:vertAlign w:val="subscript"/>
        </w:rPr>
        <w:t>b</w:t>
      </w:r>
      <w:r>
        <w:rPr>
          <w:rFonts w:cs="Arial"/>
          <w:i/>
          <w:iCs/>
          <w:szCs w:val="20"/>
        </w:rPr>
        <w:t xml:space="preserve"> </w:t>
      </w:r>
      <w:r>
        <w:rPr>
          <w:rFonts w:cs="Arial"/>
          <w:szCs w:val="20"/>
        </w:rPr>
        <w:t xml:space="preserve"> = </w:t>
      </w:r>
      <w:r>
        <w:rPr>
          <w:rFonts w:cs="Arial"/>
          <w:i/>
          <w:iCs/>
          <w:szCs w:val="20"/>
        </w:rPr>
        <w:t>H</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3.3. De basisformules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De geluidsbelasting ten gevolge van windturbines wordt uitgedrukt in de dosismaat </w:t>
      </w:r>
      <w:r>
        <w:rPr>
          <w:rFonts w:cs="Arial"/>
          <w:i/>
          <w:iCs/>
          <w:szCs w:val="20"/>
        </w:rPr>
        <w:t>L</w:t>
      </w:r>
      <w:r>
        <w:rPr>
          <w:rFonts w:cs="Arial"/>
          <w:i/>
          <w:iCs/>
          <w:szCs w:val="20"/>
          <w:vertAlign w:val="subscript"/>
        </w:rPr>
        <w:t>den</w:t>
      </w:r>
      <w:r>
        <w:rPr>
          <w:rFonts w:cs="Arial"/>
          <w:i/>
          <w:iCs/>
          <w:szCs w:val="20"/>
        </w:rPr>
        <w:t xml:space="preserve"> </w:t>
      </w:r>
      <w:r>
        <w:rPr>
          <w:rFonts w:cs="Arial"/>
          <w:szCs w:val="20"/>
        </w:rPr>
        <w:t xml:space="preserve">. Deze maat geeft de jaargemiddelde geluidsbelasting weer, waarbij de avond- en nachtperiodes zwaarder wegen dan de dagperiode. De berekening van </w:t>
      </w:r>
      <w:r>
        <w:rPr>
          <w:rFonts w:cs="Arial"/>
          <w:i/>
          <w:iCs/>
          <w:szCs w:val="20"/>
        </w:rPr>
        <w:t>L</w:t>
      </w:r>
      <w:r>
        <w:rPr>
          <w:rFonts w:cs="Arial"/>
          <w:i/>
          <w:iCs/>
          <w:szCs w:val="20"/>
          <w:vertAlign w:val="subscript"/>
        </w:rPr>
        <w:t>den</w:t>
      </w:r>
      <w:r>
        <w:rPr>
          <w:rFonts w:cs="Arial"/>
          <w:i/>
          <w:iCs/>
          <w:szCs w:val="20"/>
        </w:rPr>
        <w:t xml:space="preserve"> </w:t>
      </w:r>
      <w:r>
        <w:rPr>
          <w:rFonts w:cs="Arial"/>
          <w:szCs w:val="20"/>
        </w:rPr>
        <w:t xml:space="preserve"> en </w:t>
      </w:r>
      <w:r>
        <w:rPr>
          <w:rFonts w:cs="Arial"/>
          <w:i/>
          <w:iCs/>
          <w:szCs w:val="20"/>
        </w:rPr>
        <w:t>L</w:t>
      </w:r>
      <w:r>
        <w:rPr>
          <w:rFonts w:cs="Arial"/>
          <w:i/>
          <w:iCs/>
          <w:szCs w:val="20"/>
          <w:vertAlign w:val="subscript"/>
        </w:rPr>
        <w:t>night</w:t>
      </w:r>
      <w:r>
        <w:rPr>
          <w:rFonts w:cs="Arial"/>
          <w:i/>
          <w:iCs/>
          <w:szCs w:val="20"/>
        </w:rPr>
        <w:t xml:space="preserve"> </w:t>
      </w:r>
      <w:r>
        <w:rPr>
          <w:rFonts w:cs="Arial"/>
          <w:szCs w:val="20"/>
        </w:rPr>
        <w:t xml:space="preserve"> gaat als volgt: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3.1)</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792F77F5" wp14:editId="2D19DECD">
            <wp:extent cx="3028950" cy="4953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0" cy="495300"/>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L</w:t>
      </w:r>
      <w:r>
        <w:rPr>
          <w:rFonts w:cs="Arial"/>
          <w:i/>
          <w:iCs/>
          <w:szCs w:val="20"/>
          <w:vertAlign w:val="subscript"/>
        </w:rPr>
        <w:t>night</w:t>
      </w:r>
      <w:r>
        <w:rPr>
          <w:rFonts w:cs="Arial"/>
          <w:i/>
          <w:iCs/>
          <w:szCs w:val="20"/>
        </w:rPr>
        <w:t xml:space="preserve"> </w:t>
      </w:r>
      <w:r>
        <w:rPr>
          <w:rFonts w:cs="Arial"/>
          <w:szCs w:val="20"/>
        </w:rPr>
        <w:t xml:space="preserve"> = </w:t>
      </w:r>
      <w:r>
        <w:rPr>
          <w:rFonts w:cs="Arial"/>
          <w:i/>
          <w:iCs/>
          <w:szCs w:val="20"/>
        </w:rPr>
        <w:t>L</w:t>
      </w:r>
      <w:r>
        <w:rPr>
          <w:rFonts w:cs="Arial"/>
          <w:i/>
          <w:iCs/>
          <w:szCs w:val="20"/>
          <w:vertAlign w:val="subscript"/>
        </w:rPr>
        <w:t>nacht</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Hierbij representeren </w:t>
      </w:r>
      <w:r>
        <w:rPr>
          <w:rFonts w:cs="Arial"/>
          <w:i/>
          <w:iCs/>
          <w:szCs w:val="20"/>
        </w:rPr>
        <w:t>L</w:t>
      </w:r>
      <w:r>
        <w:rPr>
          <w:rFonts w:cs="Arial"/>
          <w:i/>
          <w:iCs/>
          <w:szCs w:val="20"/>
          <w:vertAlign w:val="subscript"/>
        </w:rPr>
        <w:t>dag</w:t>
      </w:r>
      <w:r>
        <w:rPr>
          <w:rFonts w:cs="Arial"/>
          <w:i/>
          <w:iCs/>
          <w:szCs w:val="20"/>
        </w:rPr>
        <w:t xml:space="preserve">, </w:t>
      </w:r>
      <w:r>
        <w:rPr>
          <w:rFonts w:cs="Arial"/>
          <w:szCs w:val="20"/>
        </w:rPr>
        <w:t xml:space="preserve"> </w:t>
      </w:r>
      <w:r>
        <w:rPr>
          <w:rFonts w:cs="Arial"/>
          <w:i/>
          <w:iCs/>
          <w:szCs w:val="20"/>
        </w:rPr>
        <w:t>L</w:t>
      </w:r>
      <w:r>
        <w:rPr>
          <w:rFonts w:cs="Arial"/>
          <w:i/>
          <w:iCs/>
          <w:szCs w:val="20"/>
          <w:vertAlign w:val="subscript"/>
        </w:rPr>
        <w:t>avond</w:t>
      </w:r>
      <w:r>
        <w:rPr>
          <w:rFonts w:cs="Arial"/>
          <w:i/>
          <w:iCs/>
          <w:szCs w:val="20"/>
        </w:rPr>
        <w:t xml:space="preserve"> </w:t>
      </w:r>
      <w:r>
        <w:rPr>
          <w:rFonts w:cs="Arial"/>
          <w:szCs w:val="20"/>
        </w:rPr>
        <w:t xml:space="preserve">en </w:t>
      </w:r>
      <w:r>
        <w:rPr>
          <w:rFonts w:cs="Arial"/>
          <w:i/>
          <w:iCs/>
          <w:szCs w:val="20"/>
        </w:rPr>
        <w:t>L</w:t>
      </w:r>
      <w:r>
        <w:rPr>
          <w:rFonts w:cs="Arial"/>
          <w:i/>
          <w:iCs/>
          <w:szCs w:val="20"/>
          <w:vertAlign w:val="subscript"/>
        </w:rPr>
        <w:t>nacht</w:t>
      </w:r>
      <w:r>
        <w:rPr>
          <w:rFonts w:cs="Arial"/>
          <w:i/>
          <w:iCs/>
          <w:szCs w:val="20"/>
        </w:rPr>
        <w:t xml:space="preserve"> </w:t>
      </w:r>
      <w:r>
        <w:rPr>
          <w:rFonts w:cs="Arial"/>
          <w:szCs w:val="20"/>
        </w:rPr>
        <w:t xml:space="preserve"> de equivalente A-gewogen geluidsniveaus </w:t>
      </w:r>
      <w:r>
        <w:rPr>
          <w:rFonts w:cs="Arial"/>
          <w:i/>
          <w:iCs/>
          <w:szCs w:val="20"/>
        </w:rPr>
        <w:t>L</w:t>
      </w:r>
      <w:r>
        <w:rPr>
          <w:rFonts w:cs="Arial"/>
          <w:i/>
          <w:iCs/>
          <w:szCs w:val="20"/>
          <w:vertAlign w:val="subscript"/>
        </w:rPr>
        <w:t>eq</w:t>
      </w:r>
      <w:r>
        <w:rPr>
          <w:rFonts w:cs="Arial"/>
          <w:i/>
          <w:iCs/>
          <w:szCs w:val="20"/>
        </w:rPr>
        <w:t xml:space="preserve"> </w:t>
      </w:r>
      <w:r>
        <w:rPr>
          <w:rFonts w:cs="Arial"/>
          <w:szCs w:val="20"/>
        </w:rPr>
        <w:t xml:space="preserve"> per dag-, avond- en nachtperiode. De beoordelingsperioden zijn als volgt gedefinieerd:</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405"/>
        <w:gridCol w:w="7925"/>
      </w:tblGrid>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dag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07:00–19:00 uur;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avond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19:00–23:00 uur;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nacht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23:00–07:00 uur.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Het jaargemiddelde equivalente A-gewogen niveau </w:t>
      </w:r>
      <w:r>
        <w:rPr>
          <w:rFonts w:cs="Arial"/>
          <w:i/>
          <w:iCs/>
          <w:szCs w:val="20"/>
        </w:rPr>
        <w:t>L</w:t>
      </w:r>
      <w:r>
        <w:rPr>
          <w:rFonts w:cs="Arial"/>
          <w:i/>
          <w:iCs/>
          <w:szCs w:val="20"/>
          <w:vertAlign w:val="subscript"/>
        </w:rPr>
        <w:t>eq</w:t>
      </w:r>
      <w:r>
        <w:rPr>
          <w:rFonts w:cs="Arial"/>
          <w:i/>
          <w:iCs/>
          <w:szCs w:val="20"/>
        </w:rPr>
        <w:t xml:space="preserve"> </w:t>
      </w:r>
      <w:r>
        <w:rPr>
          <w:rFonts w:cs="Arial"/>
          <w:szCs w:val="20"/>
        </w:rPr>
        <w:t xml:space="preserve"> per beoordelingsperiode volgt uit: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3.2)</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54852E6C" wp14:editId="1452B7CF">
            <wp:extent cx="1609725" cy="40957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40957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waarbij</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405"/>
        <w:gridCol w:w="7925"/>
      </w:tblGrid>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eq,i,n</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bijdrage aan het equivalente niveau van één octaaf (index </w:t>
            </w:r>
            <w:r>
              <w:rPr>
                <w:rFonts w:cs="Arial"/>
                <w:i/>
                <w:iCs/>
                <w:sz w:val="16"/>
                <w:szCs w:val="16"/>
              </w:rPr>
              <w:t>i</w:t>
            </w:r>
            <w:r>
              <w:rPr>
                <w:rFonts w:cs="Arial"/>
                <w:sz w:val="16"/>
                <w:szCs w:val="16"/>
              </w:rPr>
              <w:t xml:space="preserve">) van één windturbine (index </w:t>
            </w:r>
            <w:r>
              <w:rPr>
                <w:rFonts w:cs="Arial"/>
                <w:i/>
                <w:iCs/>
                <w:sz w:val="16"/>
                <w:szCs w:val="16"/>
              </w:rPr>
              <w:t>n</w:t>
            </w:r>
            <w:r>
              <w:rPr>
                <w:rFonts w:cs="Arial"/>
                <w:sz w:val="16"/>
                <w:szCs w:val="16"/>
              </w:rPr>
              <w:t xml:space="preserve">) per beoordelingsperiode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i</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1,2...9 (31,5, 63...8000 Hz)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n</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1,2,...N</w:t>
            </w:r>
            <w:r>
              <w:rPr>
                <w:rFonts w:cs="Arial"/>
                <w:sz w:val="16"/>
                <w:szCs w:val="16"/>
              </w:rPr>
              <w:t xml:space="preserve"> (</w:t>
            </w:r>
            <w:r>
              <w:rPr>
                <w:rFonts w:cs="Arial"/>
                <w:i/>
                <w:iCs/>
                <w:sz w:val="16"/>
                <w:szCs w:val="16"/>
              </w:rPr>
              <w:t>N</w:t>
            </w:r>
            <w:r>
              <w:rPr>
                <w:rFonts w:cs="Arial"/>
                <w:sz w:val="16"/>
                <w:szCs w:val="16"/>
              </w:rPr>
              <w:t xml:space="preserve"> is het aantal windturbines)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L</w:t>
      </w:r>
      <w:r>
        <w:rPr>
          <w:rFonts w:cs="Arial"/>
          <w:i/>
          <w:iCs/>
          <w:szCs w:val="20"/>
          <w:vertAlign w:val="subscript"/>
        </w:rPr>
        <w:t>eq,i,n</w:t>
      </w:r>
      <w:r>
        <w:rPr>
          <w:rFonts w:cs="Arial"/>
          <w:i/>
          <w:iCs/>
          <w:szCs w:val="20"/>
        </w:rPr>
        <w:t xml:space="preserve"> </w:t>
      </w:r>
      <w:r>
        <w:rPr>
          <w:rFonts w:cs="Arial"/>
          <w:szCs w:val="20"/>
        </w:rPr>
        <w:t xml:space="preserve"> wordt berekend uit het jaargemiddelde geluidsvermogen van de windturbine, verminderd met de gemiddelde geluidsoverdracht naar het immissiepunt. Berekend wordt het invallend geluid. De berekening gaat per octaafband, per beoordelingsperiode en per windturbine: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3.3) </w:t>
      </w:r>
      <w:r>
        <w:rPr>
          <w:rFonts w:cs="Arial"/>
          <w:i/>
          <w:iCs/>
          <w:szCs w:val="20"/>
        </w:rPr>
        <w:t>L</w:t>
      </w:r>
      <w:r>
        <w:rPr>
          <w:rFonts w:cs="Arial"/>
          <w:i/>
          <w:iCs/>
          <w:szCs w:val="20"/>
          <w:vertAlign w:val="subscript"/>
        </w:rPr>
        <w:t>eq,i,n</w:t>
      </w:r>
      <w:r>
        <w:rPr>
          <w:rFonts w:cs="Arial"/>
          <w:i/>
          <w:iCs/>
          <w:szCs w:val="20"/>
        </w:rPr>
        <w:t>= L</w:t>
      </w:r>
      <w:r>
        <w:rPr>
          <w:rFonts w:cs="Arial"/>
          <w:i/>
          <w:iCs/>
          <w:szCs w:val="20"/>
          <w:vertAlign w:val="subscript"/>
        </w:rPr>
        <w:t>E</w:t>
      </w:r>
      <w:r>
        <w:rPr>
          <w:rFonts w:cs="Arial"/>
          <w:i/>
          <w:iCs/>
          <w:szCs w:val="20"/>
        </w:rPr>
        <w:t xml:space="preserve"> – D</w:t>
      </w:r>
      <w:r>
        <w:rPr>
          <w:rFonts w:cs="Arial"/>
          <w:i/>
          <w:iCs/>
          <w:szCs w:val="20"/>
          <w:vertAlign w:val="subscript"/>
        </w:rPr>
        <w:t>geo</w:t>
      </w:r>
      <w:r>
        <w:rPr>
          <w:rFonts w:cs="Arial"/>
          <w:i/>
          <w:iCs/>
          <w:szCs w:val="20"/>
        </w:rPr>
        <w:t xml:space="preserve"> – D</w:t>
      </w:r>
      <w:r>
        <w:rPr>
          <w:rFonts w:cs="Arial"/>
          <w:i/>
          <w:iCs/>
          <w:szCs w:val="20"/>
          <w:vertAlign w:val="subscript"/>
        </w:rPr>
        <w:t>lucht</w:t>
      </w:r>
      <w:r>
        <w:rPr>
          <w:rFonts w:cs="Arial"/>
          <w:i/>
          <w:iCs/>
          <w:szCs w:val="20"/>
        </w:rPr>
        <w:t xml:space="preserve"> – D</w:t>
      </w:r>
      <w:r>
        <w:rPr>
          <w:rFonts w:cs="Arial"/>
          <w:i/>
          <w:iCs/>
          <w:szCs w:val="20"/>
          <w:vertAlign w:val="subscript"/>
        </w:rPr>
        <w:t>ref</w:t>
      </w:r>
      <w:r>
        <w:rPr>
          <w:rFonts w:cs="Arial"/>
          <w:i/>
          <w:iCs/>
          <w:szCs w:val="20"/>
        </w:rPr>
        <w:t xml:space="preserve"> – D</w:t>
      </w:r>
      <w:r>
        <w:rPr>
          <w:rFonts w:cs="Arial"/>
          <w:i/>
          <w:iCs/>
          <w:szCs w:val="20"/>
          <w:vertAlign w:val="subscript"/>
        </w:rPr>
        <w:t>scherm</w:t>
      </w:r>
      <w:r>
        <w:rPr>
          <w:rFonts w:cs="Arial"/>
          <w:i/>
          <w:iCs/>
          <w:szCs w:val="20"/>
        </w:rPr>
        <w:t xml:space="preserve"> – D</w:t>
      </w:r>
      <w:r>
        <w:rPr>
          <w:rFonts w:cs="Arial"/>
          <w:i/>
          <w:iCs/>
          <w:szCs w:val="20"/>
          <w:vertAlign w:val="subscript"/>
        </w:rPr>
        <w:t>veg</w:t>
      </w:r>
      <w:r>
        <w:rPr>
          <w:rFonts w:cs="Arial"/>
          <w:i/>
          <w:iCs/>
          <w:szCs w:val="20"/>
        </w:rPr>
        <w:t xml:space="preserve"> – D</w:t>
      </w:r>
      <w:r>
        <w:rPr>
          <w:rFonts w:cs="Arial"/>
          <w:i/>
          <w:iCs/>
          <w:szCs w:val="20"/>
          <w:vertAlign w:val="subscript"/>
        </w:rPr>
        <w:t>terrein</w:t>
      </w:r>
      <w:r>
        <w:rPr>
          <w:rFonts w:cs="Arial"/>
          <w:i/>
          <w:iCs/>
          <w:szCs w:val="20"/>
        </w:rPr>
        <w:t xml:space="preserve"> – D</w:t>
      </w:r>
      <w:r>
        <w:rPr>
          <w:rFonts w:cs="Arial"/>
          <w:i/>
          <w:iCs/>
          <w:szCs w:val="20"/>
          <w:vertAlign w:val="subscript"/>
        </w:rPr>
        <w:t>bodem</w:t>
      </w:r>
      <w:r>
        <w:rPr>
          <w:rFonts w:cs="Arial"/>
          <w:i/>
          <w:iCs/>
          <w:szCs w:val="20"/>
        </w:rPr>
        <w:t xml:space="preserve"> – C</w:t>
      </w:r>
      <w:r>
        <w:rPr>
          <w:rFonts w:cs="Arial"/>
          <w:i/>
          <w:iCs/>
          <w:szCs w:val="20"/>
          <w:vertAlign w:val="subscript"/>
        </w:rPr>
        <w:t>meteo</w:t>
      </w:r>
      <w:r>
        <w:rPr>
          <w:rFonts w:cs="Arial"/>
          <w:i/>
          <w:iCs/>
          <w:szCs w:val="20"/>
        </w:rPr>
        <w:t xml:space="preserve"> </w:t>
      </w:r>
      <w:r>
        <w:rPr>
          <w:rFonts w:cs="Arial"/>
          <w:szCs w:val="20"/>
        </w:rPr>
        <w:t>, met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405"/>
        <w:gridCol w:w="7925"/>
      </w:tblGrid>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E</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jaargemiddeld geluidsvermogen van de turbine in octaafband </w:t>
            </w:r>
            <w:r>
              <w:rPr>
                <w:rFonts w:cs="Arial"/>
                <w:i/>
                <w:iCs/>
                <w:sz w:val="16"/>
                <w:szCs w:val="16"/>
              </w:rPr>
              <w:t>i</w:t>
            </w:r>
            <w:r>
              <w:rPr>
                <w:rFonts w:cs="Arial"/>
                <w:sz w:val="16"/>
                <w:szCs w:val="16"/>
              </w:rPr>
              <w:t xml:space="preserve"> in de betreffende beoordelingsperiode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geo</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van het geluidsniveau door geometrische uitbreiding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lucht</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van het geluidsniveau door absorptie in lucht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refl</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door reflectie tegen obstakels (deze term is negatief)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scherm</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ten gevolge van afscherming door akoestisch goed isolerende obstakels (dijken, wallen, gebouwen)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veg</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vanwege geluidsverstrooiing aan en absorptie door vegetatie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terrein</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door verstrooiing en absorptie door installaties op het industrieterrein voor zover deze niet in de overige termen is begrepen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bodem</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ten gevolge van reflectie tegen, verstrooiing aan en absorptie door bodem (deze term kan ook negatief zijn)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C</w:t>
            </w:r>
            <w:r>
              <w:rPr>
                <w:rFonts w:cs="Arial"/>
                <w:i/>
                <w:iCs/>
                <w:sz w:val="16"/>
                <w:szCs w:val="16"/>
                <w:vertAlign w:val="subscript"/>
              </w:rPr>
              <w:t>meteo</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term die het verschil in rekening brengt tussen de gestandaardiseerde geluidsoverdracht (meewind) en de gemiddelde meteorologische situatie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 de navolgende paragrafen wordt op de verschillende termen nader ingegaan.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 xml:space="preserve">3.4. De emissieterm </w:t>
      </w:r>
      <w:r>
        <w:rPr>
          <w:rFonts w:cs="Arial"/>
          <w:b/>
          <w:bCs/>
          <w:i/>
          <w:iCs/>
          <w:szCs w:val="20"/>
        </w:rPr>
        <w:t>L</w:t>
      </w:r>
      <w:r>
        <w:rPr>
          <w:rFonts w:cs="Arial"/>
          <w:b/>
          <w:bCs/>
          <w:i/>
          <w:iCs/>
          <w:szCs w:val="20"/>
          <w:vertAlign w:val="subscript"/>
        </w:rPr>
        <w:t>E</w:t>
      </w:r>
      <w:r>
        <w:rPr>
          <w:rFonts w:cs="Arial"/>
          <w:b/>
          <w:bCs/>
          <w:i/>
          <w:iCs/>
          <w:szCs w:val="20"/>
        </w:rPr>
        <w:t xml:space="preserve"> </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3.4.1. De berekening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De emissieterm </w:t>
      </w:r>
      <w:r>
        <w:rPr>
          <w:rFonts w:cs="Arial"/>
          <w:i/>
          <w:iCs/>
          <w:szCs w:val="20"/>
        </w:rPr>
        <w:t>L</w:t>
      </w:r>
      <w:r>
        <w:rPr>
          <w:rFonts w:cs="Arial"/>
          <w:i/>
          <w:iCs/>
          <w:szCs w:val="20"/>
          <w:vertAlign w:val="subscript"/>
        </w:rPr>
        <w:t>E</w:t>
      </w:r>
      <w:r>
        <w:rPr>
          <w:rFonts w:cs="Arial"/>
          <w:i/>
          <w:iCs/>
          <w:szCs w:val="20"/>
        </w:rPr>
        <w:t xml:space="preserve"> </w:t>
      </w:r>
      <w:r>
        <w:rPr>
          <w:rFonts w:cs="Arial"/>
          <w:szCs w:val="20"/>
        </w:rPr>
        <w:t xml:space="preserve"> representeert het jaargemiddelde geluidsvermogen per octaafband dat door de turbine wordt uitgestraald. Het wordt berekend uit het windsnelheidsafhankelijke geluidsvermogen van de installatie, de lokale langjaargemiddelde windsnelheidsverdeling op ashoogte en de correctiefactor voor de richtwerking. De berekeningen worden uitgesplitst per dag-, avond- en nachtperiode. De emissieterm wordt als volgt berekend: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3.4)</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44623A1E" wp14:editId="075C7A67">
            <wp:extent cx="2152650" cy="485775"/>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48577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waarbij</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405"/>
        <w:gridCol w:w="7925"/>
      </w:tblGrid>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W,i,j</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bronsterkte per octaafband </w:t>
            </w:r>
            <w:r>
              <w:rPr>
                <w:rFonts w:cs="Arial"/>
                <w:i/>
                <w:iCs/>
                <w:sz w:val="16"/>
                <w:szCs w:val="16"/>
              </w:rPr>
              <w:t>i</w:t>
            </w:r>
            <w:r>
              <w:rPr>
                <w:rFonts w:cs="Arial"/>
                <w:sz w:val="16"/>
                <w:szCs w:val="16"/>
              </w:rPr>
              <w:t xml:space="preserve">en per windsnelheidsklasse </w:t>
            </w:r>
            <w:r>
              <w:rPr>
                <w:rFonts w:cs="Arial"/>
                <w:i/>
                <w:iCs/>
                <w:sz w:val="16"/>
                <w:szCs w:val="16"/>
              </w:rPr>
              <w:t>j</w:t>
            </w:r>
            <w:r>
              <w:rPr>
                <w:rFonts w:cs="Arial"/>
                <w:sz w:val="16"/>
                <w:szCs w:val="16"/>
              </w:rPr>
              <w:t xml:space="preserve"> in dB(A)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w:t>
            </w:r>
            <w:r>
              <w:rPr>
                <w:rFonts w:cs="Arial"/>
                <w:i/>
                <w:iCs/>
                <w:sz w:val="16"/>
                <w:szCs w:val="16"/>
              </w:rPr>
              <w:t>L</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correctiefactor voor de richtwerking van windturbines in dB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U</w:t>
            </w:r>
            <w:r>
              <w:rPr>
                <w:rFonts w:cs="Arial"/>
                <w:i/>
                <w:iCs/>
                <w:sz w:val="16"/>
                <w:szCs w:val="16"/>
                <w:vertAlign w:val="subscript"/>
              </w:rPr>
              <w:t>j</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frequentie van voorkomen van windsnelheidsklasse </w:t>
            </w:r>
            <w:r>
              <w:rPr>
                <w:rFonts w:cs="Arial"/>
                <w:i/>
                <w:iCs/>
                <w:sz w:val="16"/>
                <w:szCs w:val="16"/>
              </w:rPr>
              <w:t>j</w:t>
            </w:r>
            <w:r>
              <w:rPr>
                <w:rFonts w:cs="Arial"/>
                <w:sz w:val="16"/>
                <w:szCs w:val="16"/>
              </w:rPr>
              <w:t xml:space="preserve"> op ashoogte per beoordelingsperiode in procenten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j</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windsnelheden in gehele getallen op ashoogte in m/s, gelegen tussen </w:t>
            </w:r>
            <w:r>
              <w:rPr>
                <w:rFonts w:cs="Arial"/>
                <w:i/>
                <w:iCs/>
                <w:sz w:val="16"/>
                <w:szCs w:val="16"/>
              </w:rPr>
              <w:t>V</w:t>
            </w:r>
            <w:r>
              <w:rPr>
                <w:rFonts w:cs="Arial"/>
                <w:i/>
                <w:iCs/>
                <w:sz w:val="16"/>
                <w:szCs w:val="16"/>
                <w:vertAlign w:val="subscript"/>
              </w:rPr>
              <w:t>ci</w:t>
            </w:r>
            <w:r>
              <w:rPr>
                <w:rFonts w:cs="Arial"/>
                <w:i/>
                <w:iCs/>
                <w:sz w:val="16"/>
                <w:szCs w:val="16"/>
              </w:rPr>
              <w:t xml:space="preserve"> </w:t>
            </w:r>
            <w:r>
              <w:rPr>
                <w:rFonts w:cs="Arial"/>
                <w:sz w:val="16"/>
                <w:szCs w:val="16"/>
              </w:rPr>
              <w:t xml:space="preserve"> en </w:t>
            </w:r>
            <w:r>
              <w:rPr>
                <w:rFonts w:cs="Arial"/>
                <w:i/>
                <w:iCs/>
                <w:sz w:val="16"/>
                <w:szCs w:val="16"/>
              </w:rPr>
              <w:t>V</w:t>
            </w:r>
            <w:r>
              <w:rPr>
                <w:rFonts w:cs="Arial"/>
                <w:i/>
                <w:iCs/>
                <w:sz w:val="16"/>
                <w:szCs w:val="16"/>
                <w:vertAlign w:val="subscript"/>
              </w:rPr>
              <w:t>co</w:t>
            </w:r>
            <w:r>
              <w:rPr>
                <w:rFonts w:cs="Arial"/>
                <w:i/>
                <w:iCs/>
                <w:sz w:val="16"/>
                <w:szCs w:val="16"/>
              </w:rPr>
              <w:t xml:space="preserve"> </w:t>
            </w:r>
            <w:r>
              <w:rPr>
                <w:rFonts w:cs="Arial"/>
                <w:sz w:val="16"/>
                <w:szCs w:val="16"/>
              </w:rPr>
              <w:t xml:space="preserve">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ci</w:t>
            </w:r>
            <w:r>
              <w:rPr>
                <w:rFonts w:cs="Arial"/>
                <w:i/>
                <w:iCs/>
                <w:sz w:val="16"/>
                <w:szCs w:val="16"/>
              </w:rPr>
              <w:t xml:space="preserve"> </w:t>
            </w:r>
            <w:r>
              <w:rPr>
                <w:rFonts w:cs="Arial"/>
                <w:sz w:val="16"/>
                <w:szCs w:val="16"/>
              </w:rPr>
              <w:t xml:space="preserve"> l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aagste windsnelheid waarbij de turbine in bedrijf is (ci = cut in)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V</w:t>
            </w:r>
            <w:r>
              <w:rPr>
                <w:rFonts w:cs="Arial"/>
                <w:sz w:val="16"/>
                <w:szCs w:val="16"/>
                <w:vertAlign w:val="subscript"/>
              </w:rPr>
              <w:t>co</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hoogste windsnelheid waarbij de turbine in bedrijf is (co = cut out)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3.4.2. Bepaling van de bronsterkte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De broneigenschappen </w:t>
      </w:r>
      <w:r>
        <w:rPr>
          <w:rFonts w:cs="Arial"/>
          <w:i/>
          <w:iCs/>
          <w:szCs w:val="20"/>
        </w:rPr>
        <w:t>L</w:t>
      </w:r>
      <w:r>
        <w:rPr>
          <w:rFonts w:cs="Arial"/>
          <w:i/>
          <w:iCs/>
          <w:szCs w:val="20"/>
          <w:vertAlign w:val="subscript"/>
        </w:rPr>
        <w:t>W,i,j</w:t>
      </w:r>
      <w:r>
        <w:rPr>
          <w:rFonts w:cs="Arial"/>
          <w:i/>
          <w:iCs/>
          <w:szCs w:val="20"/>
        </w:rPr>
        <w:t xml:space="preserve"> </w:t>
      </w:r>
      <w:r>
        <w:rPr>
          <w:rFonts w:cs="Arial"/>
          <w:szCs w:val="20"/>
        </w:rPr>
        <w:t xml:space="preserve"> en ∆</w:t>
      </w:r>
      <w:r>
        <w:rPr>
          <w:rFonts w:cs="Arial"/>
          <w:i/>
          <w:iCs/>
          <w:szCs w:val="20"/>
        </w:rPr>
        <w:t>L</w:t>
      </w:r>
      <w:r>
        <w:rPr>
          <w:rFonts w:cs="Arial"/>
          <w:szCs w:val="20"/>
        </w:rPr>
        <w:t xml:space="preserve"> volgen uit de in hoofdstuk 2 beschreven of een daaraan gelijkwaardige procedure. Indien geen richtingsinformatie beschikbaar is, geldt ∆</w:t>
      </w:r>
      <w:r>
        <w:rPr>
          <w:rFonts w:cs="Arial"/>
          <w:i/>
          <w:iCs/>
          <w:szCs w:val="20"/>
        </w:rPr>
        <w:t>L</w:t>
      </w:r>
      <w:r>
        <w:rPr>
          <w:rFonts w:cs="Arial"/>
          <w:szCs w:val="20"/>
        </w:rPr>
        <w:t>= 0 dB. In dat geval wordt het jaargemiddelde geluidsvermogen van de turbine mogelijk in enige mate overschat, wat vanuit milieuhygiënisch oogpunt acceptabel wordt geacht.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3.4.3. Bepaling windsnelheidsverdeling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windsnelheidsverdeling voor de dag-, avond- en nachtperiode is in tabellen beschikbaar op vaste roosterpunten in Nederland. De gegevens zijn afkomstig van het KNMI en zijn gebaseerd op langjarige windstatistiek. De coördinaten in het horizontale vlak (</w:t>
      </w:r>
      <w:r>
        <w:rPr>
          <w:rFonts w:cs="Arial"/>
          <w:i/>
          <w:iCs/>
          <w:szCs w:val="20"/>
        </w:rPr>
        <w:t>Lat,Lon</w:t>
      </w:r>
      <w:r>
        <w:rPr>
          <w:rFonts w:cs="Arial"/>
          <w:szCs w:val="20"/>
        </w:rPr>
        <w:t xml:space="preserve"> in decimale graden) zijn gedefinieerd volgens het WGS 84 stelsel. De hoogte (</w:t>
      </w:r>
      <w:r>
        <w:rPr>
          <w:rFonts w:cs="Arial"/>
          <w:i/>
          <w:iCs/>
          <w:szCs w:val="20"/>
        </w:rPr>
        <w:t>z</w:t>
      </w:r>
      <w:r>
        <w:rPr>
          <w:rFonts w:cs="Arial"/>
          <w:szCs w:val="20"/>
        </w:rPr>
        <w:t>in meters) is relatief ten opzichte van de gemiddelde maaiveldhoogte. De lokale windsnelheidsverdeling op ashoogte wordt berekend door trilineaire interpolatie tussen de waarden op de omringende roosterpunten. De hiervoor benodigde gegevens zijn beschikbaar op de website www.windenergie.nl.</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Ter beoordeling van het bevoegd gezag kan gebruik gemaakt worden van andere gegevensbronnen. Dit is bijvoorbeeld noodzakelijk als de ashoogte van de windturbine buiten het hoogtebereik van de beschikbare tabellen ligt. Het is hierbij wel van belang dat de gegevens betrekking hebben op de bewuste ashoogte en dat onderscheid wordt gemaakt tussen de dag-, avond- en nachtperiode.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3.4.4. Bijzondere situaties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Bij bepaalde typen windturbines kan de emissieterm worden beïnvloed door het tijdelijk programmeren van een zogenaamde geluidsmodus. Hierbij wordt het rotortoerental actief lager ingesteld, wat resulteert in een lagere geluidsemissie. In dat geval bestaan er dus meerdere relaties tussen het geluidsvermogen en de windsnelheid op ashoogte. De geluidsemissieterm wordt dan berekend door energetische sommatie over alle voorkomende bedrijfsmodi, waarbij </w:t>
      </w:r>
      <w:r>
        <w:rPr>
          <w:rFonts w:cs="Arial"/>
          <w:i/>
          <w:iCs/>
          <w:szCs w:val="20"/>
        </w:rPr>
        <w:t>U</w:t>
      </w:r>
      <w:r>
        <w:rPr>
          <w:rFonts w:cs="Arial"/>
          <w:i/>
          <w:iCs/>
          <w:szCs w:val="20"/>
          <w:vertAlign w:val="subscript"/>
        </w:rPr>
        <w:t>j</w:t>
      </w:r>
      <w:r>
        <w:rPr>
          <w:rFonts w:cs="Arial"/>
          <w:i/>
          <w:iCs/>
          <w:szCs w:val="20"/>
        </w:rPr>
        <w:t xml:space="preserve"> </w:t>
      </w:r>
      <w:r>
        <w:rPr>
          <w:rFonts w:cs="Arial"/>
          <w:szCs w:val="20"/>
        </w:rPr>
        <w:t xml:space="preserve"> naar rato over de bedrijfsmodi wordt verdeeld.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Een andere wijze van beperken van de geluidemissie is het tijdelijk stop zetten van de turbine, bijvoorbeeld bij harde wind tijdens de geluidgevoelige nachtelijke periode. In die situatie wordt </w:t>
      </w:r>
      <w:r>
        <w:rPr>
          <w:rFonts w:cs="Arial"/>
          <w:i/>
          <w:iCs/>
          <w:szCs w:val="20"/>
        </w:rPr>
        <w:t>Uj</w:t>
      </w:r>
      <w:r>
        <w:rPr>
          <w:rFonts w:cs="Arial"/>
          <w:szCs w:val="20"/>
        </w:rPr>
        <w:t xml:space="preserve"> gebaseerd op de gemaximeerde tijdsduur waarbij de turbine bij die windsnelheid in bedrijf is.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 xml:space="preserve">3.5. De geometrische uitbreidingsterm </w:t>
      </w:r>
      <w:r>
        <w:rPr>
          <w:rFonts w:cs="Arial"/>
          <w:b/>
          <w:bCs/>
          <w:i/>
          <w:iCs/>
          <w:szCs w:val="20"/>
        </w:rPr>
        <w:t>D</w:t>
      </w:r>
      <w:r>
        <w:rPr>
          <w:rFonts w:cs="Arial"/>
          <w:b/>
          <w:bCs/>
          <w:i/>
          <w:iCs/>
          <w:szCs w:val="20"/>
          <w:vertAlign w:val="subscript"/>
        </w:rPr>
        <w:t>geo</w:t>
      </w:r>
      <w:r>
        <w:rPr>
          <w:rFonts w:cs="Arial"/>
          <w:b/>
          <w:bCs/>
          <w:i/>
          <w:iCs/>
          <w:szCs w:val="20"/>
        </w:rPr>
        <w:t xml:space="preserve"> </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In de overdrachtsberekening wordt uitgegaan van uitbreiding over een hele bol volgens: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3.5) </w:t>
      </w:r>
      <w:r>
        <w:rPr>
          <w:rFonts w:cs="Arial"/>
          <w:i/>
          <w:iCs/>
          <w:szCs w:val="20"/>
        </w:rPr>
        <w:t>D</w:t>
      </w:r>
      <w:r>
        <w:rPr>
          <w:rFonts w:cs="Arial"/>
          <w:i/>
          <w:iCs/>
          <w:szCs w:val="20"/>
          <w:vertAlign w:val="subscript"/>
        </w:rPr>
        <w:t>geo</w:t>
      </w:r>
      <w:r>
        <w:rPr>
          <w:rFonts w:cs="Arial"/>
          <w:i/>
          <w:iCs/>
          <w:szCs w:val="20"/>
        </w:rPr>
        <w:t xml:space="preserve"> </w:t>
      </w:r>
      <w:r>
        <w:rPr>
          <w:rFonts w:cs="Arial"/>
          <w:szCs w:val="20"/>
        </w:rPr>
        <w:t>= 10 lg(4πr</w:t>
      </w:r>
      <w:r>
        <w:rPr>
          <w:rFonts w:cs="Arial"/>
          <w:szCs w:val="20"/>
          <w:vertAlign w:val="subscript"/>
        </w:rPr>
        <w:t>i</w:t>
      </w:r>
      <w:r>
        <w:rPr>
          <w:rFonts w:cs="Arial"/>
          <w:szCs w:val="20"/>
        </w:rPr>
        <w:t xml:space="preserve"> </w:t>
      </w:r>
      <w:r>
        <w:rPr>
          <w:rFonts w:cs="Arial"/>
          <w:szCs w:val="20"/>
          <w:vertAlign w:val="superscript"/>
        </w:rPr>
        <w:t>2</w:t>
      </w:r>
      <w:r>
        <w:rPr>
          <w:rFonts w:cs="Arial"/>
          <w:szCs w:val="20"/>
        </w:rPr>
        <w:t xml:space="preserve">) = 20 lg </w:t>
      </w:r>
      <w:r>
        <w:rPr>
          <w:rFonts w:cs="Arial"/>
          <w:i/>
          <w:iCs/>
          <w:szCs w:val="20"/>
        </w:rPr>
        <w:t>r</w:t>
      </w:r>
      <w:r>
        <w:rPr>
          <w:rFonts w:cs="Arial"/>
          <w:i/>
          <w:iCs/>
          <w:szCs w:val="20"/>
          <w:vertAlign w:val="subscript"/>
        </w:rPr>
        <w:t>i</w:t>
      </w:r>
      <w:r>
        <w:rPr>
          <w:rFonts w:cs="Arial"/>
          <w:i/>
          <w:iCs/>
          <w:szCs w:val="20"/>
        </w:rPr>
        <w:t xml:space="preserve"> </w:t>
      </w:r>
      <w:r>
        <w:rPr>
          <w:rFonts w:cs="Arial"/>
          <w:szCs w:val="20"/>
        </w:rPr>
        <w:t xml:space="preserve"> + 11, met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687"/>
        <w:gridCol w:w="8643"/>
      </w:tblGrid>
      <w:tr w:rsidR="00FC57C8" w:rsidTr="00F43C9B">
        <w:tc>
          <w:tcPr>
            <w:tcW w:w="687"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 </w:t>
            </w:r>
          </w:p>
        </w:tc>
        <w:tc>
          <w:tcPr>
            <w:tcW w:w="8643"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afstand tussen het broncentrum en het immissiepunt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 xml:space="preserve">3.6. De luchtdemping </w:t>
      </w:r>
      <w:r>
        <w:rPr>
          <w:rFonts w:cs="Arial"/>
          <w:b/>
          <w:bCs/>
          <w:i/>
          <w:iCs/>
          <w:szCs w:val="20"/>
        </w:rPr>
        <w:t>D</w:t>
      </w:r>
      <w:r>
        <w:rPr>
          <w:rFonts w:cs="Arial"/>
          <w:b/>
          <w:bCs/>
          <w:i/>
          <w:iCs/>
          <w:szCs w:val="20"/>
          <w:vertAlign w:val="subscript"/>
        </w:rPr>
        <w:t>lucht</w:t>
      </w:r>
      <w:r>
        <w:rPr>
          <w:rFonts w:cs="Arial"/>
          <w:b/>
          <w:bCs/>
          <w:i/>
          <w:iCs/>
          <w:szCs w:val="20"/>
        </w:rPr>
        <w:t xml:space="preserve"> </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luchtabsorptie wordt bepaald uit:</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3.6) </w:t>
      </w:r>
      <w:r>
        <w:rPr>
          <w:rFonts w:cs="Arial"/>
          <w:i/>
          <w:iCs/>
          <w:szCs w:val="20"/>
        </w:rPr>
        <w:t>D</w:t>
      </w:r>
      <w:r>
        <w:rPr>
          <w:rFonts w:cs="Arial"/>
          <w:i/>
          <w:iCs/>
          <w:szCs w:val="20"/>
          <w:vertAlign w:val="subscript"/>
        </w:rPr>
        <w:t>lucht</w:t>
      </w:r>
      <w:r>
        <w:rPr>
          <w:rFonts w:cs="Arial"/>
          <w:i/>
          <w:iCs/>
          <w:szCs w:val="20"/>
        </w:rPr>
        <w:t xml:space="preserve"> </w:t>
      </w:r>
      <w:r>
        <w:rPr>
          <w:rFonts w:cs="Arial"/>
          <w:szCs w:val="20"/>
        </w:rPr>
        <w:t xml:space="preserve">= </w:t>
      </w:r>
      <w:r>
        <w:rPr>
          <w:rFonts w:cs="Arial"/>
          <w:i/>
          <w:iCs/>
          <w:szCs w:val="20"/>
        </w:rPr>
        <w:t>a</w:t>
      </w:r>
      <w:r>
        <w:rPr>
          <w:rFonts w:cs="Arial"/>
          <w:i/>
          <w:iCs/>
          <w:szCs w:val="20"/>
          <w:vertAlign w:val="subscript"/>
        </w:rPr>
        <w:t>lu</w:t>
      </w:r>
      <w:r>
        <w:rPr>
          <w:rFonts w:cs="Arial"/>
          <w:i/>
          <w:iCs/>
          <w:szCs w:val="20"/>
        </w:rPr>
        <w:t xml:space="preserve"> </w:t>
      </w:r>
      <w:r>
        <w:rPr>
          <w:rFonts w:cs="Arial"/>
          <w:szCs w:val="20"/>
        </w:rPr>
        <w:t>(</w:t>
      </w:r>
      <w:r>
        <w:rPr>
          <w:rFonts w:cs="Arial"/>
          <w:i/>
          <w:iCs/>
          <w:szCs w:val="20"/>
        </w:rPr>
        <w:t>f</w:t>
      </w:r>
      <w:r>
        <w:rPr>
          <w:rFonts w:cs="Arial"/>
          <w:szCs w:val="20"/>
        </w:rPr>
        <w:t xml:space="preserve">) </w:t>
      </w:r>
      <w:r>
        <w:rPr>
          <w:rFonts w:cs="Arial"/>
          <w:i/>
          <w:iCs/>
          <w:szCs w:val="20"/>
        </w:rPr>
        <w:t>r</w:t>
      </w:r>
      <w:r>
        <w:rPr>
          <w:rFonts w:cs="Arial"/>
          <w:i/>
          <w:iCs/>
          <w:szCs w:val="20"/>
          <w:vertAlign w:val="subscript"/>
        </w:rPr>
        <w:t>i</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De waarden voor de luchtabsorptiecoëfficiënt </w:t>
      </w:r>
      <w:r>
        <w:rPr>
          <w:rFonts w:cs="Arial"/>
          <w:i/>
          <w:iCs/>
          <w:szCs w:val="20"/>
        </w:rPr>
        <w:t>a</w:t>
      </w:r>
      <w:r>
        <w:rPr>
          <w:rFonts w:cs="Arial"/>
          <w:i/>
          <w:iCs/>
          <w:szCs w:val="20"/>
          <w:vertAlign w:val="subscript"/>
        </w:rPr>
        <w:t>lu</w:t>
      </w:r>
      <w:r>
        <w:rPr>
          <w:rFonts w:cs="Arial"/>
          <w:i/>
          <w:iCs/>
          <w:szCs w:val="20"/>
        </w:rPr>
        <w:t xml:space="preserve"> </w:t>
      </w:r>
      <w:r>
        <w:rPr>
          <w:rFonts w:cs="Arial"/>
          <w:szCs w:val="20"/>
        </w:rPr>
        <w:t xml:space="preserve"> zijn vermeld in tabel 3.1.</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tabel 3.1 De luchtabsorptiecoëfficiënt in dB/m in octaafbandwaarden (ISO 9613-1: 1993, bij een temperatuur van 10°C en een relatieve vochtigheid van 80%)</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2846"/>
        <w:gridCol w:w="720"/>
        <w:gridCol w:w="720"/>
        <w:gridCol w:w="720"/>
        <w:gridCol w:w="720"/>
        <w:gridCol w:w="720"/>
        <w:gridCol w:w="720"/>
        <w:gridCol w:w="720"/>
        <w:gridCol w:w="720"/>
        <w:gridCol w:w="720"/>
      </w:tblGrid>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middenfrequentie octaafbanden [Hz]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31,5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63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125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250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500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1000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2000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4000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8000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a</w:t>
            </w:r>
            <w:r>
              <w:rPr>
                <w:rFonts w:cs="Arial"/>
                <w:i/>
                <w:iCs/>
                <w:sz w:val="16"/>
                <w:szCs w:val="16"/>
                <w:vertAlign w:val="subscript"/>
              </w:rPr>
              <w:t>lu</w:t>
            </w:r>
            <w:r>
              <w:rPr>
                <w:rFonts w:cs="Arial"/>
                <w:i/>
                <w:iCs/>
                <w:sz w:val="16"/>
                <w:szCs w:val="16"/>
              </w:rPr>
              <w:t xml:space="preserve"> </w:t>
            </w:r>
            <w:r>
              <w:rPr>
                <w:rFonts w:cs="Arial"/>
                <w:sz w:val="16"/>
                <w:szCs w:val="16"/>
              </w:rPr>
              <w:t xml:space="preserve"> [dB/m]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2.10</w:t>
            </w:r>
            <w:r>
              <w:rPr>
                <w:rFonts w:cs="Arial"/>
                <w:sz w:val="16"/>
                <w:szCs w:val="16"/>
                <w:vertAlign w:val="superscript"/>
              </w:rPr>
              <w:t>-5</w:t>
            </w:r>
            <w:r>
              <w:rPr>
                <w:rFonts w:cs="Arial"/>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7.10</w:t>
            </w:r>
            <w:r>
              <w:rPr>
                <w:rFonts w:cs="Arial"/>
                <w:sz w:val="16"/>
                <w:szCs w:val="16"/>
                <w:vertAlign w:val="superscript"/>
              </w:rPr>
              <w:t>-5</w:t>
            </w:r>
            <w:r>
              <w:rPr>
                <w:rFonts w:cs="Arial"/>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2,5.10</w:t>
            </w:r>
            <w:r>
              <w:rPr>
                <w:rFonts w:cs="Arial"/>
                <w:sz w:val="16"/>
                <w:szCs w:val="16"/>
                <w:vertAlign w:val="superscript"/>
              </w:rPr>
              <w:t>-4</w:t>
            </w:r>
            <w:r>
              <w:rPr>
                <w:rFonts w:cs="Arial"/>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7,6.10</w:t>
            </w:r>
            <w:r>
              <w:rPr>
                <w:rFonts w:cs="Arial"/>
                <w:sz w:val="16"/>
                <w:szCs w:val="16"/>
                <w:vertAlign w:val="superscript"/>
              </w:rPr>
              <w:t>-4</w:t>
            </w:r>
            <w:r>
              <w:rPr>
                <w:rFonts w:cs="Arial"/>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1,6.10</w:t>
            </w:r>
            <w:r>
              <w:rPr>
                <w:rFonts w:cs="Arial"/>
                <w:sz w:val="16"/>
                <w:szCs w:val="16"/>
                <w:vertAlign w:val="superscript"/>
              </w:rPr>
              <w:t>-3</w:t>
            </w:r>
            <w:r>
              <w:rPr>
                <w:rFonts w:cs="Arial"/>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2,9.10</w:t>
            </w:r>
            <w:r>
              <w:rPr>
                <w:rFonts w:cs="Arial"/>
                <w:sz w:val="16"/>
                <w:szCs w:val="16"/>
                <w:vertAlign w:val="superscript"/>
              </w:rPr>
              <w:t>-3</w:t>
            </w:r>
            <w:r>
              <w:rPr>
                <w:rFonts w:cs="Arial"/>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6,2.10</w:t>
            </w:r>
            <w:r>
              <w:rPr>
                <w:rFonts w:cs="Arial"/>
                <w:sz w:val="16"/>
                <w:szCs w:val="16"/>
                <w:vertAlign w:val="superscript"/>
              </w:rPr>
              <w:t>-3</w:t>
            </w:r>
            <w:r>
              <w:rPr>
                <w:rFonts w:cs="Arial"/>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1,9.10</w:t>
            </w:r>
            <w:r>
              <w:rPr>
                <w:rFonts w:cs="Arial"/>
                <w:sz w:val="16"/>
                <w:szCs w:val="16"/>
                <w:vertAlign w:val="superscript"/>
              </w:rPr>
              <w:t>-2</w:t>
            </w:r>
            <w:r>
              <w:rPr>
                <w:rFonts w:cs="Arial"/>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6,7.10</w:t>
            </w:r>
            <w:r>
              <w:rPr>
                <w:rFonts w:cs="Arial"/>
                <w:sz w:val="16"/>
                <w:szCs w:val="16"/>
                <w:vertAlign w:val="superscript"/>
              </w:rPr>
              <w:t>-2</w:t>
            </w:r>
            <w:r>
              <w:rPr>
                <w:rFonts w:cs="Arial"/>
                <w:sz w:val="16"/>
                <w:szCs w:val="16"/>
              </w:rPr>
              <w:t xml:space="preserv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 xml:space="preserve">3.7. De term </w:t>
      </w:r>
      <w:r>
        <w:rPr>
          <w:rFonts w:cs="Arial"/>
          <w:b/>
          <w:bCs/>
          <w:i/>
          <w:iCs/>
          <w:szCs w:val="20"/>
        </w:rPr>
        <w:t>D</w:t>
      </w:r>
      <w:r>
        <w:rPr>
          <w:rFonts w:cs="Arial"/>
          <w:b/>
          <w:bCs/>
          <w:i/>
          <w:iCs/>
          <w:szCs w:val="20"/>
          <w:vertAlign w:val="subscript"/>
        </w:rPr>
        <w:t>refl</w:t>
      </w:r>
      <w:r>
        <w:rPr>
          <w:rFonts w:cs="Arial"/>
          <w:b/>
          <w:bCs/>
          <w:i/>
          <w:iCs/>
          <w:szCs w:val="20"/>
        </w:rPr>
        <w:t xml:space="preserve"> </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Indien er geen reflecterende objecten zijn geldt: </w:t>
      </w:r>
      <w:r>
        <w:rPr>
          <w:rFonts w:cs="Arial"/>
          <w:i/>
          <w:iCs/>
          <w:szCs w:val="20"/>
        </w:rPr>
        <w:t>D</w:t>
      </w:r>
      <w:r>
        <w:rPr>
          <w:rFonts w:cs="Arial"/>
          <w:i/>
          <w:iCs/>
          <w:szCs w:val="20"/>
          <w:vertAlign w:val="subscript"/>
        </w:rPr>
        <w:t>refl</w:t>
      </w:r>
      <w:r>
        <w:rPr>
          <w:rFonts w:cs="Arial"/>
          <w:i/>
          <w:iCs/>
          <w:szCs w:val="20"/>
        </w:rPr>
        <w:t xml:space="preserve"> </w:t>
      </w:r>
      <w:r>
        <w:rPr>
          <w:rFonts w:cs="Arial"/>
          <w:szCs w:val="20"/>
        </w:rPr>
        <w:t>= 0 dB.</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Indien er wel reflecterende objecten zijn, worden hieraan de volgende eisen gesteld om in de berekening als reflecterend object te worden aangemerkt:</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het reflecterend object heeft dwars op het geluidspad afmetingen die groter zijn dan de betreffende golflengte van het geluid;</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het object wordt vanuit de bron en/of vanuit het immissiepunt gezien onder een hoek van tenminste 5° in het horizontale vlak;</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de hoogte van het object moet groter zijn dan: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3.7) </w:t>
      </w:r>
      <w:r>
        <w:rPr>
          <w:rFonts w:cs="Arial"/>
          <w:i/>
          <w:iCs/>
          <w:szCs w:val="20"/>
        </w:rPr>
        <w:t>h</w:t>
      </w:r>
      <w:r>
        <w:rPr>
          <w:rFonts w:cs="Arial"/>
          <w:i/>
          <w:iCs/>
          <w:szCs w:val="20"/>
          <w:vertAlign w:val="subscript"/>
        </w:rPr>
        <w:t>b</w:t>
      </w:r>
      <w:r>
        <w:rPr>
          <w:rFonts w:cs="Arial"/>
          <w:i/>
          <w:iCs/>
          <w:szCs w:val="20"/>
        </w:rPr>
        <w:t xml:space="preserve"> + r</w:t>
      </w:r>
      <w:r>
        <w:rPr>
          <w:rFonts w:cs="Arial"/>
          <w:i/>
          <w:iCs/>
          <w:szCs w:val="20"/>
          <w:vertAlign w:val="subscript"/>
        </w:rPr>
        <w:t>br</w:t>
      </w:r>
      <w:r>
        <w:rPr>
          <w:rFonts w:cs="Arial"/>
          <w:i/>
          <w:iCs/>
          <w:szCs w:val="20"/>
        </w:rPr>
        <w:t xml:space="preserve"> </w:t>
      </w:r>
      <w:r>
        <w:rPr>
          <w:rFonts w:cs="Arial"/>
          <w:szCs w:val="20"/>
        </w:rPr>
        <w:t xml:space="preserve">/16 of </w:t>
      </w:r>
      <w:r>
        <w:rPr>
          <w:rFonts w:cs="Arial"/>
          <w:i/>
          <w:iCs/>
          <w:szCs w:val="20"/>
        </w:rPr>
        <w:t>h</w:t>
      </w:r>
      <w:r>
        <w:rPr>
          <w:rFonts w:cs="Arial"/>
          <w:i/>
          <w:iCs/>
          <w:szCs w:val="20"/>
          <w:vertAlign w:val="subscript"/>
        </w:rPr>
        <w:t>o</w:t>
      </w:r>
      <w:r>
        <w:rPr>
          <w:rFonts w:cs="Arial"/>
          <w:i/>
          <w:iCs/>
          <w:szCs w:val="20"/>
        </w:rPr>
        <w:t xml:space="preserve"> + r</w:t>
      </w:r>
      <w:r>
        <w:rPr>
          <w:rFonts w:cs="Arial"/>
          <w:i/>
          <w:iCs/>
          <w:szCs w:val="20"/>
          <w:vertAlign w:val="subscript"/>
        </w:rPr>
        <w:t>or</w:t>
      </w:r>
      <w:r>
        <w:rPr>
          <w:rFonts w:cs="Arial"/>
          <w:i/>
          <w:iCs/>
          <w:szCs w:val="20"/>
        </w:rPr>
        <w:t xml:space="preserve"> </w:t>
      </w:r>
      <w:r>
        <w:rPr>
          <w:rFonts w:cs="Arial"/>
          <w:szCs w:val="20"/>
        </w:rPr>
        <w:t>/16, met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8610"/>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br</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afstand van de bron tot het reflecterend object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or</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afstand van het immissiepunt tot het reflecterend object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h</w:t>
            </w:r>
            <w:r>
              <w:rPr>
                <w:rFonts w:cs="Arial"/>
                <w:sz w:val="16"/>
                <w:szCs w:val="16"/>
                <w:vertAlign w:val="subscript"/>
              </w:rPr>
              <w:t>o</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ontvangerhoogte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i/>
                <w:iCs/>
                <w:sz w:val="16"/>
                <w:szCs w:val="16"/>
                <w:vertAlign w:val="subscript"/>
              </w:rPr>
              <w:t>b</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bronhoogte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het object heeft een min of meer vlakke en geluidsreflecterende wand. Bomenrijen en open procesinstallaties worden zo buitengesloten;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het geluid kan via een reflectie (zoals bij een optische spiegeling) het immissiepunt bereiken (zie figuren 3.1 en 3.2).</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Bronsterkte van de spiegelbron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reflectie wordt in rekening gebracht door een spiegelbron te veronderstellen. Als de overdrachtsomstandigheden voor bron en spiegelbron weinig verschillen, dan wordt geen aparte spiegelbron in rekening gebracht, en is: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3.8) </w:t>
      </w:r>
      <w:r>
        <w:rPr>
          <w:rFonts w:cs="Arial"/>
          <w:i/>
          <w:iCs/>
          <w:szCs w:val="20"/>
        </w:rPr>
        <w:t>D</w:t>
      </w:r>
      <w:r>
        <w:rPr>
          <w:rFonts w:cs="Arial"/>
          <w:i/>
          <w:iCs/>
          <w:szCs w:val="20"/>
          <w:vertAlign w:val="subscript"/>
        </w:rPr>
        <w:t>refl</w:t>
      </w:r>
      <w:r>
        <w:rPr>
          <w:rFonts w:cs="Arial"/>
          <w:i/>
          <w:iCs/>
          <w:szCs w:val="20"/>
        </w:rPr>
        <w:t xml:space="preserve"> = 10</w:t>
      </w:r>
      <w:r>
        <w:rPr>
          <w:rFonts w:cs="Arial"/>
          <w:szCs w:val="20"/>
        </w:rPr>
        <w:t>lg (</w:t>
      </w:r>
      <w:r>
        <w:rPr>
          <w:rFonts w:cs="Arial"/>
          <w:i/>
          <w:iCs/>
          <w:szCs w:val="20"/>
        </w:rPr>
        <w:t>1 + ρ</w:t>
      </w:r>
      <w:r>
        <w:rPr>
          <w:rFonts w:cs="Arial"/>
          <w:szCs w:val="20"/>
        </w:rPr>
        <w:t>)</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Enkele waarden voor ρ, de reflectiecoëfficiënt voor de geluidsenergie, worden gegeven in tabel 3.2.</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Blijkt dat de geluidsbijdrage via de reflectie sterk verschilt van de bijdrage via de directe weg, bijvoorbeeld door aanwezigheid van een afscherming (figuur 3.3), dan wordt deze spiegelbron als een aparte bron berekend en is </w:t>
      </w:r>
      <w:r>
        <w:rPr>
          <w:rFonts w:cs="Arial"/>
          <w:i/>
          <w:iCs/>
          <w:szCs w:val="20"/>
        </w:rPr>
        <w:t>Drefl</w:t>
      </w:r>
      <w:r>
        <w:rPr>
          <w:rFonts w:cs="Arial"/>
          <w:szCs w:val="20"/>
        </w:rPr>
        <w:t xml:space="preserve"> = 0 dB. Voor de bronsterkte van de spiegelbron geldt: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3.9) (</w:t>
      </w:r>
      <w:r>
        <w:rPr>
          <w:rFonts w:cs="Arial"/>
          <w:i/>
          <w:iCs/>
          <w:szCs w:val="20"/>
        </w:rPr>
        <w:t>L</w:t>
      </w:r>
      <w:r>
        <w:rPr>
          <w:rFonts w:cs="Arial"/>
          <w:i/>
          <w:iCs/>
          <w:szCs w:val="20"/>
          <w:vertAlign w:val="subscript"/>
        </w:rPr>
        <w:t>W,i,m</w:t>
      </w:r>
      <w:r>
        <w:rPr>
          <w:rFonts w:cs="Arial"/>
          <w:i/>
          <w:iCs/>
          <w:szCs w:val="20"/>
        </w:rPr>
        <w:t xml:space="preserve"> </w:t>
      </w:r>
      <w:r>
        <w:rPr>
          <w:rFonts w:cs="Arial"/>
          <w:szCs w:val="20"/>
        </w:rPr>
        <w:t>)</w:t>
      </w:r>
      <w:r>
        <w:rPr>
          <w:rFonts w:cs="Arial"/>
          <w:i/>
          <w:iCs/>
          <w:szCs w:val="20"/>
        </w:rPr>
        <w:t xml:space="preserve"> </w:t>
      </w:r>
      <w:r>
        <w:rPr>
          <w:rFonts w:cs="Arial"/>
          <w:i/>
          <w:iCs/>
          <w:szCs w:val="20"/>
          <w:vertAlign w:val="subscript"/>
        </w:rPr>
        <w:t>spiegel</w:t>
      </w:r>
      <w:r>
        <w:rPr>
          <w:rFonts w:cs="Arial"/>
          <w:i/>
          <w:iCs/>
          <w:szCs w:val="20"/>
        </w:rPr>
        <w:t xml:space="preserve"> </w:t>
      </w:r>
      <w:r>
        <w:rPr>
          <w:rFonts w:cs="Arial"/>
          <w:szCs w:val="20"/>
        </w:rPr>
        <w:t xml:space="preserve">= </w:t>
      </w:r>
      <w:r>
        <w:rPr>
          <w:rFonts w:cs="Arial"/>
          <w:i/>
          <w:iCs/>
          <w:szCs w:val="20"/>
        </w:rPr>
        <w:t>L</w:t>
      </w:r>
      <w:r>
        <w:rPr>
          <w:rFonts w:cs="Arial"/>
          <w:i/>
          <w:iCs/>
          <w:szCs w:val="20"/>
          <w:vertAlign w:val="subscript"/>
        </w:rPr>
        <w:t>W,i.m</w:t>
      </w:r>
      <w:r>
        <w:rPr>
          <w:rFonts w:cs="Arial"/>
          <w:i/>
          <w:iCs/>
          <w:szCs w:val="20"/>
        </w:rPr>
        <w:t xml:space="preserve"> </w:t>
      </w:r>
      <w:r>
        <w:rPr>
          <w:rFonts w:cs="Arial"/>
          <w:szCs w:val="20"/>
        </w:rPr>
        <w:t xml:space="preserve"> + 10 lg ρ</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Opmerkingen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 xml:space="preserve">reflecties tegen de bodem worden door toepassing van </w:t>
      </w:r>
      <w:r>
        <w:rPr>
          <w:rFonts w:cs="Arial"/>
          <w:i/>
          <w:iCs/>
          <w:szCs w:val="20"/>
        </w:rPr>
        <w:t>D</w:t>
      </w:r>
      <w:r>
        <w:rPr>
          <w:rFonts w:cs="Arial"/>
          <w:i/>
          <w:iCs/>
          <w:szCs w:val="20"/>
          <w:vertAlign w:val="subscript"/>
        </w:rPr>
        <w:t>bodem</w:t>
      </w:r>
      <w:r>
        <w:rPr>
          <w:rFonts w:cs="Arial"/>
          <w:i/>
          <w:iCs/>
          <w:szCs w:val="20"/>
        </w:rPr>
        <w:t xml:space="preserve"> </w:t>
      </w:r>
      <w:r>
        <w:rPr>
          <w:rFonts w:cs="Arial"/>
          <w:szCs w:val="20"/>
        </w:rPr>
        <w:t xml:space="preserve"> in rekening gebracht;</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spiegelbronnen mogen worden verwaarloosd als hun bijdrage meer dan 7 dB onder het geluidsimmissieniveau van de bron ligt.</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01D06B4F" wp14:editId="33B1576B">
            <wp:extent cx="4972050" cy="22479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0" cy="2247900"/>
                    </a:xfrm>
                    <a:prstGeom prst="rect">
                      <a:avLst/>
                    </a:prstGeom>
                    <a:noFill/>
                    <a:ln>
                      <a:noFill/>
                    </a:ln>
                  </pic:spPr>
                </pic:pic>
              </a:graphicData>
            </a:graphic>
          </wp:inline>
        </w:drawing>
      </w:r>
      <w:r>
        <w:rPr>
          <w:rFonts w:cs="Arial"/>
          <w:szCs w:val="20"/>
        </w:rPr>
        <w:t xml:space="preserve"> </w:t>
      </w:r>
      <w:r>
        <w:rPr>
          <w:rFonts w:cs="Arial"/>
          <w:szCs w:val="20"/>
        </w:rPr>
        <w:br/>
        <w:t xml:space="preserve">figuur 3.1 Toelichting op optische spiegeling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357373AC" wp14:editId="29296920">
            <wp:extent cx="5038725" cy="360997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3609975"/>
                    </a:xfrm>
                    <a:prstGeom prst="rect">
                      <a:avLst/>
                    </a:prstGeom>
                    <a:noFill/>
                    <a:ln>
                      <a:noFill/>
                    </a:ln>
                  </pic:spPr>
                </pic:pic>
              </a:graphicData>
            </a:graphic>
          </wp:inline>
        </w:drawing>
      </w:r>
      <w:r>
        <w:rPr>
          <w:rFonts w:cs="Arial"/>
          <w:szCs w:val="20"/>
        </w:rPr>
        <w:t xml:space="preserve"> </w:t>
      </w:r>
      <w:r>
        <w:rPr>
          <w:rFonts w:cs="Arial"/>
          <w:szCs w:val="20"/>
        </w:rPr>
        <w:br/>
        <w:t>figuur 3.2 Geen spiegelbron, D</w:t>
      </w:r>
      <w:r>
        <w:rPr>
          <w:rFonts w:cs="Arial"/>
          <w:szCs w:val="20"/>
          <w:vertAlign w:val="subscript"/>
        </w:rPr>
        <w:t>refl</w:t>
      </w:r>
      <w:r>
        <w:rPr>
          <w:rFonts w:cs="Arial"/>
          <w:szCs w:val="20"/>
        </w:rPr>
        <w:t xml:space="preserve"> = –2 dB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34B2A9B9" wp14:editId="4525E16B">
            <wp:extent cx="5000625" cy="240982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0625" cy="2409825"/>
                    </a:xfrm>
                    <a:prstGeom prst="rect">
                      <a:avLst/>
                    </a:prstGeom>
                    <a:noFill/>
                    <a:ln>
                      <a:noFill/>
                    </a:ln>
                  </pic:spPr>
                </pic:pic>
              </a:graphicData>
            </a:graphic>
          </wp:inline>
        </w:drawing>
      </w:r>
      <w:r>
        <w:rPr>
          <w:rFonts w:cs="Arial"/>
          <w:szCs w:val="20"/>
        </w:rPr>
        <w:t xml:space="preserve"> </w:t>
      </w:r>
      <w:r>
        <w:rPr>
          <w:rFonts w:cs="Arial"/>
          <w:szCs w:val="20"/>
        </w:rPr>
        <w:br/>
        <w:t>figuur 3.3 Wel spiegelbron in rekening brengen en D</w:t>
      </w:r>
      <w:r>
        <w:rPr>
          <w:rFonts w:cs="Arial"/>
          <w:szCs w:val="20"/>
          <w:vertAlign w:val="subscript"/>
        </w:rPr>
        <w:t>refl</w:t>
      </w:r>
      <w:r>
        <w:rPr>
          <w:rFonts w:cs="Arial"/>
          <w:szCs w:val="20"/>
        </w:rPr>
        <w:t xml:space="preserve"> = 0 dB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59459D16" wp14:editId="5EA83F50">
            <wp:extent cx="5086350" cy="38957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3895725"/>
                    </a:xfrm>
                    <a:prstGeom prst="rect">
                      <a:avLst/>
                    </a:prstGeom>
                    <a:noFill/>
                    <a:ln>
                      <a:noFill/>
                    </a:ln>
                  </pic:spPr>
                </pic:pic>
              </a:graphicData>
            </a:graphic>
          </wp:inline>
        </w:drawing>
      </w:r>
      <w:r>
        <w:rPr>
          <w:rFonts w:cs="Arial"/>
          <w:szCs w:val="20"/>
        </w:rPr>
        <w:t xml:space="preserve"> </w:t>
      </w:r>
      <w:r>
        <w:rPr>
          <w:rFonts w:cs="Arial"/>
          <w:szCs w:val="20"/>
        </w:rPr>
        <w:br/>
        <w:t xml:space="preserve">tabel 3.2 Waarden voor de reflectiecoëfficiënt ρ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3.8. De schermwerking D</w:t>
      </w:r>
      <w:r>
        <w:rPr>
          <w:rFonts w:cs="Arial"/>
          <w:b/>
          <w:bCs/>
          <w:szCs w:val="20"/>
          <w:vertAlign w:val="subscript"/>
        </w:rPr>
        <w:t>scherm</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3.8.1. Eisen aan afschermende objecten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Een object wordt als scherm in rekening gebracht als:</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de massa per eenheid van oppervlakte tenminste 10 kg/m</w:t>
      </w:r>
      <w:r>
        <w:rPr>
          <w:rFonts w:cs="Arial"/>
          <w:szCs w:val="20"/>
          <w:vertAlign w:val="superscript"/>
        </w:rPr>
        <w:t>2</w:t>
      </w:r>
      <w:r>
        <w:rPr>
          <w:rFonts w:cs="Arial"/>
          <w:szCs w:val="20"/>
        </w:rPr>
        <w:t xml:space="preserve"> bedraagt;</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het object geen grote kieren of openingen heeft; procesinstallaties, bomen e.d. worden dus niet als scherm in rekening gebracht;</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 xml:space="preserve">de horizontale afmeting dwars op de lijn van bron naar immissiepunt groter is dan de golflengte van het geluid. Ofwel (zie figuur 3.4 en 3.6): </w:t>
      </w:r>
      <w:r>
        <w:rPr>
          <w:rFonts w:cs="Arial"/>
          <w:i/>
          <w:iCs/>
          <w:szCs w:val="20"/>
        </w:rPr>
        <w:t>s</w:t>
      </w:r>
      <w:r>
        <w:rPr>
          <w:rFonts w:cs="Arial"/>
          <w:i/>
          <w:iCs/>
          <w:szCs w:val="20"/>
          <w:vertAlign w:val="subscript"/>
        </w:rPr>
        <w:t>l</w:t>
      </w:r>
      <w:r>
        <w:rPr>
          <w:rFonts w:cs="Arial"/>
          <w:i/>
          <w:iCs/>
          <w:szCs w:val="20"/>
        </w:rPr>
        <w:t xml:space="preserve"> + s</w:t>
      </w:r>
      <w:r>
        <w:rPr>
          <w:rFonts w:cs="Arial"/>
          <w:i/>
          <w:iCs/>
          <w:szCs w:val="20"/>
          <w:vertAlign w:val="subscript"/>
        </w:rPr>
        <w:t>r</w:t>
      </w:r>
      <w:r>
        <w:rPr>
          <w:rFonts w:cs="Arial"/>
          <w:i/>
          <w:iCs/>
          <w:szCs w:val="20"/>
        </w:rPr>
        <w:t xml:space="preserve"> &gt; λ</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Bij schermen van geringe hoogten wordt een correctiefactor </w:t>
      </w:r>
      <w:r>
        <w:rPr>
          <w:rFonts w:cs="Arial"/>
          <w:i/>
          <w:iCs/>
          <w:szCs w:val="20"/>
        </w:rPr>
        <w:t>H</w:t>
      </w:r>
      <w:r>
        <w:rPr>
          <w:rFonts w:cs="Arial"/>
          <w:i/>
          <w:iCs/>
          <w:szCs w:val="20"/>
          <w:vertAlign w:val="subscript"/>
        </w:rPr>
        <w:t>f</w:t>
      </w:r>
      <w:r>
        <w:rPr>
          <w:rFonts w:cs="Arial"/>
          <w:i/>
          <w:iCs/>
          <w:szCs w:val="20"/>
        </w:rPr>
        <w:t xml:space="preserve"> </w:t>
      </w:r>
      <w:r>
        <w:rPr>
          <w:rFonts w:cs="Arial"/>
          <w:szCs w:val="20"/>
        </w:rPr>
        <w:t xml:space="preserve"> toegepast volgens formule 3.15.</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3.8.2. Schematiseren van objecten tot scherm</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Elk object wordt geschematiseerd door een vlak dun scherm met rechte verticale randen links LL’ en rechts RR’. De bovenrand LR van het scherm hoeft niet horizontaal te zijn.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Als gebouwen afschermen en de afmetingen van het gebouw in de richting van bron naar immissiepunt niet verwaarloosbaar zijn ten opzichte van de afstand tussen bron en immissiepunt, kan het gebouw worden gerepresenteerd door een prisma met een viertal rechte lijnstukken die verticaal op een rechthoekig grondvlak staan. De lijnstukken mogen ongelijk van lengte zijn. Elk zijvlak kan als scherm dienst doen.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3.8.3. Berekening D</w:t>
      </w:r>
      <w:r>
        <w:rPr>
          <w:rFonts w:cs="Arial"/>
          <w:b/>
          <w:bCs/>
          <w:szCs w:val="20"/>
          <w:vertAlign w:val="subscript"/>
        </w:rPr>
        <w:t>scherm</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Door de lijn bron-immissiepunt BI wordt een verticaal vlak V geplaatst. Indien één of meer schermen wordt doorsneden door lijn BF, worden op elk scherm drie punten bepaald (zie figuur 3.5), te weten:</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8610"/>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K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het snijpunt van de lijn BI met het scherm;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 top van het scherm in vlak V (snijpunt V met lijn LR);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Q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het snijpunt van het (verlengde) schermvlak met een gekromde geluidsstraal, die de geluidsoverdracht beschrijft als het scherm er niet zou zijn (kromtestraal = 8</w:t>
            </w:r>
            <w:r>
              <w:rPr>
                <w:rFonts w:cs="Arial"/>
                <w:i/>
                <w:iCs/>
                <w:sz w:val="16"/>
                <w:szCs w:val="16"/>
              </w:rPr>
              <w:t>r</w:t>
            </w:r>
            <w:r>
              <w:rPr>
                <w:rFonts w:cs="Arial"/>
                <w:sz w:val="16"/>
                <w:szCs w:val="16"/>
              </w:rPr>
              <w:t xml:space="preserv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Het punt Q ligt altijd boven K en wel op een afstand </w:t>
      </w:r>
      <w:r>
        <w:rPr>
          <w:rFonts w:cs="Arial"/>
          <w:i/>
          <w:iCs/>
          <w:szCs w:val="20"/>
        </w:rPr>
        <w:t>∆h</w:t>
      </w:r>
      <w:r>
        <w:rPr>
          <w:rFonts w:cs="Arial"/>
          <w:szCs w:val="20"/>
        </w:rPr>
        <w:t xml:space="preserve">, die volgens onderstaande formule wordt berekend uit de horizontale afstand bron-scherm </w:t>
      </w:r>
      <w:r>
        <w:rPr>
          <w:rFonts w:cs="Arial"/>
          <w:i/>
          <w:iCs/>
          <w:szCs w:val="20"/>
        </w:rPr>
        <w:t>r</w:t>
      </w:r>
      <w:r>
        <w:rPr>
          <w:rFonts w:cs="Arial"/>
          <w:i/>
          <w:iCs/>
          <w:szCs w:val="20"/>
          <w:vertAlign w:val="subscript"/>
        </w:rPr>
        <w:t>1</w:t>
      </w:r>
      <w:r>
        <w:rPr>
          <w:rFonts w:cs="Arial"/>
          <w:i/>
          <w:iCs/>
          <w:szCs w:val="20"/>
        </w:rPr>
        <w:t xml:space="preserve"> </w:t>
      </w:r>
      <w:r>
        <w:rPr>
          <w:rFonts w:cs="Arial"/>
          <w:szCs w:val="20"/>
        </w:rPr>
        <w:t xml:space="preserve"> en de horizontale afstand immissiepunt-scherm </w:t>
      </w:r>
      <w:r>
        <w:rPr>
          <w:rFonts w:cs="Arial"/>
          <w:i/>
          <w:iCs/>
          <w:szCs w:val="20"/>
        </w:rPr>
        <w:t>r</w:t>
      </w:r>
      <w:r>
        <w:rPr>
          <w:rFonts w:cs="Arial"/>
          <w:i/>
          <w:iCs/>
          <w:szCs w:val="20"/>
          <w:vertAlign w:val="subscript"/>
        </w:rPr>
        <w:t>2</w:t>
      </w:r>
      <w:r>
        <w:rPr>
          <w:rFonts w:cs="Arial"/>
          <w:i/>
          <w:iCs/>
          <w:szCs w:val="20"/>
        </w:rPr>
        <w:t xml:space="preserve"> </w:t>
      </w:r>
      <w:r>
        <w:rPr>
          <w:rFonts w:cs="Arial"/>
          <w:szCs w:val="20"/>
        </w:rPr>
        <w:t xml:space="preserve"> volgens: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3.10)</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7791D699" wp14:editId="30E2930F">
            <wp:extent cx="847725" cy="314325"/>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7725" cy="31432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De afstand tussen Q en T is de effectieve schermhoogte </w:t>
      </w:r>
      <w:r>
        <w:rPr>
          <w:rFonts w:cs="Arial"/>
          <w:i/>
          <w:iCs/>
          <w:szCs w:val="20"/>
        </w:rPr>
        <w:t>h</w:t>
      </w:r>
      <w:r>
        <w:rPr>
          <w:rFonts w:cs="Arial"/>
          <w:i/>
          <w:iCs/>
          <w:szCs w:val="20"/>
          <w:vertAlign w:val="subscript"/>
        </w:rPr>
        <w:t>e</w:t>
      </w:r>
      <w:r>
        <w:rPr>
          <w:rFonts w:cs="Arial"/>
          <w:i/>
          <w:iCs/>
          <w:szCs w:val="20"/>
        </w:rPr>
        <w:t xml:space="preserve"> </w:t>
      </w:r>
      <w:r>
        <w:rPr>
          <w:rFonts w:cs="Arial"/>
          <w:szCs w:val="20"/>
        </w:rPr>
        <w:t xml:space="preserve">. Als Q boven T ligt is </w:t>
      </w:r>
      <w:r>
        <w:rPr>
          <w:rFonts w:cs="Arial"/>
          <w:i/>
          <w:iCs/>
          <w:szCs w:val="20"/>
        </w:rPr>
        <w:t>h</w:t>
      </w:r>
      <w:r>
        <w:rPr>
          <w:rFonts w:cs="Arial"/>
          <w:i/>
          <w:iCs/>
          <w:szCs w:val="20"/>
          <w:vertAlign w:val="subscript"/>
        </w:rPr>
        <w:t>e</w:t>
      </w:r>
      <w:r>
        <w:rPr>
          <w:rFonts w:cs="Arial"/>
          <w:i/>
          <w:iCs/>
          <w:szCs w:val="20"/>
        </w:rPr>
        <w:t xml:space="preserve"> </w:t>
      </w:r>
      <w:r>
        <w:rPr>
          <w:rFonts w:cs="Arial"/>
          <w:szCs w:val="20"/>
        </w:rPr>
        <w:t xml:space="preserve"> negatief.</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7F307A71" wp14:editId="01D632A5">
            <wp:extent cx="4191000" cy="12668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0" cy="1266825"/>
                    </a:xfrm>
                    <a:prstGeom prst="rect">
                      <a:avLst/>
                    </a:prstGeom>
                    <a:noFill/>
                    <a:ln>
                      <a:noFill/>
                    </a:ln>
                  </pic:spPr>
                </pic:pic>
              </a:graphicData>
            </a:graphic>
          </wp:inline>
        </w:drawing>
      </w:r>
      <w:r>
        <w:rPr>
          <w:rFonts w:cs="Arial"/>
          <w:szCs w:val="20"/>
        </w:rPr>
        <w:t xml:space="preserve"> </w:t>
      </w:r>
      <w:r>
        <w:rPr>
          <w:rFonts w:cs="Arial"/>
          <w:szCs w:val="20"/>
        </w:rPr>
        <w:br/>
        <w:t>figuur 3.4 Toelichting bij de bepaling van s</w:t>
      </w:r>
      <w:r>
        <w:rPr>
          <w:rFonts w:cs="Arial"/>
          <w:szCs w:val="20"/>
          <w:vertAlign w:val="subscript"/>
        </w:rPr>
        <w:t>l</w:t>
      </w:r>
      <w:r>
        <w:rPr>
          <w:rFonts w:cs="Arial"/>
          <w:szCs w:val="20"/>
        </w:rPr>
        <w:t xml:space="preserve"> en s bij een gebouw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1161A582" wp14:editId="6A171D3B">
            <wp:extent cx="4352925" cy="280987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925" cy="2809875"/>
                    </a:xfrm>
                    <a:prstGeom prst="rect">
                      <a:avLst/>
                    </a:prstGeom>
                    <a:noFill/>
                    <a:ln>
                      <a:noFill/>
                    </a:ln>
                  </pic:spPr>
                </pic:pic>
              </a:graphicData>
            </a:graphic>
          </wp:inline>
        </w:drawing>
      </w:r>
      <w:r>
        <w:rPr>
          <w:rFonts w:cs="Arial"/>
          <w:szCs w:val="20"/>
        </w:rPr>
        <w:t xml:space="preserve"> </w:t>
      </w:r>
      <w:r>
        <w:rPr>
          <w:rFonts w:cs="Arial"/>
          <w:szCs w:val="20"/>
        </w:rPr>
        <w:br/>
        <w:t>figuur 3.5 Toelichting op de geometrische parameters bij de berekening van D</w:t>
      </w:r>
      <w:r>
        <w:rPr>
          <w:rFonts w:cs="Arial"/>
          <w:szCs w:val="20"/>
          <w:vertAlign w:val="subscript"/>
        </w:rPr>
        <w:t>scherm</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13C94956" wp14:editId="2C0F271C">
            <wp:extent cx="4238625" cy="10763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8625" cy="1076325"/>
                    </a:xfrm>
                    <a:prstGeom prst="rect">
                      <a:avLst/>
                    </a:prstGeom>
                    <a:noFill/>
                    <a:ln>
                      <a:noFill/>
                    </a:ln>
                  </pic:spPr>
                </pic:pic>
              </a:graphicData>
            </a:graphic>
          </wp:inline>
        </w:drawing>
      </w:r>
      <w:r>
        <w:rPr>
          <w:rFonts w:cs="Arial"/>
          <w:szCs w:val="20"/>
        </w:rPr>
        <w:t xml:space="preserve"> </w:t>
      </w:r>
      <w:r>
        <w:rPr>
          <w:rFonts w:cs="Arial"/>
          <w:szCs w:val="20"/>
        </w:rPr>
        <w:br/>
        <w:t>figuur 3.6 Toelichting op de berekening van D</w:t>
      </w:r>
      <w:r>
        <w:rPr>
          <w:rFonts w:cs="Arial"/>
          <w:szCs w:val="20"/>
          <w:vertAlign w:val="subscript"/>
        </w:rPr>
        <w:t>scherm</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Er worden drie situaties onderscheiden, die vervolgens behandeld worden: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a.</w:t>
      </w:r>
      <w:r>
        <w:rPr>
          <w:rFonts w:cs="Arial"/>
          <w:szCs w:val="20"/>
        </w:rPr>
        <w:tab/>
        <w:t>V snijdt geen enkel scherm;</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b.</w:t>
      </w:r>
      <w:r>
        <w:rPr>
          <w:rFonts w:cs="Arial"/>
          <w:szCs w:val="20"/>
        </w:rPr>
        <w:tab/>
        <w:t>V snijdt één scherm;</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c.</w:t>
      </w:r>
      <w:r>
        <w:rPr>
          <w:rFonts w:cs="Arial"/>
          <w:szCs w:val="20"/>
        </w:rPr>
        <w:tab/>
        <w:t>V snijdt meer dan een scherm.</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a. V snijdt geen scherm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In het geval dat vlak V geen enkel afschermend object snijdt, kunnen slechts grote, hoge objecten in de omgeving van de lijn van bron naar immissiepunt het geluidsveld van een puntbron beïnvloeden. Bij de berekening worden deze diffracties buiten beschouwing gelaten.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3.11)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0 dB</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Opmerking: in speciale gevallen kan het bronvermogen worden opgesplitst in kleinere deelbronnen. Zo wordt het effect van de discontinuïteit wel/geen afscherming sterk afgezwakt.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b. V snijdt één scherm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Uit de plaats van de punten K, Q en T enerzijds en de punten B en I anderzijds kunnen de lengten van de rechte verbindingslijnen </w:t>
      </w:r>
      <w:r>
        <w:rPr>
          <w:rFonts w:cs="Arial"/>
          <w:i/>
          <w:iCs/>
          <w:szCs w:val="20"/>
        </w:rPr>
        <w:t>k</w:t>
      </w:r>
      <w:r>
        <w:rPr>
          <w:rFonts w:cs="Arial"/>
          <w:i/>
          <w:iCs/>
          <w:szCs w:val="20"/>
          <w:vertAlign w:val="subscript"/>
        </w:rPr>
        <w:t>1</w:t>
      </w:r>
      <w:r>
        <w:rPr>
          <w:rFonts w:cs="Arial"/>
          <w:i/>
          <w:iCs/>
          <w:szCs w:val="20"/>
        </w:rPr>
        <w:t xml:space="preserve"> </w:t>
      </w:r>
      <w:r>
        <w:rPr>
          <w:rFonts w:cs="Arial"/>
          <w:szCs w:val="20"/>
        </w:rPr>
        <w:t xml:space="preserve"> = BK, </w:t>
      </w:r>
      <w:r>
        <w:rPr>
          <w:rFonts w:cs="Arial"/>
          <w:i/>
          <w:iCs/>
          <w:szCs w:val="20"/>
        </w:rPr>
        <w:t>k</w:t>
      </w:r>
      <w:r>
        <w:rPr>
          <w:rFonts w:cs="Arial"/>
          <w:i/>
          <w:iCs/>
          <w:szCs w:val="20"/>
          <w:vertAlign w:val="subscript"/>
        </w:rPr>
        <w:t>2</w:t>
      </w:r>
      <w:r>
        <w:rPr>
          <w:rFonts w:cs="Arial"/>
          <w:i/>
          <w:iCs/>
          <w:szCs w:val="20"/>
        </w:rPr>
        <w:t xml:space="preserve"> </w:t>
      </w:r>
      <w:r>
        <w:rPr>
          <w:rFonts w:cs="Arial"/>
          <w:szCs w:val="20"/>
        </w:rPr>
        <w:t xml:space="preserve"> = </w:t>
      </w:r>
      <w:r>
        <w:rPr>
          <w:rFonts w:cs="Arial"/>
          <w:i/>
          <w:iCs/>
          <w:szCs w:val="20"/>
        </w:rPr>
        <w:t>K</w:t>
      </w:r>
      <w:r>
        <w:rPr>
          <w:rFonts w:cs="Arial"/>
          <w:i/>
          <w:iCs/>
          <w:szCs w:val="20"/>
          <w:vertAlign w:val="subscript"/>
        </w:rPr>
        <w:t>I</w:t>
      </w:r>
      <w:r>
        <w:rPr>
          <w:rFonts w:cs="Arial"/>
          <w:i/>
          <w:iCs/>
          <w:szCs w:val="20"/>
        </w:rPr>
        <w:t xml:space="preserve"> </w:t>
      </w:r>
      <w:r>
        <w:rPr>
          <w:rFonts w:cs="Arial"/>
          <w:szCs w:val="20"/>
        </w:rPr>
        <w:t xml:space="preserve">, </w:t>
      </w:r>
      <w:r>
        <w:rPr>
          <w:rFonts w:cs="Arial"/>
          <w:i/>
          <w:iCs/>
          <w:szCs w:val="20"/>
        </w:rPr>
        <w:t>q</w:t>
      </w:r>
      <w:r>
        <w:rPr>
          <w:rFonts w:cs="Arial"/>
          <w:i/>
          <w:iCs/>
          <w:szCs w:val="20"/>
          <w:vertAlign w:val="subscript"/>
        </w:rPr>
        <w:t>1</w:t>
      </w:r>
      <w:r>
        <w:rPr>
          <w:rFonts w:cs="Arial"/>
          <w:i/>
          <w:iCs/>
          <w:szCs w:val="20"/>
        </w:rPr>
        <w:t xml:space="preserve"> </w:t>
      </w:r>
      <w:r>
        <w:rPr>
          <w:rFonts w:cs="Arial"/>
          <w:szCs w:val="20"/>
        </w:rPr>
        <w:t xml:space="preserve"> = BQ, </w:t>
      </w:r>
      <w:r>
        <w:rPr>
          <w:rFonts w:cs="Arial"/>
          <w:i/>
          <w:iCs/>
          <w:szCs w:val="20"/>
        </w:rPr>
        <w:t>q</w:t>
      </w:r>
      <w:r>
        <w:rPr>
          <w:rFonts w:cs="Arial"/>
          <w:i/>
          <w:iCs/>
          <w:szCs w:val="20"/>
          <w:vertAlign w:val="subscript"/>
        </w:rPr>
        <w:t>2</w:t>
      </w:r>
      <w:r>
        <w:rPr>
          <w:rFonts w:cs="Arial"/>
          <w:i/>
          <w:iCs/>
          <w:szCs w:val="20"/>
        </w:rPr>
        <w:t xml:space="preserve"> </w:t>
      </w:r>
      <w:r>
        <w:rPr>
          <w:rFonts w:cs="Arial"/>
          <w:szCs w:val="20"/>
        </w:rPr>
        <w:t xml:space="preserve"> = QI, </w:t>
      </w:r>
      <w:r>
        <w:rPr>
          <w:rFonts w:cs="Arial"/>
          <w:i/>
          <w:iCs/>
          <w:szCs w:val="20"/>
        </w:rPr>
        <w:t>t</w:t>
      </w:r>
      <w:r>
        <w:rPr>
          <w:rFonts w:cs="Arial"/>
          <w:i/>
          <w:iCs/>
          <w:szCs w:val="20"/>
          <w:vertAlign w:val="subscript"/>
        </w:rPr>
        <w:t>1</w:t>
      </w:r>
      <w:r>
        <w:rPr>
          <w:rFonts w:cs="Arial"/>
          <w:i/>
          <w:iCs/>
          <w:szCs w:val="20"/>
        </w:rPr>
        <w:t xml:space="preserve"> </w:t>
      </w:r>
      <w:r>
        <w:rPr>
          <w:rFonts w:cs="Arial"/>
          <w:szCs w:val="20"/>
        </w:rPr>
        <w:t xml:space="preserve"> = BT en</w:t>
      </w:r>
      <w:r>
        <w:rPr>
          <w:rFonts w:cs="Arial"/>
          <w:i/>
          <w:iCs/>
          <w:szCs w:val="20"/>
        </w:rPr>
        <w:t xml:space="preserve"> t</w:t>
      </w:r>
      <w:r>
        <w:rPr>
          <w:rFonts w:cs="Arial"/>
          <w:i/>
          <w:iCs/>
          <w:szCs w:val="20"/>
          <w:vertAlign w:val="subscript"/>
        </w:rPr>
        <w:t>2</w:t>
      </w:r>
      <w:r>
        <w:rPr>
          <w:rFonts w:cs="Arial"/>
          <w:i/>
          <w:iCs/>
          <w:szCs w:val="20"/>
        </w:rPr>
        <w:t xml:space="preserve"> </w:t>
      </w:r>
      <w:r>
        <w:rPr>
          <w:rFonts w:cs="Arial"/>
          <w:szCs w:val="20"/>
        </w:rPr>
        <w:t xml:space="preserve"> = TI worden berekend (zie figuur 3.5).</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Hieruit is de verticale omweg ε</w:t>
      </w:r>
      <w:r>
        <w:rPr>
          <w:rFonts w:cs="Arial"/>
          <w:szCs w:val="20"/>
          <w:vertAlign w:val="subscript"/>
        </w:rPr>
        <w:t>v</w:t>
      </w:r>
      <w:r>
        <w:rPr>
          <w:rFonts w:cs="Arial"/>
          <w:szCs w:val="20"/>
        </w:rPr>
        <w:t xml:space="preserve"> te bepalen volgens:</w:t>
      </w:r>
    </w:p>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Cs w:val="20"/>
          <w:lang w:val="de-DE"/>
        </w:rPr>
      </w:pPr>
      <w:r w:rsidRPr="00FC57C8">
        <w:rPr>
          <w:rFonts w:cs="Arial"/>
          <w:szCs w:val="20"/>
          <w:lang w:val="de-DE"/>
        </w:rPr>
        <w:t xml:space="preserve">3.12) Als T boven K ligt: </w:t>
      </w:r>
      <w:r>
        <w:rPr>
          <w:rFonts w:cs="Arial"/>
          <w:szCs w:val="20"/>
        </w:rPr>
        <w:t>ε</w:t>
      </w:r>
      <w:r w:rsidRPr="00FC57C8">
        <w:rPr>
          <w:rFonts w:cs="Arial"/>
          <w:szCs w:val="20"/>
          <w:vertAlign w:val="subscript"/>
          <w:lang w:val="de-DE"/>
        </w:rPr>
        <w:t>v</w:t>
      </w:r>
      <w:r w:rsidRPr="00FC57C8">
        <w:rPr>
          <w:rFonts w:cs="Arial"/>
          <w:szCs w:val="20"/>
          <w:lang w:val="de-DE"/>
        </w:rPr>
        <w:t xml:space="preserve"> =</w:t>
      </w:r>
      <w:r w:rsidRPr="00FC57C8">
        <w:rPr>
          <w:rFonts w:cs="Arial"/>
          <w:i/>
          <w:iCs/>
          <w:szCs w:val="20"/>
          <w:lang w:val="de-DE"/>
        </w:rPr>
        <w:t xml:space="preserve"> t</w:t>
      </w:r>
      <w:r w:rsidRPr="00FC57C8">
        <w:rPr>
          <w:rFonts w:cs="Arial"/>
          <w:i/>
          <w:iCs/>
          <w:szCs w:val="20"/>
          <w:vertAlign w:val="subscript"/>
          <w:lang w:val="de-DE"/>
        </w:rPr>
        <w:t>1</w:t>
      </w:r>
      <w:r w:rsidRPr="00FC57C8">
        <w:rPr>
          <w:rFonts w:cs="Arial"/>
          <w:i/>
          <w:iCs/>
          <w:szCs w:val="20"/>
          <w:lang w:val="de-DE"/>
        </w:rPr>
        <w:t xml:space="preserve"> + t</w:t>
      </w:r>
      <w:r w:rsidRPr="00FC57C8">
        <w:rPr>
          <w:rFonts w:cs="Arial"/>
          <w:i/>
          <w:iCs/>
          <w:szCs w:val="20"/>
          <w:vertAlign w:val="subscript"/>
          <w:lang w:val="de-DE"/>
        </w:rPr>
        <w:t>2</w:t>
      </w:r>
      <w:r w:rsidRPr="00FC57C8">
        <w:rPr>
          <w:rFonts w:cs="Arial"/>
          <w:i/>
          <w:iCs/>
          <w:szCs w:val="20"/>
          <w:lang w:val="de-DE"/>
        </w:rPr>
        <w:t xml:space="preserve"> – q</w:t>
      </w:r>
      <w:r w:rsidRPr="00FC57C8">
        <w:rPr>
          <w:rFonts w:cs="Arial"/>
          <w:i/>
          <w:iCs/>
          <w:szCs w:val="20"/>
          <w:vertAlign w:val="subscript"/>
          <w:lang w:val="de-DE"/>
        </w:rPr>
        <w:t>1</w:t>
      </w:r>
      <w:r w:rsidRPr="00FC57C8">
        <w:rPr>
          <w:rFonts w:cs="Arial"/>
          <w:i/>
          <w:iCs/>
          <w:szCs w:val="20"/>
          <w:lang w:val="de-DE"/>
        </w:rPr>
        <w:t xml:space="preserve"> – q</w:t>
      </w:r>
      <w:r w:rsidRPr="00FC57C8">
        <w:rPr>
          <w:rFonts w:cs="Arial"/>
          <w:i/>
          <w:iCs/>
          <w:szCs w:val="20"/>
          <w:vertAlign w:val="subscript"/>
          <w:lang w:val="de-DE"/>
        </w:rPr>
        <w:t>2</w:t>
      </w:r>
      <w:r w:rsidRPr="00FC57C8">
        <w:rPr>
          <w:rFonts w:cs="Arial"/>
          <w:i/>
          <w:iCs/>
          <w:szCs w:val="20"/>
          <w:lang w:val="de-DE"/>
        </w:rPr>
        <w:t xml:space="preserve"> </w:t>
      </w:r>
      <w:r w:rsidRPr="00FC57C8">
        <w:rPr>
          <w:rFonts w:cs="Arial"/>
          <w:szCs w:val="20"/>
          <w:lang w:val="de-DE"/>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Als T onder K ligt: ε</w:t>
      </w:r>
      <w:r>
        <w:rPr>
          <w:rFonts w:cs="Arial"/>
          <w:szCs w:val="20"/>
          <w:vertAlign w:val="subscript"/>
        </w:rPr>
        <w:t>v</w:t>
      </w:r>
      <w:r>
        <w:rPr>
          <w:rFonts w:cs="Arial"/>
          <w:szCs w:val="20"/>
        </w:rPr>
        <w:t xml:space="preserve"> = 2(</w:t>
      </w:r>
      <w:r>
        <w:rPr>
          <w:rFonts w:cs="Arial"/>
          <w:i/>
          <w:iCs/>
          <w:szCs w:val="20"/>
        </w:rPr>
        <w:t>k</w:t>
      </w:r>
      <w:r>
        <w:rPr>
          <w:rFonts w:cs="Arial"/>
          <w:i/>
          <w:iCs/>
          <w:szCs w:val="20"/>
          <w:vertAlign w:val="subscript"/>
        </w:rPr>
        <w:t>1</w:t>
      </w:r>
      <w:r>
        <w:rPr>
          <w:rFonts w:cs="Arial"/>
          <w:i/>
          <w:iCs/>
          <w:szCs w:val="20"/>
        </w:rPr>
        <w:t xml:space="preserve"> + k</w:t>
      </w:r>
      <w:r>
        <w:rPr>
          <w:rFonts w:cs="Arial"/>
          <w:i/>
          <w:iCs/>
          <w:szCs w:val="20"/>
          <w:vertAlign w:val="subscript"/>
        </w:rPr>
        <w:t>2</w:t>
      </w:r>
      <w:r>
        <w:rPr>
          <w:rFonts w:cs="Arial"/>
          <w:i/>
          <w:iCs/>
          <w:szCs w:val="20"/>
        </w:rPr>
        <w:t xml:space="preserve"> </w:t>
      </w:r>
      <w:r>
        <w:rPr>
          <w:rFonts w:cs="Arial"/>
          <w:szCs w:val="20"/>
        </w:rPr>
        <w:t>) –</w:t>
      </w:r>
      <w:r>
        <w:rPr>
          <w:rFonts w:cs="Arial"/>
          <w:i/>
          <w:iCs/>
          <w:szCs w:val="20"/>
        </w:rPr>
        <w:t xml:space="preserve"> t</w:t>
      </w:r>
      <w:r>
        <w:rPr>
          <w:rFonts w:cs="Arial"/>
          <w:i/>
          <w:iCs/>
          <w:szCs w:val="20"/>
          <w:vertAlign w:val="subscript"/>
        </w:rPr>
        <w:t>1</w:t>
      </w:r>
      <w:r>
        <w:rPr>
          <w:rFonts w:cs="Arial"/>
          <w:i/>
          <w:iCs/>
          <w:szCs w:val="20"/>
        </w:rPr>
        <w:t xml:space="preserve"> – t</w:t>
      </w:r>
      <w:r>
        <w:rPr>
          <w:rFonts w:cs="Arial"/>
          <w:i/>
          <w:iCs/>
          <w:szCs w:val="20"/>
          <w:vertAlign w:val="subscript"/>
        </w:rPr>
        <w:t>2</w:t>
      </w:r>
      <w:r>
        <w:rPr>
          <w:rFonts w:cs="Arial"/>
          <w:i/>
          <w:iCs/>
          <w:szCs w:val="20"/>
        </w:rPr>
        <w:t xml:space="preserve"> – q</w:t>
      </w:r>
      <w:r>
        <w:rPr>
          <w:rFonts w:cs="Arial"/>
          <w:i/>
          <w:iCs/>
          <w:szCs w:val="20"/>
          <w:vertAlign w:val="subscript"/>
        </w:rPr>
        <w:t>1</w:t>
      </w:r>
      <w:r>
        <w:rPr>
          <w:rFonts w:cs="Arial"/>
          <w:i/>
          <w:iCs/>
          <w:szCs w:val="20"/>
        </w:rPr>
        <w:t xml:space="preserve"> – q</w:t>
      </w:r>
      <w:r>
        <w:rPr>
          <w:rFonts w:cs="Arial"/>
          <w:i/>
          <w:iCs/>
          <w:szCs w:val="20"/>
          <w:vertAlign w:val="subscript"/>
        </w:rPr>
        <w:t>2</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horizontale omwegen worden berekend door de situatie op het horizontale referentievlak te projecteren. De projecties van B en I zijn B' en I' en de rechten LL' en RR' snijden het referentievlak in L' en R' (zie figuur 3.6).</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3.13) De rechter omweg: ε</w:t>
      </w:r>
      <w:r>
        <w:rPr>
          <w:rFonts w:cs="Arial"/>
          <w:szCs w:val="20"/>
          <w:vertAlign w:val="subscript"/>
        </w:rPr>
        <w:t>r</w:t>
      </w:r>
      <w:r>
        <w:rPr>
          <w:rFonts w:cs="Arial"/>
          <w:szCs w:val="20"/>
        </w:rPr>
        <w:t xml:space="preserve"> = B'R'' + R''I' – </w:t>
      </w:r>
      <w:r>
        <w:rPr>
          <w:rFonts w:cs="Arial"/>
          <w:i/>
          <w:iCs/>
          <w:szCs w:val="20"/>
        </w:rPr>
        <w:t>r</w:t>
      </w:r>
      <w:r>
        <w:rPr>
          <w:rFonts w:cs="Arial"/>
          <w:i/>
          <w:iCs/>
          <w:szCs w:val="20"/>
          <w:vertAlign w:val="subscript"/>
        </w:rPr>
        <w:t>1</w:t>
      </w:r>
      <w:r>
        <w:rPr>
          <w:rFonts w:cs="Arial"/>
          <w:i/>
          <w:iCs/>
          <w:szCs w:val="20"/>
        </w:rPr>
        <w:t xml:space="preserve"> – r</w:t>
      </w:r>
      <w:r>
        <w:rPr>
          <w:rFonts w:cs="Arial"/>
          <w:i/>
          <w:iCs/>
          <w:szCs w:val="20"/>
          <w:vertAlign w:val="subscript"/>
        </w:rPr>
        <w:t>2</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linker omweg: ε</w:t>
      </w:r>
      <w:r>
        <w:rPr>
          <w:rFonts w:cs="Arial"/>
          <w:szCs w:val="20"/>
          <w:vertAlign w:val="subscript"/>
        </w:rPr>
        <w:t>l</w:t>
      </w:r>
      <w:r>
        <w:rPr>
          <w:rFonts w:cs="Arial"/>
          <w:szCs w:val="20"/>
        </w:rPr>
        <w:t xml:space="preserve"> = B'L'' + L''I' – </w:t>
      </w:r>
      <w:r>
        <w:rPr>
          <w:rFonts w:cs="Arial"/>
          <w:i/>
          <w:iCs/>
          <w:szCs w:val="20"/>
        </w:rPr>
        <w:t>r</w:t>
      </w:r>
      <w:r>
        <w:rPr>
          <w:rFonts w:cs="Arial"/>
          <w:i/>
          <w:iCs/>
          <w:szCs w:val="20"/>
          <w:vertAlign w:val="subscript"/>
        </w:rPr>
        <w:t>1</w:t>
      </w:r>
      <w:r>
        <w:rPr>
          <w:rFonts w:cs="Arial"/>
          <w:i/>
          <w:iCs/>
          <w:szCs w:val="20"/>
        </w:rPr>
        <w:t xml:space="preserve"> – r</w:t>
      </w:r>
      <w:r>
        <w:rPr>
          <w:rFonts w:cs="Arial"/>
          <w:i/>
          <w:iCs/>
          <w:szCs w:val="20"/>
          <w:vertAlign w:val="subscript"/>
        </w:rPr>
        <w:t>2</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Van elk van de omwegen wordt een Fresnelgetal </w:t>
      </w:r>
      <w:r>
        <w:rPr>
          <w:rFonts w:cs="Arial"/>
          <w:i/>
          <w:iCs/>
          <w:szCs w:val="20"/>
        </w:rPr>
        <w:t>N</w:t>
      </w:r>
      <w:r>
        <w:rPr>
          <w:rFonts w:cs="Arial"/>
          <w:szCs w:val="20"/>
        </w:rPr>
        <w:t xml:space="preserve"> bepaald: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3.14) </w:t>
      </w:r>
      <w:r>
        <w:rPr>
          <w:rFonts w:cs="Arial"/>
          <w:i/>
          <w:iCs/>
          <w:szCs w:val="20"/>
        </w:rPr>
        <w:t>Nv</w:t>
      </w:r>
      <w:r>
        <w:rPr>
          <w:rFonts w:cs="Arial"/>
          <w:szCs w:val="20"/>
        </w:rPr>
        <w:t>(f) = 0,0059 ε</w:t>
      </w:r>
      <w:r>
        <w:rPr>
          <w:rFonts w:cs="Arial"/>
          <w:i/>
          <w:iCs/>
          <w:szCs w:val="20"/>
        </w:rPr>
        <w:t xml:space="preserve"> </w:t>
      </w:r>
      <w:r>
        <w:rPr>
          <w:rFonts w:cs="Arial"/>
          <w:i/>
          <w:iCs/>
          <w:szCs w:val="20"/>
          <w:vertAlign w:val="subscript"/>
        </w:rPr>
        <w:t>v</w:t>
      </w:r>
      <w:r>
        <w:rPr>
          <w:rFonts w:cs="Arial"/>
          <w:i/>
          <w:iCs/>
          <w:szCs w:val="20"/>
        </w:rPr>
        <w:t>f</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Nr</w:t>
      </w:r>
      <w:r>
        <w:rPr>
          <w:rFonts w:cs="Arial"/>
          <w:szCs w:val="20"/>
        </w:rPr>
        <w:t>(f) = 0,0059 ε</w:t>
      </w:r>
      <w:r>
        <w:rPr>
          <w:rFonts w:cs="Arial"/>
          <w:i/>
          <w:iCs/>
          <w:szCs w:val="20"/>
        </w:rPr>
        <w:t xml:space="preserve"> </w:t>
      </w:r>
      <w:r>
        <w:rPr>
          <w:rFonts w:cs="Arial"/>
          <w:i/>
          <w:iCs/>
          <w:szCs w:val="20"/>
          <w:vertAlign w:val="subscript"/>
        </w:rPr>
        <w:t>r</w:t>
      </w:r>
      <w:r>
        <w:rPr>
          <w:rFonts w:cs="Arial"/>
          <w:i/>
          <w:iCs/>
          <w:szCs w:val="20"/>
        </w:rPr>
        <w:t>f</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Nl</w:t>
      </w:r>
      <w:r>
        <w:rPr>
          <w:rFonts w:cs="Arial"/>
          <w:szCs w:val="20"/>
        </w:rPr>
        <w:t>(f) = 0,0059 ε</w:t>
      </w:r>
      <w:r>
        <w:rPr>
          <w:rFonts w:cs="Arial"/>
          <w:i/>
          <w:iCs/>
          <w:szCs w:val="20"/>
        </w:rPr>
        <w:t xml:space="preserve"> </w:t>
      </w:r>
      <w:r>
        <w:rPr>
          <w:rFonts w:cs="Arial"/>
          <w:i/>
          <w:iCs/>
          <w:szCs w:val="20"/>
          <w:vertAlign w:val="subscript"/>
        </w:rPr>
        <w:t>l</w:t>
      </w:r>
      <w:r>
        <w:rPr>
          <w:rFonts w:cs="Arial"/>
          <w:i/>
          <w:iCs/>
          <w:szCs w:val="20"/>
        </w:rPr>
        <w:t xml:space="preserve"> f</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Voor de frequentie </w:t>
      </w:r>
      <w:r>
        <w:rPr>
          <w:rFonts w:cs="Arial"/>
          <w:i/>
          <w:iCs/>
          <w:szCs w:val="20"/>
        </w:rPr>
        <w:t>f</w:t>
      </w:r>
      <w:r>
        <w:rPr>
          <w:rFonts w:cs="Arial"/>
          <w:szCs w:val="20"/>
        </w:rPr>
        <w:t xml:space="preserve"> wordt bij berekening in octaafbanden de middenfrequentie van de laagste tertsband in de octaafband ingevuld (deze is gelijk aan </w:t>
      </w:r>
      <w:r>
        <w:rPr>
          <w:rFonts w:cs="Arial"/>
          <w:i/>
          <w:iCs/>
          <w:szCs w:val="20"/>
        </w:rPr>
        <w:t>f</w:t>
      </w:r>
      <w:r>
        <w:rPr>
          <w:rFonts w:cs="Arial"/>
          <w:i/>
          <w:iCs/>
          <w:szCs w:val="20"/>
          <w:vertAlign w:val="subscript"/>
        </w:rPr>
        <w:t>oct</w:t>
      </w:r>
      <w:r>
        <w:rPr>
          <w:rFonts w:cs="Arial"/>
          <w:i/>
          <w:iCs/>
          <w:szCs w:val="20"/>
        </w:rPr>
        <w:t xml:space="preserve"> </w:t>
      </w:r>
      <w:r>
        <w:rPr>
          <w:rFonts w:cs="Arial"/>
          <w:szCs w:val="20"/>
        </w:rPr>
        <w:t>/2</w:t>
      </w:r>
      <w:r>
        <w:rPr>
          <w:rFonts w:cs="Arial"/>
          <w:szCs w:val="20"/>
          <w:vertAlign w:val="superscript"/>
        </w:rPr>
        <w:t>1/2</w:t>
      </w:r>
      <w:r>
        <w:rPr>
          <w:rFonts w:cs="Arial"/>
          <w:szCs w:val="20"/>
        </w:rPr>
        <w:t xml:space="preserve">) en bij berekening in tertsbanden de middenfrequentie van de betreffende tertsband. Uit het Fresnelgetal wordt de afscherming per schermrand berekend, uitgaande van de veronderstelling dat elke rand oneindig lang is. De bijdragen van de verschillende overdrachtswegen worden gesommeerd.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wordt gecorrigeerd indien de hoogte van het scherm boven het laagste van de twee aan het scherm grenzende maaivelden (</w:t>
      </w:r>
      <w:r>
        <w:rPr>
          <w:rFonts w:cs="Arial"/>
          <w:i/>
          <w:iCs/>
          <w:szCs w:val="20"/>
        </w:rPr>
        <w:t>h</w:t>
      </w:r>
      <w:r>
        <w:rPr>
          <w:rFonts w:cs="Arial"/>
          <w:i/>
          <w:iCs/>
          <w:szCs w:val="20"/>
          <w:vertAlign w:val="subscript"/>
        </w:rPr>
        <w:t>sr</w:t>
      </w:r>
      <w:r>
        <w:rPr>
          <w:rFonts w:cs="Arial"/>
          <w:i/>
          <w:iCs/>
          <w:szCs w:val="20"/>
        </w:rPr>
        <w:t xml:space="preserve"> – h</w:t>
      </w:r>
      <w:r>
        <w:rPr>
          <w:rFonts w:cs="Arial"/>
          <w:i/>
          <w:iCs/>
          <w:szCs w:val="20"/>
          <w:vertAlign w:val="subscript"/>
        </w:rPr>
        <w:t>ma</w:t>
      </w:r>
      <w:r>
        <w:rPr>
          <w:rFonts w:cs="Arial"/>
          <w:i/>
          <w:iCs/>
          <w:szCs w:val="20"/>
        </w:rPr>
        <w:t xml:space="preserve"> </w:t>
      </w:r>
      <w:r>
        <w:rPr>
          <w:rFonts w:cs="Arial"/>
          <w:szCs w:val="20"/>
        </w:rPr>
        <w:t xml:space="preserve">) klein is. Voor obstakels die sterk afwijken van een ideaal dun scherm wordt een term </w:t>
      </w:r>
      <w:r>
        <w:rPr>
          <w:rFonts w:cs="Arial"/>
          <w:i/>
          <w:iCs/>
          <w:szCs w:val="20"/>
        </w:rPr>
        <w:t>∆D</w:t>
      </w:r>
      <w:r>
        <w:rPr>
          <w:rFonts w:cs="Arial"/>
          <w:szCs w:val="20"/>
        </w:rPr>
        <w:t xml:space="preserve"> in rekening gebracht in formule 3.15.</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Indien </w:t>
      </w:r>
      <w:r>
        <w:rPr>
          <w:rFonts w:cs="Arial"/>
          <w:i/>
          <w:iCs/>
          <w:szCs w:val="20"/>
        </w:rPr>
        <w:t>N</w:t>
      </w:r>
      <w:r>
        <w:rPr>
          <w:rFonts w:cs="Arial"/>
          <w:i/>
          <w:iCs/>
          <w:szCs w:val="20"/>
          <w:vertAlign w:val="subscript"/>
        </w:rPr>
        <w:t>v</w:t>
      </w:r>
      <w:r>
        <w:rPr>
          <w:rFonts w:cs="Arial"/>
          <w:i/>
          <w:iCs/>
          <w:szCs w:val="20"/>
        </w:rPr>
        <w:t xml:space="preserve"> </w:t>
      </w:r>
      <w:r>
        <w:rPr>
          <w:rFonts w:cs="Arial"/>
          <w:szCs w:val="20"/>
        </w:rPr>
        <w:t xml:space="preserve"> ≤ -0,1</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 0 dB</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Indien </w:t>
      </w:r>
      <w:r>
        <w:rPr>
          <w:rFonts w:cs="Arial"/>
          <w:i/>
          <w:iCs/>
          <w:szCs w:val="20"/>
        </w:rPr>
        <w:t>N</w:t>
      </w:r>
      <w:r>
        <w:rPr>
          <w:rFonts w:cs="Arial"/>
          <w:i/>
          <w:iCs/>
          <w:szCs w:val="20"/>
          <w:vertAlign w:val="subscript"/>
        </w:rPr>
        <w:t>v</w:t>
      </w:r>
      <w:r>
        <w:rPr>
          <w:rFonts w:cs="Arial"/>
          <w:i/>
          <w:iCs/>
          <w:szCs w:val="20"/>
        </w:rPr>
        <w:t xml:space="preserve"> </w:t>
      </w:r>
      <w:r>
        <w:rPr>
          <w:rFonts w:cs="Arial"/>
          <w:szCs w:val="20"/>
        </w:rPr>
        <w:t>&gt; -0,1</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3.15)</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5C5C1FDB" wp14:editId="553F07B9">
            <wp:extent cx="3228975" cy="46672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8975" cy="46672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waarbij:</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2125"/>
        <w:gridCol w:w="6484"/>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i/>
                <w:iCs/>
                <w:sz w:val="16"/>
                <w:szCs w:val="16"/>
                <w:vertAlign w:val="subscript"/>
              </w:rPr>
              <w:t>f</w:t>
            </w:r>
            <w:r>
              <w:rPr>
                <w:rFonts w:cs="Arial"/>
                <w:i/>
                <w:iCs/>
                <w:sz w:val="16"/>
                <w:szCs w:val="16"/>
              </w:rPr>
              <w:t xml:space="preserve"> </w:t>
            </w:r>
            <w:r>
              <w:rPr>
                <w:rFonts w:cs="Arial"/>
                <w:sz w:val="16"/>
                <w:szCs w:val="16"/>
              </w:rPr>
              <w:t xml:space="preserve"> </w:t>
            </w:r>
          </w:p>
        </w:tc>
        <w:tc>
          <w:tcPr>
            <w:tcW w:w="21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w:t>
            </w:r>
            <w:r>
              <w:rPr>
                <w:rFonts w:cs="Arial"/>
                <w:i/>
                <w:iCs/>
                <w:sz w:val="16"/>
                <w:szCs w:val="16"/>
              </w:rPr>
              <w:t>h</w:t>
            </w:r>
            <w:r>
              <w:rPr>
                <w:rFonts w:cs="Arial"/>
                <w:i/>
                <w:iCs/>
                <w:sz w:val="16"/>
                <w:szCs w:val="16"/>
                <w:vertAlign w:val="subscript"/>
              </w:rPr>
              <w:t>sr</w:t>
            </w:r>
            <w:r>
              <w:rPr>
                <w:rFonts w:cs="Arial"/>
                <w:i/>
                <w:iCs/>
                <w:sz w:val="16"/>
                <w:szCs w:val="16"/>
              </w:rPr>
              <w:t xml:space="preserve"> – </w:t>
            </w:r>
            <w:r>
              <w:rPr>
                <w:rFonts w:cs="Arial"/>
                <w:sz w:val="16"/>
                <w:szCs w:val="16"/>
              </w:rPr>
              <w:t xml:space="preserve"> </w:t>
            </w:r>
            <w:r>
              <w:rPr>
                <w:rFonts w:cs="Arial"/>
                <w:i/>
                <w:iCs/>
                <w:sz w:val="16"/>
                <w:szCs w:val="16"/>
              </w:rPr>
              <w:t>h</w:t>
            </w:r>
            <w:r>
              <w:rPr>
                <w:rFonts w:cs="Arial"/>
                <w:i/>
                <w:iCs/>
                <w:sz w:val="16"/>
                <w:szCs w:val="16"/>
                <w:vertAlign w:val="subscript"/>
              </w:rPr>
              <w:t>ma</w:t>
            </w:r>
            <w:r>
              <w:rPr>
                <w:rFonts w:cs="Arial"/>
                <w:i/>
                <w:iCs/>
                <w:sz w:val="16"/>
                <w:szCs w:val="16"/>
              </w:rPr>
              <w:t xml:space="preserve"> </w:t>
            </w:r>
            <w:r>
              <w:rPr>
                <w:rFonts w:cs="Arial"/>
                <w:sz w:val="16"/>
                <w:szCs w:val="16"/>
              </w:rPr>
              <w:t xml:space="preserve">) </w:t>
            </w:r>
            <w:r>
              <w:rPr>
                <w:rFonts w:cs="Arial"/>
                <w:i/>
                <w:iCs/>
                <w:sz w:val="16"/>
                <w:szCs w:val="16"/>
              </w:rPr>
              <w:t xml:space="preserve"> </w:t>
            </w:r>
            <w:r>
              <w:rPr>
                <w:rFonts w:cs="Arial"/>
                <w:i/>
                <w:iCs/>
                <w:sz w:val="16"/>
                <w:szCs w:val="16"/>
                <w:vertAlign w:val="subscript"/>
              </w:rPr>
              <w:t>f</w:t>
            </w:r>
            <w:r>
              <w:rPr>
                <w:rFonts w:cs="Arial"/>
                <w:i/>
                <w:iCs/>
                <w:sz w:val="16"/>
                <w:szCs w:val="16"/>
              </w:rPr>
              <w:t xml:space="preserve"> </w:t>
            </w:r>
            <w:r>
              <w:rPr>
                <w:rFonts w:cs="Arial"/>
                <w:sz w:val="16"/>
                <w:szCs w:val="16"/>
              </w:rPr>
              <w:t xml:space="preserve"> /250 </w:t>
            </w:r>
          </w:p>
        </w:tc>
        <w:tc>
          <w:tcPr>
            <w:tcW w:w="648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als (</w:t>
            </w:r>
            <w:r>
              <w:rPr>
                <w:rFonts w:cs="Arial"/>
                <w:i/>
                <w:iCs/>
                <w:sz w:val="16"/>
                <w:szCs w:val="16"/>
              </w:rPr>
              <w:t>h</w:t>
            </w:r>
            <w:r>
              <w:rPr>
                <w:rFonts w:cs="Arial"/>
                <w:i/>
                <w:iCs/>
                <w:sz w:val="16"/>
                <w:szCs w:val="16"/>
                <w:vertAlign w:val="subscript"/>
              </w:rPr>
              <w:t>sr</w:t>
            </w:r>
            <w:r>
              <w:rPr>
                <w:rFonts w:cs="Arial"/>
                <w:i/>
                <w:iCs/>
                <w:sz w:val="16"/>
                <w:szCs w:val="16"/>
              </w:rPr>
              <w:t>–</w:t>
            </w:r>
            <w:r>
              <w:rPr>
                <w:rFonts w:cs="Arial"/>
                <w:sz w:val="16"/>
                <w:szCs w:val="16"/>
              </w:rPr>
              <w:t xml:space="preserve"> </w:t>
            </w:r>
            <w:r>
              <w:rPr>
                <w:rFonts w:cs="Arial"/>
                <w:i/>
                <w:iCs/>
                <w:sz w:val="16"/>
                <w:szCs w:val="16"/>
              </w:rPr>
              <w:t>h</w:t>
            </w:r>
            <w:r>
              <w:rPr>
                <w:rFonts w:cs="Arial"/>
                <w:i/>
                <w:iCs/>
                <w:sz w:val="16"/>
                <w:szCs w:val="16"/>
                <w:vertAlign w:val="subscript"/>
              </w:rPr>
              <w:t>ma</w:t>
            </w:r>
            <w:r>
              <w:rPr>
                <w:rFonts w:cs="Arial"/>
                <w:i/>
                <w:iCs/>
                <w:sz w:val="16"/>
                <w:szCs w:val="16"/>
              </w:rPr>
              <w:t xml:space="preserve"> </w:t>
            </w:r>
            <w:r>
              <w:rPr>
                <w:rFonts w:cs="Arial"/>
                <w:sz w:val="16"/>
                <w:szCs w:val="16"/>
              </w:rPr>
              <w:t xml:space="preserve">) </w:t>
            </w:r>
            <w:r>
              <w:rPr>
                <w:rFonts w:cs="Arial"/>
                <w:i/>
                <w:iCs/>
                <w:sz w:val="16"/>
                <w:szCs w:val="16"/>
              </w:rPr>
              <w:t>f</w:t>
            </w:r>
            <w:r>
              <w:rPr>
                <w:rFonts w:cs="Arial"/>
                <w:sz w:val="16"/>
                <w:szCs w:val="16"/>
              </w:rPr>
              <w:t xml:space="preserve"> / 250 &lt; 1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Hf</w:t>
            </w:r>
            <w:r>
              <w:rPr>
                <w:rFonts w:cs="Arial"/>
                <w:sz w:val="16"/>
                <w:szCs w:val="16"/>
              </w:rPr>
              <w:t xml:space="preserve"> </w:t>
            </w:r>
          </w:p>
        </w:tc>
        <w:tc>
          <w:tcPr>
            <w:tcW w:w="21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648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als (</w:t>
            </w:r>
            <w:r>
              <w:rPr>
                <w:rFonts w:cs="Arial"/>
                <w:i/>
                <w:iCs/>
                <w:sz w:val="16"/>
                <w:szCs w:val="16"/>
              </w:rPr>
              <w:t>h</w:t>
            </w:r>
            <w:r>
              <w:rPr>
                <w:rFonts w:cs="Arial"/>
                <w:i/>
                <w:iCs/>
                <w:sz w:val="16"/>
                <w:szCs w:val="16"/>
                <w:vertAlign w:val="subscript"/>
              </w:rPr>
              <w:t>sr</w:t>
            </w:r>
            <w:r>
              <w:rPr>
                <w:rFonts w:cs="Arial"/>
                <w:i/>
                <w:iCs/>
                <w:sz w:val="16"/>
                <w:szCs w:val="16"/>
              </w:rPr>
              <w:t xml:space="preserve"> </w:t>
            </w:r>
            <w:r>
              <w:rPr>
                <w:rFonts w:cs="Arial"/>
                <w:sz w:val="16"/>
                <w:szCs w:val="16"/>
              </w:rPr>
              <w:t xml:space="preserve"> – </w:t>
            </w:r>
            <w:r>
              <w:rPr>
                <w:rFonts w:cs="Arial"/>
                <w:i/>
                <w:iCs/>
                <w:sz w:val="16"/>
                <w:szCs w:val="16"/>
              </w:rPr>
              <w:t>h</w:t>
            </w:r>
            <w:r>
              <w:rPr>
                <w:rFonts w:cs="Arial"/>
                <w:i/>
                <w:iCs/>
                <w:sz w:val="16"/>
                <w:szCs w:val="16"/>
                <w:vertAlign w:val="subscript"/>
              </w:rPr>
              <w:t>ma</w:t>
            </w:r>
            <w:r>
              <w:rPr>
                <w:rFonts w:cs="Arial"/>
                <w:i/>
                <w:iCs/>
                <w:sz w:val="16"/>
                <w:szCs w:val="16"/>
              </w:rPr>
              <w:t xml:space="preserve"> </w:t>
            </w:r>
            <w:r>
              <w:rPr>
                <w:rFonts w:cs="Arial"/>
                <w:sz w:val="16"/>
                <w:szCs w:val="16"/>
              </w:rPr>
              <w:t xml:space="preserve">) </w:t>
            </w:r>
            <w:r>
              <w:rPr>
                <w:rFonts w:cs="Arial"/>
                <w:i/>
                <w:iCs/>
                <w:sz w:val="16"/>
                <w:szCs w:val="16"/>
              </w:rPr>
              <w:t>f</w:t>
            </w:r>
            <w:r>
              <w:rPr>
                <w:rFonts w:cs="Arial"/>
                <w:sz w:val="16"/>
                <w:szCs w:val="16"/>
              </w:rPr>
              <w:t xml:space="preserve"> / 250 ≥ 1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sz w:val="16"/>
                <w:szCs w:val="16"/>
              </w:rPr>
              <w:t xml:space="preserve"> </w:t>
            </w:r>
          </w:p>
        </w:tc>
        <w:tc>
          <w:tcPr>
            <w:tcW w:w="21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zie tabel 3.3 </w:t>
            </w:r>
          </w:p>
        </w:tc>
        <w:tc>
          <w:tcPr>
            <w:tcW w:w="648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tabel 3.3 De waarden voor ∆D van obstakels die van de ideale schermvorm afwijken</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405"/>
        <w:gridCol w:w="7925"/>
      </w:tblGrid>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sz w:val="16"/>
                <w:szCs w:val="16"/>
              </w:rPr>
              <w:t xml:space="preserve"> [dB] </w:t>
            </w:r>
          </w:p>
        </w:tc>
        <w:tc>
          <w:tcPr>
            <w:tcW w:w="79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Betreft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0 </w:t>
            </w:r>
          </w:p>
        </w:tc>
        <w:tc>
          <w:tcPr>
            <w:tcW w:w="79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alle gebouwen;</w:t>
            </w:r>
            <w:r>
              <w:rPr>
                <w:rFonts w:cs="Arial"/>
                <w:sz w:val="16"/>
                <w:szCs w:val="16"/>
              </w:rPr>
              <w:br/>
              <w:t xml:space="preserve"> – dunne wanden met een helling kleiner dan 20° met de verticaal;</w:t>
            </w:r>
            <w:r>
              <w:rPr>
                <w:rFonts w:cs="Arial"/>
                <w:sz w:val="16"/>
                <w:szCs w:val="16"/>
              </w:rPr>
              <w:br/>
              <w:t xml:space="preserve"> – grondlichamen waarbij de hellingen van de taluds aan beide zijden opgeteld niet meer dan 70° bedragen;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0 </w:t>
            </w:r>
          </w:p>
        </w:tc>
        <w:tc>
          <w:tcPr>
            <w:tcW w:w="79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grondlichamen uit de groep </w:t>
            </w:r>
            <w:r>
              <w:rPr>
                <w:rFonts w:cs="Arial"/>
                <w:i/>
                <w:iCs/>
                <w:sz w:val="16"/>
                <w:szCs w:val="16"/>
              </w:rPr>
              <w:t>∆D</w:t>
            </w:r>
            <w:r>
              <w:rPr>
                <w:rFonts w:cs="Arial"/>
                <w:sz w:val="16"/>
                <w:szCs w:val="16"/>
              </w:rPr>
              <w:t xml:space="preserve"> = 2 als boven op het grondlichaam een obstakel uit bovenstaande categorie staat dat tenminste even hoog is als het grondlichaam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2 </w:t>
            </w:r>
          </w:p>
        </w:tc>
        <w:tc>
          <w:tcPr>
            <w:tcW w:w="79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grondlichamen waarbij de hellingen van de taluds aan beide zijden opgeteld tussen 70° en 165° liggen;</w:t>
            </w:r>
            <w:r>
              <w:rPr>
                <w:rFonts w:cs="Arial"/>
                <w:sz w:val="16"/>
                <w:szCs w:val="16"/>
              </w:rPr>
              <w:br/>
              <w:t xml:space="preserve"> – grondlichamen met daarop een obstakel uit de eerste groep </w:t>
            </w:r>
            <w:r>
              <w:rPr>
                <w:rFonts w:cs="Arial"/>
                <w:i/>
                <w:iCs/>
                <w:sz w:val="16"/>
                <w:szCs w:val="16"/>
              </w:rPr>
              <w:t>∆D</w:t>
            </w:r>
            <w:r>
              <w:rPr>
                <w:rFonts w:cs="Arial"/>
                <w:sz w:val="16"/>
                <w:szCs w:val="16"/>
              </w:rPr>
              <w:t xml:space="preserve"> = 0 dat minder hoog is dan het grondlichaam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Als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 0 dB dan wordt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 0 dB</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Als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≥20 dB dan wordt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 20 dB</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Opmerking: indien het scherm veel breder is dan hoog gaat de formule 3.15 over in de formule van het oneindig lange scherm (</w:t>
      </w:r>
      <w:r>
        <w:rPr>
          <w:rFonts w:cs="Arial"/>
          <w:i/>
          <w:iCs/>
          <w:szCs w:val="20"/>
        </w:rPr>
        <w:t>∆D</w:t>
      </w:r>
      <w:r>
        <w:rPr>
          <w:rFonts w:cs="Arial"/>
          <w:szCs w:val="20"/>
        </w:rPr>
        <w:t xml:space="preserve"> = 0 verondersteld).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3.16)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 10</w:t>
      </w:r>
      <w:r>
        <w:rPr>
          <w:rFonts w:cs="Arial"/>
          <w:i/>
          <w:iCs/>
          <w:szCs w:val="20"/>
        </w:rPr>
        <w:t>H</w:t>
      </w:r>
      <w:r>
        <w:rPr>
          <w:rFonts w:cs="Arial"/>
          <w:i/>
          <w:iCs/>
          <w:szCs w:val="20"/>
          <w:vertAlign w:val="subscript"/>
        </w:rPr>
        <w:t>f</w:t>
      </w:r>
      <w:r>
        <w:rPr>
          <w:rFonts w:cs="Arial"/>
          <w:i/>
          <w:iCs/>
          <w:szCs w:val="20"/>
        </w:rPr>
        <w:t xml:space="preserve"> </w:t>
      </w:r>
      <w:r>
        <w:rPr>
          <w:rFonts w:cs="Arial"/>
          <w:szCs w:val="20"/>
        </w:rPr>
        <w:t xml:space="preserve"> lg (20</w:t>
      </w:r>
      <w:r>
        <w:rPr>
          <w:rFonts w:cs="Arial"/>
          <w:i/>
          <w:iCs/>
          <w:szCs w:val="20"/>
        </w:rPr>
        <w:t>N</w:t>
      </w:r>
      <w:r>
        <w:rPr>
          <w:rFonts w:cs="Arial"/>
          <w:i/>
          <w:iCs/>
          <w:szCs w:val="20"/>
          <w:vertAlign w:val="subscript"/>
        </w:rPr>
        <w:t>v</w:t>
      </w:r>
      <w:r>
        <w:rPr>
          <w:rFonts w:cs="Arial"/>
          <w:i/>
          <w:iCs/>
          <w:szCs w:val="20"/>
        </w:rPr>
        <w:t xml:space="preserve"> </w:t>
      </w:r>
      <w:r>
        <w:rPr>
          <w:rFonts w:cs="Arial"/>
          <w:szCs w:val="20"/>
        </w:rPr>
        <w:t xml:space="preserve"> + 3)</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c. Vlak V snijdt twee of meer schermen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We onderscheiden hier twee situaties namelijk:</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8610"/>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c.1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 algemene situatie;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c.2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het bijzondere geval waarbij zowel dichtbij de bron als dichtbij het immissiepunt een scherm staat en waarbij de onderlinge afstand tussen de schermen groot is.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c.1 Algemene situatie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We onderscheiden: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 xml:space="preserve">Voor geen of slechts één van de schermen geldt </w:t>
      </w:r>
      <w:r>
        <w:rPr>
          <w:rFonts w:cs="Arial"/>
          <w:i/>
          <w:iCs/>
          <w:szCs w:val="20"/>
        </w:rPr>
        <w:t>h</w:t>
      </w:r>
      <w:r>
        <w:rPr>
          <w:rFonts w:cs="Arial"/>
          <w:i/>
          <w:iCs/>
          <w:szCs w:val="20"/>
          <w:vertAlign w:val="subscript"/>
        </w:rPr>
        <w:t>e</w:t>
      </w:r>
      <w:r>
        <w:rPr>
          <w:rFonts w:cs="Arial"/>
          <w:i/>
          <w:iCs/>
          <w:szCs w:val="20"/>
        </w:rPr>
        <w:t xml:space="preserve"> </w:t>
      </w:r>
      <w:r>
        <w:rPr>
          <w:rFonts w:cs="Arial"/>
          <w:szCs w:val="20"/>
        </w:rPr>
        <w:t xml:space="preserve"> ≥ 0.</w:t>
      </w:r>
      <w:r>
        <w:rPr>
          <w:rFonts w:cs="Arial"/>
          <w:szCs w:val="20"/>
        </w:rPr>
        <w:br/>
        <w:t>In deze gevallen wordt alleen het scherm met de grootste verticale omweg berekend volgens de procedure van het enkele scherm. (Dit betekent, in het geval dat he kleiner dan nul is, dat met het scherm dat in absolute waarde gerekend de kleinste omweg bezit verder wordt gerekend).</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 xml:space="preserve">Meer schermen met </w:t>
      </w:r>
      <w:r>
        <w:rPr>
          <w:rFonts w:cs="Arial"/>
          <w:i/>
          <w:iCs/>
          <w:szCs w:val="20"/>
        </w:rPr>
        <w:t>h</w:t>
      </w:r>
      <w:r>
        <w:rPr>
          <w:rFonts w:cs="Arial"/>
          <w:i/>
          <w:iCs/>
          <w:szCs w:val="20"/>
          <w:vertAlign w:val="subscript"/>
        </w:rPr>
        <w:t>e</w:t>
      </w:r>
      <w:r>
        <w:rPr>
          <w:rFonts w:cs="Arial"/>
          <w:i/>
          <w:iCs/>
          <w:szCs w:val="20"/>
        </w:rPr>
        <w:t xml:space="preserve"> </w:t>
      </w:r>
      <w:r>
        <w:rPr>
          <w:rFonts w:cs="Arial"/>
          <w:szCs w:val="20"/>
        </w:rPr>
        <w:t xml:space="preserve"> ≥ 0.</w:t>
      </w:r>
      <w:r>
        <w:rPr>
          <w:rFonts w:cs="Arial"/>
          <w:szCs w:val="20"/>
        </w:rPr>
        <w:br/>
        <w:t xml:space="preserve">Voor de berekening van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wordt een goede benadering gevonden door de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van het meest afschermende object te bepalen met de procedure van het enkele scherm. Gebouwen e.d. worden in deze berekening vereenvoudigd tot een enkel scherm waarbij de zijpaden worden berekend langs de verticale hoeklijnen met de grootste horizontale omweg.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Als de onderlinge afstand </w:t>
      </w:r>
      <w:r>
        <w:rPr>
          <w:rFonts w:cs="Arial"/>
          <w:i/>
          <w:iCs/>
          <w:szCs w:val="20"/>
        </w:rPr>
        <w:t>r</w:t>
      </w:r>
      <w:r>
        <w:rPr>
          <w:rFonts w:cs="Arial"/>
          <w:i/>
          <w:iCs/>
          <w:szCs w:val="20"/>
          <w:vertAlign w:val="subscript"/>
        </w:rPr>
        <w:t>12</w:t>
      </w:r>
      <w:r>
        <w:rPr>
          <w:rFonts w:cs="Arial"/>
          <w:i/>
          <w:iCs/>
          <w:szCs w:val="20"/>
        </w:rPr>
        <w:t xml:space="preserve"> </w:t>
      </w:r>
      <w:r>
        <w:rPr>
          <w:rFonts w:cs="Arial"/>
          <w:szCs w:val="20"/>
        </w:rPr>
        <w:t xml:space="preserve"> (zie figuur 3.7) tussen de schermen voldoet aan: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r</w:t>
      </w:r>
      <w:r>
        <w:rPr>
          <w:rFonts w:cs="Arial"/>
          <w:i/>
          <w:iCs/>
          <w:szCs w:val="20"/>
          <w:vertAlign w:val="subscript"/>
        </w:rPr>
        <w:t>12</w:t>
      </w:r>
      <w:r>
        <w:rPr>
          <w:rFonts w:cs="Arial"/>
          <w:i/>
          <w:iCs/>
          <w:szCs w:val="20"/>
        </w:rPr>
        <w:t xml:space="preserve"> </w:t>
      </w:r>
      <w:r>
        <w:rPr>
          <w:rFonts w:cs="Arial"/>
          <w:szCs w:val="20"/>
        </w:rPr>
        <w:t xml:space="preserve">/ </w:t>
      </w:r>
      <w:r>
        <w:rPr>
          <w:rFonts w:cs="Arial"/>
          <w:i/>
          <w:iCs/>
          <w:szCs w:val="20"/>
        </w:rPr>
        <w:t>ri</w:t>
      </w:r>
      <w:r>
        <w:rPr>
          <w:rFonts w:cs="Arial"/>
          <w:szCs w:val="20"/>
        </w:rPr>
        <w:t xml:space="preserve"> &gt;0,2</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kan de volgende rekenprocedure worden gebruikt, die in figuur 3.8 schematisch wordt aangegeven: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1.</w:t>
      </w:r>
      <w:r>
        <w:rPr>
          <w:rFonts w:cs="Arial"/>
          <w:szCs w:val="20"/>
        </w:rPr>
        <w:tab/>
        <w:t xml:space="preserve">Alle schermen met </w:t>
      </w:r>
      <w:r>
        <w:rPr>
          <w:rFonts w:cs="Arial"/>
          <w:i/>
          <w:iCs/>
          <w:szCs w:val="20"/>
        </w:rPr>
        <w:t>h</w:t>
      </w:r>
      <w:r>
        <w:rPr>
          <w:rFonts w:cs="Arial"/>
          <w:i/>
          <w:iCs/>
          <w:szCs w:val="20"/>
          <w:vertAlign w:val="subscript"/>
        </w:rPr>
        <w:t>e</w:t>
      </w:r>
      <w:r>
        <w:rPr>
          <w:rFonts w:cs="Arial"/>
          <w:i/>
          <w:iCs/>
          <w:szCs w:val="20"/>
        </w:rPr>
        <w:t xml:space="preserve"> </w:t>
      </w:r>
      <w:r>
        <w:rPr>
          <w:rFonts w:cs="Arial"/>
          <w:szCs w:val="20"/>
        </w:rPr>
        <w:t xml:space="preserve"> &lt; 0 worden verwijderd.</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2.</w:t>
      </w:r>
      <w:r>
        <w:rPr>
          <w:rFonts w:cs="Arial"/>
          <w:szCs w:val="20"/>
        </w:rPr>
        <w:tab/>
        <w:t xml:space="preserve">Van de overgebleven schermen wordt het punt </w:t>
      </w:r>
      <w:r>
        <w:rPr>
          <w:rFonts w:cs="Arial"/>
          <w:i/>
          <w:iCs/>
          <w:szCs w:val="20"/>
        </w:rPr>
        <w:t>S</w:t>
      </w:r>
      <w:r>
        <w:rPr>
          <w:rFonts w:cs="Arial"/>
          <w:i/>
          <w:iCs/>
          <w:szCs w:val="20"/>
          <w:vertAlign w:val="subscript"/>
        </w:rPr>
        <w:t>i</w:t>
      </w:r>
      <w:r>
        <w:rPr>
          <w:rFonts w:cs="Arial"/>
          <w:i/>
          <w:iCs/>
          <w:szCs w:val="20"/>
        </w:rPr>
        <w:t xml:space="preserve"> </w:t>
      </w:r>
      <w:r>
        <w:rPr>
          <w:rFonts w:cs="Arial"/>
          <w:szCs w:val="20"/>
        </w:rPr>
        <w:t xml:space="preserve"> (berekend bij scherm i) bepaald. </w:t>
      </w:r>
      <w:r>
        <w:rPr>
          <w:rFonts w:cs="Arial"/>
          <w:i/>
          <w:iCs/>
          <w:szCs w:val="20"/>
        </w:rPr>
        <w:t>S</w:t>
      </w:r>
      <w:r>
        <w:rPr>
          <w:rFonts w:cs="Arial"/>
          <w:i/>
          <w:iCs/>
          <w:szCs w:val="20"/>
          <w:vertAlign w:val="subscript"/>
        </w:rPr>
        <w:t>i</w:t>
      </w:r>
      <w:r>
        <w:rPr>
          <w:rFonts w:cs="Arial"/>
          <w:i/>
          <w:iCs/>
          <w:szCs w:val="20"/>
        </w:rPr>
        <w:t xml:space="preserve"> </w:t>
      </w:r>
      <w:r>
        <w:rPr>
          <w:rFonts w:cs="Arial"/>
          <w:szCs w:val="20"/>
        </w:rPr>
        <w:t xml:space="preserve"> ligt op een afstand s onder de top van het scherm.</w:t>
      </w:r>
      <w:r>
        <w:rPr>
          <w:rFonts w:cs="Arial"/>
          <w:szCs w:val="20"/>
        </w:rPr>
        <w:br/>
        <w:t>3.17)</w:t>
      </w:r>
      <w:r>
        <w:rPr>
          <w:rFonts w:cs="Arial"/>
          <w:szCs w:val="20"/>
        </w:rPr>
        <w:br/>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6E182503" wp14:editId="2F50D801">
            <wp:extent cx="1543050" cy="3619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0" cy="361950"/>
                    </a:xfrm>
                    <a:prstGeom prst="rect">
                      <a:avLst/>
                    </a:prstGeom>
                    <a:noFill/>
                    <a:ln>
                      <a:noFill/>
                    </a:ln>
                  </pic:spPr>
                </pic:pic>
              </a:graphicData>
            </a:graphic>
          </wp:inline>
        </w:drawing>
      </w:r>
      <w:r>
        <w:rPr>
          <w:rFonts w:cs="Arial"/>
          <w:szCs w:val="20"/>
        </w:rPr>
        <w:t xml:space="preserve"> </w:t>
      </w:r>
    </w:p>
    <w:p w:rsidR="00FC57C8" w:rsidRDefault="00FC57C8" w:rsidP="00FC57C8">
      <w:pPr>
        <w:pStyle w:val="Documentstructuur"/>
        <w:widowControl w:val="0"/>
        <w:shd w:val="clear" w:color="auto" w:fill="D9D9D9" w:themeFill="background1" w:themeFillShade="D9"/>
        <w:autoSpaceDE w:val="0"/>
        <w:autoSpaceDN w:val="0"/>
        <w:adjustRightInd w:val="0"/>
        <w:spacing w:line="240" w:lineRule="auto"/>
        <w:ind w:left="640"/>
        <w:rPr>
          <w:rFonts w:ascii="Arial" w:hAnsi="Arial" w:cs="Arial"/>
          <w:sz w:val="20"/>
          <w:szCs w:val="20"/>
        </w:rPr>
      </w:pPr>
      <w:r>
        <w:rPr>
          <w:rFonts w:ascii="Arial" w:hAnsi="Arial" w:cs="Arial"/>
          <w:sz w:val="20"/>
          <w:szCs w:val="20"/>
        </w:rPr>
        <w:t xml:space="preserve"> </w:t>
      </w:r>
      <w:r>
        <w:rPr>
          <w:rFonts w:ascii="Arial" w:hAnsi="Arial" w:cs="Arial"/>
          <w:i/>
          <w:iCs/>
          <w:sz w:val="20"/>
          <w:szCs w:val="20"/>
        </w:rPr>
        <w:t>s</w:t>
      </w:r>
      <w:r>
        <w:rPr>
          <w:rFonts w:ascii="Arial" w:hAnsi="Arial" w:cs="Arial"/>
          <w:i/>
          <w:iCs/>
          <w:sz w:val="20"/>
          <w:szCs w:val="20"/>
          <w:vertAlign w:val="subscript"/>
        </w:rPr>
        <w:t>l</w:t>
      </w:r>
      <w:r>
        <w:rPr>
          <w:rFonts w:ascii="Arial" w:hAnsi="Arial" w:cs="Arial"/>
          <w:i/>
          <w:iCs/>
          <w:sz w:val="20"/>
          <w:szCs w:val="20"/>
        </w:rPr>
        <w:t xml:space="preserve"> </w:t>
      </w:r>
      <w:r>
        <w:rPr>
          <w:rFonts w:ascii="Arial" w:hAnsi="Arial" w:cs="Arial"/>
          <w:sz w:val="20"/>
          <w:szCs w:val="20"/>
        </w:rPr>
        <w:t xml:space="preserve"> en </w:t>
      </w:r>
      <w:r>
        <w:rPr>
          <w:rFonts w:ascii="Arial" w:hAnsi="Arial" w:cs="Arial"/>
          <w:i/>
          <w:iCs/>
          <w:sz w:val="20"/>
          <w:szCs w:val="20"/>
        </w:rPr>
        <w:t>s</w:t>
      </w:r>
      <w:r>
        <w:rPr>
          <w:rFonts w:ascii="Arial" w:hAnsi="Arial" w:cs="Arial"/>
          <w:i/>
          <w:iCs/>
          <w:sz w:val="20"/>
          <w:szCs w:val="20"/>
          <w:vertAlign w:val="subscript"/>
        </w:rPr>
        <w:t>r</w:t>
      </w:r>
      <w:r>
        <w:rPr>
          <w:rFonts w:ascii="Arial" w:hAnsi="Arial" w:cs="Arial"/>
          <w:i/>
          <w:iCs/>
          <w:sz w:val="20"/>
          <w:szCs w:val="20"/>
        </w:rPr>
        <w:t xml:space="preserve"> </w:t>
      </w:r>
      <w:r>
        <w:rPr>
          <w:rFonts w:ascii="Arial" w:hAnsi="Arial" w:cs="Arial"/>
          <w:sz w:val="20"/>
          <w:szCs w:val="20"/>
        </w:rPr>
        <w:t xml:space="preserve"> zijn hierin de afstand van de linker-en rechterzijkant tot V. Bij gebouwen zijn dit de afstanden van de verst verwijderde verticale hoeklijnen van het gebouw ter linker- en rechterzijde van V.</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4B7B7834" wp14:editId="5ABF3490">
            <wp:extent cx="4105275" cy="159067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5275" cy="1590675"/>
                    </a:xfrm>
                    <a:prstGeom prst="rect">
                      <a:avLst/>
                    </a:prstGeom>
                    <a:noFill/>
                    <a:ln>
                      <a:noFill/>
                    </a:ln>
                  </pic:spPr>
                </pic:pic>
              </a:graphicData>
            </a:graphic>
          </wp:inline>
        </w:drawing>
      </w:r>
      <w:r>
        <w:rPr>
          <w:rFonts w:cs="Arial"/>
          <w:szCs w:val="20"/>
        </w:rPr>
        <w:t xml:space="preserve"> </w:t>
      </w:r>
      <w:r>
        <w:rPr>
          <w:rFonts w:cs="Arial"/>
          <w:szCs w:val="20"/>
        </w:rPr>
        <w:br/>
        <w:t xml:space="preserve">figuur 3.7 De geometrie bij meerdere schermen tussen bron en immissiepunt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745051B3" wp14:editId="485B349E">
            <wp:extent cx="4314825" cy="395287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4825" cy="3952875"/>
                    </a:xfrm>
                    <a:prstGeom prst="rect">
                      <a:avLst/>
                    </a:prstGeom>
                    <a:noFill/>
                    <a:ln>
                      <a:noFill/>
                    </a:ln>
                  </pic:spPr>
                </pic:pic>
              </a:graphicData>
            </a:graphic>
          </wp:inline>
        </w:drawing>
      </w:r>
      <w:r>
        <w:rPr>
          <w:rFonts w:cs="Arial"/>
          <w:szCs w:val="20"/>
        </w:rPr>
        <w:t xml:space="preserve"> </w:t>
      </w:r>
      <w:r>
        <w:rPr>
          <w:rFonts w:cs="Arial"/>
          <w:szCs w:val="20"/>
        </w:rPr>
        <w:br/>
        <w:t>figuur 3.8 Toelichting op de berekening van D</w:t>
      </w:r>
      <w:r>
        <w:rPr>
          <w:rFonts w:cs="Arial"/>
          <w:szCs w:val="20"/>
          <w:vertAlign w:val="subscript"/>
        </w:rPr>
        <w:t>scherm</w:t>
      </w:r>
      <w:r>
        <w:rPr>
          <w:rFonts w:cs="Arial"/>
          <w:szCs w:val="20"/>
        </w:rPr>
        <w:t xml:space="preserve"> bij meerdere schermen </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3.</w:t>
      </w:r>
      <w:r>
        <w:rPr>
          <w:rFonts w:cs="Arial"/>
          <w:szCs w:val="20"/>
        </w:rPr>
        <w:tab/>
        <w:t>De verbindingslijnen tussen bron B en S</w:t>
      </w:r>
      <w:r>
        <w:rPr>
          <w:rFonts w:cs="Arial"/>
          <w:szCs w:val="20"/>
          <w:vertAlign w:val="subscript"/>
        </w:rPr>
        <w:t>i</w:t>
      </w:r>
      <w:r>
        <w:rPr>
          <w:rFonts w:cs="Arial"/>
          <w:szCs w:val="20"/>
        </w:rPr>
        <w:t xml:space="preserve"> en tussen het immissiepunt I en S</w:t>
      </w:r>
      <w:r>
        <w:rPr>
          <w:rFonts w:cs="Arial"/>
          <w:szCs w:val="20"/>
          <w:vertAlign w:val="subscript"/>
        </w:rPr>
        <w:t>i</w:t>
      </w:r>
      <w:r>
        <w:rPr>
          <w:rFonts w:cs="Arial"/>
          <w:szCs w:val="20"/>
        </w:rPr>
        <w:t xml:space="preserve"> worden bepaald. Vervolgens wordt de lijn BS</w:t>
      </w:r>
      <w:r>
        <w:rPr>
          <w:rFonts w:cs="Arial"/>
          <w:szCs w:val="20"/>
          <w:vertAlign w:val="subscript"/>
        </w:rPr>
        <w:t>j</w:t>
      </w:r>
      <w:r>
        <w:rPr>
          <w:rFonts w:cs="Arial"/>
          <w:szCs w:val="20"/>
        </w:rPr>
        <w:t xml:space="preserve"> geselecteerd, die vanuit de bron gezien de grootste elevatie heeft. Tevens wordt de lijn IS</w:t>
      </w:r>
      <w:r>
        <w:rPr>
          <w:rFonts w:cs="Arial"/>
          <w:szCs w:val="20"/>
          <w:vertAlign w:val="subscript"/>
        </w:rPr>
        <w:t>k</w:t>
      </w:r>
      <w:r>
        <w:rPr>
          <w:rFonts w:cs="Arial"/>
          <w:szCs w:val="20"/>
        </w:rPr>
        <w:t xml:space="preserve"> geselecteerd, die vanuit het immissiepunt gezien de grootste elevatie heeft.</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4.</w:t>
      </w:r>
      <w:r>
        <w:rPr>
          <w:rFonts w:cs="Arial"/>
          <w:szCs w:val="20"/>
        </w:rPr>
        <w:tab/>
        <w:t>Indien de lijnen BS</w:t>
      </w:r>
      <w:r>
        <w:rPr>
          <w:rFonts w:cs="Arial"/>
          <w:szCs w:val="20"/>
          <w:vertAlign w:val="subscript"/>
        </w:rPr>
        <w:t>j</w:t>
      </w:r>
      <w:r>
        <w:rPr>
          <w:rFonts w:cs="Arial"/>
          <w:szCs w:val="20"/>
        </w:rPr>
        <w:t xml:space="preserve"> en IS</w:t>
      </w:r>
      <w:r>
        <w:rPr>
          <w:rFonts w:cs="Arial"/>
          <w:szCs w:val="20"/>
          <w:vertAlign w:val="subscript"/>
        </w:rPr>
        <w:t>k</w:t>
      </w:r>
      <w:r>
        <w:rPr>
          <w:rFonts w:cs="Arial"/>
          <w:szCs w:val="20"/>
        </w:rPr>
        <w:t xml:space="preserve"> hetzelfde scherm betreffen, wordt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berekend door voor dit scherm de procedure van het enkele scherm te volgen. In de overige gevallen wordt het snijpunt P van de lijnen BS</w:t>
      </w:r>
      <w:r>
        <w:rPr>
          <w:rFonts w:cs="Arial"/>
          <w:szCs w:val="20"/>
          <w:vertAlign w:val="subscript"/>
        </w:rPr>
        <w:t>j</w:t>
      </w:r>
      <w:r>
        <w:rPr>
          <w:rFonts w:cs="Arial"/>
          <w:szCs w:val="20"/>
        </w:rPr>
        <w:t xml:space="preserve"> en IS</w:t>
      </w:r>
      <w:r>
        <w:rPr>
          <w:rFonts w:cs="Arial"/>
          <w:szCs w:val="20"/>
          <w:vertAlign w:val="subscript"/>
        </w:rPr>
        <w:t>k</w:t>
      </w:r>
      <w:r>
        <w:rPr>
          <w:rFonts w:cs="Arial"/>
          <w:szCs w:val="20"/>
        </w:rPr>
        <w:t xml:space="preserve"> bepaald. Door dit snijpunt wordt een verticale lijn, p, gedacht. Op p worden twee punten bepaald te weten:</w:t>
      </w:r>
      <w:r>
        <w:rPr>
          <w:rFonts w:cs="Arial"/>
          <w:szCs w:val="20"/>
        </w:rPr>
        <w:br/>
      </w:r>
    </w:p>
    <w:p w:rsidR="00FC57C8" w:rsidRDefault="00FC57C8" w:rsidP="00FC57C8">
      <w:pPr>
        <w:pStyle w:val="Revisie"/>
        <w:widowControl w:val="0"/>
        <w:shd w:val="clear" w:color="auto" w:fill="D9D9D9" w:themeFill="background1" w:themeFillShade="D9"/>
        <w:autoSpaceDE w:val="0"/>
        <w:autoSpaceDN w:val="0"/>
        <w:adjustRightInd w:val="0"/>
        <w:ind w:left="960" w:hanging="320"/>
        <w:rPr>
          <w:rFonts w:cs="Arial"/>
          <w:szCs w:val="20"/>
        </w:rPr>
      </w:pPr>
      <w:r>
        <w:rPr>
          <w:rFonts w:cs="Arial"/>
          <w:szCs w:val="20"/>
        </w:rPr>
        <w:t>–</w:t>
      </w:r>
      <w:r>
        <w:rPr>
          <w:rFonts w:cs="Arial"/>
          <w:szCs w:val="20"/>
        </w:rPr>
        <w:tab/>
        <w:t>Q</w:t>
      </w:r>
      <w:r>
        <w:rPr>
          <w:rFonts w:cs="Arial"/>
          <w:szCs w:val="20"/>
          <w:vertAlign w:val="subscript"/>
        </w:rPr>
        <w:t>B</w:t>
      </w:r>
      <w:r>
        <w:rPr>
          <w:rFonts w:cs="Arial"/>
          <w:szCs w:val="20"/>
        </w:rPr>
        <w:t>, snijpunt p met de lijn BQ</w:t>
      </w:r>
      <w:r>
        <w:rPr>
          <w:rFonts w:cs="Arial"/>
          <w:szCs w:val="20"/>
          <w:vertAlign w:val="subscript"/>
        </w:rPr>
        <w:t>j</w:t>
      </w:r>
      <w:r>
        <w:rPr>
          <w:rFonts w:cs="Arial"/>
          <w:szCs w:val="20"/>
        </w:rPr>
        <w:t>;</w:t>
      </w:r>
    </w:p>
    <w:p w:rsidR="00FC57C8" w:rsidRDefault="00FC57C8" w:rsidP="00FC57C8">
      <w:pPr>
        <w:pStyle w:val="Revisie"/>
        <w:widowControl w:val="0"/>
        <w:shd w:val="clear" w:color="auto" w:fill="D9D9D9" w:themeFill="background1" w:themeFillShade="D9"/>
        <w:autoSpaceDE w:val="0"/>
        <w:autoSpaceDN w:val="0"/>
        <w:adjustRightInd w:val="0"/>
        <w:ind w:left="960" w:hanging="320"/>
        <w:rPr>
          <w:rFonts w:cs="Arial"/>
          <w:szCs w:val="20"/>
        </w:rPr>
      </w:pPr>
      <w:r>
        <w:rPr>
          <w:rFonts w:cs="Arial"/>
          <w:szCs w:val="20"/>
        </w:rPr>
        <w:t>–</w:t>
      </w:r>
      <w:r>
        <w:rPr>
          <w:rFonts w:cs="Arial"/>
          <w:szCs w:val="20"/>
        </w:rPr>
        <w:tab/>
        <w:t>Q</w:t>
      </w:r>
      <w:r>
        <w:rPr>
          <w:rFonts w:cs="Arial"/>
          <w:szCs w:val="20"/>
          <w:vertAlign w:val="subscript"/>
        </w:rPr>
        <w:t>I</w:t>
      </w:r>
      <w:r>
        <w:rPr>
          <w:rFonts w:cs="Arial"/>
          <w:szCs w:val="20"/>
        </w:rPr>
        <w:t>, snijpunt p met de lijn IQ</w:t>
      </w:r>
      <w:r>
        <w:rPr>
          <w:rFonts w:cs="Arial"/>
          <w:szCs w:val="20"/>
          <w:vertAlign w:val="subscript"/>
        </w:rPr>
        <w:t>k</w:t>
      </w:r>
      <w:r>
        <w:rPr>
          <w:rFonts w:cs="Arial"/>
          <w:szCs w:val="20"/>
        </w:rPr>
        <w:t>.</w:t>
      </w:r>
    </w:p>
    <w:p w:rsidR="00FC57C8" w:rsidRDefault="00FC57C8" w:rsidP="00FC57C8">
      <w:pPr>
        <w:pStyle w:val="Documentstructuur"/>
        <w:widowControl w:val="0"/>
        <w:shd w:val="clear" w:color="auto" w:fill="D9D9D9" w:themeFill="background1" w:themeFillShade="D9"/>
        <w:autoSpaceDE w:val="0"/>
        <w:autoSpaceDN w:val="0"/>
        <w:adjustRightInd w:val="0"/>
        <w:spacing w:line="240" w:lineRule="auto"/>
        <w:ind w:left="640"/>
        <w:rPr>
          <w:rFonts w:ascii="Arial" w:hAnsi="Arial" w:cs="Arial"/>
          <w:sz w:val="20"/>
          <w:szCs w:val="20"/>
        </w:rPr>
      </w:pPr>
      <w:r>
        <w:rPr>
          <w:rFonts w:ascii="Arial" w:hAnsi="Arial" w:cs="Arial"/>
          <w:sz w:val="20"/>
          <w:szCs w:val="20"/>
        </w:rPr>
        <w:t>Bepaal de hypothetische omweg ε</w:t>
      </w:r>
      <w:r>
        <w:rPr>
          <w:rFonts w:ascii="Arial" w:hAnsi="Arial" w:cs="Arial"/>
          <w:sz w:val="20"/>
          <w:szCs w:val="20"/>
          <w:vertAlign w:val="subscript"/>
        </w:rPr>
        <w:t>h</w:t>
      </w:r>
      <w:r>
        <w:rPr>
          <w:rFonts w:ascii="Arial" w:hAnsi="Arial" w:cs="Arial"/>
          <w:sz w:val="20"/>
          <w:szCs w:val="20"/>
        </w:rPr>
        <w:t xml:space="preserve"> </w:t>
      </w:r>
    </w:p>
    <w:p w:rsidR="00FC57C8" w:rsidRDefault="00FC57C8" w:rsidP="00FC57C8">
      <w:pPr>
        <w:pStyle w:val="Documentstructuur"/>
        <w:widowControl w:val="0"/>
        <w:shd w:val="clear" w:color="auto" w:fill="D9D9D9" w:themeFill="background1" w:themeFillShade="D9"/>
        <w:autoSpaceDE w:val="0"/>
        <w:autoSpaceDN w:val="0"/>
        <w:adjustRightInd w:val="0"/>
        <w:spacing w:line="240" w:lineRule="auto"/>
        <w:ind w:left="640"/>
        <w:rPr>
          <w:rFonts w:ascii="Arial" w:hAnsi="Arial" w:cs="Arial"/>
          <w:sz w:val="20"/>
          <w:szCs w:val="20"/>
        </w:rPr>
      </w:pPr>
      <w:r>
        <w:rPr>
          <w:rFonts w:ascii="Arial" w:hAnsi="Arial" w:cs="Arial"/>
          <w:sz w:val="20"/>
          <w:szCs w:val="20"/>
        </w:rPr>
        <w:br/>
        <w:t>3.18) ε</w:t>
      </w:r>
      <w:r>
        <w:rPr>
          <w:rFonts w:ascii="Arial" w:hAnsi="Arial" w:cs="Arial"/>
          <w:sz w:val="20"/>
          <w:szCs w:val="20"/>
          <w:vertAlign w:val="subscript"/>
        </w:rPr>
        <w:t>h</w:t>
      </w:r>
      <w:r>
        <w:rPr>
          <w:rFonts w:ascii="Arial" w:hAnsi="Arial" w:cs="Arial"/>
          <w:sz w:val="20"/>
          <w:szCs w:val="20"/>
        </w:rPr>
        <w:t xml:space="preserve"> = BP + PI + – BQ</w:t>
      </w:r>
      <w:r>
        <w:rPr>
          <w:rFonts w:ascii="Arial" w:hAnsi="Arial" w:cs="Arial"/>
          <w:sz w:val="20"/>
          <w:szCs w:val="20"/>
          <w:vertAlign w:val="subscript"/>
        </w:rPr>
        <w:t>B</w:t>
      </w:r>
      <w:r>
        <w:rPr>
          <w:rFonts w:ascii="Arial" w:hAnsi="Arial" w:cs="Arial"/>
          <w:sz w:val="20"/>
          <w:szCs w:val="20"/>
        </w:rPr>
        <w:t>- IQ</w:t>
      </w:r>
      <w:r>
        <w:rPr>
          <w:rFonts w:ascii="Arial" w:hAnsi="Arial" w:cs="Arial"/>
          <w:sz w:val="20"/>
          <w:szCs w:val="20"/>
          <w:vertAlign w:val="subscript"/>
        </w:rPr>
        <w:t>l</w:t>
      </w:r>
      <w:r>
        <w:rPr>
          <w:rFonts w:ascii="Arial" w:hAnsi="Arial" w:cs="Arial"/>
          <w:sz w:val="20"/>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5.</w:t>
      </w:r>
      <w:r>
        <w:rPr>
          <w:rFonts w:cs="Arial"/>
          <w:szCs w:val="20"/>
        </w:rPr>
        <w:tab/>
        <w:t xml:space="preserve">Vervolgens wordt </w:t>
      </w:r>
      <w:r>
        <w:rPr>
          <w:rFonts w:cs="Arial"/>
          <w:i/>
          <w:iCs/>
          <w:szCs w:val="20"/>
        </w:rPr>
        <w:t>Dscherm</w:t>
      </w:r>
      <w:r>
        <w:rPr>
          <w:rFonts w:cs="Arial"/>
          <w:szCs w:val="20"/>
        </w:rPr>
        <w:t xml:space="preserve"> berekend door</w:t>
      </w:r>
      <w:r>
        <w:rPr>
          <w:rFonts w:cs="Arial"/>
          <w:szCs w:val="20"/>
        </w:rPr>
        <w:br/>
        <w:t>3.19) D</w:t>
      </w:r>
      <w:r>
        <w:rPr>
          <w:rFonts w:cs="Arial"/>
          <w:szCs w:val="20"/>
          <w:vertAlign w:val="subscript"/>
        </w:rPr>
        <w:t>scherm</w:t>
      </w:r>
      <w:r>
        <w:rPr>
          <w:rFonts w:cs="Arial"/>
          <w:szCs w:val="20"/>
        </w:rPr>
        <w:t xml:space="preserve">= 10lg (0,118 </w:t>
      </w:r>
      <w:r>
        <w:rPr>
          <w:rFonts w:cs="Arial"/>
          <w:szCs w:val="20"/>
          <w:vertAlign w:val="subscript"/>
        </w:rPr>
        <w:t>εh f</w:t>
      </w:r>
      <w:r>
        <w:rPr>
          <w:rFonts w:cs="Arial"/>
          <w:szCs w:val="20"/>
        </w:rPr>
        <w:t xml:space="preserve"> + 3), met</w:t>
      </w:r>
      <w:r>
        <w:rPr>
          <w:rFonts w:cs="Arial"/>
          <w:szCs w:val="20"/>
        </w:rPr>
        <w:br/>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8610"/>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f</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 middenfrequentie van de laagste tertsband in een octaafband bij berekening in octaafbanden of de middenfrequentie van de tertsband bij berekening in tertsbanden.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pStyle w:val="Documentstructuur"/>
        <w:widowControl w:val="0"/>
        <w:shd w:val="clear" w:color="auto" w:fill="D9D9D9" w:themeFill="background1" w:themeFillShade="D9"/>
        <w:autoSpaceDE w:val="0"/>
        <w:autoSpaceDN w:val="0"/>
        <w:adjustRightInd w:val="0"/>
        <w:spacing w:line="240" w:lineRule="auto"/>
        <w:ind w:left="640"/>
        <w:rPr>
          <w:rFonts w:ascii="Arial" w:hAnsi="Arial" w:cs="Arial"/>
          <w:sz w:val="20"/>
          <w:szCs w:val="20"/>
        </w:rPr>
      </w:pPr>
      <w:r>
        <w:rPr>
          <w:rFonts w:ascii="Arial" w:hAnsi="Arial" w:cs="Arial"/>
          <w:sz w:val="20"/>
          <w:szCs w:val="20"/>
        </w:rPr>
        <w:t xml:space="preserve">De waarde van </w:t>
      </w:r>
      <w:r>
        <w:rPr>
          <w:rFonts w:ascii="Arial" w:hAnsi="Arial" w:cs="Arial"/>
          <w:i/>
          <w:iCs/>
          <w:sz w:val="20"/>
          <w:szCs w:val="20"/>
        </w:rPr>
        <w:t>D</w:t>
      </w:r>
      <w:r>
        <w:rPr>
          <w:rFonts w:ascii="Arial" w:hAnsi="Arial" w:cs="Arial"/>
          <w:i/>
          <w:iCs/>
          <w:sz w:val="20"/>
          <w:szCs w:val="20"/>
          <w:vertAlign w:val="subscript"/>
        </w:rPr>
        <w:t>scherm</w:t>
      </w:r>
      <w:r>
        <w:rPr>
          <w:rFonts w:ascii="Arial" w:hAnsi="Arial" w:cs="Arial"/>
          <w:i/>
          <w:iCs/>
          <w:sz w:val="20"/>
          <w:szCs w:val="20"/>
        </w:rPr>
        <w:t xml:space="preserve"> </w:t>
      </w:r>
      <w:r>
        <w:rPr>
          <w:rFonts w:ascii="Arial" w:hAnsi="Arial" w:cs="Arial"/>
          <w:sz w:val="20"/>
          <w:szCs w:val="20"/>
        </w:rPr>
        <w:t xml:space="preserve"> wordt in deze situatie als volgt begrensd:</w:t>
      </w:r>
    </w:p>
    <w:p w:rsidR="00FC57C8" w:rsidRDefault="00FC57C8" w:rsidP="00FC57C8">
      <w:pPr>
        <w:pStyle w:val="Documentstructuur"/>
        <w:widowControl w:val="0"/>
        <w:shd w:val="clear" w:color="auto" w:fill="D9D9D9" w:themeFill="background1" w:themeFillShade="D9"/>
        <w:autoSpaceDE w:val="0"/>
        <w:autoSpaceDN w:val="0"/>
        <w:adjustRightInd w:val="0"/>
        <w:spacing w:line="240" w:lineRule="auto"/>
        <w:ind w:left="640"/>
        <w:rPr>
          <w:rFonts w:ascii="Arial" w:hAnsi="Arial" w:cs="Arial"/>
          <w:sz w:val="20"/>
          <w:szCs w:val="20"/>
        </w:rPr>
      </w:pPr>
      <w:r>
        <w:rPr>
          <w:rFonts w:ascii="Arial" w:hAnsi="Arial" w:cs="Arial"/>
          <w:sz w:val="20"/>
          <w:szCs w:val="20"/>
        </w:rPr>
        <w:br/>
        <w:t xml:space="preserve">4,8 ≤ </w:t>
      </w:r>
      <w:r>
        <w:rPr>
          <w:rFonts w:ascii="Arial" w:hAnsi="Arial" w:cs="Arial"/>
          <w:i/>
          <w:iCs/>
          <w:sz w:val="20"/>
          <w:szCs w:val="20"/>
        </w:rPr>
        <w:t>D</w:t>
      </w:r>
      <w:r>
        <w:rPr>
          <w:rFonts w:ascii="Arial" w:hAnsi="Arial" w:cs="Arial"/>
          <w:i/>
          <w:iCs/>
          <w:sz w:val="20"/>
          <w:szCs w:val="20"/>
          <w:vertAlign w:val="subscript"/>
        </w:rPr>
        <w:t>scherm</w:t>
      </w:r>
      <w:r>
        <w:rPr>
          <w:rFonts w:ascii="Arial" w:hAnsi="Arial" w:cs="Arial"/>
          <w:i/>
          <w:iCs/>
          <w:sz w:val="20"/>
          <w:szCs w:val="20"/>
        </w:rPr>
        <w:t xml:space="preserve"> </w:t>
      </w:r>
      <w:r>
        <w:rPr>
          <w:rFonts w:ascii="Arial" w:hAnsi="Arial" w:cs="Arial"/>
          <w:sz w:val="20"/>
          <w:szCs w:val="20"/>
        </w:rPr>
        <w:t xml:space="preserve"> ≤ 20 dB</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c.2 Bijzondere situatie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Een bijzondere rekenprocedure kan worden gevolgd als een scherm zich relatief dicht bij de bron bevindt (scherm 1) en een ander dicht bij het immissiepunt (scherm 2). Voorwaarde is dat (zie figuur 3.9)</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r</w:t>
      </w:r>
      <w:r>
        <w:rPr>
          <w:rFonts w:cs="Arial"/>
          <w:i/>
          <w:iCs/>
          <w:szCs w:val="20"/>
          <w:vertAlign w:val="subscript"/>
        </w:rPr>
        <w:t>B1</w:t>
      </w:r>
      <w:r>
        <w:rPr>
          <w:rFonts w:cs="Arial"/>
          <w:i/>
          <w:iCs/>
          <w:szCs w:val="20"/>
        </w:rPr>
        <w:t xml:space="preserve"> </w:t>
      </w:r>
      <w:r>
        <w:rPr>
          <w:rFonts w:cs="Arial"/>
          <w:szCs w:val="20"/>
        </w:rPr>
        <w:t xml:space="preserve">&lt; 0,2 </w:t>
      </w:r>
      <w:r>
        <w:rPr>
          <w:rFonts w:cs="Arial"/>
          <w:i/>
          <w:iCs/>
          <w:szCs w:val="20"/>
        </w:rPr>
        <w:t>r</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r</w:t>
      </w:r>
      <w:r>
        <w:rPr>
          <w:rFonts w:cs="Arial"/>
          <w:i/>
          <w:iCs/>
          <w:szCs w:val="20"/>
          <w:vertAlign w:val="subscript"/>
        </w:rPr>
        <w:t>l2</w:t>
      </w:r>
      <w:r>
        <w:rPr>
          <w:rFonts w:cs="Arial"/>
          <w:i/>
          <w:iCs/>
          <w:szCs w:val="20"/>
        </w:rPr>
        <w:t xml:space="preserve"> </w:t>
      </w:r>
      <w:r>
        <w:rPr>
          <w:rFonts w:cs="Arial"/>
          <w:szCs w:val="20"/>
        </w:rPr>
        <w:t xml:space="preserve">&lt; 0,2 </w:t>
      </w:r>
      <w:r>
        <w:rPr>
          <w:rFonts w:cs="Arial"/>
          <w:i/>
          <w:iCs/>
          <w:szCs w:val="20"/>
        </w:rPr>
        <w:t>r</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is nu de som van twee termen.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 </w:t>
      </w:r>
      <w:r>
        <w:rPr>
          <w:rFonts w:cs="Arial"/>
          <w:i/>
          <w:iCs/>
          <w:szCs w:val="20"/>
        </w:rPr>
        <w:t>D</w:t>
      </w:r>
      <w:r>
        <w:rPr>
          <w:rFonts w:cs="Arial"/>
          <w:i/>
          <w:iCs/>
          <w:szCs w:val="20"/>
          <w:vertAlign w:val="subscript"/>
        </w:rPr>
        <w:t>1</w:t>
      </w:r>
      <w:r>
        <w:rPr>
          <w:rFonts w:cs="Arial"/>
          <w:i/>
          <w:iCs/>
          <w:szCs w:val="20"/>
        </w:rPr>
        <w:t xml:space="preserve"> + D</w:t>
      </w:r>
      <w:r>
        <w:rPr>
          <w:rFonts w:cs="Arial"/>
          <w:i/>
          <w:iCs/>
          <w:szCs w:val="20"/>
          <w:vertAlign w:val="subscript"/>
        </w:rPr>
        <w:t>2</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0 ≤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 40 dB</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6DFE5D26" wp14:editId="52486D25">
            <wp:extent cx="4095750" cy="157162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0" cy="1571625"/>
                    </a:xfrm>
                    <a:prstGeom prst="rect">
                      <a:avLst/>
                    </a:prstGeom>
                    <a:noFill/>
                    <a:ln>
                      <a:noFill/>
                    </a:ln>
                  </pic:spPr>
                </pic:pic>
              </a:graphicData>
            </a:graphic>
          </wp:inline>
        </w:drawing>
      </w:r>
      <w:r>
        <w:rPr>
          <w:rFonts w:cs="Arial"/>
          <w:szCs w:val="20"/>
        </w:rPr>
        <w:t xml:space="preserve"> </w:t>
      </w:r>
      <w:r>
        <w:rPr>
          <w:rFonts w:cs="Arial"/>
          <w:szCs w:val="20"/>
        </w:rPr>
        <w:br/>
        <w:t xml:space="preserve">figuur 3.9 Toelichting op de geometrie bij een bijzondere situatie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 </w:t>
      </w:r>
      <w:r>
        <w:rPr>
          <w:rFonts w:cs="Arial"/>
          <w:i/>
          <w:iCs/>
          <w:szCs w:val="20"/>
        </w:rPr>
        <w:t>D1</w:t>
      </w:r>
      <w:r>
        <w:rPr>
          <w:rFonts w:cs="Arial"/>
          <w:szCs w:val="20"/>
        </w:rPr>
        <w:t xml:space="preserve"> wordt bepaald volgens de procedure van het enkele scherm voor scherm 1. Indien voor scherm 1 geldt </w:t>
      </w:r>
      <w:r>
        <w:rPr>
          <w:rFonts w:cs="Arial"/>
          <w:i/>
          <w:iCs/>
          <w:szCs w:val="20"/>
        </w:rPr>
        <w:t>he</w:t>
      </w:r>
      <w:r>
        <w:rPr>
          <w:rFonts w:cs="Arial"/>
          <w:szCs w:val="20"/>
        </w:rPr>
        <w:t xml:space="preserve"> ≥ 0, dan wordt voor de berekening van D</w:t>
      </w:r>
      <w:r>
        <w:rPr>
          <w:rFonts w:cs="Arial"/>
          <w:szCs w:val="20"/>
          <w:vertAlign w:val="subscript"/>
        </w:rPr>
        <w:t>2</w:t>
      </w:r>
      <w:r>
        <w:rPr>
          <w:rFonts w:cs="Arial"/>
          <w:szCs w:val="20"/>
        </w:rPr>
        <w:t xml:space="preserve"> een fictieve bron aangenomen op de top van scherm 1. Is h</w:t>
      </w:r>
      <w:r>
        <w:rPr>
          <w:rFonts w:cs="Arial"/>
          <w:szCs w:val="20"/>
          <w:vertAlign w:val="subscript"/>
        </w:rPr>
        <w:t>e</w:t>
      </w:r>
      <w:r>
        <w:rPr>
          <w:rFonts w:cs="Arial"/>
          <w:szCs w:val="20"/>
        </w:rPr>
        <w:t xml:space="preserve"> &lt; 0, dan wordt geen fictieve bron aangenomen maar wordt met de werkelijke plaats van de bron gerekend. D</w:t>
      </w:r>
      <w:r>
        <w:rPr>
          <w:rFonts w:cs="Arial"/>
          <w:szCs w:val="20"/>
          <w:vertAlign w:val="subscript"/>
        </w:rPr>
        <w:t>2</w:t>
      </w:r>
      <w:r>
        <w:rPr>
          <w:rFonts w:cs="Arial"/>
          <w:szCs w:val="20"/>
        </w:rPr>
        <w:t xml:space="preserve"> wordt berekend volgens de procedure van het enkele scherm. Aanbevolen wordt, als de afscherming nabij het immissiepunt groter is dan die bij de bron, de procedure om te draaien en eerst de afscherming nabij het immissiepunt te berekenen en vervolgens met een (fictief) immissiepunt de afscherming bij de bron. Als meer schermen bij bron en/of immissiepunt aan bovenstaande voorwaarde voldoen, worden de schermen met de hoogste waarde voor (</w:t>
      </w:r>
      <w:r>
        <w:rPr>
          <w:rFonts w:cs="Arial"/>
          <w:i/>
          <w:iCs/>
          <w:szCs w:val="20"/>
        </w:rPr>
        <w:t>D</w:t>
      </w:r>
      <w:r>
        <w:rPr>
          <w:rFonts w:cs="Arial"/>
          <w:i/>
          <w:iCs/>
          <w:szCs w:val="20"/>
          <w:vertAlign w:val="subscript"/>
        </w:rPr>
        <w:t>1</w:t>
      </w:r>
      <w:r>
        <w:rPr>
          <w:rFonts w:cs="Arial"/>
          <w:i/>
          <w:iCs/>
          <w:szCs w:val="20"/>
        </w:rPr>
        <w:t xml:space="preserve"> </w:t>
      </w:r>
      <w:r>
        <w:rPr>
          <w:rFonts w:cs="Arial"/>
          <w:szCs w:val="20"/>
        </w:rPr>
        <w:t xml:space="preserve"> + </w:t>
      </w:r>
      <w:r>
        <w:rPr>
          <w:rFonts w:cs="Arial"/>
          <w:i/>
          <w:iCs/>
          <w:szCs w:val="20"/>
        </w:rPr>
        <w:t>D</w:t>
      </w:r>
      <w:r>
        <w:rPr>
          <w:rFonts w:cs="Arial"/>
          <w:i/>
          <w:iCs/>
          <w:szCs w:val="20"/>
          <w:vertAlign w:val="subscript"/>
        </w:rPr>
        <w:t>2</w:t>
      </w:r>
      <w:r>
        <w:rPr>
          <w:rFonts w:cs="Arial"/>
          <w:i/>
          <w:iCs/>
          <w:szCs w:val="20"/>
        </w:rPr>
        <w:t xml:space="preserve"> </w:t>
      </w:r>
      <w:r>
        <w:rPr>
          <w:rFonts w:cs="Arial"/>
          <w:szCs w:val="20"/>
        </w:rPr>
        <w:t>) gebruikt in de berekening.</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3.9. De term D</w:t>
      </w:r>
      <w:r>
        <w:rPr>
          <w:rFonts w:cs="Arial"/>
          <w:b/>
          <w:bCs/>
          <w:szCs w:val="20"/>
          <w:vertAlign w:val="subscript"/>
        </w:rPr>
        <w:t>veg</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Indien zich in het gekromde geluidspad (zie formule 3.10) van geluidsbron naar immissiepunt dichte vegetatie bevindt, bestaande uit een combinatie van bomen, struiken of heesters, zodanig dat het zicht volledig verdwenen is, mag daarvoor een geluidsreductie worden gehanteerd. Deze geluidsreductie in de overdracht is frequentie-afhankelijk en is opgenomen in tabel 3.4. Als extra eis voor het toepassen van deze reductie geldt dat de hoogte van de vegetatie tenminste 1 m hoger dient te zijn dan de hoogte van het gekromde geluidspad ter plaatse van de afscherming (zie figuur 3.10).</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 de praktijk zal slechts in uitzonderingsgevallen aan de eisen van ondoorzichtbaarheid worden voldaan. Indien verschillende afzonderlijke vegetaties, die voldoen aan deze specificaties, de gekromde straal doorsnijden (regelbeplanting) mag de reductie voor iedere groep afzonderlijk worden toegepast. De reductie geldt zowel voor de zomer als de winter, mits aan de eisen van ondoorzichtbaarheid wordt voldaan. Voor veel beplantingen zal dit in de winter niet het geval zijn. De volgens tabel 3.4 te berekenen reductie mag dan slechts voor de helft in rekening worden gebracht. Voorts mag in geen geval met meer dan 4 beplantingsstroken worden gerekend.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tabel 3.4 Geluidsreductie die in rekening kan worden gebracht voor één strook dichte vegetatie, welke meer dan 1 m boven het gekromde geluidspad van bron naar immissiepunt uitsteekt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2846"/>
        <w:gridCol w:w="720"/>
        <w:gridCol w:w="720"/>
        <w:gridCol w:w="720"/>
        <w:gridCol w:w="720"/>
        <w:gridCol w:w="720"/>
        <w:gridCol w:w="720"/>
        <w:gridCol w:w="720"/>
        <w:gridCol w:w="720"/>
        <w:gridCol w:w="720"/>
      </w:tblGrid>
      <w:tr w:rsidR="00FC57C8" w:rsidTr="00F43C9B">
        <w:tc>
          <w:tcPr>
            <w:tcW w:w="2846"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Middenfrequentie octaafbanden [Hz]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31,5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63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125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250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500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1k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2k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4k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8k </w:t>
            </w:r>
          </w:p>
        </w:tc>
      </w:tr>
      <w:tr w:rsidR="00FC57C8" w:rsidTr="00F43C9B">
        <w:tc>
          <w:tcPr>
            <w:tcW w:w="2846"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veg</w:t>
            </w:r>
            <w:r>
              <w:rPr>
                <w:rFonts w:cs="Arial"/>
                <w:i/>
                <w:iCs/>
                <w:sz w:val="16"/>
                <w:szCs w:val="16"/>
              </w:rPr>
              <w:t xml:space="preserve"> </w:t>
            </w:r>
            <w:r>
              <w:rPr>
                <w:rFonts w:cs="Arial"/>
                <w:sz w:val="16"/>
                <w:szCs w:val="16"/>
              </w:rPr>
              <w:t xml:space="preserve"> [dB]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720" w:type="dxa"/>
            <w:tcBorders>
              <w:top w:val="nil"/>
              <w:left w:val="nil"/>
              <w:bottom w:val="single" w:sz="4" w:space="0" w:color="auto"/>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3F900579" wp14:editId="132ED56A">
            <wp:extent cx="4476750" cy="12763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6750" cy="1276350"/>
                    </a:xfrm>
                    <a:prstGeom prst="rect">
                      <a:avLst/>
                    </a:prstGeom>
                    <a:noFill/>
                    <a:ln>
                      <a:noFill/>
                    </a:ln>
                  </pic:spPr>
                </pic:pic>
              </a:graphicData>
            </a:graphic>
          </wp:inline>
        </w:drawing>
      </w:r>
      <w:r>
        <w:rPr>
          <w:rFonts w:cs="Arial"/>
          <w:szCs w:val="20"/>
        </w:rPr>
        <w:t xml:space="preserve"> </w:t>
      </w:r>
      <w:r>
        <w:rPr>
          <w:rFonts w:cs="Arial"/>
          <w:szCs w:val="20"/>
        </w:rPr>
        <w:br/>
        <w:t xml:space="preserve">figuur 3.10 Het gekromde geluidspad gaat door twee ‘regels’ vegetatie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3.10. De term D</w:t>
      </w:r>
      <w:r>
        <w:rPr>
          <w:rFonts w:cs="Arial"/>
          <w:b/>
          <w:bCs/>
          <w:szCs w:val="20"/>
          <w:vertAlign w:val="subscript"/>
        </w:rPr>
        <w:t>terrein</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Op industrieterreinen kan, door geluidsverstrooiing als gevolg van de aanwezigheid van installaties en objecten op het terrein, een extra verzwakking optreden. Deze wordt samengevat onder de term </w:t>
      </w:r>
      <w:r>
        <w:rPr>
          <w:rFonts w:cs="Arial"/>
          <w:i/>
          <w:iCs/>
          <w:szCs w:val="20"/>
        </w:rPr>
        <w:t>D</w:t>
      </w:r>
      <w:r>
        <w:rPr>
          <w:rFonts w:cs="Arial"/>
          <w:i/>
          <w:iCs/>
          <w:szCs w:val="20"/>
          <w:vertAlign w:val="subscript"/>
        </w:rPr>
        <w:t>terrein</w:t>
      </w:r>
      <w:r>
        <w:rPr>
          <w:rFonts w:cs="Arial"/>
          <w:i/>
          <w:iCs/>
          <w:szCs w:val="20"/>
        </w:rPr>
        <w:t xml:space="preserve"> </w:t>
      </w:r>
      <w:r>
        <w:rPr>
          <w:rFonts w:cs="Arial"/>
          <w:szCs w:val="20"/>
        </w:rPr>
        <w:t xml:space="preserve">. Als </w:t>
      </w:r>
      <w:r>
        <w:rPr>
          <w:rFonts w:cs="Arial"/>
          <w:i/>
          <w:iCs/>
          <w:szCs w:val="20"/>
        </w:rPr>
        <w:t>D</w:t>
      </w:r>
      <w:r>
        <w:rPr>
          <w:rFonts w:cs="Arial"/>
          <w:i/>
          <w:iCs/>
          <w:szCs w:val="20"/>
          <w:vertAlign w:val="subscript"/>
        </w:rPr>
        <w:t>terrein</w:t>
      </w:r>
      <w:r>
        <w:rPr>
          <w:rFonts w:cs="Arial"/>
          <w:i/>
          <w:iCs/>
          <w:szCs w:val="20"/>
        </w:rPr>
        <w:t xml:space="preserve"> </w:t>
      </w:r>
      <w:r>
        <w:rPr>
          <w:rFonts w:cs="Arial"/>
          <w:szCs w:val="20"/>
        </w:rPr>
        <w:t xml:space="preserve"> in rekening wordt gebracht mag geen schermwerking van schermen op het bedrijfsterrein worden toegepast. Dterrein is zeer specifiek voor het type terrein, de dichtheid van obstakels en de hoogte daarvan. Het verdient daarom aanbeveling Dterrein door metingen vast te stellen, waarbij de meethoogte overeen moet komen met de geluidsstraal die naar de (verder gelegen) relevante immissiepunten gaat. Voor bedrijven met open procesinstallaties kan voor planningsdoeleinden met drie typen diffuse afschermende objecten worden gerekend. Hiervoor wordt het volgende indicatieve model gehanteerd.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3.20) </w:t>
      </w:r>
      <w:r>
        <w:rPr>
          <w:rFonts w:cs="Arial"/>
          <w:i/>
          <w:iCs/>
          <w:szCs w:val="20"/>
        </w:rPr>
        <w:t>D</w:t>
      </w:r>
      <w:r>
        <w:rPr>
          <w:rFonts w:cs="Arial"/>
          <w:i/>
          <w:iCs/>
          <w:szCs w:val="20"/>
          <w:vertAlign w:val="subscript"/>
        </w:rPr>
        <w:t>terrein</w:t>
      </w:r>
      <w:r>
        <w:rPr>
          <w:rFonts w:cs="Arial"/>
          <w:i/>
          <w:iCs/>
          <w:szCs w:val="20"/>
        </w:rPr>
        <w:t xml:space="preserve"> </w:t>
      </w:r>
      <w:r>
        <w:rPr>
          <w:rFonts w:cs="Arial"/>
          <w:szCs w:val="20"/>
        </w:rPr>
        <w:t xml:space="preserve"> = </w:t>
      </w:r>
      <w:r>
        <w:rPr>
          <w:rFonts w:cs="Arial"/>
          <w:i/>
          <w:iCs/>
          <w:szCs w:val="20"/>
        </w:rPr>
        <w:t>t</w:t>
      </w:r>
      <w:r>
        <w:rPr>
          <w:rFonts w:cs="Arial"/>
          <w:szCs w:val="20"/>
        </w:rPr>
        <w:t xml:space="preserve"> (</w:t>
      </w:r>
      <w:r>
        <w:rPr>
          <w:rFonts w:cs="Arial"/>
          <w:i/>
          <w:iCs/>
          <w:szCs w:val="20"/>
        </w:rPr>
        <w:t>f</w:t>
      </w:r>
      <w:r>
        <w:rPr>
          <w:rFonts w:cs="Arial"/>
          <w:szCs w:val="20"/>
        </w:rPr>
        <w:t xml:space="preserve">) </w:t>
      </w:r>
      <w:r>
        <w:rPr>
          <w:rFonts w:cs="Arial"/>
          <w:i/>
          <w:iCs/>
          <w:szCs w:val="20"/>
        </w:rPr>
        <w:t>r</w:t>
      </w:r>
      <w:r>
        <w:rPr>
          <w:rFonts w:cs="Arial"/>
          <w:i/>
          <w:iCs/>
          <w:szCs w:val="20"/>
          <w:vertAlign w:val="subscript"/>
        </w:rPr>
        <w:t>t</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 </w:t>
      </w:r>
      <w:r>
        <w:rPr>
          <w:rFonts w:cs="Arial"/>
          <w:i/>
          <w:iCs/>
          <w:szCs w:val="20"/>
        </w:rPr>
        <w:t>D</w:t>
      </w:r>
      <w:r>
        <w:rPr>
          <w:rFonts w:cs="Arial"/>
          <w:i/>
          <w:iCs/>
          <w:szCs w:val="20"/>
          <w:vertAlign w:val="subscript"/>
        </w:rPr>
        <w:t>terrein</w:t>
      </w:r>
      <w:r>
        <w:rPr>
          <w:rFonts w:cs="Arial"/>
          <w:i/>
          <w:iCs/>
          <w:szCs w:val="20"/>
        </w:rPr>
        <w:t xml:space="preserve"> </w:t>
      </w:r>
      <w:r>
        <w:rPr>
          <w:rFonts w:cs="Arial"/>
          <w:szCs w:val="20"/>
        </w:rPr>
        <w:t xml:space="preserve">≤ </w:t>
      </w:r>
      <w:r>
        <w:rPr>
          <w:rFonts w:cs="Arial"/>
          <w:i/>
          <w:iCs/>
          <w:szCs w:val="20"/>
        </w:rPr>
        <w:t>D</w:t>
      </w:r>
      <w:r>
        <w:rPr>
          <w:rFonts w:cs="Arial"/>
          <w:i/>
          <w:iCs/>
          <w:szCs w:val="20"/>
          <w:vertAlign w:val="subscript"/>
        </w:rPr>
        <w:t>max</w:t>
      </w:r>
      <w:r>
        <w:rPr>
          <w:rFonts w:cs="Arial"/>
          <w:i/>
          <w:iCs/>
          <w:szCs w:val="20"/>
        </w:rPr>
        <w:t xml:space="preserve"> </w:t>
      </w:r>
      <w:r>
        <w:rPr>
          <w:rFonts w:cs="Arial"/>
          <w:szCs w:val="20"/>
        </w:rPr>
        <w:t>, met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405"/>
        <w:gridCol w:w="7925"/>
      </w:tblGrid>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t</w:t>
            </w:r>
            <w:r>
              <w:rPr>
                <w:rFonts w:cs="Arial"/>
                <w:sz w:val="16"/>
                <w:szCs w:val="16"/>
              </w:rPr>
              <w:t>(</w:t>
            </w:r>
            <w:r>
              <w:rPr>
                <w:rFonts w:cs="Arial"/>
                <w:i/>
                <w:iCs/>
                <w:sz w:val="16"/>
                <w:szCs w:val="16"/>
              </w:rPr>
              <w:t>f</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frequentie-afhankelijke factor voor de geluidsverzwakking door industrieterreinen, de indicatieve waarden van </w:t>
            </w:r>
            <w:r>
              <w:rPr>
                <w:rFonts w:cs="Arial"/>
                <w:i/>
                <w:iCs/>
                <w:sz w:val="16"/>
                <w:szCs w:val="16"/>
              </w:rPr>
              <w:t>t</w:t>
            </w:r>
            <w:r>
              <w:rPr>
                <w:rFonts w:cs="Arial"/>
                <w:sz w:val="16"/>
                <w:szCs w:val="16"/>
              </w:rPr>
              <w:t>(</w:t>
            </w:r>
            <w:r>
              <w:rPr>
                <w:rFonts w:cs="Arial"/>
                <w:i/>
                <w:iCs/>
                <w:sz w:val="16"/>
                <w:szCs w:val="16"/>
              </w:rPr>
              <w:t>f</w:t>
            </w:r>
            <w:r>
              <w:rPr>
                <w:rFonts w:cs="Arial"/>
                <w:sz w:val="16"/>
                <w:szCs w:val="16"/>
              </w:rPr>
              <w:t xml:space="preserve">) staan in tabel 3.5.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t</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het deel van de gekromde geluidsstraal, dat door de `open' installaties gaat (zie ook figuur 3.11). Als de geluidsstraal zich voornamelijk boven de installaties bevindt kan dit deel niet tot </w:t>
            </w:r>
            <w:r>
              <w:rPr>
                <w:rFonts w:cs="Arial"/>
                <w:i/>
                <w:iCs/>
                <w:sz w:val="16"/>
                <w:szCs w:val="16"/>
              </w:rPr>
              <w:t>rt</w:t>
            </w:r>
            <w:r>
              <w:rPr>
                <w:rFonts w:cs="Arial"/>
                <w:sz w:val="16"/>
                <w:szCs w:val="16"/>
              </w:rPr>
              <w:t xml:space="preserve"> worden gerekend. </w:t>
            </w:r>
          </w:p>
        </w:tc>
      </w:tr>
      <w:tr w:rsidR="00FC57C8" w:rsidTr="00F43C9B">
        <w:tc>
          <w:tcPr>
            <w:tcW w:w="140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max</w:t>
            </w:r>
            <w:r>
              <w:rPr>
                <w:rFonts w:cs="Arial"/>
                <w:i/>
                <w:iCs/>
                <w:sz w:val="16"/>
                <w:szCs w:val="16"/>
              </w:rPr>
              <w:t xml:space="preserve"> </w:t>
            </w:r>
            <w:r>
              <w:rPr>
                <w:rFonts w:cs="Arial"/>
                <w:sz w:val="16"/>
                <w:szCs w:val="16"/>
              </w:rPr>
              <w:t xml:space="preserve"> </w:t>
            </w:r>
          </w:p>
        </w:tc>
        <w:tc>
          <w:tcPr>
            <w:tcW w:w="79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maximale type-afhankelijke dempingswaarden (zie tabel 3.5).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06BE10EA" wp14:editId="449B8679">
            <wp:extent cx="4429125" cy="12573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9125" cy="1257300"/>
                    </a:xfrm>
                    <a:prstGeom prst="rect">
                      <a:avLst/>
                    </a:prstGeom>
                    <a:noFill/>
                    <a:ln>
                      <a:noFill/>
                    </a:ln>
                  </pic:spPr>
                </pic:pic>
              </a:graphicData>
            </a:graphic>
          </wp:inline>
        </w:drawing>
      </w:r>
      <w:r>
        <w:rPr>
          <w:rFonts w:cs="Arial"/>
          <w:szCs w:val="20"/>
        </w:rPr>
        <w:t xml:space="preserve"> </w:t>
      </w:r>
      <w:r>
        <w:rPr>
          <w:rFonts w:cs="Arial"/>
          <w:szCs w:val="20"/>
        </w:rPr>
        <w:br/>
        <w:t>figuur 3.11 Toelichting r</w:t>
      </w:r>
      <w:r>
        <w:rPr>
          <w:rFonts w:cs="Arial"/>
          <w:szCs w:val="20"/>
          <w:vertAlign w:val="subscript"/>
        </w:rPr>
        <w:t>t</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tabel 3.5 Geluidsverzwakking t(f) in dB/m door verstrooiing door, reflectie tegen, en afscherming door open procesinstallaties (deze tabel is indicatief)</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2125"/>
        <w:gridCol w:w="720"/>
        <w:gridCol w:w="720"/>
        <w:gridCol w:w="720"/>
        <w:gridCol w:w="720"/>
        <w:gridCol w:w="720"/>
        <w:gridCol w:w="720"/>
        <w:gridCol w:w="720"/>
        <w:gridCol w:w="720"/>
        <w:gridCol w:w="720"/>
        <w:gridCol w:w="720"/>
      </w:tblGrid>
      <w:tr w:rsidR="00FC57C8" w:rsidTr="00F43C9B">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Middenfrequentie octaafbanden [Hz]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31,5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63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125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250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500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1k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2k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4k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8k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D</w:t>
            </w:r>
            <w:r>
              <w:rPr>
                <w:rFonts w:cs="Arial"/>
                <w:i/>
                <w:iCs/>
                <w:sz w:val="16"/>
                <w:szCs w:val="16"/>
                <w:vertAlign w:val="subscript"/>
              </w:rPr>
              <w:t>max</w:t>
            </w:r>
            <w:r>
              <w:rPr>
                <w:rFonts w:cs="Arial"/>
                <w:i/>
                <w:iCs/>
                <w:sz w:val="16"/>
                <w:szCs w:val="16"/>
              </w:rPr>
              <w:t xml:space="preserve"> </w:t>
            </w:r>
            <w:r>
              <w:rPr>
                <w:rFonts w:cs="Arial"/>
                <w:sz w:val="16"/>
                <w:szCs w:val="16"/>
              </w:rPr>
              <w:t xml:space="preserve"> [dB] </w:t>
            </w:r>
          </w:p>
        </w:tc>
      </w:tr>
      <w:tr w:rsidR="00FC57C8" w:rsidTr="00F43C9B">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type A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0,02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0,03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0,06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0,09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0,1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0,1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0,1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10 </w:t>
            </w:r>
          </w:p>
        </w:tc>
      </w:tr>
      <w:tr w:rsidR="00FC57C8" w:rsidTr="00F43C9B">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type B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0,04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0,06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0,11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0,17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0,2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0,2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0,2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20 </w:t>
            </w:r>
          </w:p>
        </w:tc>
      </w:tr>
      <w:tr w:rsidR="00FC57C8" w:rsidTr="00F43C9B">
        <w:tc>
          <w:tcPr>
            <w:tcW w:w="212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tankenparken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0,002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0,005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0,015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0,02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0,02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0,02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0,02 </w:t>
            </w:r>
          </w:p>
        </w:tc>
        <w:tc>
          <w:tcPr>
            <w:tcW w:w="72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10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Bovengenoemde typen installaties kunnen gedefinieerd worden als:</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Type A: open procesinstallaties die per 30 m afstand door de installaties een bedekkingsgraad hebben van circa 20%;</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Type B: open procesinstallaties die per 30 m afstand door de installaties een bedekkingsgraad van meer dan 20% hebben.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Tanken-parken: open procesinstallaties waar vele (opslag)tanks staan opgesteld.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waarden uit de tabel dienen met de nodige voorzichtigheid te worden toegepast en gelden uitsluitend ter indicatie. Indien het toepassen van andere waarden (bijvoorbeeld verkregen uit metingen of anderszins) leidt tot betrouwbaarder resultaten, hebben deze de voorkeur.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3.11. De bodemdemping D</w:t>
      </w:r>
      <w:r>
        <w:rPr>
          <w:rFonts w:cs="Arial"/>
          <w:b/>
          <w:bCs/>
          <w:szCs w:val="20"/>
          <w:vertAlign w:val="subscript"/>
        </w:rPr>
        <w:t>bodem</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In de term </w:t>
      </w:r>
      <w:r>
        <w:rPr>
          <w:rFonts w:cs="Arial"/>
          <w:i/>
          <w:iCs/>
          <w:szCs w:val="20"/>
        </w:rPr>
        <w:t>D</w:t>
      </w:r>
      <w:r>
        <w:rPr>
          <w:rFonts w:cs="Arial"/>
          <w:i/>
          <w:iCs/>
          <w:szCs w:val="20"/>
          <w:vertAlign w:val="subscript"/>
        </w:rPr>
        <w:t>bodem</w:t>
      </w:r>
      <w:r>
        <w:rPr>
          <w:rFonts w:cs="Arial"/>
          <w:i/>
          <w:iCs/>
          <w:szCs w:val="20"/>
        </w:rPr>
        <w:t xml:space="preserve"> </w:t>
      </w:r>
      <w:r>
        <w:rPr>
          <w:rFonts w:cs="Arial"/>
          <w:szCs w:val="20"/>
        </w:rPr>
        <w:t xml:space="preserve"> zijn de effecten van absorptie door, reflectie tegen en verstrooiing aan de bodem verdisconteerd. </w:t>
      </w:r>
      <w:r>
        <w:rPr>
          <w:rFonts w:cs="Arial"/>
          <w:i/>
          <w:iCs/>
          <w:szCs w:val="20"/>
        </w:rPr>
        <w:t>D</w:t>
      </w:r>
      <w:r>
        <w:rPr>
          <w:rFonts w:cs="Arial"/>
          <w:i/>
          <w:iCs/>
          <w:szCs w:val="20"/>
          <w:vertAlign w:val="subscript"/>
        </w:rPr>
        <w:t>bodem</w:t>
      </w:r>
      <w:r>
        <w:rPr>
          <w:rFonts w:cs="Arial"/>
          <w:i/>
          <w:iCs/>
          <w:szCs w:val="20"/>
        </w:rPr>
        <w:t xml:space="preserve"> </w:t>
      </w:r>
      <w:r>
        <w:rPr>
          <w:rFonts w:cs="Arial"/>
          <w:szCs w:val="20"/>
        </w:rPr>
        <w:t xml:space="preserve"> wordt per octaafband bepaald.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1D82A2E8" wp14:editId="37B054AE">
            <wp:extent cx="4610100" cy="10668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0100" cy="1066800"/>
                    </a:xfrm>
                    <a:prstGeom prst="rect">
                      <a:avLst/>
                    </a:prstGeom>
                    <a:noFill/>
                    <a:ln>
                      <a:noFill/>
                    </a:ln>
                  </pic:spPr>
                </pic:pic>
              </a:graphicData>
            </a:graphic>
          </wp:inline>
        </w:drawing>
      </w:r>
      <w:r>
        <w:rPr>
          <w:rFonts w:cs="Arial"/>
          <w:szCs w:val="20"/>
        </w:rPr>
        <w:t xml:space="preserve"> </w:t>
      </w:r>
      <w:r>
        <w:rPr>
          <w:rFonts w:cs="Arial"/>
          <w:szCs w:val="20"/>
        </w:rPr>
        <w:br/>
        <w:t xml:space="preserve">figuur 3.12 Onderverdeling van bodemgebieden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3.11.1. Geometrie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 het model wordt een drietal gebieden onderscheiden (zie figuur 3.12).</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a. Brongebied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Het gebied dat vanaf de bron in de richting van het immissiepunt een lengte heeft van </w:t>
      </w:r>
      <w:r>
        <w:rPr>
          <w:rFonts w:cs="Arial"/>
          <w:i/>
          <w:iCs/>
          <w:szCs w:val="20"/>
        </w:rPr>
        <w:t>r</w:t>
      </w:r>
      <w:r>
        <w:rPr>
          <w:rFonts w:cs="Arial"/>
          <w:i/>
          <w:iCs/>
          <w:szCs w:val="20"/>
          <w:vertAlign w:val="subscript"/>
        </w:rPr>
        <w:t>b</w:t>
      </w:r>
      <w:r>
        <w:rPr>
          <w:rFonts w:cs="Arial"/>
          <w:i/>
          <w:iCs/>
          <w:szCs w:val="20"/>
        </w:rPr>
        <w:t>.</w:t>
      </w:r>
      <w:r>
        <w:rPr>
          <w:rFonts w:cs="Arial"/>
          <w:szCs w:val="20"/>
        </w:rPr>
        <w:t xml:space="preserve"> </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2125"/>
        <w:gridCol w:w="6484"/>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3.21) </w:t>
            </w:r>
          </w:p>
        </w:tc>
        <w:tc>
          <w:tcPr>
            <w:tcW w:w="21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r</w:t>
            </w:r>
            <w:r>
              <w:rPr>
                <w:rFonts w:cs="Arial"/>
                <w:i/>
                <w:iCs/>
                <w:sz w:val="16"/>
                <w:szCs w:val="16"/>
                <w:vertAlign w:val="subscript"/>
              </w:rPr>
              <w:t>b</w:t>
            </w:r>
            <w:r>
              <w:rPr>
                <w:rFonts w:cs="Arial"/>
                <w:i/>
                <w:iCs/>
                <w:sz w:val="16"/>
                <w:szCs w:val="16"/>
              </w:rPr>
              <w:t xml:space="preserve"> </w:t>
            </w:r>
            <w:r>
              <w:rPr>
                <w:rFonts w:cs="Arial"/>
                <w:sz w:val="16"/>
                <w:szCs w:val="16"/>
              </w:rPr>
              <w:t xml:space="preserve">= 30 </w:t>
            </w:r>
            <w:r>
              <w:rPr>
                <w:rFonts w:cs="Arial"/>
                <w:i/>
                <w:iCs/>
                <w:sz w:val="16"/>
                <w:szCs w:val="16"/>
              </w:rPr>
              <w:t>h</w:t>
            </w:r>
            <w:r>
              <w:rPr>
                <w:rFonts w:cs="Arial"/>
                <w:i/>
                <w:iCs/>
                <w:sz w:val="16"/>
                <w:szCs w:val="16"/>
                <w:vertAlign w:val="subscript"/>
              </w:rPr>
              <w:t>b</w:t>
            </w:r>
            <w:r>
              <w:rPr>
                <w:rFonts w:cs="Arial"/>
                <w:i/>
                <w:iCs/>
                <w:sz w:val="16"/>
                <w:szCs w:val="16"/>
              </w:rPr>
              <w:t xml:space="preserve"> </w:t>
            </w:r>
            <w:r>
              <w:rPr>
                <w:rFonts w:cs="Arial"/>
                <w:sz w:val="16"/>
                <w:szCs w:val="16"/>
              </w:rPr>
              <w:t xml:space="preserve">  </w:t>
            </w:r>
          </w:p>
        </w:tc>
        <w:tc>
          <w:tcPr>
            <w:tcW w:w="648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als </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 </w:t>
            </w:r>
            <w:r>
              <w:rPr>
                <w:rFonts w:cs="Arial"/>
                <w:i/>
                <w:iCs/>
                <w:sz w:val="16"/>
                <w:szCs w:val="16"/>
              </w:rPr>
              <w:t>h</w:t>
            </w:r>
            <w:r>
              <w:rPr>
                <w:rFonts w:cs="Arial"/>
                <w:i/>
                <w:iCs/>
                <w:sz w:val="16"/>
                <w:szCs w:val="16"/>
                <w:vertAlign w:val="subscript"/>
              </w:rPr>
              <w:t>b</w:t>
            </w:r>
            <w:r>
              <w:rPr>
                <w:rFonts w:cs="Arial"/>
                <w:i/>
                <w:iCs/>
                <w:sz w:val="16"/>
                <w:szCs w:val="16"/>
              </w:rPr>
              <w:t xml:space="preserve"> </w:t>
            </w:r>
            <w:r>
              <w:rPr>
                <w:rFonts w:cs="Arial"/>
                <w:sz w:val="16"/>
                <w:szCs w:val="16"/>
              </w:rPr>
              <w:t xml:space="preserve">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21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r</w:t>
            </w:r>
            <w:r>
              <w:rPr>
                <w:rFonts w:cs="Arial"/>
                <w:i/>
                <w:iCs/>
                <w:sz w:val="16"/>
                <w:szCs w:val="16"/>
                <w:vertAlign w:val="subscript"/>
              </w:rPr>
              <w:t>b</w:t>
            </w:r>
            <w:r>
              <w:rPr>
                <w:rFonts w:cs="Arial"/>
                <w:i/>
                <w:iCs/>
                <w:sz w:val="16"/>
                <w:szCs w:val="16"/>
              </w:rPr>
              <w:t xml:space="preserve"> </w:t>
            </w:r>
            <w:r>
              <w:rPr>
                <w:rFonts w:cs="Arial"/>
                <w:sz w:val="16"/>
                <w:szCs w:val="16"/>
              </w:rPr>
              <w:t xml:space="preserve">= </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 </w:t>
            </w:r>
          </w:p>
        </w:tc>
        <w:tc>
          <w:tcPr>
            <w:tcW w:w="648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als </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&lt; 30 </w:t>
            </w:r>
            <w:r>
              <w:rPr>
                <w:rFonts w:cs="Arial"/>
                <w:i/>
                <w:iCs/>
                <w:sz w:val="16"/>
                <w:szCs w:val="16"/>
              </w:rPr>
              <w:t>h</w:t>
            </w:r>
            <w:r>
              <w:rPr>
                <w:rFonts w:cs="Arial"/>
                <w:i/>
                <w:iCs/>
                <w:sz w:val="16"/>
                <w:szCs w:val="16"/>
                <w:vertAlign w:val="subscript"/>
              </w:rPr>
              <w:t>b</w:t>
            </w:r>
            <w:r>
              <w:rPr>
                <w:rFonts w:cs="Arial"/>
                <w:i/>
                <w:iCs/>
                <w:sz w:val="16"/>
                <w:szCs w:val="16"/>
              </w:rPr>
              <w:t xml:space="preserve"> </w:t>
            </w:r>
            <w:r>
              <w:rPr>
                <w:rFonts w:cs="Arial"/>
                <w:sz w:val="16"/>
                <w:szCs w:val="16"/>
              </w:rPr>
              <w:t xml:space="preserv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b. Ontvangergebied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Het gebied dat vanaf het immissiepunt in de richting van de bron een lengte heeft van </w:t>
      </w:r>
      <w:r>
        <w:rPr>
          <w:rFonts w:cs="Arial"/>
          <w:i/>
          <w:iCs/>
          <w:szCs w:val="20"/>
        </w:rPr>
        <w:t>r</w:t>
      </w:r>
      <w:r>
        <w:rPr>
          <w:rFonts w:cs="Arial"/>
          <w:i/>
          <w:iCs/>
          <w:szCs w:val="20"/>
          <w:vertAlign w:val="subscript"/>
        </w:rPr>
        <w:t>o</w:t>
      </w:r>
      <w:r>
        <w:rPr>
          <w:rFonts w:cs="Arial"/>
          <w:i/>
          <w:iCs/>
          <w:szCs w:val="20"/>
        </w:rPr>
        <w:t xml:space="preserve"> </w:t>
      </w:r>
      <w:r>
        <w:rPr>
          <w:rFonts w:cs="Arial"/>
          <w:szCs w:val="20"/>
        </w:rPr>
        <w: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2125"/>
        <w:gridCol w:w="6484"/>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3.22) </w:t>
            </w:r>
          </w:p>
        </w:tc>
        <w:tc>
          <w:tcPr>
            <w:tcW w:w="21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r</w:t>
            </w:r>
            <w:r>
              <w:rPr>
                <w:rFonts w:cs="Arial"/>
                <w:i/>
                <w:iCs/>
                <w:sz w:val="16"/>
                <w:szCs w:val="16"/>
                <w:vertAlign w:val="subscript"/>
              </w:rPr>
              <w:t>o</w:t>
            </w:r>
            <w:r>
              <w:rPr>
                <w:rFonts w:cs="Arial"/>
                <w:i/>
                <w:iCs/>
                <w:sz w:val="16"/>
                <w:szCs w:val="16"/>
              </w:rPr>
              <w:t xml:space="preserve"> </w:t>
            </w:r>
            <w:r>
              <w:rPr>
                <w:rFonts w:cs="Arial"/>
                <w:sz w:val="16"/>
                <w:szCs w:val="16"/>
              </w:rPr>
              <w:t xml:space="preserve">= 30 </w:t>
            </w:r>
            <w:r>
              <w:rPr>
                <w:rFonts w:cs="Arial"/>
                <w:i/>
                <w:iCs/>
                <w:sz w:val="16"/>
                <w:szCs w:val="16"/>
              </w:rPr>
              <w:t>h</w:t>
            </w:r>
            <w:r>
              <w:rPr>
                <w:rFonts w:cs="Arial"/>
                <w:i/>
                <w:iCs/>
                <w:sz w:val="16"/>
                <w:szCs w:val="16"/>
                <w:vertAlign w:val="subscript"/>
              </w:rPr>
              <w:t>o</w:t>
            </w:r>
            <w:r>
              <w:rPr>
                <w:rFonts w:cs="Arial"/>
                <w:i/>
                <w:iCs/>
                <w:sz w:val="16"/>
                <w:szCs w:val="16"/>
              </w:rPr>
              <w:t xml:space="preserve"> </w:t>
            </w:r>
            <w:r>
              <w:rPr>
                <w:rFonts w:cs="Arial"/>
                <w:sz w:val="16"/>
                <w:szCs w:val="16"/>
              </w:rPr>
              <w:t xml:space="preserve">  </w:t>
            </w:r>
          </w:p>
        </w:tc>
        <w:tc>
          <w:tcPr>
            <w:tcW w:w="648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als </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 </w:t>
            </w:r>
            <w:r>
              <w:rPr>
                <w:rFonts w:cs="Arial"/>
                <w:i/>
                <w:iCs/>
                <w:sz w:val="16"/>
                <w:szCs w:val="16"/>
              </w:rPr>
              <w:t>h</w:t>
            </w:r>
            <w:r>
              <w:rPr>
                <w:rFonts w:cs="Arial"/>
                <w:i/>
                <w:iCs/>
                <w:sz w:val="16"/>
                <w:szCs w:val="16"/>
                <w:vertAlign w:val="subscript"/>
              </w:rPr>
              <w:t>o</w:t>
            </w:r>
            <w:r>
              <w:rPr>
                <w:rFonts w:cs="Arial"/>
                <w:i/>
                <w:iCs/>
                <w:sz w:val="16"/>
                <w:szCs w:val="16"/>
              </w:rPr>
              <w:t xml:space="preserve"> </w:t>
            </w:r>
            <w:r>
              <w:rPr>
                <w:rFonts w:cs="Arial"/>
                <w:sz w:val="16"/>
                <w:szCs w:val="16"/>
              </w:rPr>
              <w:t xml:space="preserve">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212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r</w:t>
            </w:r>
            <w:r>
              <w:rPr>
                <w:rFonts w:cs="Arial"/>
                <w:i/>
                <w:iCs/>
                <w:sz w:val="16"/>
                <w:szCs w:val="16"/>
                <w:vertAlign w:val="subscript"/>
              </w:rPr>
              <w:t>o</w:t>
            </w:r>
            <w:r>
              <w:rPr>
                <w:rFonts w:cs="Arial"/>
                <w:i/>
                <w:iCs/>
                <w:sz w:val="16"/>
                <w:szCs w:val="16"/>
              </w:rPr>
              <w:t xml:space="preserve"> </w:t>
            </w:r>
            <w:r>
              <w:rPr>
                <w:rFonts w:cs="Arial"/>
                <w:sz w:val="16"/>
                <w:szCs w:val="16"/>
              </w:rPr>
              <w:t xml:space="preserve">= </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 </w:t>
            </w:r>
          </w:p>
        </w:tc>
        <w:tc>
          <w:tcPr>
            <w:tcW w:w="6484"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als </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&lt; 30 </w:t>
            </w:r>
            <w:r>
              <w:rPr>
                <w:rFonts w:cs="Arial"/>
                <w:i/>
                <w:iCs/>
                <w:sz w:val="16"/>
                <w:szCs w:val="16"/>
              </w:rPr>
              <w:t>h</w:t>
            </w:r>
            <w:r>
              <w:rPr>
                <w:rFonts w:cs="Arial"/>
                <w:i/>
                <w:iCs/>
                <w:sz w:val="16"/>
                <w:szCs w:val="16"/>
                <w:vertAlign w:val="subscript"/>
              </w:rPr>
              <w:t>o</w:t>
            </w:r>
            <w:r>
              <w:rPr>
                <w:rFonts w:cs="Arial"/>
                <w:i/>
                <w:iCs/>
                <w:sz w:val="16"/>
                <w:szCs w:val="16"/>
              </w:rPr>
              <w:t xml:space="preserve"> </w:t>
            </w:r>
            <w:r>
              <w:rPr>
                <w:rFonts w:cs="Arial"/>
                <w:sz w:val="16"/>
                <w:szCs w:val="16"/>
              </w:rPr>
              <w:t xml:space="preserv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c. Middengebied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Dit is het gebied tussen bron- en ontvangergebied. Overlappen het bron- en ontvangergebied elkaar dan wordt geen middengebied verondersteld.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3.11.2. Aard van de bodem</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De volgende bodemtypen worden onderscheiden met behulp van de bodemfactor </w:t>
      </w:r>
      <w:r>
        <w:rPr>
          <w:rFonts w:cs="Arial"/>
          <w:i/>
          <w:iCs/>
          <w:szCs w:val="20"/>
        </w:rPr>
        <w:t>B</w:t>
      </w:r>
      <w:r>
        <w:rPr>
          <w:rFonts w:cs="Arial"/>
          <w:szCs w:val="20"/>
        </w:rPr>
        <w: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a. Harde bodems: B = 0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Dit zijn alle bodems die bestaan uit asfalt, bestrating, water, beton en alle bodems waarop veel reflecterende en geluidsverstrooiende objecten staan zoals open procesinstallaties e.d. Vele industrieterreinen zijn als hard aan te merken.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b. Absorberende bodems: B = 1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Absorberende bodems zijn alle bodems waarop vegetatie voor kan komen met weinig of geen geluidsverstrooiende objecten. Voorbeelden zijn grasland, akkerland met en zonder gewas, bossen, heide, tuinen.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c. Gedeeltelijk absorberende bodems: B = n/100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Als een gebied voor n% uit absorberende bodem bestaat, dan is de bodemfactor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3.23) </w:t>
      </w:r>
      <w:r>
        <w:rPr>
          <w:rFonts w:cs="Arial"/>
          <w:i/>
          <w:iCs/>
          <w:szCs w:val="20"/>
        </w:rPr>
        <w:t>B = n</w:t>
      </w:r>
      <w:r>
        <w:rPr>
          <w:rFonts w:cs="Arial"/>
          <w:szCs w:val="20"/>
        </w:rPr>
        <w:t>/100</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3.11.3. Berekening van D</w:t>
      </w:r>
      <w:r>
        <w:rPr>
          <w:rFonts w:cs="Arial"/>
          <w:b/>
          <w:bCs/>
          <w:szCs w:val="20"/>
          <w:vertAlign w:val="subscript"/>
        </w:rPr>
        <w:t>bodem</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De term </w:t>
      </w:r>
      <w:r>
        <w:rPr>
          <w:rFonts w:cs="Arial"/>
          <w:i/>
          <w:iCs/>
          <w:szCs w:val="20"/>
        </w:rPr>
        <w:t>D</w:t>
      </w:r>
      <w:r>
        <w:rPr>
          <w:rFonts w:cs="Arial"/>
          <w:i/>
          <w:iCs/>
          <w:szCs w:val="20"/>
          <w:vertAlign w:val="subscript"/>
        </w:rPr>
        <w:t>bodem</w:t>
      </w:r>
      <w:r>
        <w:rPr>
          <w:rFonts w:cs="Arial"/>
          <w:i/>
          <w:iCs/>
          <w:szCs w:val="20"/>
        </w:rPr>
        <w:t xml:space="preserve"> </w:t>
      </w:r>
      <w:r>
        <w:rPr>
          <w:rFonts w:cs="Arial"/>
          <w:szCs w:val="20"/>
        </w:rPr>
        <w:t xml:space="preserve"> is uit een drietal deeltermen opgebouwd die het effect van de bodem in het bron-, en immissiegebied en eventueel het midden gebied aangeven.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3.24) </w:t>
      </w:r>
      <w:r>
        <w:rPr>
          <w:rFonts w:cs="Arial"/>
          <w:i/>
          <w:iCs/>
          <w:szCs w:val="20"/>
        </w:rPr>
        <w:t>D</w:t>
      </w:r>
      <w:r>
        <w:rPr>
          <w:rFonts w:cs="Arial"/>
          <w:i/>
          <w:iCs/>
          <w:szCs w:val="20"/>
          <w:vertAlign w:val="subscript"/>
        </w:rPr>
        <w:t>bodem</w:t>
      </w:r>
      <w:r>
        <w:rPr>
          <w:rFonts w:cs="Arial"/>
          <w:i/>
          <w:iCs/>
          <w:szCs w:val="20"/>
        </w:rPr>
        <w:t xml:space="preserve"> </w:t>
      </w:r>
      <w:r>
        <w:rPr>
          <w:rFonts w:cs="Arial"/>
          <w:szCs w:val="20"/>
        </w:rPr>
        <w:t>=</w:t>
      </w:r>
      <w:r>
        <w:rPr>
          <w:rFonts w:cs="Arial"/>
          <w:i/>
          <w:iCs/>
          <w:szCs w:val="20"/>
        </w:rPr>
        <w:t>D</w:t>
      </w:r>
      <w:r>
        <w:rPr>
          <w:rFonts w:cs="Arial"/>
          <w:i/>
          <w:iCs/>
          <w:szCs w:val="20"/>
          <w:vertAlign w:val="subscript"/>
        </w:rPr>
        <w:t>b,br</w:t>
      </w:r>
      <w:r>
        <w:rPr>
          <w:rFonts w:cs="Arial"/>
          <w:i/>
          <w:iCs/>
          <w:szCs w:val="20"/>
        </w:rPr>
        <w:t xml:space="preserve"> + D</w:t>
      </w:r>
      <w:r>
        <w:rPr>
          <w:rFonts w:cs="Arial"/>
          <w:i/>
          <w:iCs/>
          <w:szCs w:val="20"/>
          <w:vertAlign w:val="subscript"/>
        </w:rPr>
        <w:t>b,ont</w:t>
      </w:r>
      <w:r>
        <w:rPr>
          <w:rFonts w:cs="Arial"/>
          <w:i/>
          <w:iCs/>
          <w:szCs w:val="20"/>
        </w:rPr>
        <w:t xml:space="preserve"> + D</w:t>
      </w:r>
      <w:r>
        <w:rPr>
          <w:rFonts w:cs="Arial"/>
          <w:i/>
          <w:iCs/>
          <w:szCs w:val="20"/>
          <w:vertAlign w:val="subscript"/>
        </w:rPr>
        <w:t>b,mid</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De berekening van </w:t>
      </w:r>
      <w:r>
        <w:rPr>
          <w:rFonts w:cs="Arial"/>
          <w:i/>
          <w:iCs/>
          <w:szCs w:val="20"/>
        </w:rPr>
        <w:t>D</w:t>
      </w:r>
      <w:r>
        <w:rPr>
          <w:rFonts w:cs="Arial"/>
          <w:i/>
          <w:iCs/>
          <w:szCs w:val="20"/>
          <w:vertAlign w:val="subscript"/>
        </w:rPr>
        <w:t>b,br</w:t>
      </w:r>
      <w:r>
        <w:rPr>
          <w:rFonts w:cs="Arial"/>
          <w:i/>
          <w:iCs/>
          <w:szCs w:val="20"/>
        </w:rPr>
        <w:t xml:space="preserve"> </w:t>
      </w:r>
      <w:r>
        <w:rPr>
          <w:rFonts w:cs="Arial"/>
          <w:szCs w:val="20"/>
        </w:rPr>
        <w:t xml:space="preserve"> en </w:t>
      </w:r>
      <w:r>
        <w:rPr>
          <w:rFonts w:cs="Arial"/>
          <w:i/>
          <w:iCs/>
          <w:szCs w:val="20"/>
        </w:rPr>
        <w:t>D</w:t>
      </w:r>
      <w:r>
        <w:rPr>
          <w:rFonts w:cs="Arial"/>
          <w:i/>
          <w:iCs/>
          <w:szCs w:val="20"/>
          <w:vertAlign w:val="subscript"/>
        </w:rPr>
        <w:t>b,ont</w:t>
      </w:r>
      <w:r>
        <w:rPr>
          <w:rFonts w:cs="Arial"/>
          <w:i/>
          <w:iCs/>
          <w:szCs w:val="20"/>
        </w:rPr>
        <w:t xml:space="preserve"> </w:t>
      </w:r>
      <w:r>
        <w:rPr>
          <w:rFonts w:cs="Arial"/>
          <w:szCs w:val="20"/>
        </w:rPr>
        <w:t xml:space="preserve"> is volledig analoog. De berekening van het effect van het middengebied gaat op een andere wijze.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tabel 3.6 De bodemverzwakking in het bron- en immissiegebied</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045"/>
        <w:gridCol w:w="3602"/>
        <w:gridCol w:w="4683"/>
      </w:tblGrid>
      <w:tr w:rsidR="00FC57C8" w:rsidRPr="00FE5362" w:rsidTr="00F43C9B">
        <w:tc>
          <w:tcPr>
            <w:tcW w:w="4647" w:type="dxa"/>
            <w:gridSpan w:val="2"/>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Middenfrequentie octaafband [Hz] </w:t>
            </w:r>
          </w:p>
        </w:tc>
        <w:tc>
          <w:tcPr>
            <w:tcW w:w="4683" w:type="dxa"/>
            <w:tcBorders>
              <w:top w:val="single" w:sz="4" w:space="0" w:color="auto"/>
              <w:left w:val="single" w:sz="4" w:space="0" w:color="auto"/>
              <w:bottom w:val="single" w:sz="4" w:space="0" w:color="auto"/>
              <w:right w:val="single" w:sz="4" w:space="0" w:color="auto"/>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i/>
                <w:iCs/>
                <w:sz w:val="16"/>
                <w:szCs w:val="16"/>
                <w:lang w:val="en-US"/>
              </w:rPr>
              <w:t>D</w:t>
            </w:r>
            <w:r w:rsidRPr="00FC57C8">
              <w:rPr>
                <w:rFonts w:cs="Arial"/>
                <w:i/>
                <w:iCs/>
                <w:sz w:val="16"/>
                <w:szCs w:val="16"/>
                <w:vertAlign w:val="subscript"/>
                <w:lang w:val="en-US"/>
              </w:rPr>
              <w:t>b,br</w:t>
            </w:r>
            <w:r w:rsidRPr="00FC57C8">
              <w:rPr>
                <w:rFonts w:cs="Arial"/>
                <w:i/>
                <w:iCs/>
                <w:sz w:val="16"/>
                <w:szCs w:val="16"/>
                <w:lang w:val="en-US"/>
              </w:rPr>
              <w:t xml:space="preserve"> </w:t>
            </w:r>
            <w:r w:rsidRPr="00FC57C8">
              <w:rPr>
                <w:rFonts w:cs="Arial"/>
                <w:sz w:val="16"/>
                <w:szCs w:val="16"/>
                <w:lang w:val="en-US"/>
              </w:rPr>
              <w:t xml:space="preserve"> of </w:t>
            </w:r>
            <w:r w:rsidRPr="00FC57C8">
              <w:rPr>
                <w:rFonts w:cs="Arial"/>
                <w:i/>
                <w:iCs/>
                <w:sz w:val="16"/>
                <w:szCs w:val="16"/>
                <w:lang w:val="en-US"/>
              </w:rPr>
              <w:t>D</w:t>
            </w:r>
            <w:r w:rsidRPr="00FC57C8">
              <w:rPr>
                <w:rFonts w:cs="Arial"/>
                <w:i/>
                <w:iCs/>
                <w:sz w:val="16"/>
                <w:szCs w:val="16"/>
                <w:vertAlign w:val="subscript"/>
                <w:lang w:val="en-US"/>
              </w:rPr>
              <w:t>b,ont</w:t>
            </w:r>
            <w:r w:rsidRPr="00FC57C8">
              <w:rPr>
                <w:rFonts w:cs="Arial"/>
                <w:i/>
                <w:iCs/>
                <w:sz w:val="16"/>
                <w:szCs w:val="16"/>
                <w:lang w:val="en-US"/>
              </w:rPr>
              <w:t xml:space="preserve"> </w:t>
            </w:r>
            <w:r w:rsidRPr="00FC57C8">
              <w:rPr>
                <w:rFonts w:cs="Arial"/>
                <w:sz w:val="16"/>
                <w:szCs w:val="16"/>
                <w:lang w:val="en-US"/>
              </w:rPr>
              <w:t xml:space="preserve">[dB]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sidRPr="00FC57C8">
              <w:rPr>
                <w:rFonts w:ascii="Times New Roman" w:hAnsi="Times New Roman"/>
                <w:sz w:val="24"/>
                <w:lang w:val="en-US"/>
              </w:rPr>
              <w:t xml:space="preserve"> </w:t>
            </w:r>
            <w:r>
              <w:rPr>
                <w:rFonts w:cs="Arial"/>
                <w:sz w:val="16"/>
                <w:szCs w:val="16"/>
              </w:rPr>
              <w:t xml:space="preserve">31,5 </w:t>
            </w:r>
          </w:p>
        </w:tc>
        <w:tc>
          <w:tcPr>
            <w:tcW w:w="36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46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63 </w:t>
            </w:r>
          </w:p>
        </w:tc>
        <w:tc>
          <w:tcPr>
            <w:tcW w:w="36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46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125 </w:t>
            </w:r>
          </w:p>
        </w:tc>
        <w:tc>
          <w:tcPr>
            <w:tcW w:w="36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46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 </w:t>
            </w:r>
            <w:r>
              <w:rPr>
                <w:rFonts w:cs="Arial"/>
                <w:i/>
                <w:iCs/>
                <w:sz w:val="16"/>
                <w:szCs w:val="16"/>
              </w:rPr>
              <w:t>B</w:t>
            </w:r>
            <w:r>
              <w:rPr>
                <w:rFonts w:cs="Arial"/>
                <w:i/>
                <w:iCs/>
                <w:sz w:val="16"/>
                <w:szCs w:val="16"/>
                <w:vertAlign w:val="subscript"/>
              </w:rPr>
              <w:t>b</w:t>
            </w:r>
            <w:r>
              <w:rPr>
                <w:rFonts w:cs="Arial"/>
                <w:i/>
                <w:iCs/>
                <w:sz w:val="16"/>
                <w:szCs w:val="16"/>
              </w:rPr>
              <w:t xml:space="preserve"> </w:t>
            </w:r>
            <w:r>
              <w:rPr>
                <w:rFonts w:cs="Arial"/>
                <w:sz w:val="16"/>
                <w:szCs w:val="16"/>
              </w:rPr>
              <w:t xml:space="preserve"> (</w:t>
            </w:r>
            <w:r>
              <w:rPr>
                <w:rFonts w:cs="Arial"/>
                <w:i/>
                <w:iCs/>
                <w:sz w:val="16"/>
                <w:szCs w:val="16"/>
              </w:rPr>
              <w:t>a</w:t>
            </w:r>
            <w:r>
              <w:rPr>
                <w:rFonts w:cs="Arial"/>
                <w:sz w:val="16"/>
                <w:szCs w:val="16"/>
              </w:rPr>
              <w:t>(</w:t>
            </w:r>
            <w:r>
              <w:rPr>
                <w:rFonts w:cs="Arial"/>
                <w:i/>
                <w:iCs/>
                <w:sz w:val="16"/>
                <w:szCs w:val="16"/>
              </w:rPr>
              <w:t>h</w:t>
            </w:r>
            <w:r>
              <w:rPr>
                <w:rFonts w:cs="Arial"/>
                <w:sz w:val="16"/>
                <w:szCs w:val="16"/>
              </w:rPr>
              <w:t xml:space="preserve">) + 1)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250 </w:t>
            </w:r>
          </w:p>
        </w:tc>
        <w:tc>
          <w:tcPr>
            <w:tcW w:w="36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46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 </w:t>
            </w:r>
            <w:r>
              <w:rPr>
                <w:rFonts w:cs="Arial"/>
                <w:i/>
                <w:iCs/>
                <w:sz w:val="16"/>
                <w:szCs w:val="16"/>
              </w:rPr>
              <w:t>B</w:t>
            </w:r>
            <w:r>
              <w:rPr>
                <w:rFonts w:cs="Arial"/>
                <w:i/>
                <w:iCs/>
                <w:sz w:val="16"/>
                <w:szCs w:val="16"/>
                <w:vertAlign w:val="subscript"/>
              </w:rPr>
              <w:t>b</w:t>
            </w:r>
            <w:r>
              <w:rPr>
                <w:rFonts w:cs="Arial"/>
                <w:i/>
                <w:iCs/>
                <w:sz w:val="16"/>
                <w:szCs w:val="16"/>
              </w:rPr>
              <w:t xml:space="preserve"> </w:t>
            </w:r>
            <w:r>
              <w:rPr>
                <w:rFonts w:cs="Arial"/>
                <w:sz w:val="16"/>
                <w:szCs w:val="16"/>
              </w:rPr>
              <w:t xml:space="preserve"> (</w:t>
            </w:r>
            <w:r>
              <w:rPr>
                <w:rFonts w:cs="Arial"/>
                <w:i/>
                <w:iCs/>
                <w:sz w:val="16"/>
                <w:szCs w:val="16"/>
              </w:rPr>
              <w:t>b</w:t>
            </w:r>
            <w:r>
              <w:rPr>
                <w:rFonts w:cs="Arial"/>
                <w:sz w:val="16"/>
                <w:szCs w:val="16"/>
              </w:rPr>
              <w:t>(</w:t>
            </w:r>
            <w:r>
              <w:rPr>
                <w:rFonts w:cs="Arial"/>
                <w:i/>
                <w:iCs/>
                <w:sz w:val="16"/>
                <w:szCs w:val="16"/>
              </w:rPr>
              <w:t>h</w:t>
            </w:r>
            <w:r>
              <w:rPr>
                <w:rFonts w:cs="Arial"/>
                <w:sz w:val="16"/>
                <w:szCs w:val="16"/>
              </w:rPr>
              <w:t xml:space="preserve">) + 1)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500 </w:t>
            </w:r>
          </w:p>
        </w:tc>
        <w:tc>
          <w:tcPr>
            <w:tcW w:w="36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46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 </w:t>
            </w:r>
            <w:r>
              <w:rPr>
                <w:rFonts w:cs="Arial"/>
                <w:i/>
                <w:iCs/>
                <w:sz w:val="16"/>
                <w:szCs w:val="16"/>
              </w:rPr>
              <w:t>B</w:t>
            </w:r>
            <w:r>
              <w:rPr>
                <w:rFonts w:cs="Arial"/>
                <w:i/>
                <w:iCs/>
                <w:sz w:val="16"/>
                <w:szCs w:val="16"/>
                <w:vertAlign w:val="subscript"/>
              </w:rPr>
              <w:t>b</w:t>
            </w:r>
            <w:r>
              <w:rPr>
                <w:rFonts w:cs="Arial"/>
                <w:i/>
                <w:iCs/>
                <w:sz w:val="16"/>
                <w:szCs w:val="16"/>
              </w:rPr>
              <w:t xml:space="preserve"> </w:t>
            </w:r>
            <w:r>
              <w:rPr>
                <w:rFonts w:cs="Arial"/>
                <w:sz w:val="16"/>
                <w:szCs w:val="16"/>
              </w:rPr>
              <w:t xml:space="preserve"> (</w:t>
            </w:r>
            <w:r>
              <w:rPr>
                <w:rFonts w:cs="Arial"/>
                <w:i/>
                <w:iCs/>
                <w:sz w:val="16"/>
                <w:szCs w:val="16"/>
              </w:rPr>
              <w:t>c</w:t>
            </w:r>
            <w:r>
              <w:rPr>
                <w:rFonts w:cs="Arial"/>
                <w:sz w:val="16"/>
                <w:szCs w:val="16"/>
              </w:rPr>
              <w:t>(</w:t>
            </w:r>
            <w:r>
              <w:rPr>
                <w:rFonts w:cs="Arial"/>
                <w:i/>
                <w:iCs/>
                <w:sz w:val="16"/>
                <w:szCs w:val="16"/>
              </w:rPr>
              <w:t>h</w:t>
            </w:r>
            <w:r>
              <w:rPr>
                <w:rFonts w:cs="Arial"/>
                <w:sz w:val="16"/>
                <w:szCs w:val="16"/>
              </w:rPr>
              <w:t xml:space="preserve">) + 1)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1000 </w:t>
            </w:r>
          </w:p>
        </w:tc>
        <w:tc>
          <w:tcPr>
            <w:tcW w:w="36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46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 </w:t>
            </w:r>
            <w:r>
              <w:rPr>
                <w:rFonts w:cs="Arial"/>
                <w:i/>
                <w:iCs/>
                <w:sz w:val="16"/>
                <w:szCs w:val="16"/>
              </w:rPr>
              <w:t>B</w:t>
            </w:r>
            <w:r>
              <w:rPr>
                <w:rFonts w:cs="Arial"/>
                <w:i/>
                <w:iCs/>
                <w:sz w:val="16"/>
                <w:szCs w:val="16"/>
                <w:vertAlign w:val="subscript"/>
              </w:rPr>
              <w:t>b</w:t>
            </w:r>
            <w:r>
              <w:rPr>
                <w:rFonts w:cs="Arial"/>
                <w:i/>
                <w:iCs/>
                <w:sz w:val="16"/>
                <w:szCs w:val="16"/>
              </w:rPr>
              <w:t xml:space="preserve"> </w:t>
            </w:r>
            <w:r>
              <w:rPr>
                <w:rFonts w:cs="Arial"/>
                <w:sz w:val="16"/>
                <w:szCs w:val="16"/>
              </w:rPr>
              <w:t xml:space="preserve"> (</w:t>
            </w:r>
            <w:r>
              <w:rPr>
                <w:rFonts w:cs="Arial"/>
                <w:i/>
                <w:iCs/>
                <w:sz w:val="16"/>
                <w:szCs w:val="16"/>
              </w:rPr>
              <w:t>d</w:t>
            </w:r>
            <w:r>
              <w:rPr>
                <w:rFonts w:cs="Arial"/>
                <w:sz w:val="16"/>
                <w:szCs w:val="16"/>
              </w:rPr>
              <w:t>(</w:t>
            </w:r>
            <w:r>
              <w:rPr>
                <w:rFonts w:cs="Arial"/>
                <w:i/>
                <w:iCs/>
                <w:sz w:val="16"/>
                <w:szCs w:val="16"/>
              </w:rPr>
              <w:t>h</w:t>
            </w:r>
            <w:r>
              <w:rPr>
                <w:rFonts w:cs="Arial"/>
                <w:sz w:val="16"/>
                <w:szCs w:val="16"/>
              </w:rPr>
              <w:t xml:space="preserve">) + 1)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2000 </w:t>
            </w:r>
          </w:p>
        </w:tc>
        <w:tc>
          <w:tcPr>
            <w:tcW w:w="36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46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 </w:t>
            </w:r>
            <w:r>
              <w:rPr>
                <w:rFonts w:cs="Arial"/>
                <w:i/>
                <w:iCs/>
                <w:sz w:val="16"/>
                <w:szCs w:val="16"/>
              </w:rPr>
              <w:t>B</w:t>
            </w:r>
            <w:r>
              <w:rPr>
                <w:rFonts w:cs="Arial"/>
                <w:i/>
                <w:iCs/>
                <w:sz w:val="16"/>
                <w:szCs w:val="16"/>
                <w:vertAlign w:val="subscript"/>
              </w:rPr>
              <w:t>b</w:t>
            </w:r>
            <w:r>
              <w:rPr>
                <w:rFonts w:cs="Arial"/>
                <w:i/>
                <w:iCs/>
                <w:sz w:val="16"/>
                <w:szCs w:val="16"/>
              </w:rPr>
              <w:t xml:space="preserve"> </w:t>
            </w:r>
            <w:r>
              <w:rPr>
                <w:rFonts w:cs="Arial"/>
                <w:sz w:val="16"/>
                <w:szCs w:val="16"/>
              </w:rPr>
              <w:t xml:space="preserve">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4000 </w:t>
            </w:r>
          </w:p>
        </w:tc>
        <w:tc>
          <w:tcPr>
            <w:tcW w:w="36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46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 </w:t>
            </w:r>
            <w:r>
              <w:rPr>
                <w:rFonts w:cs="Arial"/>
                <w:i/>
                <w:iCs/>
                <w:sz w:val="16"/>
                <w:szCs w:val="16"/>
              </w:rPr>
              <w:t>B</w:t>
            </w:r>
            <w:r>
              <w:rPr>
                <w:rFonts w:cs="Arial"/>
                <w:i/>
                <w:iCs/>
                <w:sz w:val="16"/>
                <w:szCs w:val="16"/>
                <w:vertAlign w:val="subscript"/>
              </w:rPr>
              <w:t>b</w:t>
            </w:r>
            <w:r>
              <w:rPr>
                <w:rFonts w:cs="Arial"/>
                <w:i/>
                <w:iCs/>
                <w:sz w:val="16"/>
                <w:szCs w:val="16"/>
              </w:rPr>
              <w:t xml:space="preserve"> </w:t>
            </w:r>
            <w:r>
              <w:rPr>
                <w:rFonts w:cs="Arial"/>
                <w:sz w:val="16"/>
                <w:szCs w:val="16"/>
              </w:rPr>
              <w:t xml:space="preserve">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8000 </w:t>
            </w:r>
          </w:p>
        </w:tc>
        <w:tc>
          <w:tcPr>
            <w:tcW w:w="36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46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 </w:t>
            </w:r>
            <w:r>
              <w:rPr>
                <w:rFonts w:cs="Arial"/>
                <w:i/>
                <w:iCs/>
                <w:sz w:val="16"/>
                <w:szCs w:val="16"/>
              </w:rPr>
              <w:t>B</w:t>
            </w:r>
            <w:r>
              <w:rPr>
                <w:rFonts w:cs="Arial"/>
                <w:i/>
                <w:iCs/>
                <w:sz w:val="16"/>
                <w:szCs w:val="16"/>
                <w:vertAlign w:val="subscript"/>
              </w:rPr>
              <w:t>b</w:t>
            </w:r>
            <w:r>
              <w:rPr>
                <w:rFonts w:cs="Arial"/>
                <w:i/>
                <w:iCs/>
                <w:sz w:val="16"/>
                <w:szCs w:val="16"/>
              </w:rPr>
              <w:t xml:space="preserve"> </w:t>
            </w:r>
            <w:r>
              <w:rPr>
                <w:rFonts w:cs="Arial"/>
                <w:sz w:val="16"/>
                <w:szCs w:val="16"/>
              </w:rPr>
              <w:t xml:space="preserve">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met </w:t>
            </w:r>
          </w:p>
        </w:tc>
        <w:tc>
          <w:tcPr>
            <w:tcW w:w="8285" w:type="dxa"/>
            <w:gridSpan w:val="2"/>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02AD6C1C" wp14:editId="521919EE">
                  <wp:extent cx="3038475" cy="20955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8475" cy="209550"/>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8285" w:type="dxa"/>
            <w:gridSpan w:val="2"/>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28049C4D" wp14:editId="53ED0279">
                  <wp:extent cx="1466850" cy="1905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6850" cy="190500"/>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8285" w:type="dxa"/>
            <w:gridSpan w:val="2"/>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4684C741" wp14:editId="6EDCE6A5">
                  <wp:extent cx="1504950" cy="1809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950" cy="18097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p>
        </w:tc>
      </w:tr>
      <w:tr w:rsidR="00FC57C8" w:rsidTr="00F43C9B">
        <w:tc>
          <w:tcPr>
            <w:tcW w:w="104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8285" w:type="dxa"/>
            <w:gridSpan w:val="2"/>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2B894692" wp14:editId="4C6527FA">
                  <wp:extent cx="1457325" cy="1905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Opmerking: voor </w:t>
      </w:r>
      <w:r>
        <w:rPr>
          <w:rFonts w:cs="Arial"/>
          <w:i/>
          <w:iCs/>
          <w:szCs w:val="20"/>
        </w:rPr>
        <w:t>h</w:t>
      </w:r>
      <w:r>
        <w:rPr>
          <w:rFonts w:cs="Arial"/>
          <w:szCs w:val="20"/>
        </w:rPr>
        <w:t xml:space="preserve"> = </w:t>
      </w:r>
      <w:r>
        <w:rPr>
          <w:rFonts w:cs="Arial"/>
          <w:i/>
          <w:iCs/>
          <w:szCs w:val="20"/>
        </w:rPr>
        <w:t>h</w:t>
      </w:r>
      <w:r>
        <w:rPr>
          <w:rFonts w:cs="Arial"/>
          <w:i/>
          <w:iCs/>
          <w:szCs w:val="20"/>
          <w:vertAlign w:val="subscript"/>
        </w:rPr>
        <w:t>o</w:t>
      </w:r>
      <w:r>
        <w:rPr>
          <w:rFonts w:cs="Arial"/>
          <w:i/>
          <w:iCs/>
          <w:szCs w:val="20"/>
        </w:rPr>
        <w:t xml:space="preserve"> </w:t>
      </w:r>
      <w:r>
        <w:rPr>
          <w:rFonts w:cs="Arial"/>
          <w:szCs w:val="20"/>
        </w:rPr>
        <w:t xml:space="preserve"> = 5 m geldt: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3.25)</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5FBB92F6" wp14:editId="3A01CBD9">
            <wp:extent cx="2095500" cy="2000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20002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71F60D8F" wp14:editId="07731CF7">
            <wp:extent cx="1057275" cy="1619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7275" cy="16192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c</w:t>
      </w:r>
      <w:r>
        <w:rPr>
          <w:rFonts w:cs="Arial"/>
          <w:szCs w:val="20"/>
        </w:rPr>
        <w:t>(5) = 0,0</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d</w:t>
      </w:r>
      <w:r>
        <w:rPr>
          <w:rFonts w:cs="Arial"/>
          <w:szCs w:val="20"/>
        </w:rPr>
        <w:t>(5) = 0,0</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De term </w:t>
      </w:r>
      <w:r>
        <w:rPr>
          <w:rFonts w:cs="Arial"/>
          <w:i/>
          <w:iCs/>
          <w:szCs w:val="20"/>
        </w:rPr>
        <w:t>D</w:t>
      </w:r>
      <w:r>
        <w:rPr>
          <w:rFonts w:cs="Arial"/>
          <w:i/>
          <w:iCs/>
          <w:szCs w:val="20"/>
          <w:vertAlign w:val="subscript"/>
        </w:rPr>
        <w:t>b,br</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D</w:t>
      </w:r>
      <w:r>
        <w:rPr>
          <w:rFonts w:cs="Arial"/>
          <w:i/>
          <w:iCs/>
          <w:szCs w:val="20"/>
          <w:vertAlign w:val="subscript"/>
        </w:rPr>
        <w:t>b,br</w:t>
      </w:r>
      <w:r>
        <w:rPr>
          <w:rFonts w:cs="Arial"/>
          <w:i/>
          <w:iCs/>
          <w:szCs w:val="20"/>
        </w:rPr>
        <w:t xml:space="preserve"> </w:t>
      </w:r>
      <w:r>
        <w:rPr>
          <w:rFonts w:cs="Arial"/>
          <w:szCs w:val="20"/>
        </w:rPr>
        <w:t xml:space="preserve"> wordt berekend uit de afstand </w:t>
      </w:r>
      <w:r>
        <w:rPr>
          <w:rFonts w:cs="Arial"/>
          <w:i/>
          <w:iCs/>
          <w:szCs w:val="20"/>
        </w:rPr>
        <w:t>r</w:t>
      </w:r>
      <w:r>
        <w:rPr>
          <w:rFonts w:cs="Arial"/>
          <w:i/>
          <w:iCs/>
          <w:szCs w:val="20"/>
          <w:vertAlign w:val="subscript"/>
        </w:rPr>
        <w:t>i</w:t>
      </w:r>
      <w:r>
        <w:rPr>
          <w:rFonts w:cs="Arial"/>
          <w:i/>
          <w:iCs/>
          <w:szCs w:val="20"/>
        </w:rPr>
        <w:t xml:space="preserve"> </w:t>
      </w:r>
      <w:r>
        <w:rPr>
          <w:rFonts w:cs="Arial"/>
          <w:szCs w:val="20"/>
        </w:rPr>
        <w:t xml:space="preserve"> tussen bron en immissiepunt, de bodemfactor </w:t>
      </w:r>
      <w:r>
        <w:rPr>
          <w:rFonts w:cs="Arial"/>
          <w:i/>
          <w:iCs/>
          <w:szCs w:val="20"/>
        </w:rPr>
        <w:t>B</w:t>
      </w:r>
      <w:r>
        <w:rPr>
          <w:rFonts w:cs="Arial"/>
          <w:i/>
          <w:iCs/>
          <w:szCs w:val="20"/>
          <w:vertAlign w:val="subscript"/>
        </w:rPr>
        <w:t>b</w:t>
      </w:r>
      <w:r>
        <w:rPr>
          <w:rFonts w:cs="Arial"/>
          <w:i/>
          <w:iCs/>
          <w:szCs w:val="20"/>
        </w:rPr>
        <w:t xml:space="preserve"> </w:t>
      </w:r>
      <w:r>
        <w:rPr>
          <w:rFonts w:cs="Arial"/>
          <w:szCs w:val="20"/>
        </w:rPr>
        <w:t xml:space="preserve"> van het brongebied en de (gecorrigeerde) bronhoogte </w:t>
      </w:r>
      <w:r>
        <w:rPr>
          <w:rFonts w:cs="Arial"/>
          <w:i/>
          <w:iCs/>
          <w:szCs w:val="20"/>
        </w:rPr>
        <w:t>h</w:t>
      </w:r>
      <w:r>
        <w:rPr>
          <w:rFonts w:cs="Arial"/>
          <w:szCs w:val="20"/>
        </w:rPr>
        <w:t xml:space="preserve">. De bodemfactor </w:t>
      </w:r>
      <w:r>
        <w:rPr>
          <w:rFonts w:cs="Arial"/>
          <w:i/>
          <w:iCs/>
          <w:szCs w:val="20"/>
        </w:rPr>
        <w:t>B</w:t>
      </w:r>
      <w:r>
        <w:rPr>
          <w:rFonts w:cs="Arial"/>
          <w:i/>
          <w:iCs/>
          <w:szCs w:val="20"/>
          <w:vertAlign w:val="subscript"/>
        </w:rPr>
        <w:t>b</w:t>
      </w:r>
      <w:r>
        <w:rPr>
          <w:rFonts w:cs="Arial"/>
          <w:i/>
          <w:iCs/>
          <w:szCs w:val="20"/>
        </w:rPr>
        <w:t xml:space="preserve"> </w:t>
      </w:r>
      <w:r>
        <w:rPr>
          <w:rFonts w:cs="Arial"/>
          <w:szCs w:val="20"/>
        </w:rPr>
        <w:t xml:space="preserve"> blijft betrokken op de echte bronhoogte </w:t>
      </w:r>
      <w:r>
        <w:rPr>
          <w:rFonts w:cs="Arial"/>
          <w:i/>
          <w:iCs/>
          <w:szCs w:val="20"/>
        </w:rPr>
        <w:t>h</w:t>
      </w:r>
      <w:r>
        <w:rPr>
          <w:rFonts w:cs="Arial"/>
          <w:i/>
          <w:iCs/>
          <w:szCs w:val="20"/>
          <w:vertAlign w:val="subscript"/>
        </w:rPr>
        <w:t>b</w:t>
      </w:r>
      <w:r>
        <w:rPr>
          <w:rFonts w:cs="Arial"/>
          <w:i/>
          <w:iCs/>
          <w:szCs w:val="20"/>
        </w:rPr>
        <w:t xml:space="preserve"> </w:t>
      </w:r>
      <w:r>
        <w:rPr>
          <w:rFonts w:cs="Arial"/>
          <w:szCs w:val="20"/>
        </w:rPr>
        <w: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De hoogte </w:t>
      </w:r>
      <w:r>
        <w:rPr>
          <w:rFonts w:cs="Arial"/>
          <w:i/>
          <w:iCs/>
          <w:szCs w:val="20"/>
        </w:rPr>
        <w:t>h</w:t>
      </w:r>
      <w:r>
        <w:rPr>
          <w:rFonts w:cs="Arial"/>
          <w:szCs w:val="20"/>
        </w:rPr>
        <w:t xml:space="preserve"> is gelijk aan de bronhoogte tenzij er afscherming optreedt met een positieve verticale omweg (</w:t>
      </w:r>
      <w:r>
        <w:rPr>
          <w:rFonts w:cs="Arial"/>
          <w:i/>
          <w:iCs/>
          <w:szCs w:val="20"/>
        </w:rPr>
        <w:t>D</w:t>
      </w:r>
      <w:r>
        <w:rPr>
          <w:rFonts w:cs="Arial"/>
          <w:i/>
          <w:iCs/>
          <w:szCs w:val="20"/>
          <w:vertAlign w:val="subscript"/>
        </w:rPr>
        <w:t>scherm</w:t>
      </w:r>
      <w:r>
        <w:rPr>
          <w:rFonts w:cs="Arial"/>
          <w:i/>
          <w:iCs/>
          <w:szCs w:val="20"/>
        </w:rPr>
        <w:t xml:space="preserve"> </w:t>
      </w:r>
      <w:r>
        <w:rPr>
          <w:rFonts w:cs="Arial"/>
          <w:szCs w:val="20"/>
        </w:rPr>
        <w:t xml:space="preserve"> ≥ 4,8) en bovendien de bronhoogte minder dan 5 m bedraagt. In dat geval geldt: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377"/>
        <w:gridCol w:w="3688"/>
        <w:gridCol w:w="4265"/>
      </w:tblGrid>
      <w:tr w:rsidR="00FC57C8" w:rsidTr="00F43C9B">
        <w:tc>
          <w:tcPr>
            <w:tcW w:w="1377"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3.26) </w:t>
            </w:r>
          </w:p>
        </w:tc>
        <w:tc>
          <w:tcPr>
            <w:tcW w:w="368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h</w:t>
            </w:r>
            <w:r>
              <w:rPr>
                <w:rFonts w:cs="Arial"/>
                <w:sz w:val="16"/>
                <w:szCs w:val="16"/>
              </w:rPr>
              <w:t xml:space="preserve"> = </w:t>
            </w:r>
            <w:r>
              <w:rPr>
                <w:rFonts w:cs="Arial"/>
                <w:i/>
                <w:iCs/>
                <w:sz w:val="16"/>
                <w:szCs w:val="16"/>
              </w:rPr>
              <w:t>h</w:t>
            </w:r>
            <w:r>
              <w:rPr>
                <w:rFonts w:cs="Arial"/>
                <w:i/>
                <w:iCs/>
                <w:sz w:val="16"/>
                <w:szCs w:val="16"/>
                <w:vertAlign w:val="subscript"/>
              </w:rPr>
              <w:t>b</w:t>
            </w:r>
            <w:r>
              <w:rPr>
                <w:rFonts w:cs="Arial"/>
                <w:i/>
                <w:iCs/>
                <w:sz w:val="16"/>
                <w:szCs w:val="16"/>
              </w:rPr>
              <w:t xml:space="preserve"> </w:t>
            </w:r>
            <w:r>
              <w:rPr>
                <w:rFonts w:cs="Arial"/>
                <w:sz w:val="16"/>
                <w:szCs w:val="16"/>
              </w:rPr>
              <w:t xml:space="preserve"> </w:t>
            </w:r>
          </w:p>
        </w:tc>
        <w:tc>
          <w:tcPr>
            <w:tcW w:w="426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als </w:t>
            </w:r>
            <w:r>
              <w:rPr>
                <w:rFonts w:cs="Arial"/>
                <w:i/>
                <w:iCs/>
                <w:sz w:val="16"/>
                <w:szCs w:val="16"/>
              </w:rPr>
              <w:t>h</w:t>
            </w:r>
            <w:r>
              <w:rPr>
                <w:rFonts w:cs="Arial"/>
                <w:i/>
                <w:iCs/>
                <w:sz w:val="16"/>
                <w:szCs w:val="16"/>
                <w:vertAlign w:val="subscript"/>
              </w:rPr>
              <w:t>b</w:t>
            </w:r>
            <w:r>
              <w:rPr>
                <w:rFonts w:cs="Arial"/>
                <w:i/>
                <w:iCs/>
                <w:sz w:val="16"/>
                <w:szCs w:val="16"/>
              </w:rPr>
              <w:t xml:space="preserve"> </w:t>
            </w:r>
            <w:r>
              <w:rPr>
                <w:rFonts w:cs="Arial"/>
                <w:sz w:val="16"/>
                <w:szCs w:val="16"/>
              </w:rPr>
              <w:t xml:space="preserve"> ≥ 5 m of </w:t>
            </w:r>
            <w:r>
              <w:rPr>
                <w:rFonts w:cs="Arial"/>
                <w:i/>
                <w:iCs/>
                <w:sz w:val="16"/>
                <w:szCs w:val="16"/>
              </w:rPr>
              <w:t>h</w:t>
            </w:r>
            <w:r>
              <w:rPr>
                <w:rFonts w:cs="Arial"/>
                <w:i/>
                <w:iCs/>
                <w:sz w:val="16"/>
                <w:szCs w:val="16"/>
                <w:vertAlign w:val="subscript"/>
              </w:rPr>
              <w:t>e</w:t>
            </w:r>
            <w:r>
              <w:rPr>
                <w:rFonts w:cs="Arial"/>
                <w:i/>
                <w:iCs/>
                <w:sz w:val="16"/>
                <w:szCs w:val="16"/>
              </w:rPr>
              <w:t xml:space="preserve"> </w:t>
            </w:r>
            <w:r>
              <w:rPr>
                <w:rFonts w:cs="Arial"/>
                <w:sz w:val="16"/>
                <w:szCs w:val="16"/>
              </w:rPr>
              <w:t xml:space="preserve"> ≤ 0 </w:t>
            </w:r>
          </w:p>
        </w:tc>
      </w:tr>
      <w:tr w:rsidR="00FC57C8" w:rsidTr="00F43C9B">
        <w:tc>
          <w:tcPr>
            <w:tcW w:w="1377"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3688"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426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77"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3688" w:type="dxa"/>
            <w:tcBorders>
              <w:top w:val="nil"/>
              <w:left w:val="nil"/>
              <w:bottom w:val="nil"/>
              <w:right w:val="nil"/>
            </w:tcBorders>
          </w:tcPr>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lang w:val="en-US"/>
              </w:rPr>
            </w:pPr>
            <w:r w:rsidRPr="00FC57C8">
              <w:rPr>
                <w:rFonts w:cs="Arial"/>
                <w:i/>
                <w:iCs/>
                <w:sz w:val="16"/>
                <w:szCs w:val="16"/>
                <w:lang w:val="en-US"/>
              </w:rPr>
              <w:t>h</w:t>
            </w:r>
            <w:r w:rsidRPr="00FC57C8">
              <w:rPr>
                <w:rFonts w:cs="Arial"/>
                <w:sz w:val="16"/>
                <w:szCs w:val="16"/>
                <w:lang w:val="en-US"/>
              </w:rPr>
              <w:t xml:space="preserve"> = </w:t>
            </w:r>
            <w:r w:rsidRPr="00FC57C8">
              <w:rPr>
                <w:rFonts w:cs="Arial"/>
                <w:i/>
                <w:iCs/>
                <w:sz w:val="16"/>
                <w:szCs w:val="16"/>
                <w:lang w:val="en-US"/>
              </w:rPr>
              <w:t>h</w:t>
            </w:r>
            <w:r w:rsidRPr="00FC57C8">
              <w:rPr>
                <w:rFonts w:cs="Arial"/>
                <w:i/>
                <w:iCs/>
                <w:sz w:val="16"/>
                <w:szCs w:val="16"/>
                <w:vertAlign w:val="subscript"/>
                <w:lang w:val="en-US"/>
              </w:rPr>
              <w:t>b</w:t>
            </w:r>
            <w:r w:rsidRPr="00FC57C8">
              <w:rPr>
                <w:rFonts w:cs="Arial"/>
                <w:i/>
                <w:iCs/>
                <w:sz w:val="16"/>
                <w:szCs w:val="16"/>
                <w:lang w:val="en-US"/>
              </w:rPr>
              <w:t xml:space="preserve"> </w:t>
            </w:r>
            <w:r w:rsidRPr="00FC57C8">
              <w:rPr>
                <w:rFonts w:cs="Arial"/>
                <w:sz w:val="16"/>
                <w:szCs w:val="16"/>
                <w:lang w:val="en-US"/>
              </w:rPr>
              <w:t xml:space="preserve"> +(</w:t>
            </w:r>
            <w:r w:rsidRPr="00FC57C8">
              <w:rPr>
                <w:rFonts w:cs="Arial"/>
                <w:i/>
                <w:iCs/>
                <w:sz w:val="16"/>
                <w:szCs w:val="16"/>
                <w:lang w:val="en-US"/>
              </w:rPr>
              <w:t>r</w:t>
            </w:r>
            <w:r w:rsidRPr="00FC57C8">
              <w:rPr>
                <w:rFonts w:cs="Arial"/>
                <w:i/>
                <w:iCs/>
                <w:sz w:val="16"/>
                <w:szCs w:val="16"/>
                <w:vertAlign w:val="subscript"/>
                <w:lang w:val="en-US"/>
              </w:rPr>
              <w:t>i</w:t>
            </w:r>
            <w:r w:rsidRPr="00FC57C8">
              <w:rPr>
                <w:rFonts w:cs="Arial"/>
                <w:i/>
                <w:iCs/>
                <w:sz w:val="16"/>
                <w:szCs w:val="16"/>
                <w:lang w:val="en-US"/>
              </w:rPr>
              <w:t xml:space="preserve"> </w:t>
            </w:r>
            <w:r w:rsidRPr="00FC57C8">
              <w:rPr>
                <w:rFonts w:cs="Arial"/>
                <w:sz w:val="16"/>
                <w:szCs w:val="16"/>
                <w:lang w:val="en-US"/>
              </w:rPr>
              <w:t xml:space="preserve"> -</w:t>
            </w:r>
            <w:r w:rsidRPr="00FC57C8">
              <w:rPr>
                <w:rFonts w:cs="Arial"/>
                <w:i/>
                <w:iCs/>
                <w:sz w:val="16"/>
                <w:szCs w:val="16"/>
                <w:lang w:val="en-US"/>
              </w:rPr>
              <w:t>rbs</w:t>
            </w:r>
            <w:r w:rsidRPr="00FC57C8">
              <w:rPr>
                <w:rFonts w:cs="Arial"/>
                <w:sz w:val="16"/>
                <w:szCs w:val="16"/>
                <w:lang w:val="en-US"/>
              </w:rPr>
              <w:t>)</w:t>
            </w:r>
            <w:r w:rsidRPr="00FC57C8">
              <w:rPr>
                <w:rFonts w:cs="Arial"/>
                <w:i/>
                <w:iCs/>
                <w:sz w:val="16"/>
                <w:szCs w:val="16"/>
                <w:lang w:val="en-US"/>
              </w:rPr>
              <w:t>h</w:t>
            </w:r>
            <w:r w:rsidRPr="00FC57C8">
              <w:rPr>
                <w:rFonts w:cs="Arial"/>
                <w:i/>
                <w:iCs/>
                <w:sz w:val="16"/>
                <w:szCs w:val="16"/>
                <w:vertAlign w:val="subscript"/>
                <w:lang w:val="en-US"/>
              </w:rPr>
              <w:t>e</w:t>
            </w:r>
            <w:r w:rsidRPr="00FC57C8">
              <w:rPr>
                <w:rFonts w:cs="Arial"/>
                <w:i/>
                <w:iCs/>
                <w:sz w:val="16"/>
                <w:szCs w:val="16"/>
                <w:lang w:val="en-US"/>
              </w:rPr>
              <w:t xml:space="preserve"> </w:t>
            </w:r>
            <w:r w:rsidRPr="00FC57C8">
              <w:rPr>
                <w:rFonts w:cs="Arial"/>
                <w:sz w:val="16"/>
                <w:szCs w:val="16"/>
                <w:lang w:val="en-US"/>
              </w:rPr>
              <w:t>/</w:t>
            </w:r>
            <w:r w:rsidRPr="00FC57C8">
              <w:rPr>
                <w:rFonts w:cs="Arial"/>
                <w:i/>
                <w:iCs/>
                <w:sz w:val="16"/>
                <w:szCs w:val="16"/>
                <w:lang w:val="en-US"/>
              </w:rPr>
              <w:t>r</w:t>
            </w:r>
            <w:r w:rsidRPr="00FC57C8">
              <w:rPr>
                <w:rFonts w:cs="Arial"/>
                <w:i/>
                <w:iCs/>
                <w:sz w:val="16"/>
                <w:szCs w:val="16"/>
                <w:vertAlign w:val="subscript"/>
                <w:lang w:val="en-US"/>
              </w:rPr>
              <w:t>i</w:t>
            </w:r>
            <w:r w:rsidRPr="00FC57C8">
              <w:rPr>
                <w:rFonts w:cs="Arial"/>
                <w:i/>
                <w:iCs/>
                <w:sz w:val="16"/>
                <w:szCs w:val="16"/>
                <w:lang w:val="en-US"/>
              </w:rPr>
              <w:t xml:space="preserve"> </w:t>
            </w:r>
            <w:r w:rsidRPr="00FC57C8">
              <w:rPr>
                <w:rFonts w:cs="Arial"/>
                <w:sz w:val="16"/>
                <w:szCs w:val="16"/>
                <w:lang w:val="en-US"/>
              </w:rPr>
              <w:t xml:space="preserve"> </w:t>
            </w:r>
          </w:p>
        </w:tc>
        <w:tc>
          <w:tcPr>
            <w:tcW w:w="4265"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als </w:t>
            </w:r>
            <w:r>
              <w:rPr>
                <w:rFonts w:cs="Arial"/>
                <w:i/>
                <w:iCs/>
                <w:sz w:val="16"/>
                <w:szCs w:val="16"/>
              </w:rPr>
              <w:t>h</w:t>
            </w:r>
            <w:r>
              <w:rPr>
                <w:rFonts w:cs="Arial"/>
                <w:i/>
                <w:iCs/>
                <w:sz w:val="16"/>
                <w:szCs w:val="16"/>
                <w:vertAlign w:val="subscript"/>
              </w:rPr>
              <w:t>b</w:t>
            </w:r>
            <w:r>
              <w:rPr>
                <w:rFonts w:cs="Arial"/>
                <w:i/>
                <w:iCs/>
                <w:sz w:val="16"/>
                <w:szCs w:val="16"/>
              </w:rPr>
              <w:t xml:space="preserve"> </w:t>
            </w:r>
            <w:r>
              <w:rPr>
                <w:rFonts w:cs="Arial"/>
                <w:sz w:val="16"/>
                <w:szCs w:val="16"/>
              </w:rPr>
              <w:t xml:space="preserve"> &lt; 5 m en </w:t>
            </w:r>
            <w:r>
              <w:rPr>
                <w:rFonts w:cs="Arial"/>
                <w:i/>
                <w:iCs/>
                <w:sz w:val="16"/>
                <w:szCs w:val="16"/>
              </w:rPr>
              <w:t>h</w:t>
            </w:r>
            <w:r>
              <w:rPr>
                <w:rFonts w:cs="Arial"/>
                <w:i/>
                <w:iCs/>
                <w:sz w:val="16"/>
                <w:szCs w:val="16"/>
                <w:vertAlign w:val="subscript"/>
              </w:rPr>
              <w:t>e</w:t>
            </w:r>
            <w:r>
              <w:rPr>
                <w:rFonts w:cs="Arial"/>
                <w:i/>
                <w:iCs/>
                <w:sz w:val="16"/>
                <w:szCs w:val="16"/>
              </w:rPr>
              <w:t xml:space="preserve"> </w:t>
            </w:r>
            <w:r>
              <w:rPr>
                <w:rFonts w:cs="Arial"/>
                <w:sz w:val="16"/>
                <w:szCs w:val="16"/>
              </w:rPr>
              <w:t xml:space="preserve"> &gt; 0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i/>
          <w:iCs/>
          <w:szCs w:val="20"/>
        </w:rPr>
        <w:t xml:space="preserve"> De term D</w:t>
      </w:r>
      <w:r>
        <w:rPr>
          <w:rFonts w:cs="Arial"/>
          <w:i/>
          <w:iCs/>
          <w:szCs w:val="20"/>
          <w:vertAlign w:val="subscript"/>
        </w:rPr>
        <w:t>b,ont</w:t>
      </w:r>
      <w:r>
        <w:rPr>
          <w:rFonts w:cs="Arial"/>
          <w:i/>
          <w:iCs/>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De berekening van </w:t>
      </w:r>
      <w:r>
        <w:rPr>
          <w:rFonts w:cs="Arial"/>
          <w:i/>
          <w:iCs/>
          <w:szCs w:val="20"/>
        </w:rPr>
        <w:t>D</w:t>
      </w:r>
      <w:r>
        <w:rPr>
          <w:rFonts w:cs="Arial"/>
          <w:i/>
          <w:iCs/>
          <w:szCs w:val="20"/>
          <w:vertAlign w:val="subscript"/>
        </w:rPr>
        <w:t>b,ont</w:t>
      </w:r>
      <w:r>
        <w:rPr>
          <w:rFonts w:cs="Arial"/>
          <w:i/>
          <w:iCs/>
          <w:szCs w:val="20"/>
        </w:rPr>
        <w:t xml:space="preserve"> </w:t>
      </w:r>
      <w:r>
        <w:rPr>
          <w:rFonts w:cs="Arial"/>
          <w:szCs w:val="20"/>
        </w:rPr>
        <w:t xml:space="preserve"> is analoog aan </w:t>
      </w:r>
      <w:r>
        <w:rPr>
          <w:rFonts w:cs="Arial"/>
          <w:i/>
          <w:iCs/>
          <w:szCs w:val="20"/>
        </w:rPr>
        <w:t>D</w:t>
      </w:r>
      <w:r>
        <w:rPr>
          <w:rFonts w:cs="Arial"/>
          <w:i/>
          <w:iCs/>
          <w:szCs w:val="20"/>
          <w:vertAlign w:val="subscript"/>
        </w:rPr>
        <w:t>b,br</w:t>
      </w:r>
      <w:r>
        <w:rPr>
          <w:rFonts w:cs="Arial"/>
          <w:i/>
          <w:iCs/>
          <w:szCs w:val="20"/>
        </w:rPr>
        <w:t xml:space="preserve"> </w:t>
      </w:r>
      <w:r>
        <w:rPr>
          <w:rFonts w:cs="Arial"/>
          <w:szCs w:val="20"/>
        </w:rPr>
        <w:t>(zie tabel 3.6).</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term</w:t>
      </w:r>
      <w:r>
        <w:rPr>
          <w:rFonts w:cs="Arial"/>
          <w:i/>
          <w:iCs/>
          <w:szCs w:val="20"/>
        </w:rPr>
        <w:t>D</w:t>
      </w:r>
      <w:r>
        <w:rPr>
          <w:rFonts w:cs="Arial"/>
          <w:i/>
          <w:iCs/>
          <w:szCs w:val="20"/>
          <w:vertAlign w:val="subscript"/>
        </w:rPr>
        <w:t>b,mid</w:t>
      </w:r>
      <w:r>
        <w:rPr>
          <w:rFonts w:cs="Arial"/>
          <w:i/>
          <w:iCs/>
          <w:szCs w:val="20"/>
        </w:rPr>
        <w:t xml:space="preserve"> </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De verzwakking ten gevolge van het middengebied wordt bepaald uit de bodemfactor van het middengebied </w:t>
      </w:r>
      <w:r>
        <w:rPr>
          <w:rFonts w:cs="Arial"/>
          <w:i/>
          <w:iCs/>
          <w:szCs w:val="20"/>
        </w:rPr>
        <w:t>B</w:t>
      </w:r>
      <w:r>
        <w:rPr>
          <w:rFonts w:cs="Arial"/>
          <w:i/>
          <w:iCs/>
          <w:szCs w:val="20"/>
          <w:vertAlign w:val="subscript"/>
        </w:rPr>
        <w:t>m</w:t>
      </w:r>
      <w:r>
        <w:rPr>
          <w:rFonts w:cs="Arial"/>
          <w:i/>
          <w:iCs/>
          <w:szCs w:val="20"/>
        </w:rPr>
        <w:t xml:space="preserve"> </w:t>
      </w:r>
      <w:r>
        <w:rPr>
          <w:rFonts w:cs="Arial"/>
          <w:szCs w:val="20"/>
        </w:rPr>
        <w:t xml:space="preserve"> en de factor m (zie tabel 3.7).</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tabel 3.7 De bodemverzwakking in het middengebied</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4323"/>
        <w:gridCol w:w="5007"/>
      </w:tblGrid>
      <w:tr w:rsidR="00FC57C8" w:rsidTr="00F43C9B">
        <w:tc>
          <w:tcPr>
            <w:tcW w:w="432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Middenfrequentie octaafband [Hz] </w:t>
            </w:r>
          </w:p>
        </w:tc>
        <w:tc>
          <w:tcPr>
            <w:tcW w:w="500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i/>
                <w:iCs/>
                <w:sz w:val="16"/>
                <w:szCs w:val="16"/>
              </w:rPr>
              <w:t>D</w:t>
            </w:r>
            <w:r>
              <w:rPr>
                <w:rFonts w:cs="Arial"/>
                <w:b/>
                <w:bCs/>
                <w:i/>
                <w:iCs/>
                <w:sz w:val="16"/>
                <w:szCs w:val="16"/>
                <w:vertAlign w:val="subscript"/>
              </w:rPr>
              <w:t>b,mid</w:t>
            </w:r>
            <w:r>
              <w:rPr>
                <w:rFonts w:cs="Arial"/>
                <w:b/>
                <w:bCs/>
                <w:i/>
                <w:iCs/>
                <w:sz w:val="16"/>
                <w:szCs w:val="16"/>
              </w:rPr>
              <w:t xml:space="preserve"> </w:t>
            </w:r>
            <w:r>
              <w:rPr>
                <w:rFonts w:cs="Arial"/>
                <w:sz w:val="16"/>
                <w:szCs w:val="16"/>
              </w:rPr>
              <w:t xml:space="preserve"> [dB] </w:t>
            </w:r>
          </w:p>
        </w:tc>
      </w:tr>
      <w:tr w:rsidR="00FC57C8" w:rsidTr="00F43C9B">
        <w:tc>
          <w:tcPr>
            <w:tcW w:w="432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31,5 en 63 </w:t>
            </w:r>
          </w:p>
        </w:tc>
        <w:tc>
          <w:tcPr>
            <w:tcW w:w="500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r>
              <w:rPr>
                <w:rFonts w:cs="Arial"/>
                <w:i/>
                <w:iCs/>
                <w:sz w:val="16"/>
                <w:szCs w:val="16"/>
              </w:rPr>
              <w:t>m</w:t>
            </w:r>
            <w:r>
              <w:rPr>
                <w:rFonts w:cs="Arial"/>
                <w:sz w:val="16"/>
                <w:szCs w:val="16"/>
              </w:rPr>
              <w:t xml:space="preserve"> </w:t>
            </w:r>
          </w:p>
        </w:tc>
      </w:tr>
      <w:tr w:rsidR="00FC57C8" w:rsidTr="00F43C9B">
        <w:tc>
          <w:tcPr>
            <w:tcW w:w="432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125 en hoger </w:t>
            </w:r>
          </w:p>
        </w:tc>
        <w:tc>
          <w:tcPr>
            <w:tcW w:w="500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r>
              <w:rPr>
                <w:rFonts w:cs="Arial"/>
                <w:i/>
                <w:iCs/>
                <w:sz w:val="16"/>
                <w:szCs w:val="16"/>
              </w:rPr>
              <w:t>m</w:t>
            </w:r>
            <w:r>
              <w:rPr>
                <w:rFonts w:cs="Arial"/>
                <w:sz w:val="16"/>
                <w:szCs w:val="16"/>
              </w:rPr>
              <w:t xml:space="preserve"> (</w:t>
            </w:r>
            <w:r>
              <w:rPr>
                <w:rFonts w:cs="Arial"/>
                <w:i/>
                <w:iCs/>
                <w:sz w:val="16"/>
                <w:szCs w:val="16"/>
              </w:rPr>
              <w:t>Bm</w:t>
            </w:r>
            <w:r>
              <w:rPr>
                <w:rFonts w:cs="Arial"/>
                <w:sz w:val="16"/>
                <w:szCs w:val="16"/>
              </w:rPr>
              <w:t xml:space="preserve"> – 1) </w:t>
            </w:r>
          </w:p>
        </w:tc>
      </w:tr>
      <w:tr w:rsidR="00FC57C8" w:rsidTr="00F43C9B">
        <w:tc>
          <w:tcPr>
            <w:tcW w:w="9330" w:type="dxa"/>
            <w:gridSpan w:val="2"/>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met: </w:t>
            </w:r>
            <w:r>
              <w:rPr>
                <w:rFonts w:cs="Arial"/>
                <w:i/>
                <w:iCs/>
                <w:sz w:val="16"/>
                <w:szCs w:val="16"/>
              </w:rPr>
              <w:t>m</w:t>
            </w:r>
            <w:r>
              <w:rPr>
                <w:rFonts w:cs="Arial"/>
                <w:sz w:val="16"/>
                <w:szCs w:val="16"/>
              </w:rPr>
              <w:t xml:space="preserve"> = 0 als </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 ≤ 30 (</w:t>
            </w:r>
            <w:r>
              <w:rPr>
                <w:rFonts w:cs="Arial"/>
                <w:i/>
                <w:iCs/>
                <w:sz w:val="16"/>
                <w:szCs w:val="16"/>
              </w:rPr>
              <w:t>h</w:t>
            </w:r>
            <w:r>
              <w:rPr>
                <w:rFonts w:cs="Arial"/>
                <w:i/>
                <w:iCs/>
                <w:sz w:val="16"/>
                <w:szCs w:val="16"/>
                <w:vertAlign w:val="subscript"/>
              </w:rPr>
              <w:t>b</w:t>
            </w:r>
            <w:r>
              <w:rPr>
                <w:rFonts w:cs="Arial"/>
                <w:i/>
                <w:iCs/>
                <w:sz w:val="16"/>
                <w:szCs w:val="16"/>
              </w:rPr>
              <w:t>+ h</w:t>
            </w:r>
            <w:r>
              <w:rPr>
                <w:rFonts w:cs="Arial"/>
                <w:i/>
                <w:iCs/>
                <w:sz w:val="16"/>
                <w:szCs w:val="16"/>
                <w:vertAlign w:val="subscript"/>
              </w:rPr>
              <w:t>o</w:t>
            </w:r>
            <w:r>
              <w:rPr>
                <w:rFonts w:cs="Arial"/>
                <w:i/>
                <w:iCs/>
                <w:sz w:val="16"/>
                <w:szCs w:val="16"/>
              </w:rPr>
              <w:t xml:space="preserve"> </w:t>
            </w:r>
            <w:r>
              <w:rPr>
                <w:rFonts w:cs="Arial"/>
                <w:sz w:val="16"/>
                <w:szCs w:val="16"/>
              </w:rPr>
              <w:t xml:space="preserve">) </w:t>
            </w:r>
          </w:p>
        </w:tc>
      </w:tr>
      <w:tr w:rsidR="00FC57C8" w:rsidTr="00F43C9B">
        <w:tc>
          <w:tcPr>
            <w:tcW w:w="9330" w:type="dxa"/>
            <w:gridSpan w:val="2"/>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m</w:t>
            </w:r>
            <w:r>
              <w:rPr>
                <w:rFonts w:cs="Arial"/>
                <w:sz w:val="16"/>
                <w:szCs w:val="16"/>
              </w:rPr>
              <w:t xml:space="preserve"> = 1 – 30 (</w:t>
            </w:r>
            <w:r>
              <w:rPr>
                <w:rFonts w:cs="Arial"/>
                <w:i/>
                <w:iCs/>
                <w:sz w:val="16"/>
                <w:szCs w:val="16"/>
              </w:rPr>
              <w:t>h</w:t>
            </w:r>
            <w:r>
              <w:rPr>
                <w:rFonts w:cs="Arial"/>
                <w:i/>
                <w:iCs/>
                <w:sz w:val="16"/>
                <w:szCs w:val="16"/>
                <w:vertAlign w:val="subscript"/>
              </w:rPr>
              <w:t>b</w:t>
            </w:r>
            <w:r>
              <w:rPr>
                <w:rFonts w:cs="Arial"/>
                <w:i/>
                <w:iCs/>
                <w:sz w:val="16"/>
                <w:szCs w:val="16"/>
              </w:rPr>
              <w:t xml:space="preserve"> + h</w:t>
            </w:r>
            <w:r>
              <w:rPr>
                <w:rFonts w:cs="Arial"/>
                <w:i/>
                <w:iCs/>
                <w:sz w:val="16"/>
                <w:szCs w:val="16"/>
                <w:vertAlign w:val="subscript"/>
              </w:rPr>
              <w:t>o</w:t>
            </w:r>
            <w:r>
              <w:rPr>
                <w:rFonts w:cs="Arial"/>
                <w:i/>
                <w:iCs/>
                <w:sz w:val="16"/>
                <w:szCs w:val="16"/>
              </w:rPr>
              <w:t xml:space="preserve"> </w:t>
            </w:r>
            <w:r>
              <w:rPr>
                <w:rFonts w:cs="Arial"/>
                <w:sz w:val="16"/>
                <w:szCs w:val="16"/>
              </w:rPr>
              <w:t>)/</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 als </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 &gt; 30 (</w:t>
            </w:r>
            <w:r>
              <w:rPr>
                <w:rFonts w:cs="Arial"/>
                <w:i/>
                <w:iCs/>
                <w:sz w:val="16"/>
                <w:szCs w:val="16"/>
              </w:rPr>
              <w:t>h</w:t>
            </w:r>
            <w:r>
              <w:rPr>
                <w:rFonts w:cs="Arial"/>
                <w:i/>
                <w:iCs/>
                <w:sz w:val="16"/>
                <w:szCs w:val="16"/>
                <w:vertAlign w:val="subscript"/>
              </w:rPr>
              <w:t>b</w:t>
            </w:r>
            <w:r>
              <w:rPr>
                <w:rFonts w:cs="Arial"/>
                <w:i/>
                <w:iCs/>
                <w:sz w:val="16"/>
                <w:szCs w:val="16"/>
              </w:rPr>
              <w:t xml:space="preserve"> + h</w:t>
            </w:r>
            <w:r>
              <w:rPr>
                <w:rFonts w:cs="Arial"/>
                <w:i/>
                <w:iCs/>
                <w:sz w:val="16"/>
                <w:szCs w:val="16"/>
                <w:vertAlign w:val="subscript"/>
              </w:rPr>
              <w:t>o</w:t>
            </w:r>
            <w:r>
              <w:rPr>
                <w:rFonts w:cs="Arial"/>
                <w:i/>
                <w:iCs/>
                <w:sz w:val="16"/>
                <w:szCs w:val="16"/>
              </w:rPr>
              <w:t xml:space="preserve"> </w:t>
            </w:r>
            <w:r>
              <w:rPr>
                <w:rFonts w:cs="Arial"/>
                <w:sz w:val="16"/>
                <w:szCs w:val="16"/>
              </w:rPr>
              <w:t xml:space="preserv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 xml:space="preserve">3.12. Dempingsterm voor woongebieden </w:t>
      </w:r>
      <w:r>
        <w:rPr>
          <w:rFonts w:cs="Arial"/>
          <w:b/>
          <w:bCs/>
          <w:i/>
          <w:iCs/>
          <w:szCs w:val="20"/>
        </w:rPr>
        <w:t>D</w:t>
      </w:r>
      <w:r>
        <w:rPr>
          <w:rFonts w:cs="Arial"/>
          <w:b/>
          <w:bCs/>
          <w:i/>
          <w:iCs/>
          <w:szCs w:val="20"/>
          <w:vertAlign w:val="subscript"/>
        </w:rPr>
        <w:t>huis</w:t>
      </w:r>
      <w:r>
        <w:rPr>
          <w:rFonts w:cs="Arial"/>
          <w:b/>
          <w:bCs/>
          <w:i/>
          <w:iCs/>
          <w:szCs w:val="20"/>
        </w:rPr>
        <w:t xml:space="preserve"> </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Voor het bepalen van een gemiddelde dempingsterm voor woongebieden kan gebruik worden gemaakt van de ICG rapporten GF-HR-01-03 (1989) en GF-HR-01-05 (1989).. Met die methode kan voor een specifieke stedenbouwkundige situatie de term </w:t>
      </w:r>
      <w:r>
        <w:rPr>
          <w:rFonts w:cs="Arial"/>
          <w:i/>
          <w:iCs/>
          <w:szCs w:val="20"/>
        </w:rPr>
        <w:t>D</w:t>
      </w:r>
      <w:r>
        <w:rPr>
          <w:rFonts w:cs="Arial"/>
          <w:i/>
          <w:iCs/>
          <w:szCs w:val="20"/>
          <w:vertAlign w:val="subscript"/>
        </w:rPr>
        <w:t>huis</w:t>
      </w:r>
      <w:r>
        <w:rPr>
          <w:rFonts w:cs="Arial"/>
          <w:i/>
          <w:iCs/>
          <w:szCs w:val="20"/>
        </w:rPr>
        <w:t xml:space="preserve"> </w:t>
      </w:r>
      <w:r>
        <w:rPr>
          <w:rFonts w:cs="Arial"/>
          <w:szCs w:val="20"/>
        </w:rPr>
        <w:t xml:space="preserve"> worden berekend, zijnde een gemiddelde waarde voor het betreffende gebied.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 xml:space="preserve">3.13. De meteocorrectieterm </w:t>
      </w:r>
      <w:r>
        <w:rPr>
          <w:rFonts w:cs="Arial"/>
          <w:b/>
          <w:bCs/>
          <w:i/>
          <w:iCs/>
          <w:szCs w:val="20"/>
        </w:rPr>
        <w:t>C</w:t>
      </w:r>
      <w:r>
        <w:rPr>
          <w:rFonts w:cs="Arial"/>
          <w:b/>
          <w:bCs/>
          <w:i/>
          <w:iCs/>
          <w:szCs w:val="20"/>
          <w:vertAlign w:val="subscript"/>
        </w:rPr>
        <w:t>meteo</w:t>
      </w:r>
      <w:r>
        <w:rPr>
          <w:rFonts w:cs="Arial"/>
          <w:b/>
          <w:bCs/>
          <w:i/>
          <w:iCs/>
          <w:szCs w:val="20"/>
        </w:rPr>
        <w:t xml:space="preserve"> </w:t>
      </w:r>
      <w:r>
        <w:rPr>
          <w:rFonts w:cs="Arial"/>
          <w:b/>
          <w:bCs/>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meteocorrectie voor windturbines wordt als volgt vastgesteld: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3.27)</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662AE680" wp14:editId="16D9B43D">
            <wp:extent cx="1628775" cy="1905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8775" cy="190500"/>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38E445AD" wp14:editId="2851DC8F">
            <wp:extent cx="3543300" cy="3429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3300" cy="342900"/>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met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720"/>
        <w:gridCol w:w="8610"/>
      </w:tblGrid>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β</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hoek tussen het noorden en de verbindingslijn tussen bron en ontvanger (in graden)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i/>
                <w:iCs/>
                <w:sz w:val="16"/>
                <w:szCs w:val="16"/>
                <w:vertAlign w:val="subscript"/>
              </w:rPr>
              <w:t>b</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bronhoogte met </w:t>
            </w:r>
            <w:r>
              <w:rPr>
                <w:rFonts w:cs="Arial"/>
                <w:i/>
                <w:iCs/>
                <w:sz w:val="16"/>
                <w:szCs w:val="16"/>
              </w:rPr>
              <w:t>h</w:t>
            </w:r>
            <w:r>
              <w:rPr>
                <w:rFonts w:cs="Arial"/>
                <w:i/>
                <w:iCs/>
                <w:sz w:val="16"/>
                <w:szCs w:val="16"/>
                <w:vertAlign w:val="subscript"/>
              </w:rPr>
              <w:t>b</w:t>
            </w:r>
            <w:r>
              <w:rPr>
                <w:rFonts w:cs="Arial"/>
                <w:i/>
                <w:iCs/>
                <w:sz w:val="16"/>
                <w:szCs w:val="16"/>
              </w:rPr>
              <w:t xml:space="preserve"> </w:t>
            </w:r>
            <w:r>
              <w:rPr>
                <w:rFonts w:cs="Arial"/>
                <w:sz w:val="16"/>
                <w:szCs w:val="16"/>
              </w:rPr>
              <w:t xml:space="preserve">= </w:t>
            </w:r>
            <w:r>
              <w:rPr>
                <w:rFonts w:cs="Arial"/>
                <w:i/>
                <w:iCs/>
                <w:sz w:val="16"/>
                <w:szCs w:val="16"/>
              </w:rPr>
              <w:t>H</w:t>
            </w:r>
            <w:r>
              <w:rPr>
                <w:rFonts w:cs="Arial"/>
                <w:sz w:val="16"/>
                <w:szCs w:val="16"/>
              </w:rPr>
              <w:t xml:space="preserve">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i/>
                <w:iCs/>
                <w:sz w:val="16"/>
                <w:szCs w:val="16"/>
                <w:vertAlign w:val="subscript"/>
              </w:rPr>
              <w:t>o</w:t>
            </w:r>
            <w:r>
              <w:rPr>
                <w:rFonts w:cs="Arial"/>
                <w:i/>
                <w:iCs/>
                <w:sz w:val="16"/>
                <w:szCs w:val="16"/>
              </w:rPr>
              <w:t xml:space="preserve"> </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ontvangerhoogte </w:t>
            </w:r>
          </w:p>
        </w:tc>
      </w:tr>
      <w:tr w:rsidR="00FC57C8" w:rsidTr="00F43C9B">
        <w:tc>
          <w:tcPr>
            <w:tcW w:w="72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sz w:val="16"/>
                <w:szCs w:val="16"/>
              </w:rPr>
              <w:t xml:space="preserve"> </w:t>
            </w:r>
          </w:p>
        </w:tc>
        <w:tc>
          <w:tcPr>
            <w:tcW w:w="8610" w:type="dxa"/>
            <w:tcBorders>
              <w:top w:val="nil"/>
              <w:left w:val="nil"/>
              <w:bottom w:val="nil"/>
              <w:right w:val="nil"/>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horizontale afstand tussen bron en ontvanger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4. Cumulatie met andere bronnen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Deze rekenmethode wordt toegepast als er sprake is van blootstelling aan meer dan één geluidsbron. Onderstaande is grotendeels overgenomen van het vergelijkbare voorschrift (Rekenvoorschrift wet geluidhinder), met de toevoeging van de omrekeningsformule voor windturbines, en enige aanpassing ten gevolge van de toepassing buiten Wgh kader (zoals bv. MER of WRO).</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methode berekent de gecumuleerde geluidsbelasting rekening houdend met de verschillen in dosis-effectrelaties van de verschillende geluidsbronnen. Ten behoeve van deze rekenmethode dient de geluidsbelasting bekend te zijn van ieder van de bronnen, berekend volgens het voorschrift dat voor die bronsoort geldt. De verschillende geluidsbronnen worden hieronder aangeduid als L</w:t>
      </w:r>
      <w:r>
        <w:rPr>
          <w:rFonts w:cs="Arial"/>
          <w:szCs w:val="20"/>
          <w:vertAlign w:val="subscript"/>
        </w:rPr>
        <w:t>RL</w:t>
      </w:r>
      <w:r>
        <w:rPr>
          <w:rFonts w:cs="Arial"/>
          <w:szCs w:val="20"/>
        </w:rPr>
        <w:t>, L</w:t>
      </w:r>
      <w:r>
        <w:rPr>
          <w:rFonts w:cs="Arial"/>
          <w:szCs w:val="20"/>
          <w:vertAlign w:val="subscript"/>
        </w:rPr>
        <w:t>LL</w:t>
      </w:r>
      <w:r>
        <w:rPr>
          <w:rFonts w:cs="Arial"/>
          <w:szCs w:val="20"/>
        </w:rPr>
        <w:t>, L</w:t>
      </w:r>
      <w:r>
        <w:rPr>
          <w:rFonts w:cs="Arial"/>
          <w:szCs w:val="20"/>
          <w:vertAlign w:val="subscript"/>
        </w:rPr>
        <w:t>WT</w:t>
      </w:r>
      <w:r>
        <w:rPr>
          <w:rFonts w:cs="Arial"/>
          <w:szCs w:val="20"/>
        </w:rPr>
        <w:t>, L</w:t>
      </w:r>
      <w:r>
        <w:rPr>
          <w:rFonts w:cs="Arial"/>
          <w:szCs w:val="20"/>
          <w:vertAlign w:val="subscript"/>
        </w:rPr>
        <w:t>IL</w:t>
      </w:r>
      <w:r>
        <w:rPr>
          <w:rFonts w:cs="Arial"/>
          <w:szCs w:val="20"/>
        </w:rPr>
        <w:t>, L</w:t>
      </w:r>
      <w:r>
        <w:rPr>
          <w:rFonts w:cs="Arial"/>
          <w:szCs w:val="20"/>
          <w:vertAlign w:val="subscript"/>
        </w:rPr>
        <w:t>VL</w:t>
      </w:r>
      <w:r>
        <w:rPr>
          <w:rFonts w:cs="Arial"/>
          <w:szCs w:val="20"/>
        </w:rPr>
        <w:t xml:space="preserve"> waarbij de indices respectievelijk staan voor spoorwegverkeer, luchtvaart, windturbine, industrie en (weg)verkeer. De ingevolge artikel 110g van de wet bij wegverkeerslawaai toe te passen aftrek wordt bij deze rekenmethode niet toegepast. Al deze grootheden moeten zijn uitgedrukt in L</w:t>
      </w:r>
      <w:r>
        <w:rPr>
          <w:rFonts w:cs="Arial"/>
          <w:szCs w:val="20"/>
          <w:vertAlign w:val="subscript"/>
        </w:rPr>
        <w:t>den</w:t>
      </w:r>
      <w:r>
        <w:rPr>
          <w:rFonts w:cs="Arial"/>
          <w:szCs w:val="20"/>
        </w:rPr>
        <w:t>, met uitzondering van industrielawaai waarbij de geluidsbelasting volgens de geldende wettelijke definitie wordt bepaald.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L*</w:t>
      </w:r>
      <w:r>
        <w:rPr>
          <w:rFonts w:cs="Arial"/>
          <w:szCs w:val="20"/>
          <w:vertAlign w:val="subscript"/>
        </w:rPr>
        <w:t>RL</w:t>
      </w:r>
      <w:r>
        <w:rPr>
          <w:rFonts w:cs="Arial"/>
          <w:szCs w:val="20"/>
        </w:rPr>
        <w:t xml:space="preserve"> is de geluidsbelasting vanwege wegverkeer die evenveel hinder veroorzaakt als een geluidsbelasting L</w:t>
      </w:r>
      <w:r>
        <w:rPr>
          <w:rFonts w:cs="Arial"/>
          <w:szCs w:val="20"/>
          <w:vertAlign w:val="subscript"/>
        </w:rPr>
        <w:t>RL</w:t>
      </w:r>
      <w:r>
        <w:rPr>
          <w:rFonts w:cs="Arial"/>
          <w:szCs w:val="20"/>
        </w:rPr>
        <w:t xml:space="preserve"> vanwege spoorwegverkeer. L*</w:t>
      </w:r>
      <w:r>
        <w:rPr>
          <w:rFonts w:cs="Arial"/>
          <w:szCs w:val="20"/>
          <w:vertAlign w:val="subscript"/>
        </w:rPr>
        <w:t>RL</w:t>
      </w:r>
      <w:r>
        <w:rPr>
          <w:rFonts w:cs="Arial"/>
          <w:szCs w:val="20"/>
        </w:rPr>
        <w:t xml:space="preserve"> wordt als volgt berekend: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L*</w:t>
      </w:r>
      <w:r>
        <w:rPr>
          <w:rFonts w:cs="Arial"/>
          <w:szCs w:val="20"/>
          <w:vertAlign w:val="subscript"/>
        </w:rPr>
        <w:t>RL</w:t>
      </w:r>
      <w:r>
        <w:rPr>
          <w:rFonts w:cs="Arial"/>
          <w:szCs w:val="20"/>
        </w:rPr>
        <w:t>= 0,95 L</w:t>
      </w:r>
      <w:r>
        <w:rPr>
          <w:rFonts w:cs="Arial"/>
          <w:szCs w:val="20"/>
          <w:vertAlign w:val="subscript"/>
        </w:rPr>
        <w:t>RL –</w:t>
      </w:r>
      <w:r>
        <w:rPr>
          <w:rFonts w:cs="Arial"/>
          <w:szCs w:val="20"/>
        </w:rPr>
        <w:t>1,40</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Bovenstaande geldt mutatis mutandis voor de bronnen luchtvaart (index LL), industrie (index IL) windturbines (index WT) en wegverkeer (index VL). De rekenregels hiervoor zijn: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L*</w:t>
      </w:r>
      <w:r>
        <w:rPr>
          <w:rFonts w:cs="Arial"/>
          <w:szCs w:val="20"/>
          <w:vertAlign w:val="subscript"/>
        </w:rPr>
        <w:t>LL</w:t>
      </w:r>
      <w:r>
        <w:rPr>
          <w:rFonts w:cs="Arial"/>
          <w:szCs w:val="20"/>
        </w:rPr>
        <w:t xml:space="preserve"> = 0,98 L</w:t>
      </w:r>
      <w:r>
        <w:rPr>
          <w:rFonts w:cs="Arial"/>
          <w:szCs w:val="20"/>
          <w:vertAlign w:val="subscript"/>
        </w:rPr>
        <w:t>LL</w:t>
      </w:r>
      <w:r>
        <w:rPr>
          <w:rFonts w:cs="Arial"/>
          <w:szCs w:val="20"/>
        </w:rPr>
        <w:t xml:space="preserve"> + 7,03</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L*</w:t>
      </w:r>
      <w:r>
        <w:rPr>
          <w:rFonts w:cs="Arial"/>
          <w:szCs w:val="20"/>
          <w:vertAlign w:val="subscript"/>
        </w:rPr>
        <w:t>IL</w:t>
      </w:r>
      <w:r>
        <w:rPr>
          <w:rFonts w:cs="Arial"/>
          <w:szCs w:val="20"/>
        </w:rPr>
        <w:t xml:space="preserve"> = 1,00 L</w:t>
      </w:r>
      <w:r>
        <w:rPr>
          <w:rFonts w:cs="Arial"/>
          <w:szCs w:val="20"/>
          <w:vertAlign w:val="subscript"/>
        </w:rPr>
        <w:t>IL</w:t>
      </w:r>
      <w:r>
        <w:rPr>
          <w:rFonts w:cs="Arial"/>
          <w:szCs w:val="20"/>
        </w:rPr>
        <w:t xml:space="preserve"> + 1,00</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L*</w:t>
      </w:r>
      <w:r>
        <w:rPr>
          <w:rFonts w:cs="Arial"/>
          <w:szCs w:val="20"/>
          <w:vertAlign w:val="subscript"/>
        </w:rPr>
        <w:t>VL</w:t>
      </w:r>
      <w:r>
        <w:rPr>
          <w:rFonts w:cs="Arial"/>
          <w:szCs w:val="20"/>
        </w:rPr>
        <w:t xml:space="preserve"> = 1,00 L</w:t>
      </w:r>
      <w:r>
        <w:rPr>
          <w:rFonts w:cs="Arial"/>
          <w:szCs w:val="20"/>
          <w:vertAlign w:val="subscript"/>
        </w:rPr>
        <w:t>VL</w:t>
      </w:r>
      <w:r>
        <w:rPr>
          <w:rFonts w:cs="Arial"/>
          <w:szCs w:val="20"/>
        </w:rPr>
        <w:t xml:space="preserve"> + 0,00</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L*</w:t>
      </w:r>
      <w:r>
        <w:rPr>
          <w:rFonts w:cs="Arial"/>
          <w:szCs w:val="20"/>
          <w:vertAlign w:val="subscript"/>
        </w:rPr>
        <w:t>WT</w:t>
      </w:r>
      <w:r>
        <w:rPr>
          <w:rFonts w:cs="Arial"/>
          <w:szCs w:val="20"/>
        </w:rPr>
        <w:t>= 1,65 Lwt -20,05</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Als alle betrokken bronnen op deze wijze zijn omgerekend in L*-waarden, dan kan de gecumuleerde waarde worden berekend door middel van de zogenoemde energetische sommatie. De rekenregel hiervoor is: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67872433" wp14:editId="4684B8F4">
            <wp:extent cx="1562100" cy="4191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waarbij gesommeerd wordt over alle N betrokken bronnen en de index n kan staan voor RL, LL, IL, WT en VL.</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5. Definities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5.1. Symbolen</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405"/>
        <w:gridCol w:w="1081"/>
        <w:gridCol w:w="6844"/>
      </w:tblGrid>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symbool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eenheid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omschrijving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∆L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correctiefactor voor de richtwerking van windturbines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a</w:t>
            </w:r>
            <w:r>
              <w:rPr>
                <w:rFonts w:cs="Arial"/>
                <w:i/>
                <w:iCs/>
                <w:sz w:val="16"/>
                <w:szCs w:val="16"/>
                <w:vertAlign w:val="subscript"/>
              </w:rPr>
              <w:t>lu</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luchtabsorptiecoëfficiënt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B</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bodemfacor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B</w:t>
            </w:r>
            <w:r>
              <w:rPr>
                <w:rFonts w:cs="Arial"/>
                <w:i/>
                <w:iCs/>
                <w:sz w:val="16"/>
                <w:szCs w:val="16"/>
                <w:vertAlign w:val="subscript"/>
              </w:rPr>
              <w:t>b</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bodemfactor van het brongebied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B</w:t>
            </w:r>
            <w:r>
              <w:rPr>
                <w:rFonts w:cs="Arial"/>
                <w:i/>
                <w:iCs/>
                <w:sz w:val="16"/>
                <w:szCs w:val="16"/>
                <w:vertAlign w:val="subscript"/>
              </w:rPr>
              <w:t>m</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bodemfactor van het middengebied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B</w:t>
            </w:r>
            <w:r>
              <w:rPr>
                <w:rFonts w:cs="Arial"/>
                <w:i/>
                <w:iCs/>
                <w:sz w:val="16"/>
                <w:szCs w:val="16"/>
                <w:vertAlign w:val="subscript"/>
              </w:rPr>
              <w:t>o</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bodemfactor van het ontvangergebied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C</w:t>
            </w:r>
            <w:r>
              <w:rPr>
                <w:rFonts w:cs="Arial"/>
                <w:i/>
                <w:iCs/>
                <w:sz w:val="16"/>
                <w:szCs w:val="16"/>
                <w:vertAlign w:val="subscript"/>
              </w:rPr>
              <w:t>meteo</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meteocorrectieterm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rotordiameter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diameter cilinder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b,br</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bodemverzwakking in het brongebied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b,mid</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bodemverzwakking in het middengebied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b,ont</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bodemverzwakking in het ontvangergebied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bodem</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demping ten gevolge van de bodem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geo</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van het geluidsniveau door geometrische uitbreiding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lucht</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van het geluidsniveau door absorptie in lucht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max</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maximale type-afhankelijke dempingswaarden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refl</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door reflectie tegen obstakels (deze term is negatief)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scherm</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ten gevolge van afscherming door obstakels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terrein</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door demping t.g.v. installaties op het industrieterrein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D</w:t>
            </w:r>
            <w:r>
              <w:rPr>
                <w:rFonts w:cs="Arial"/>
                <w:i/>
                <w:iCs/>
                <w:sz w:val="16"/>
                <w:szCs w:val="16"/>
                <w:vertAlign w:val="subscript"/>
              </w:rPr>
              <w:t>veg</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afname vanwege geluidsverstrooiing aan en absorptie door vegetatie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f</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Hz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frequentie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verticale afstand tussen het maaiveld en het middelpunt van de rotor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i/>
                <w:iCs/>
                <w:sz w:val="16"/>
                <w:szCs w:val="16"/>
                <w:vertAlign w:val="subscript"/>
              </w:rPr>
              <w:t>b</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bronhoogte = H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i/>
                <w:iCs/>
                <w:sz w:val="16"/>
                <w:szCs w:val="16"/>
                <w:vertAlign w:val="subscript"/>
              </w:rPr>
              <w:t>e</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effectieve schermhoogte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i/>
                <w:iCs/>
                <w:sz w:val="16"/>
                <w:szCs w:val="16"/>
                <w:vertAlign w:val="subscript"/>
              </w:rPr>
              <w:t>m</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hoogte van meetpunt ten opzichte van plaatselijk maaiveld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i/>
                <w:iCs/>
                <w:sz w:val="16"/>
                <w:szCs w:val="16"/>
                <w:vertAlign w:val="subscript"/>
              </w:rPr>
              <w:t>ma</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hoogte maaiveld ten opzichte van referentievlak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i/>
                <w:iCs/>
                <w:sz w:val="16"/>
                <w:szCs w:val="16"/>
                <w:vertAlign w:val="subscript"/>
              </w:rPr>
              <w:t>o</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beoordelingshoogte ten opzichte van plaatselijk maaiveld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h</w:t>
            </w:r>
            <w:r>
              <w:rPr>
                <w:rFonts w:cs="Arial"/>
                <w:i/>
                <w:iCs/>
                <w:sz w:val="16"/>
                <w:szCs w:val="16"/>
                <w:vertAlign w:val="subscript"/>
              </w:rPr>
              <w:t>sr</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hoogte van het scherm ten opzichte van referentievlak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i</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1,2...9 (31,5, 63...8000 Hz)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j</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integer windsnelheden op ashoogte, gelegen tussen v</w:t>
            </w:r>
            <w:r>
              <w:rPr>
                <w:rFonts w:cs="Arial"/>
                <w:sz w:val="16"/>
                <w:szCs w:val="16"/>
                <w:vertAlign w:val="subscript"/>
              </w:rPr>
              <w:t>ci</w:t>
            </w:r>
            <w:r>
              <w:rPr>
                <w:rFonts w:cs="Arial"/>
                <w:sz w:val="16"/>
                <w:szCs w:val="16"/>
              </w:rPr>
              <w:t xml:space="preserve"> en v</w:t>
            </w:r>
            <w:r>
              <w:rPr>
                <w:rFonts w:cs="Arial"/>
                <w:sz w:val="16"/>
                <w:szCs w:val="16"/>
                <w:vertAlign w:val="subscript"/>
              </w:rPr>
              <w:t>co</w:t>
            </w:r>
            <w:r>
              <w:rPr>
                <w:rFonts w:cs="Arial"/>
                <w:sz w:val="16"/>
                <w:szCs w:val="16"/>
              </w:rPr>
              <w:t xml:space="preserv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Aeq,k</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dB(A)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gemeten equivalente geluidsniveau op meetpunt met index k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eq</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dB(A)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geluidsniveau ten gevolge van de turbine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 xml:space="preserve">L </w:t>
            </w:r>
            <w:r>
              <w:rPr>
                <w:rFonts w:cs="Arial"/>
                <w:i/>
                <w:iCs/>
                <w:sz w:val="16"/>
                <w:szCs w:val="16"/>
                <w:vertAlign w:val="subscript"/>
              </w:rPr>
              <w:t>CUM</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dB(A)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gecumuleerd hinderequivalent geluidsniveau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eq</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dB(A)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geluidsniveau ten gevolge van de windturbine inclusief stoorgeluid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stoor</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dB(A)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stoorgeluid bij uitgeschakelde turbine (achtergrondgeluid)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E</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dB(A)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jaargemiddeld geluidsvermogen in octaafband </w:t>
            </w:r>
            <w:r>
              <w:rPr>
                <w:rFonts w:cs="Arial"/>
                <w:i/>
                <w:iCs/>
                <w:sz w:val="16"/>
                <w:szCs w:val="16"/>
              </w:rPr>
              <w:t>i</w:t>
            </w:r>
            <w:r>
              <w:rPr>
                <w:rFonts w:cs="Arial"/>
                <w:sz w:val="16"/>
                <w:szCs w:val="16"/>
              </w:rPr>
              <w:t xml:space="preserve"> per beoordelingsperiode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W,i,j</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dB(A)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bronsterkte per octaafband i en per windsnelheidsklasse j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L*</w:t>
            </w:r>
            <w:r>
              <w:rPr>
                <w:rFonts w:cs="Arial"/>
                <w:i/>
                <w:iCs/>
                <w:sz w:val="16"/>
                <w:szCs w:val="16"/>
                <w:vertAlign w:val="subscript"/>
              </w:rPr>
              <w:t>xx</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dB(A)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Hinderequivalente geluidsbelasting, xx=LL (luchtvaart), RL (railverkeer), VL (wegverkeer), IL (industrie), WT (windturbine)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N</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Fresnelgetal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p</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luchtdruk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p</w:t>
            </w:r>
            <w:r>
              <w:rPr>
                <w:rFonts w:cs="Arial"/>
                <w:i/>
                <w:iCs/>
                <w:sz w:val="16"/>
                <w:szCs w:val="16"/>
                <w:vertAlign w:val="subscript"/>
              </w:rPr>
              <w:t>ref</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kPa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referentie luchtdruk; veelal p</w:t>
            </w:r>
            <w:r>
              <w:rPr>
                <w:rFonts w:cs="Arial"/>
                <w:sz w:val="16"/>
                <w:szCs w:val="16"/>
                <w:vertAlign w:val="subscript"/>
              </w:rPr>
              <w:t>ref</w:t>
            </w:r>
            <w:r>
              <w:rPr>
                <w:rFonts w:cs="Arial"/>
                <w:sz w:val="16"/>
                <w:szCs w:val="16"/>
              </w:rPr>
              <w:t xml:space="preserve"> = 101,3 kPa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0</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horizontale afstand tussen P</w:t>
            </w:r>
            <w:r>
              <w:rPr>
                <w:rFonts w:cs="Arial"/>
                <w:sz w:val="16"/>
                <w:szCs w:val="16"/>
                <w:vertAlign w:val="subscript"/>
              </w:rPr>
              <w:t>k</w:t>
            </w:r>
            <w:r>
              <w:rPr>
                <w:rFonts w:cs="Arial"/>
                <w:sz w:val="16"/>
                <w:szCs w:val="16"/>
              </w:rPr>
              <w:t xml:space="preserve"> en de verticale hartlijn van de mast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1</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kortste afstand tussen meetpunt P1 en het middelpunt van de rotor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bm</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afstand bron tot het midden van de cilinder m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br</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afstand van de bron tot het reflecterend object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i</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afstand tussen het broncentrum en het immissiepunt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k</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afstand van meetpunt met index k tot het middelpunt van de rotor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or</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afstand van het immissiepunt tot het reflecterend object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r</w:t>
            </w:r>
            <w:r>
              <w:rPr>
                <w:rFonts w:cs="Arial"/>
                <w:i/>
                <w:iCs/>
                <w:sz w:val="16"/>
                <w:szCs w:val="16"/>
                <w:vertAlign w:val="subscript"/>
              </w:rPr>
              <w:t>t</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deel van de gekromde geluidsstraal, dat door de ‘open’ installaties gaat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T</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luchttemperatuur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t</w:t>
            </w:r>
            <w:r>
              <w:rPr>
                <w:rFonts w:cs="Arial"/>
                <w:sz w:val="16"/>
                <w:szCs w:val="16"/>
              </w:rPr>
              <w:t>(</w:t>
            </w:r>
            <w:r>
              <w:rPr>
                <w:rFonts w:cs="Arial"/>
                <w:i/>
                <w:iCs/>
                <w:sz w:val="16"/>
                <w:szCs w:val="16"/>
              </w:rPr>
              <w:t xml:space="preserve"> </w:t>
            </w:r>
            <w:r>
              <w:rPr>
                <w:rFonts w:cs="Arial"/>
                <w:i/>
                <w:iCs/>
                <w:sz w:val="16"/>
                <w:szCs w:val="16"/>
                <w:vertAlign w:val="subscript"/>
              </w:rPr>
              <w:t>f</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factor voor de geluidsverzwakking door industrieterreinen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T</w:t>
            </w:r>
            <w:r>
              <w:rPr>
                <w:rFonts w:cs="Arial"/>
                <w:i/>
                <w:iCs/>
                <w:sz w:val="16"/>
                <w:szCs w:val="16"/>
                <w:vertAlign w:val="subscript"/>
              </w:rPr>
              <w:t>ref</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referentie luchttemperatuur; veelal </w:t>
            </w:r>
            <w:r>
              <w:rPr>
                <w:rFonts w:cs="Arial"/>
                <w:i/>
                <w:iCs/>
                <w:sz w:val="16"/>
                <w:szCs w:val="16"/>
              </w:rPr>
              <w:t>T</w:t>
            </w:r>
            <w:r>
              <w:rPr>
                <w:rFonts w:cs="Arial"/>
                <w:i/>
                <w:iCs/>
                <w:sz w:val="16"/>
                <w:szCs w:val="16"/>
                <w:vertAlign w:val="subscript"/>
              </w:rPr>
              <w:t>ref</w:t>
            </w:r>
            <w:r>
              <w:rPr>
                <w:rFonts w:cs="Arial"/>
                <w:i/>
                <w:iCs/>
                <w:sz w:val="16"/>
                <w:szCs w:val="16"/>
              </w:rPr>
              <w:t xml:space="preserve"> </w:t>
            </w:r>
            <w:r>
              <w:rPr>
                <w:rFonts w:cs="Arial"/>
                <w:sz w:val="16"/>
                <w:szCs w:val="16"/>
              </w:rPr>
              <w:t xml:space="preserve"> = 288 K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U</w:t>
            </w:r>
            <w:r>
              <w:rPr>
                <w:rFonts w:cs="Arial"/>
                <w:i/>
                <w:iCs/>
                <w:sz w:val="16"/>
                <w:szCs w:val="16"/>
                <w:vertAlign w:val="subscript"/>
              </w:rPr>
              <w:t>j</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frequentie van voorkomen van windsnelheid </w:t>
            </w:r>
            <w:r>
              <w:rPr>
                <w:rFonts w:cs="Arial"/>
                <w:i/>
                <w:iCs/>
                <w:sz w:val="16"/>
                <w:szCs w:val="16"/>
              </w:rPr>
              <w:t>j</w:t>
            </w:r>
            <w:r>
              <w:rPr>
                <w:rFonts w:cs="Arial"/>
                <w:sz w:val="16"/>
                <w:szCs w:val="16"/>
              </w:rPr>
              <w:t xml:space="preserve"> op ashoogte per periode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A</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m/s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windsnelheid op 5-10 meter hoogte boven het maaiveld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ci</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m/s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laagste windsnelheid waarbij de turbine in bedrijf is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ci</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m/s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laagste windsnelheid waarbij de turbine in bedrijf is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co</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m/s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hoogste windsnelheid waarbij de turbine in bedrijf is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D</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m/s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windsnelheid, afgeleid van de power curve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H</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m/s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gecorrigeerde windsnelheid op ashoogte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V</w:t>
            </w:r>
            <w:r>
              <w:rPr>
                <w:rFonts w:cs="Arial"/>
                <w:i/>
                <w:iCs/>
                <w:sz w:val="16"/>
                <w:szCs w:val="16"/>
                <w:vertAlign w:val="subscript"/>
              </w:rPr>
              <w:t>rated</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m/s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windsnelheid, waarbij de turbine juist het nominale vermogen levert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α</w:t>
            </w:r>
            <w:r>
              <w:rPr>
                <w:rFonts w:cs="Arial"/>
                <w:i/>
                <w:iCs/>
                <w:sz w:val="16"/>
                <w:szCs w:val="16"/>
                <w:vertAlign w:val="subscript"/>
              </w:rPr>
              <w:t>k</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hoek tussen windrichting/rotoras en de lijn tussen bron en ontvanger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β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hoek tussen het noorden en de verbindingslijn tussen bron en ontvanger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w:t>
            </w:r>
            <w:r>
              <w:rPr>
                <w:rFonts w:cs="Arial"/>
                <w:i/>
                <w:iCs/>
                <w:sz w:val="16"/>
                <w:szCs w:val="16"/>
              </w:rPr>
              <w:t>D</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dB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tophoekcorrectie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ε</w:t>
            </w:r>
            <w:r>
              <w:rPr>
                <w:rFonts w:cs="Arial"/>
                <w:i/>
                <w:iCs/>
                <w:sz w:val="16"/>
                <w:szCs w:val="16"/>
                <w:vertAlign w:val="subscript"/>
              </w:rPr>
              <w:t>h</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horizontale omweg om scherm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ε</w:t>
            </w:r>
            <w:r>
              <w:rPr>
                <w:rFonts w:cs="Arial"/>
                <w:i/>
                <w:iCs/>
                <w:sz w:val="16"/>
                <w:szCs w:val="16"/>
                <w:vertAlign w:val="subscript"/>
              </w:rPr>
              <w:t>v</w:t>
            </w:r>
            <w:r>
              <w:rPr>
                <w:rFonts w:cs="Arial"/>
                <w:i/>
                <w:iCs/>
                <w:sz w:val="16"/>
                <w:szCs w:val="16"/>
              </w:rPr>
              <w:t xml:space="preserve"> </w:t>
            </w:r>
            <w:r>
              <w:rPr>
                <w:rFonts w:cs="Arial"/>
                <w:sz w:val="16"/>
                <w:szCs w:val="16"/>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verticale omweg om scherm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ρ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reflectiecoëfficiënt </w:t>
            </w:r>
          </w:p>
        </w:tc>
      </w:tr>
      <w:tr w:rsidR="00FC57C8" w:rsidTr="00F43C9B">
        <w:tc>
          <w:tcPr>
            <w:tcW w:w="140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Ψ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 </w:t>
            </w:r>
          </w:p>
        </w:tc>
        <w:tc>
          <w:tcPr>
            <w:tcW w:w="68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supplement van de hoek tussen de lijnen B-m en l-m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5.2. Begrippen</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2846"/>
        <w:gridCol w:w="6484"/>
      </w:tblGrid>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Begrip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Omschrijving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Avondperiode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 beoordelingsperiode van 19.00 tot 23.00 uur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Beoordelingshoogte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 hoogte van het beoordelingspunt boven het maaiveld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Beoordelingspunt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Het punt waar de geluidsbelasting wordt berekend en getoetst aan (eventuele) grenswaarden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Dagperiode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 beoordelingsperiode van 07.00 tot 19.00 uur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Equivalent geluidsniveau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noProof/>
                <w:szCs w:val="20"/>
                <w:lang w:eastAsia="nl-NL"/>
              </w:rPr>
              <w:drawing>
                <wp:inline distT="0" distB="0" distL="0" distR="0" wp14:anchorId="6CB84F37" wp14:editId="75C3E45E">
                  <wp:extent cx="1809750" cy="4286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0" cy="428625"/>
                          </a:xfrm>
                          <a:prstGeom prst="rect">
                            <a:avLst/>
                          </a:prstGeom>
                          <a:noFill/>
                          <a:ln>
                            <a:noFill/>
                          </a:ln>
                        </pic:spPr>
                      </pic:pic>
                    </a:graphicData>
                  </a:graphic>
                </wp:inline>
              </w:drawing>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p</w:t>
            </w:r>
            <w:r>
              <w:rPr>
                <w:rFonts w:cs="Arial"/>
                <w:i/>
                <w:iCs/>
                <w:szCs w:val="20"/>
                <w:vertAlign w:val="subscript"/>
              </w:rPr>
              <w:t>A</w:t>
            </w:r>
            <w:r>
              <w:rPr>
                <w:rFonts w:cs="Arial"/>
                <w:i/>
                <w:iCs/>
                <w:szCs w:val="20"/>
              </w:rPr>
              <w:t xml:space="preserve"> </w:t>
            </w:r>
            <w:r>
              <w:rPr>
                <w:rFonts w:cs="Arial"/>
                <w:szCs w:val="20"/>
              </w:rPr>
              <w:t>A-gewogen momentane geluidsdruk</w:t>
            </w:r>
            <w:r>
              <w:rPr>
                <w:rFonts w:cs="Arial"/>
                <w:szCs w:val="20"/>
              </w:rPr>
              <w:br/>
              <w:t xml:space="preserve"> </w:t>
            </w:r>
            <w:r>
              <w:rPr>
                <w:rFonts w:cs="Arial"/>
                <w:i/>
                <w:iCs/>
                <w:szCs w:val="20"/>
              </w:rPr>
              <w:t>p</w:t>
            </w:r>
            <w:r>
              <w:rPr>
                <w:rFonts w:cs="Arial"/>
                <w:i/>
                <w:iCs/>
                <w:szCs w:val="20"/>
                <w:vertAlign w:val="subscript"/>
              </w:rPr>
              <w:t>0</w:t>
            </w:r>
            <w:r>
              <w:rPr>
                <w:rFonts w:cs="Arial"/>
                <w:i/>
                <w:iCs/>
                <w:szCs w:val="20"/>
              </w:rPr>
              <w:t xml:space="preserve"> </w:t>
            </w:r>
            <w:r>
              <w:rPr>
                <w:rFonts w:cs="Arial"/>
                <w:szCs w:val="20"/>
              </w:rPr>
              <w:t xml:space="preserve">referentiegeluidsdruk van 20 µPa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Invallend geluidsniveau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Het geluidsniveau dat op een gevel invalt zonder dat hierbij de eigen gevelreflectie betrokken wordt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Monopool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Rondom gelijk uitstralende puntbron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Nachtperiode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De beoordelingsperiode van 23.00 tot 07.00 uur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Referentierichting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Richting die samenvalt met de rotoras (benedenwinds)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Richtingsindex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Het in een bepaalde richting uitgestraalde geluidsvermogen, verminderd met het geluidsvermogen dat in referentierichting wordt uitgestraald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Stoorgeluid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Het op een emissiemeetpunt optredende geluid, veroorzaakt door andere geluidsbronnen dan de windturbine </w:t>
            </w:r>
          </w:p>
        </w:tc>
      </w:tr>
      <w:tr w:rsidR="00FC57C8" w:rsidTr="00F43C9B">
        <w:tc>
          <w:tcPr>
            <w:tcW w:w="284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Vermogenscurve </w:t>
            </w:r>
          </w:p>
        </w:tc>
        <w:tc>
          <w:tcPr>
            <w:tcW w:w="648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Het verband tussen het elektrisch vermogen en de windsnelheid op ashoogte bij standaard atmosferisch omstandigheden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szCs w:val="20"/>
        </w:rPr>
        <w:br/>
      </w:r>
      <w:r>
        <w:rPr>
          <w:rFonts w:cs="Arial"/>
          <w:szCs w:val="20"/>
        </w:rPr>
        <w:br/>
      </w:r>
      <w:bookmarkStart w:id="436" w:name="Bijlage5AR"/>
      <w:r>
        <w:rPr>
          <w:rFonts w:cs="Arial"/>
          <w:b/>
          <w:bCs/>
          <w:szCs w:val="20"/>
        </w:rPr>
        <w:t>Bijlage 5. Emmissiefactoren zuiveringstechnische werken</w:t>
      </w:r>
      <w:bookmarkEnd w:id="436"/>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Tabel 1. Emissiefactoren ontvangwerk en voorbehandeling</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4071"/>
        <w:gridCol w:w="865"/>
        <w:gridCol w:w="865"/>
        <w:gridCol w:w="865"/>
        <w:gridCol w:w="1585"/>
        <w:gridCol w:w="1081"/>
      </w:tblGrid>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Onderdeel</w:t>
            </w:r>
          </w:p>
        </w:tc>
        <w:tc>
          <w:tcPr>
            <w:tcW w:w="4179" w:type="dxa"/>
            <w:gridSpan w:val="4"/>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percentage aanvoer via vrij verval riool</w:t>
            </w:r>
          </w:p>
        </w:tc>
        <w:tc>
          <w:tcPr>
            <w:tcW w:w="1081" w:type="dxa"/>
            <w:vMerge w:val="restart"/>
            <w:tcBorders>
              <w:top w:val="single" w:sz="4" w:space="0" w:color="auto"/>
              <w:left w:val="single" w:sz="4" w:space="0" w:color="auto"/>
              <w:bottom w:val="nil"/>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eenheid</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0–25%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26–50%</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51–75%</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76–100%, of bij ijzer-dosering</w:t>
            </w:r>
          </w:p>
        </w:tc>
        <w:tc>
          <w:tcPr>
            <w:tcW w:w="1081" w:type="dxa"/>
            <w:vMerge/>
            <w:tcBorders>
              <w:top w:val="nil"/>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b/>
                <w:bCs/>
                <w:sz w:val="16"/>
                <w:szCs w:val="16"/>
              </w:rPr>
              <w:t>ontvangwerk (put, vijzels etc.)</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28</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9,5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roostergoedverwijdering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28</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9,5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roostergoedcontainers</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28</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9,5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zandvanger:</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oppervlak</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7,5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7</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5,5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overstort</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135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48</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17</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zandwasser</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135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48</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17</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verdeelwerk</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135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48</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17</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voorbezinktank:</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oppervlak</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8,5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7,5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7</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overstort</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18,5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15</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13,5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anaërobe tank</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5,5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4,6</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4,2</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selector:</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belucht</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5,5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5</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onbelucht</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5,5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4,6</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4,2</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407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voordenitrificatietank</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2,2</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1,9</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1,7</w:t>
            </w:r>
          </w:p>
        </w:tc>
        <w:tc>
          <w:tcPr>
            <w:tcW w:w="15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1,6</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Tabel 2. Emissiefactoren biologisch zuiveringsproces RWZI</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3566"/>
        <w:gridCol w:w="865"/>
        <w:gridCol w:w="865"/>
        <w:gridCol w:w="865"/>
        <w:gridCol w:w="865"/>
        <w:gridCol w:w="865"/>
        <w:gridCol w:w="1441"/>
      </w:tblGrid>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onderdeel:</w:t>
            </w:r>
          </w:p>
        </w:tc>
        <w:tc>
          <w:tcPr>
            <w:tcW w:w="4323" w:type="dxa"/>
            <w:gridSpan w:val="5"/>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slibbelasting (kg BZV/kg d.s.d.)</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Eenheid</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&lt;0,05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0,05–0,10</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0,11–0,20</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0,21–0,30</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&gt;0,30</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Beluchtingstank</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aërobe zone:</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bellenbeluchting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0,2</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0,35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1,05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1,65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puntbeluchting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met omkapping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0,2</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0,35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1,05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1,65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borstelbeluchting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met omkapping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0,2</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0,35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1,05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1,65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puntbeluchting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zonder omkapping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0,3</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0,55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1,0</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anoxische zone:</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bellenbeluchting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0,18</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0,32</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0,95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borstelbeluchting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0,18</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0,32</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0,95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puntbeluchting</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0,18</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0,32</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0,95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Retourslibgemaal</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1,1</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2,0</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3,2</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Nabezinktank</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invoerzone</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0,2</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0,35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0,65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1,05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1,65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oppervlak</w:t>
            </w:r>
            <w:r>
              <w:rPr>
                <w:rFonts w:cs="Arial"/>
                <w:sz w:val="16"/>
                <w:szCs w:val="16"/>
                <w:vertAlign w:val="superscript"/>
              </w:rPr>
              <w:t>1</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0,28</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0,85</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1,3</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Na-nitrificatie</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b/>
                <w:bCs/>
                <w:sz w:val="16"/>
                <w:szCs w:val="16"/>
              </w:rPr>
              <w:t>Na-denitrificatie</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86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0,16</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vertAlign w:val="superscript"/>
        </w:rPr>
        <w:t>1</w:t>
      </w:r>
      <w:r>
        <w:rPr>
          <w:rFonts w:cs="Arial"/>
          <w:szCs w:val="20"/>
        </w:rPr>
        <w:t xml:space="preserve"> Voor de overstort van de nabezinktank wordt de emissie niet apart berekend.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Tabel 3. Emissiefactoren sliblijn</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3566"/>
        <w:gridCol w:w="1081"/>
        <w:gridCol w:w="1081"/>
        <w:gridCol w:w="1081"/>
        <w:gridCol w:w="1081"/>
        <w:gridCol w:w="1441"/>
      </w:tblGrid>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onderdeel</w:t>
            </w:r>
          </w:p>
        </w:tc>
        <w:tc>
          <w:tcPr>
            <w:tcW w:w="4323" w:type="dxa"/>
            <w:gridSpan w:val="4"/>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Slibkwaliteit</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eenheid</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vers</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aëroob</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anaëroob</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gemengd</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voorindikker</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8</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3,95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8</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naindikker</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3,05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uitgegist slibbuffer</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3,05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slibindiklagune</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4,05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1,75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4,35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filterpers</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zeefbandpers</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4,05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1,75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4,35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centrifuge</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afvoer en opslag</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4,05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1,75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4,35</w:t>
            </w: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fosfaatbezinktank</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3,95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strippertank</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3,95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slibindikker</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3,95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r w:rsidR="00FC57C8" w:rsidTr="00F43C9B">
        <w:tc>
          <w:tcPr>
            <w:tcW w:w="35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flocculatietank</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3,95</w:t>
            </w: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08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4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ou/s per m</w:t>
            </w:r>
            <w:r>
              <w:rPr>
                <w:rFonts w:cs="Arial"/>
                <w:sz w:val="16"/>
                <w:szCs w:val="16"/>
                <w:vertAlign w:val="superscript"/>
              </w:rPr>
              <w:t>2</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szCs w:val="20"/>
        </w:rPr>
        <w:br/>
      </w:r>
      <w:r>
        <w:rPr>
          <w:rFonts w:cs="Arial"/>
          <w:szCs w:val="20"/>
        </w:rPr>
        <w:br/>
      </w:r>
      <w:bookmarkStart w:id="437" w:name="Bijlage6AR"/>
      <w:r>
        <w:rPr>
          <w:rFonts w:cs="Arial"/>
          <w:b/>
          <w:bCs/>
          <w:szCs w:val="20"/>
        </w:rPr>
        <w:t>Bijlage 6. Model voor de rapportage, behorend bij artikel 3.73</w:t>
      </w:r>
    </w:p>
    <w:bookmarkEnd w:id="437"/>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 </w:t>
      </w:r>
      <w:r>
        <w:rPr>
          <w:rFonts w:cs="Arial"/>
          <w:b/>
          <w:bCs/>
          <w:szCs w:val="20"/>
        </w:rPr>
        <w:t>Jaarlijks voor 1 mei inleveren, lees voor invullen eerst de toelichting</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A. Algemene vragen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A1. Voor welk jaar is de rapportage?</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9330"/>
      </w:tblGrid>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A2. Bedrijfsgegevens:</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882"/>
        <w:gridCol w:w="2663"/>
        <w:gridCol w:w="2122"/>
        <w:gridCol w:w="2663"/>
      </w:tblGrid>
      <w:tr w:rsidR="00FC57C8" w:rsidTr="00F43C9B">
        <w:tc>
          <w:tcPr>
            <w:tcW w:w="188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UO-nummer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Postadres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88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Postcode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88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Bedrijfsnaam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Plaats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88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Contactpersoon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Telefoon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88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Fax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88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Bedrijfsadres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Emailadres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88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Postcode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88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Plaats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Gemeente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88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Waterschap </w:t>
            </w:r>
          </w:p>
        </w:tc>
        <w:tc>
          <w:tcPr>
            <w:tcW w:w="266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A3. Overige bedrijfsgegevens (aankruisen wat van toepassing is):</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9330"/>
      </w:tblGrid>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Teeltwijze: </w:t>
            </w:r>
          </w:p>
        </w:tc>
      </w:tr>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Grondteelt </w:t>
            </w:r>
          </w:p>
        </w:tc>
      </w:tr>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Substraatteelt</w:t>
            </w:r>
            <w:r>
              <w:rPr>
                <w:rFonts w:cs="Arial"/>
                <w:sz w:val="16"/>
                <w:szCs w:val="16"/>
                <w:vertAlign w:val="superscript"/>
              </w:rPr>
              <w:t>1</w:t>
            </w:r>
            <w:r>
              <w:rPr>
                <w:rFonts w:cs="Arial"/>
                <w:sz w:val="16"/>
                <w:szCs w:val="16"/>
              </w:rPr>
              <w:t xml:space="preserve"> </w:t>
            </w:r>
          </w:p>
        </w:tc>
      </w:tr>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Grondteelt en substraatteelt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vertAlign w:val="superscript"/>
        </w:rPr>
        <w:t>1</w:t>
      </w:r>
      <w:r>
        <w:rPr>
          <w:rFonts w:cs="Arial"/>
          <w:szCs w:val="20"/>
        </w:rPr>
        <w:t xml:space="preserve"> De teelt van potplanten is een substraatteelt.</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Als een bedrijf op substraat teelt vult het bedrijf de vragen onder blok B in.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Als een bedrijf in de grond teelt vult het bedrijf de vragen onder blok C in.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Als een bedrijf zowel op substraat als in de grond teelt moeten de vragen onder blok B en C worden ingevuld.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Alle bedrijven moeten blok D invullen.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 De volgende vragen gelden voor telers op substraat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bevoegd gezag kan volgens artikel 3.69 van het Activiteitenbesluit in specifieke gevallen met een maatwerkvoorschrift een andere wijze van meten, berekenen, registreren en rapporteren bepalen.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B1. Aangeven waarop drainwater wordt geloosd:</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9330"/>
      </w:tblGrid>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Riolering </w:t>
            </w:r>
          </w:p>
        </w:tc>
      </w:tr>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Oppervlaktewater </w:t>
            </w:r>
          </w:p>
        </w:tc>
      </w:tr>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Lozing op riolering en oppervlaktewater </w:t>
            </w:r>
          </w:p>
        </w:tc>
      </w:tr>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Geen lozing op riolering of op oppervlaktewater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B2. Oppervlak per periode voor gewas of gewasgroep op substraat (in hectare):</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3924"/>
        <w:gridCol w:w="1802"/>
        <w:gridCol w:w="1802"/>
        <w:gridCol w:w="1802"/>
      </w:tblGrid>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Gewasgroep (code) </w:t>
            </w:r>
          </w:p>
        </w:tc>
        <w:tc>
          <w:tcPr>
            <w:tcW w:w="3604" w:type="dxa"/>
            <w:gridSpan w:val="2"/>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Periode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Oppervlakte </w:t>
            </w: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Van week</w:t>
            </w:r>
            <w:r>
              <w:rPr>
                <w:rFonts w:cs="Arial"/>
                <w:sz w:val="16"/>
                <w:szCs w:val="16"/>
                <w:vertAlign w:val="superscript"/>
              </w:rPr>
              <w:t>1</w:t>
            </w:r>
            <w:r>
              <w:rPr>
                <w:rFonts w:cs="Arial"/>
                <w:sz w:val="16"/>
                <w:szCs w:val="16"/>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Tot en met week</w:t>
            </w:r>
            <w:r>
              <w:rPr>
                <w:rFonts w:cs="Arial"/>
                <w:sz w:val="16"/>
                <w:szCs w:val="16"/>
                <w:vertAlign w:val="superscript"/>
              </w:rPr>
              <w:t>1</w:t>
            </w:r>
            <w:r>
              <w:rPr>
                <w:rFonts w:cs="Arial"/>
                <w:sz w:val="16"/>
                <w:szCs w:val="16"/>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 ha) </w:t>
            </w: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Onbeteeld (000)</w:t>
            </w:r>
            <w:r>
              <w:rPr>
                <w:rFonts w:cs="Arial"/>
                <w:sz w:val="16"/>
                <w:szCs w:val="16"/>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Geen registratieplicht (999)</w:t>
            </w:r>
            <w:r>
              <w:rPr>
                <w:rFonts w:cs="Arial"/>
                <w:sz w:val="16"/>
                <w:szCs w:val="16"/>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vertAlign w:val="superscript"/>
        </w:rPr>
        <w:t>1</w:t>
      </w:r>
      <w:r>
        <w:rPr>
          <w:rFonts w:cs="Arial"/>
          <w:szCs w:val="20"/>
        </w:rPr>
        <w:t xml:space="preserve"> Een week in het rapportagejaar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Als u geen drainwater op oppervlaktewater en/of de riolering loost (vraag B1) dan hoeft u de vragen B3 tot en met B6 niet te beantwoorden.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B3. Volumes van het geloosde drainwater</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2240"/>
        <w:gridCol w:w="7090"/>
      </w:tblGrid>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Registratie-</w:t>
            </w:r>
            <w:r>
              <w:rPr>
                <w:rFonts w:cs="Arial"/>
                <w:sz w:val="16"/>
                <w:szCs w:val="16"/>
              </w:rPr>
              <w:br/>
              <w:t xml:space="preserve"> periode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Hoeveelheid geloosd drainwater</w:t>
            </w:r>
            <w:r>
              <w:rPr>
                <w:rFonts w:cs="Arial"/>
                <w:sz w:val="16"/>
                <w:szCs w:val="16"/>
              </w:rPr>
              <w:br/>
              <w:t xml:space="preserve"> (in m</w:t>
            </w:r>
            <w:r>
              <w:rPr>
                <w:rFonts w:cs="Arial"/>
                <w:sz w:val="16"/>
                <w:szCs w:val="16"/>
                <w:vertAlign w:val="superscript"/>
              </w:rPr>
              <w:t>3</w:t>
            </w:r>
            <w:r>
              <w:rPr>
                <w:rFonts w:cs="Arial"/>
                <w:sz w:val="16"/>
                <w:szCs w:val="16"/>
              </w:rPr>
              <w:t>)</w:t>
            </w:r>
            <w:r>
              <w:rPr>
                <w:rFonts w:cs="Arial"/>
                <w:sz w:val="16"/>
                <w:szCs w:val="16"/>
                <w:vertAlign w:val="superscript"/>
              </w:rPr>
              <w:t>1, 2</w:t>
            </w:r>
            <w:r>
              <w:rPr>
                <w:rFonts w:cs="Arial"/>
                <w:sz w:val="16"/>
                <w:szCs w:val="16"/>
              </w:rPr>
              <w:t xml:space="preserve"> </w:t>
            </w: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2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3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4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5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6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7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8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9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10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11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12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13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Opmerking 1: de hoeveelheid geloosd drainwater moet éénmaal per 4 weken worden gemeten. Als in een bepaalde periode geen drainwater is geloosd dient u dit te vermelden door een ‘nul’ op te nemen.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Opmerking 2: Een registratieperiode bestaat uit 4 weken. De eerste periode loopt van dag 1 (maandag) van week 1 tot met dag 7 (zondag) van week 4. Als een jaar 53 weken heeft, heeft periode 13 vijf (5) weken.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B4. Samenstelling van het geloosde drainwater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U bent verplicht om minimaal 7 keer per jaar een monster te nemen van het geloosde drainwater. U kunt er ook voor kiezen om 13 keer per jaar een monster te nemen. Geef hier uw keuze aan.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Monstername 13 keer per jaar, ga naar vraag B5</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Monstername 7 keer per jaar, ga naar vraag B6</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 xml:space="preserve">B5. Samenstelling van het geloosde drainwater bij 13 keer monstername </w:t>
      </w:r>
      <w:r>
        <w:rPr>
          <w:rFonts w:cs="Arial"/>
          <w:b/>
          <w:bCs/>
          <w:szCs w:val="20"/>
          <w:vertAlign w:val="superscript"/>
        </w:rPr>
        <w:t>1</w:t>
      </w:r>
      <w:r>
        <w:rPr>
          <w:rFonts w:cs="Arial"/>
          <w:b/>
          <w:bCs/>
          <w:szCs w:val="20"/>
        </w:rPr>
        <w:t xml:space="preserve"> </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315"/>
        <w:gridCol w:w="1983"/>
        <w:gridCol w:w="1983"/>
        <w:gridCol w:w="2066"/>
        <w:gridCol w:w="1983"/>
      </w:tblGrid>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Registratie-</w:t>
            </w:r>
            <w:r>
              <w:rPr>
                <w:rFonts w:cs="Arial"/>
                <w:sz w:val="16"/>
                <w:szCs w:val="16"/>
              </w:rPr>
              <w:br/>
              <w:t xml:space="preserve"> periode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Datum monstername (in dag/mnd/jaartal)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Gehalte aan NH</w:t>
            </w:r>
            <w:r>
              <w:rPr>
                <w:rFonts w:cs="Arial"/>
                <w:sz w:val="16"/>
                <w:szCs w:val="16"/>
                <w:vertAlign w:val="subscript"/>
              </w:rPr>
              <w:t>4</w:t>
            </w:r>
            <w:r>
              <w:rPr>
                <w:rFonts w:cs="Arial"/>
                <w:sz w:val="16"/>
                <w:szCs w:val="16"/>
              </w:rPr>
              <w:t xml:space="preserve"> in het drainwater (in mmol per liter) </w:t>
            </w: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Gehalte aan NO</w:t>
            </w:r>
            <w:r>
              <w:rPr>
                <w:rFonts w:cs="Arial"/>
                <w:sz w:val="16"/>
                <w:szCs w:val="16"/>
                <w:vertAlign w:val="subscript"/>
              </w:rPr>
              <w:t>3</w:t>
            </w:r>
            <w:r>
              <w:rPr>
                <w:rFonts w:cs="Arial"/>
                <w:sz w:val="16"/>
                <w:szCs w:val="16"/>
              </w:rPr>
              <w:t xml:space="preserve"> in het drainwater</w:t>
            </w:r>
            <w:r>
              <w:rPr>
                <w:rFonts w:cs="Arial"/>
                <w:sz w:val="16"/>
                <w:szCs w:val="16"/>
              </w:rPr>
              <w:br/>
              <w:t xml:space="preserve"> (in mmol per liter)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Gehalte aan P in het drainwater (in mmol per liter) </w:t>
            </w: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2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3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4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5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6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7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8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9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10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11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12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31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13 </w:t>
            </w: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66"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8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Opmerking 1: het gehalte aan NH</w:t>
      </w:r>
      <w:r>
        <w:rPr>
          <w:rFonts w:cs="Arial"/>
          <w:szCs w:val="20"/>
          <w:vertAlign w:val="subscript"/>
        </w:rPr>
        <w:t>4</w:t>
      </w:r>
      <w:r>
        <w:rPr>
          <w:rFonts w:cs="Arial"/>
          <w:szCs w:val="20"/>
        </w:rPr>
        <w:t>, NO</w:t>
      </w:r>
      <w:r>
        <w:rPr>
          <w:rFonts w:cs="Arial"/>
          <w:szCs w:val="20"/>
          <w:vertAlign w:val="subscript"/>
        </w:rPr>
        <w:t>3</w:t>
      </w:r>
      <w:r>
        <w:rPr>
          <w:rFonts w:cs="Arial"/>
          <w:szCs w:val="20"/>
        </w:rPr>
        <w:t xml:space="preserve"> en P wordt éénmaal per 4 weken gemeten. Als er niet is geloosd in een bepaalde periode hoeft u in deze periode geen monster te nemen en dit ook niet te rapporteren. Dus geen ‘nul’ vermelden.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B6. Samenstelling van het geloosde drainwater bij 7 keer monstername</w:t>
      </w:r>
      <w:r>
        <w:rPr>
          <w:rFonts w:cs="Arial"/>
          <w:b/>
          <w:bCs/>
          <w:szCs w:val="20"/>
          <w:vertAlign w:val="superscript"/>
        </w:rPr>
        <w:t>1</w:t>
      </w:r>
      <w:r>
        <w:rPr>
          <w:rFonts w:cs="Arial"/>
          <w:b/>
          <w:bCs/>
          <w:szCs w:val="20"/>
        </w:rPr>
        <w:t xml:space="preserve"> </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221"/>
        <w:gridCol w:w="2048"/>
        <w:gridCol w:w="2151"/>
        <w:gridCol w:w="1862"/>
        <w:gridCol w:w="2048"/>
      </w:tblGrid>
      <w:tr w:rsidR="00FC57C8" w:rsidTr="00F43C9B">
        <w:tc>
          <w:tcPr>
            <w:tcW w:w="122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Registratie-</w:t>
            </w:r>
            <w:r>
              <w:rPr>
                <w:rFonts w:cs="Arial"/>
                <w:sz w:val="16"/>
                <w:szCs w:val="16"/>
              </w:rPr>
              <w:br/>
              <w:t xml:space="preserve"> periode</w:t>
            </w:r>
            <w:r>
              <w:rPr>
                <w:rFonts w:cs="Arial"/>
                <w:sz w:val="16"/>
                <w:szCs w:val="16"/>
                <w:vertAlign w:val="superscript"/>
              </w:rPr>
              <w:t>1</w:t>
            </w:r>
            <w:r>
              <w:rPr>
                <w:rFonts w:cs="Arial"/>
                <w:sz w:val="16"/>
                <w:szCs w:val="16"/>
              </w:rPr>
              <w:t xml:space="preserve"> </w:t>
            </w: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Datum monstername (in dag/mnd/jaartal) </w:t>
            </w:r>
          </w:p>
        </w:tc>
        <w:tc>
          <w:tcPr>
            <w:tcW w:w="215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Gehalte aan NH</w:t>
            </w:r>
            <w:r>
              <w:rPr>
                <w:rFonts w:cs="Arial"/>
                <w:sz w:val="16"/>
                <w:szCs w:val="16"/>
                <w:vertAlign w:val="subscript"/>
              </w:rPr>
              <w:t>4</w:t>
            </w:r>
            <w:r>
              <w:rPr>
                <w:rFonts w:cs="Arial"/>
                <w:sz w:val="16"/>
                <w:szCs w:val="16"/>
              </w:rPr>
              <w:t xml:space="preserve"> in het drainwater (in mmol per liter) </w:t>
            </w:r>
          </w:p>
        </w:tc>
        <w:tc>
          <w:tcPr>
            <w:tcW w:w="186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Gehalte aan NO</w:t>
            </w:r>
            <w:r>
              <w:rPr>
                <w:rFonts w:cs="Arial"/>
                <w:sz w:val="16"/>
                <w:szCs w:val="16"/>
                <w:vertAlign w:val="subscript"/>
              </w:rPr>
              <w:t>3</w:t>
            </w:r>
            <w:r>
              <w:rPr>
                <w:rFonts w:cs="Arial"/>
                <w:sz w:val="16"/>
                <w:szCs w:val="16"/>
              </w:rPr>
              <w:t xml:space="preserve"> in het drainwater (in mmol per liter) </w:t>
            </w: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Gehalte aan P in het drainwater (in mmol per liter) </w:t>
            </w:r>
          </w:p>
        </w:tc>
      </w:tr>
      <w:tr w:rsidR="00FC57C8" w:rsidTr="00F43C9B">
        <w:tc>
          <w:tcPr>
            <w:tcW w:w="122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1/2 </w:t>
            </w: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5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6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22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3/4 </w:t>
            </w: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5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6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22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5/6 </w:t>
            </w: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5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6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22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7/8 </w:t>
            </w: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5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6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22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9/10 </w:t>
            </w: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5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6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22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11/12 </w:t>
            </w: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5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6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22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13 </w:t>
            </w: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151"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6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04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Opmerking 1: het gehalte aan NH</w:t>
      </w:r>
      <w:r>
        <w:rPr>
          <w:rFonts w:cs="Arial"/>
          <w:szCs w:val="20"/>
          <w:vertAlign w:val="subscript"/>
        </w:rPr>
        <w:t>4</w:t>
      </w:r>
      <w:r>
        <w:rPr>
          <w:rFonts w:cs="Arial"/>
          <w:szCs w:val="20"/>
        </w:rPr>
        <w:t>, NO</w:t>
      </w:r>
      <w:r>
        <w:rPr>
          <w:rFonts w:cs="Arial"/>
          <w:szCs w:val="20"/>
          <w:vertAlign w:val="subscript"/>
        </w:rPr>
        <w:t>3</w:t>
      </w:r>
      <w:r>
        <w:rPr>
          <w:rFonts w:cs="Arial"/>
          <w:szCs w:val="20"/>
        </w:rPr>
        <w:t xml:space="preserve"> en P moet éénmaal per 8 weken worden gemeten en nog één maal in periode 13. Als er niet is geloosd in een bepaalde periode hoeft u in deze periode geen monster te nemen, en dit ook niet te rapporteren. Dus geen ‘nul’ vermelden.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De registratieperiode 1/2 loopt van dag 1 (maandag) van week 1 tot en met dag 7 (zondag) van week 8.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C. De volgende vragen gelden voor de grondteelt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bevoegd gezag kan volgens artikel 3.74 van het Activiteitenbesluit in specifieke gevallen met een maatwerkvoorschrift een andere wijze van meten, berekenen, registreren en rapporteren bepalen.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C1. Aangeven waarop drainagewater wordt geloosd:</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9330"/>
      </w:tblGrid>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Riolering </w:t>
            </w:r>
          </w:p>
        </w:tc>
      </w:tr>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Oppervlaktewater </w:t>
            </w:r>
          </w:p>
        </w:tc>
      </w:tr>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Lozing op riolering en oppervlaktewater </w:t>
            </w:r>
          </w:p>
        </w:tc>
      </w:tr>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 Bodem </w:t>
            </w:r>
          </w:p>
        </w:tc>
      </w:tr>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Geen lozing</w:t>
            </w:r>
            <w:r>
              <w:rPr>
                <w:rFonts w:cs="Arial"/>
                <w:sz w:val="16"/>
                <w:szCs w:val="16"/>
                <w:vertAlign w:val="superscript"/>
              </w:rPr>
              <w:t>1</w:t>
            </w:r>
            <w:r>
              <w:rPr>
                <w:rFonts w:cs="Arial"/>
                <w:sz w:val="16"/>
                <w:szCs w:val="16"/>
              </w:rPr>
              <w:t xml:space="preserv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Opmerking 1: De optie ‘geen lozing’ geldt alleen als de watergift aantoonbaar volledig is afgestemd op de behoefte van het gewas, bijvoorbeeld door het gebruik van een lysimeter. Als dit niet aan te tonen valt dan geldt de optie ‘Bodem’.</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C2. Oppervlak per periode voor gewas, gewasgroep in de grond (in hectare):</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3244"/>
        <w:gridCol w:w="1355"/>
        <w:gridCol w:w="1488"/>
        <w:gridCol w:w="1622"/>
        <w:gridCol w:w="1622"/>
      </w:tblGrid>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Gewasgroep (code) </w:t>
            </w:r>
          </w:p>
        </w:tc>
        <w:tc>
          <w:tcPr>
            <w:tcW w:w="2843" w:type="dxa"/>
            <w:gridSpan w:val="2"/>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Periode </w:t>
            </w: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Oppervlakte </w:t>
            </w: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Assimilatie-belichting </w:t>
            </w: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Van</w:t>
            </w:r>
            <w:r>
              <w:rPr>
                <w:rFonts w:cs="Arial"/>
                <w:sz w:val="16"/>
                <w:szCs w:val="16"/>
              </w:rPr>
              <w:br/>
              <w:t xml:space="preserve"> week</w:t>
            </w:r>
            <w:r>
              <w:rPr>
                <w:rFonts w:cs="Arial"/>
                <w:sz w:val="16"/>
                <w:szCs w:val="16"/>
                <w:vertAlign w:val="superscript"/>
              </w:rPr>
              <w:t>1</w:t>
            </w:r>
            <w:r>
              <w:rPr>
                <w:rFonts w:cs="Arial"/>
                <w:sz w:val="16"/>
                <w:szCs w:val="16"/>
              </w:rPr>
              <w:t xml:space="preserve"> </w:t>
            </w: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Tot en met week</w:t>
            </w:r>
            <w:r>
              <w:rPr>
                <w:rFonts w:cs="Arial"/>
                <w:sz w:val="16"/>
                <w:szCs w:val="16"/>
                <w:vertAlign w:val="superscript"/>
              </w:rPr>
              <w:t>1</w:t>
            </w:r>
            <w:r>
              <w:rPr>
                <w:rFonts w:cs="Arial"/>
                <w:sz w:val="16"/>
                <w:szCs w:val="16"/>
              </w:rPr>
              <w:t xml:space="preserve"> </w:t>
            </w: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 ha) </w:t>
            </w: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Aankruisen indien van toepassing</w:t>
            </w:r>
            <w:r>
              <w:rPr>
                <w:rFonts w:cs="Arial"/>
                <w:sz w:val="16"/>
                <w:szCs w:val="16"/>
                <w:vertAlign w:val="superscript"/>
              </w:rPr>
              <w:t>2</w:t>
            </w:r>
            <w:r>
              <w:rPr>
                <w:rFonts w:cs="Arial"/>
                <w:sz w:val="16"/>
                <w:szCs w:val="16"/>
              </w:rPr>
              <w:t xml:space="preserve"> </w:t>
            </w: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Onbeteeld (000)</w:t>
            </w:r>
            <w:r>
              <w:rPr>
                <w:rFonts w:cs="Arial"/>
                <w:sz w:val="16"/>
                <w:szCs w:val="16"/>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i/>
                <w:iCs/>
                <w:sz w:val="16"/>
                <w:szCs w:val="16"/>
              </w:rPr>
              <w:t>Geen registratieplicht (999)</w:t>
            </w:r>
            <w:r>
              <w:rPr>
                <w:rFonts w:cs="Arial"/>
                <w:sz w:val="16"/>
                <w:szCs w:val="16"/>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24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35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48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6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Opmerking 1: Een week in het rapportagejaar.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Opmerking 2: Voor een aantal gewassen (alstroemeria, iris, lelie, chrysant en lisianthus) wordt u gevraagd aan te geven of u bij de teelt gebruik maakt van assimilatiebelichting. Dit doet u door na het vermelden van de teelt en de teeltperiode en het bijbehorend oppervlak een kruisje te zetten in de kolom assimilatiebelichting.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C3. Gerealiseerd verbruik aan totaal stikstof en totaal fosfor over het gehele afgelopen registratiejaar:</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802"/>
        <w:gridCol w:w="1402"/>
        <w:gridCol w:w="6127"/>
      </w:tblGrid>
      <w:tr w:rsidR="00FC57C8" w:rsidTr="00F43C9B">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Onderdeel </w:t>
            </w:r>
          </w:p>
        </w:tc>
        <w:tc>
          <w:tcPr>
            <w:tcW w:w="14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Eenheid </w:t>
            </w:r>
          </w:p>
        </w:tc>
        <w:tc>
          <w:tcPr>
            <w:tcW w:w="612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Verbruik </w:t>
            </w:r>
          </w:p>
        </w:tc>
      </w:tr>
      <w:tr w:rsidR="00FC57C8" w:rsidTr="00F43C9B">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N-gift </w:t>
            </w:r>
          </w:p>
        </w:tc>
        <w:tc>
          <w:tcPr>
            <w:tcW w:w="14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Kg N </w:t>
            </w:r>
          </w:p>
        </w:tc>
        <w:tc>
          <w:tcPr>
            <w:tcW w:w="612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P-gift </w:t>
            </w:r>
          </w:p>
        </w:tc>
        <w:tc>
          <w:tcPr>
            <w:tcW w:w="14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Kg P </w:t>
            </w:r>
          </w:p>
        </w:tc>
        <w:tc>
          <w:tcPr>
            <w:tcW w:w="6127"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Als u geen drainagewater op oppervlaktewater of riolering loost (antwoord vraag C1) hoeft u de vragen C4 en C5 niet in te vullen.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C4. Volumes en samenstelling van het geloosde drainagewater</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2240"/>
        <w:gridCol w:w="7090"/>
      </w:tblGrid>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Registratie-</w:t>
            </w:r>
            <w:r>
              <w:rPr>
                <w:rFonts w:cs="Arial"/>
                <w:sz w:val="16"/>
                <w:szCs w:val="16"/>
              </w:rPr>
              <w:br/>
              <w:t xml:space="preserve"> periode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Hoeveelheid geloosd drainagewater (in m</w:t>
            </w:r>
            <w:r>
              <w:rPr>
                <w:rFonts w:cs="Arial"/>
                <w:sz w:val="16"/>
                <w:szCs w:val="16"/>
                <w:vertAlign w:val="superscript"/>
              </w:rPr>
              <w:t>3</w:t>
            </w:r>
            <w:r>
              <w:rPr>
                <w:rFonts w:cs="Arial"/>
                <w:sz w:val="16"/>
                <w:szCs w:val="16"/>
              </w:rPr>
              <w:t>)</w:t>
            </w:r>
            <w:r>
              <w:rPr>
                <w:rFonts w:cs="Arial"/>
                <w:sz w:val="16"/>
                <w:szCs w:val="16"/>
                <w:vertAlign w:val="superscript"/>
              </w:rPr>
              <w:t>1) 2)</w:t>
            </w:r>
            <w:r>
              <w:rPr>
                <w:rFonts w:cs="Arial"/>
                <w:sz w:val="16"/>
                <w:szCs w:val="16"/>
              </w:rPr>
              <w:t xml:space="preserve"> </w:t>
            </w: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2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3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4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5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6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7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8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9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10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11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12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24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13 </w:t>
            </w:r>
          </w:p>
        </w:tc>
        <w:tc>
          <w:tcPr>
            <w:tcW w:w="709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Opmerking 1: de hoeveelheid geloosd drainagewater moet éénmaal per 4 weken worden gemeten. Als in een bepaalde periode geen drainagewater is geloosd, dient u dit ook te vermelden door een ‘nul’ op te nemen.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Opmerking 2: Een registratieperiode bestaat uit 4 weken. De eerste periode loopt van dag 1 (maandag) van week 1 tot met dag 7 (zondag) van week 4. Als een jaar 53 weken heeft, heeft periode 13 vijf (5) weken.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C5. Samenstelling van het geloosde drainagewater:</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523"/>
        <w:gridCol w:w="1714"/>
        <w:gridCol w:w="1904"/>
        <w:gridCol w:w="1904"/>
        <w:gridCol w:w="2285"/>
      </w:tblGrid>
      <w:tr w:rsidR="00FC57C8" w:rsidTr="00F43C9B">
        <w:tc>
          <w:tcPr>
            <w:tcW w:w="152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Registratie-</w:t>
            </w:r>
            <w:r>
              <w:rPr>
                <w:rFonts w:cs="Arial"/>
                <w:sz w:val="16"/>
                <w:szCs w:val="16"/>
              </w:rPr>
              <w:br/>
              <w:t xml:space="preserve"> periode </w:t>
            </w:r>
          </w:p>
        </w:tc>
        <w:tc>
          <w:tcPr>
            <w:tcW w:w="171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Datum monstername</w:t>
            </w:r>
            <w:r>
              <w:rPr>
                <w:rFonts w:cs="Arial"/>
                <w:sz w:val="16"/>
                <w:szCs w:val="16"/>
              </w:rPr>
              <w:br/>
              <w:t xml:space="preserve"> (in dag/mnd/</w:t>
            </w:r>
            <w:r>
              <w:rPr>
                <w:rFonts w:cs="Arial"/>
                <w:sz w:val="16"/>
                <w:szCs w:val="16"/>
              </w:rPr>
              <w:br/>
              <w:t xml:space="preserve"> jaartal) </w:t>
            </w:r>
          </w:p>
        </w:tc>
        <w:tc>
          <w:tcPr>
            <w:tcW w:w="190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Gehalte aan NH</w:t>
            </w:r>
            <w:r>
              <w:rPr>
                <w:rFonts w:cs="Arial"/>
                <w:sz w:val="16"/>
                <w:szCs w:val="16"/>
                <w:vertAlign w:val="subscript"/>
              </w:rPr>
              <w:t>4</w:t>
            </w:r>
            <w:r>
              <w:rPr>
                <w:rFonts w:cs="Arial"/>
                <w:sz w:val="16"/>
                <w:szCs w:val="16"/>
              </w:rPr>
              <w:t xml:space="preserve"> in het drainagewater (in mmol per liter) </w:t>
            </w:r>
          </w:p>
        </w:tc>
        <w:tc>
          <w:tcPr>
            <w:tcW w:w="190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Gehalte aan NO</w:t>
            </w:r>
            <w:r>
              <w:rPr>
                <w:rFonts w:cs="Arial"/>
                <w:sz w:val="16"/>
                <w:szCs w:val="16"/>
                <w:vertAlign w:val="subscript"/>
              </w:rPr>
              <w:t>3</w:t>
            </w:r>
            <w:r>
              <w:rPr>
                <w:rFonts w:cs="Arial"/>
                <w:sz w:val="16"/>
                <w:szCs w:val="16"/>
              </w:rPr>
              <w:t xml:space="preserve"> in het drainagewater (in mmol per liter) </w:t>
            </w:r>
          </w:p>
        </w:tc>
        <w:tc>
          <w:tcPr>
            <w:tcW w:w="22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Gehalte aan P in het drainagewater (in mmol per liter) </w:t>
            </w:r>
          </w:p>
        </w:tc>
      </w:tr>
      <w:tr w:rsidR="00FC57C8" w:rsidTr="00F43C9B">
        <w:tc>
          <w:tcPr>
            <w:tcW w:w="152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1 </w:t>
            </w:r>
          </w:p>
        </w:tc>
        <w:tc>
          <w:tcPr>
            <w:tcW w:w="171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0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0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2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52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2 </w:t>
            </w:r>
          </w:p>
        </w:tc>
        <w:tc>
          <w:tcPr>
            <w:tcW w:w="171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0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0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2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52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3 </w:t>
            </w:r>
          </w:p>
        </w:tc>
        <w:tc>
          <w:tcPr>
            <w:tcW w:w="171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0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0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2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1523"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4 </w:t>
            </w:r>
          </w:p>
        </w:tc>
        <w:tc>
          <w:tcPr>
            <w:tcW w:w="171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0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90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2285"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Opmerking 1: de samenstelling van het geloosde drainagewater op gehalte aan NH</w:t>
      </w:r>
      <w:r>
        <w:rPr>
          <w:rFonts w:cs="Arial"/>
          <w:szCs w:val="20"/>
          <w:vertAlign w:val="subscript"/>
        </w:rPr>
        <w:t>4</w:t>
      </w:r>
      <w:r>
        <w:rPr>
          <w:rFonts w:cs="Arial"/>
          <w:szCs w:val="20"/>
        </w:rPr>
        <w:t>, NO</w:t>
      </w:r>
      <w:r>
        <w:rPr>
          <w:rFonts w:cs="Arial"/>
          <w:szCs w:val="20"/>
          <w:vertAlign w:val="subscript"/>
        </w:rPr>
        <w:t>3</w:t>
      </w:r>
      <w:r>
        <w:rPr>
          <w:rFonts w:cs="Arial"/>
          <w:szCs w:val="20"/>
        </w:rPr>
        <w:t xml:space="preserve"> of P moet ten minste éénmaal per 13 weken worden gemeten. Indien gedurende deze 13 weken geen drainagewater is geloosd, is het niet nodig om in deze periode analyses uit te voeren. In dat geval wordt in deze periode ook geen waarde vermeld.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D. Vragen voor alle bedrijven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D1. Opmerkingen:</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9330"/>
      </w:tblGrid>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D2. Aldus naar waarheid opgemaakt: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2122"/>
        <w:gridCol w:w="7208"/>
      </w:tblGrid>
      <w:tr w:rsidR="00FC57C8" w:rsidTr="00F43C9B">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Naam </w:t>
            </w:r>
          </w:p>
        </w:tc>
        <w:tc>
          <w:tcPr>
            <w:tcW w:w="720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Datum </w:t>
            </w:r>
          </w:p>
        </w:tc>
        <w:tc>
          <w:tcPr>
            <w:tcW w:w="720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Plaats </w:t>
            </w:r>
          </w:p>
        </w:tc>
        <w:tc>
          <w:tcPr>
            <w:tcW w:w="720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Handtekening </w:t>
            </w:r>
          </w:p>
        </w:tc>
        <w:tc>
          <w:tcPr>
            <w:tcW w:w="720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D3. Getoetst op juistheid en volledigheid door geaccepteerde deskundige</w:t>
      </w:r>
      <w:r>
        <w:rPr>
          <w:rFonts w:cs="Arial"/>
          <w:b/>
          <w:bCs/>
          <w:szCs w:val="20"/>
          <w:vertAlign w:val="superscript"/>
        </w:rPr>
        <w:t>1</w:t>
      </w:r>
      <w:r>
        <w:rPr>
          <w:rFonts w:cs="Arial"/>
          <w:b/>
          <w:bCs/>
          <w:szCs w:val="20"/>
        </w:rPr>
        <w: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2122"/>
        <w:gridCol w:w="7208"/>
      </w:tblGrid>
      <w:tr w:rsidR="00FC57C8" w:rsidTr="00F43C9B">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Naam </w:t>
            </w:r>
          </w:p>
        </w:tc>
        <w:tc>
          <w:tcPr>
            <w:tcW w:w="720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Plaats </w:t>
            </w:r>
          </w:p>
        </w:tc>
        <w:tc>
          <w:tcPr>
            <w:tcW w:w="720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Datum </w:t>
            </w:r>
          </w:p>
        </w:tc>
        <w:tc>
          <w:tcPr>
            <w:tcW w:w="720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212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Handtekening </w:t>
            </w:r>
          </w:p>
        </w:tc>
        <w:tc>
          <w:tcPr>
            <w:tcW w:w="7208"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1 Dit blok is niet langer verplicht. De tuinder mag de rapportage ook rechtstreeks invoeren.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Toelichting bij het formulier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Jaarlijks dienen de gegevens op dit formulier voor 1 mei te worden gerapporteerd aan de Stichting UO-IMT. Bij voorkeur vindt de rapportage digitaal plaats op de website </w:t>
      </w:r>
      <w:r>
        <w:rPr>
          <w:rFonts w:cs="Arial"/>
          <w:i/>
          <w:iCs/>
          <w:szCs w:val="20"/>
        </w:rPr>
        <w:t>www.uo-glastuinbouw.nl</w:t>
      </w:r>
      <w:r>
        <w:rPr>
          <w:rFonts w:cs="Arial"/>
          <w:szCs w:val="20"/>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bevoegde gezagen (gemeenten, waterschappen en het Ministerie van Economische zaken, Landbouw en Innovatie) hebben de Stichting UO-IMT opgericht met als doel alle registratiegegevens op één punt te verzamelen. De Stichting UO-IMT geeft het bevoegd gezag toegang tot de (wettelijk verplichte) rapportage.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Het Activiteitenbesluit milieubeheer maakt voor de rapportageverplichting onderscheid tussen telers op substraat en telers in de grond. Grondtelers rapporteren het verbruik van mineralen en emissiegegevens en substraattelers rapporteren alleen de emissiegegevens.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Als zowel op substraat als in de grond wordt geteeld dienen de vragen voor beide teeltwijzen te worden ingevuld.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Substraatteelt is een wijze van telen waarbij de gewassen groeien los van de ondergrond.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Alle gegevens die u gebruikt voor deze rapportage (meetgegevens, logboek, berekeningen, facturen, afleveringsbewijzen, etc) dient u ten minste vijf jaar te bewaren. U wordt aangeraden een kopie van dit formulier te bewaren in uw eigen administratie.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Dit formulier dient ingevuld te worden per inrichting. Meestal is dit een locatie waarop een glastuinbouwbedrijf is gevestigd. Het kan zijn dat uw bedrijf uit meerdere inrichtingen / locaties bestaat. Uw gemeente kan u aangeven wat de grens van de inrichting is.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formulier kent vier blokken vragen. Blok A zijn algemene vragen over het bedrijf, Blok B zijn vragen voor de teelt op substraat. Blok C zijn vragen voor de teelt in de grond en blok D gaat over de ondertekening.</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Blok A</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A1.</w:t>
      </w:r>
      <w:r>
        <w:rPr>
          <w:rFonts w:cs="Arial"/>
          <w:szCs w:val="20"/>
        </w:rPr>
        <w:tab/>
        <w:t>Hier geeft u het kalenderjaar aan waarover deze jaarrapportage gaat (bijvoorbeeld 2010).</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A2.</w:t>
      </w:r>
      <w:r>
        <w:rPr>
          <w:rFonts w:cs="Arial"/>
          <w:szCs w:val="20"/>
        </w:rPr>
        <w:tab/>
        <w:t>Adresgegevens en UO-nummer: zodra uw gegevens bekend zijn bij het bevoegd gezag krijgt u via de UO-IMT een UO-nummer. Als u nog geen UO-nummer heeft, dan kunt u dit via de gemeente opvragen.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A3.</w:t>
      </w:r>
      <w:r>
        <w:rPr>
          <w:rFonts w:cs="Arial"/>
          <w:szCs w:val="20"/>
        </w:rPr>
        <w:tab/>
        <w:t>Uw teeltwijze bepaalt wat u dient te rapporteren. Als u op substraat teelt dient u emissiegegevens te rapporteren, bedoeld wordt de geloosde hoeveelheid drainwater en de gehaltes aan meststoffen in dit water. Bij een grondteelt moet u daarnaast ook de verbruiksgegevens rapporteren. Teelt u zowel op substraat als in de grond dan wordt u gevraagd zowel de vragen voor de substraatteelt als de grondteelt te beantwoorden.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Blok B. : Vragen voor de substraatteelt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bevoegd gezag kan in een maatwerkvoorschrift een andere wijze van meten, berekenen, registreren en rapporteren bepalen. Een reden hiervoor kan zijn dat het bedrijf hoofdzakelijk substraatteelt heeft en het bevoegd gezag aangeeft dat het bedrijf alleen daarvoor hoeft te rapporteren. Andere redenen kunnen zijn dat het niet mogelijk is om de lozing uit de teelt op substraat en de grondteelt afzonderlijk te bepalen.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B1.</w:t>
      </w:r>
      <w:r>
        <w:rPr>
          <w:rFonts w:cs="Arial"/>
          <w:szCs w:val="20"/>
        </w:rPr>
        <w:tab/>
        <w:t>Hier kunt u aangeven of het bedrijf drainwater loost op oppervlaktewater op riolering of op beide. Als u helemaal geen voedingsmiddelenhoudend afvalwater loost, dan kruist u de vierde optie aan. U hoeft dan de vragen B3 tot en met B6 niet te beantwoorden.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B2.</w:t>
      </w:r>
      <w:r>
        <w:rPr>
          <w:rFonts w:cs="Arial"/>
          <w:szCs w:val="20"/>
        </w:rPr>
        <w:tab/>
        <w:t>Hierin wordt u gevraagd aan te geven wat u het afgelopen kalenderjaar heeft geteeld.</w:t>
      </w:r>
      <w:r>
        <w:rPr>
          <w:rFonts w:cs="Arial"/>
          <w:szCs w:val="20"/>
        </w:rPr>
        <w:br/>
        <w:t>Per gewas en gewasgroep geeft u aan in welke weken u dit hebt geteeld en op welk oppervlak (in hectare, met een nauwkeurigheid van vier cijfers achter de komma). Als het beteelde oppervlak van een gewas in het jaar wijzigt kunt u hiervoor twee of meer regels gebruiken. Bijv. tomaat: van week 1 tot en met 34 op 1,5340 ha en tomaat van week 34 tot 48 op 2,5280 ha. Bij meer dan 3,5 dagen van een bepaalde teelt wordt dit afgerond naar één week.</w:t>
      </w:r>
      <w:r>
        <w:rPr>
          <w:rFonts w:cs="Arial"/>
          <w:szCs w:val="20"/>
        </w:rPr>
        <w:br/>
        <w:t>Onbeteeld oppervlak (uw kas ligt bijvoorbeeld een aantal weken leeg tussen twee teelten) dient u apart te vermelden. Ook als u een periode van het jaar geen registratieverplichting heeft dient u dit apart te vermelden. In de tabel zijn de regels voor ‘onbeteeld oppervlak’ en ‘geen registratieverplichting’ al voorgedrukt.</w:t>
      </w:r>
      <w:r>
        <w:rPr>
          <w:rFonts w:cs="Arial"/>
          <w:szCs w:val="20"/>
        </w:rPr>
        <w:br/>
        <w:t>Gewassen waarvoor opkweek plaatsvindt op uw bedrijf dient u apart te vermelden. Voor opkweek kan namelijk een andere norm gelden dan voor reguliere teelt, het apart opnemen is van belang voor de berekening van de juiste bedrijfsnorm voor uw bedrijf.</w:t>
      </w:r>
      <w:r>
        <w:rPr>
          <w:rFonts w:cs="Arial"/>
          <w:szCs w:val="20"/>
        </w:rPr>
        <w:br/>
        <w:t xml:space="preserve"> </w:t>
      </w:r>
      <w:r>
        <w:rPr>
          <w:rFonts w:cs="Arial"/>
          <w:b/>
          <w:bCs/>
          <w:szCs w:val="20"/>
        </w:rPr>
        <w:t>Geen registratieplicht (code 999)</w:t>
      </w:r>
      <w:r>
        <w:rPr>
          <w:rFonts w:cs="Arial"/>
          <w:szCs w:val="20"/>
        </w:rPr>
        <w:t xml:space="preserve">: </w:t>
      </w:r>
      <w:r>
        <w:rPr>
          <w:rFonts w:cs="Arial"/>
          <w:szCs w:val="20"/>
        </w:rPr>
        <w:br/>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9330"/>
      </w:tblGrid>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De term ‘geen registratieplicht’ geldt alleen bij bedrijfsbeëindiging of bij de start van een nieuw bedrijf tijdens het jaar. Voor de periode in dat jaar dat u dan nog niet of niet meer teelt geldt de term ‘geen registratieplicht’. Als een deel van uw kassen niet in gebruik is geldt de term ‘onbeteeld oppervlak’.</w:t>
            </w:r>
            <w:r>
              <w:rPr>
                <w:rFonts w:cs="Arial"/>
                <w:sz w:val="16"/>
                <w:szCs w:val="16"/>
              </w:rPr>
              <w:br/>
              <w:t xml:space="preserve"> Bij verhuur van een deel van de kas behoeft u dat deel niet meer te verantwoorden en zal dus het geregistreerde totale oppervlak verminderen.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pStyle w:val="Documentstructuur"/>
        <w:widowControl w:val="0"/>
        <w:shd w:val="clear" w:color="auto" w:fill="D9D9D9" w:themeFill="background1" w:themeFillShade="D9"/>
        <w:autoSpaceDE w:val="0"/>
        <w:autoSpaceDN w:val="0"/>
        <w:adjustRightInd w:val="0"/>
        <w:spacing w:line="240" w:lineRule="auto"/>
        <w:ind w:left="640"/>
        <w:rPr>
          <w:rFonts w:ascii="Arial" w:hAnsi="Arial" w:cs="Arial"/>
          <w:sz w:val="20"/>
          <w:szCs w:val="20"/>
        </w:rPr>
      </w:pPr>
      <w:r>
        <w:rPr>
          <w:rFonts w:ascii="Arial" w:hAnsi="Arial" w:cs="Arial"/>
          <w:sz w:val="20"/>
          <w:szCs w:val="20"/>
        </w:rPr>
        <w:t>Als u meer ruimte nodig heeft in de tabel dan kunt u daarvoor een extra pagina toevoegen. Een voorbeeld van het invullen van deze tabel is onderaan de toelichting bijgevoegd.</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B3.</w:t>
      </w:r>
      <w:r>
        <w:rPr>
          <w:rFonts w:cs="Arial"/>
          <w:szCs w:val="20"/>
        </w:rPr>
        <w:tab/>
        <w:t>Hier rapporteert u hoeveel drainwater is geloosd. In de Activiteitenregeling milieubeheer is opgenomen dat eenmaal per 4 weken de geloosde hoeveelheid drainwater op riolering en/of oppervlaktewater moet worden gemeten en geregistreerd.</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B4/6.</w:t>
      </w:r>
      <w:r>
        <w:rPr>
          <w:rFonts w:cs="Arial"/>
          <w:szCs w:val="20"/>
        </w:rPr>
        <w:tab/>
        <w:t xml:space="preserve"> </w:t>
      </w:r>
      <w:r>
        <w:rPr>
          <w:rFonts w:cs="Arial"/>
          <w:b/>
          <w:bCs/>
          <w:szCs w:val="20"/>
        </w:rPr>
        <w:t>Minimaal</w:t>
      </w:r>
      <w:r>
        <w:rPr>
          <w:rFonts w:cs="Arial"/>
          <w:szCs w:val="20"/>
        </w:rPr>
        <w:t xml:space="preserve"> 7 keer per jaar (1 keer per 8 weken en één keer in registratieperiode 13) moeten de gehaltes NH</w:t>
      </w:r>
      <w:r>
        <w:rPr>
          <w:rFonts w:cs="Arial"/>
          <w:szCs w:val="20"/>
          <w:vertAlign w:val="subscript"/>
        </w:rPr>
        <w:t>4</w:t>
      </w:r>
      <w:r>
        <w:rPr>
          <w:rFonts w:cs="Arial"/>
          <w:szCs w:val="20"/>
        </w:rPr>
        <w:t>, NO</w:t>
      </w:r>
      <w:r>
        <w:rPr>
          <w:rFonts w:cs="Arial"/>
          <w:szCs w:val="20"/>
          <w:vertAlign w:val="subscript"/>
        </w:rPr>
        <w:t>3</w:t>
      </w:r>
      <w:r>
        <w:rPr>
          <w:rFonts w:cs="Arial"/>
          <w:szCs w:val="20"/>
        </w:rPr>
        <w:t xml:space="preserve"> en P van het drainwater worden gemeten en geregistreerd. Let op dat u monstername en de metingen verspreidt over het jaar, of in elke periode van 8 weken een meting uitvoert. Vermeld steeds de datum van monstername. Bij substraatteelten volstaat het om de analysegegevens van een drain- of matmonster toe te sturen.</w:t>
      </w:r>
      <w:r>
        <w:rPr>
          <w:rFonts w:cs="Arial"/>
          <w:szCs w:val="20"/>
        </w:rPr>
        <w:br/>
        <w:t>U kunt er ook voor kiezen om 13 keer per jaar, dat is gelijk aan één keer in de 4 weken, een monster te nemen en te laten analyseren op NH</w:t>
      </w:r>
      <w:r>
        <w:rPr>
          <w:rFonts w:cs="Arial"/>
          <w:szCs w:val="20"/>
          <w:vertAlign w:val="subscript"/>
        </w:rPr>
        <w:t>4</w:t>
      </w:r>
      <w:r>
        <w:rPr>
          <w:rFonts w:cs="Arial"/>
          <w:szCs w:val="20"/>
        </w:rPr>
        <w:t>, NO</w:t>
      </w:r>
      <w:r>
        <w:rPr>
          <w:rFonts w:cs="Arial"/>
          <w:szCs w:val="20"/>
          <w:vertAlign w:val="subscript"/>
        </w:rPr>
        <w:t>3</w:t>
      </w:r>
      <w:r>
        <w:rPr>
          <w:rFonts w:cs="Arial"/>
          <w:szCs w:val="20"/>
        </w:rPr>
        <w:t>en P.</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Blok C. : Vragen voor de grondteelt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bevoegd gezag kan in een maatwerkvoorschrift een andere wijze van meten, berekenen, registreren en rapporteren bepalen. Een reden hiervoor kan zijn dat het bedrijf hoofdzakelijk substraatteelt heeft en het bevoegd gezag aangeeft dat het bedrijf alleen daarvoor hoeft te rapporteren. Andere redenen kunnen zijn dat het niet mogelijk is om de lozing uit de teelt op substraat en de grondteelt afzonderlijk te bepalen.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C1.</w:t>
      </w:r>
      <w:r>
        <w:rPr>
          <w:rFonts w:cs="Arial"/>
          <w:szCs w:val="20"/>
        </w:rPr>
        <w:tab/>
        <w:t>Hier kunt u aangeven of het bedrijf drainagewater loost op oppervlaktewater op riolering of op beide. Als u alleen op de bodem loost, dan kruist u de vierde optie aan. U kunt ook aangeven dat u ‘Geen lozing’ heeft. Alleen als uw watergift exact naar behoefte is van het gewas, geldt deze laatste optie.</w:t>
      </w:r>
      <w:r>
        <w:rPr>
          <w:rFonts w:cs="Arial"/>
          <w:szCs w:val="20"/>
        </w:rPr>
        <w:br/>
        <w:t>Bij de opties lozing op de bodem en geen lozing hoeft u de vragen C4 tot en met C6 niet te beantwoorden.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C2.</w:t>
      </w:r>
      <w:r>
        <w:rPr>
          <w:rFonts w:cs="Arial"/>
          <w:szCs w:val="20"/>
        </w:rPr>
        <w:tab/>
        <w:t>Hier wordt u gevraagd aan te geven wat u het afgelopen kalenderjaar heeft geteeld.</w:t>
      </w:r>
      <w:r>
        <w:rPr>
          <w:rFonts w:cs="Arial"/>
          <w:szCs w:val="20"/>
        </w:rPr>
        <w:br/>
        <w:t>Per gewas en gewasgroep geeft u aan in welke weken u dit hebt geteeld en op welk oppervlak (in hectare, met een nauwkeurigheid van vier cijfers achter de komma). Als het beteelde oppervlak van een gewas in het jaar wijzigt kunt u hiervoor twee of meer regels gebruiken. Bijv. tomaat: van week 1 tot en met 34 op 1,5340 ha en tomaat van week 34 tot 48 op 2,5280 ha. Bij meer dan 3,5 dagen van een bepaalde teelt wordt dit afgerond naar één week.</w:t>
      </w:r>
      <w:r>
        <w:rPr>
          <w:rFonts w:cs="Arial"/>
          <w:szCs w:val="20"/>
        </w:rPr>
        <w:br/>
        <w:t>Onbeteeld oppervlak (uw kas ligt bijvoorbeeld een aantal weken leeg tussen twee teelten) dient u apart te vermelden. Ook als u een periode van het jaar geen registratieverplichting heeft dient u dit apart te vermelden. In de tabel zijn de regels voor ‘onbeteeld oppervlak’ en ‘geen registratieverplichting’ al voorgedrukt.</w:t>
      </w:r>
      <w:r>
        <w:rPr>
          <w:rFonts w:cs="Arial"/>
          <w:szCs w:val="20"/>
        </w:rPr>
        <w:br/>
        <w:t>Gewassen waarvoor opkweek plaatsvindt op uw bedrijf dient u apart te vermelden. Voor opkweek kan namelijk een andere norm gelden dan voor reguliere teelt, het apart opnemen is van belang voor de berekening van de juiste bedrijfsnorm voor uw bedrijf.</w:t>
      </w:r>
      <w:r>
        <w:rPr>
          <w:rFonts w:cs="Arial"/>
          <w:szCs w:val="20"/>
        </w:rPr>
        <w:br/>
        <w:t xml:space="preserve">In de laatste kolom geeft u aan of u voor dit gewas assimilatiebelichting gebruikt. De norm is in enkele gevallen ook afhankelijk van het gebruik van assimilatiebelichting. </w:t>
      </w:r>
      <w:r>
        <w:rPr>
          <w:rFonts w:cs="Arial"/>
          <w:szCs w:val="20"/>
        </w:rPr>
        <w:br/>
        <w:t xml:space="preserve"> </w:t>
      </w:r>
      <w:r>
        <w:rPr>
          <w:rFonts w:cs="Arial"/>
          <w:b/>
          <w:bCs/>
          <w:szCs w:val="20"/>
        </w:rPr>
        <w:t>Geen registratieplicht (code 999)</w:t>
      </w:r>
      <w:r>
        <w:rPr>
          <w:rFonts w:cs="Arial"/>
          <w:szCs w:val="20"/>
        </w:rPr>
        <w:t xml:space="preserve">: </w:t>
      </w:r>
      <w:r>
        <w:rPr>
          <w:rFonts w:cs="Arial"/>
          <w:szCs w:val="20"/>
        </w:rPr>
        <w:br/>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9330"/>
      </w:tblGrid>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De term ‘geen registratieplicht’ geldt alleen bij bedrijfsbeëindiging of bij de start van een nieuw bedrijf tijdens het jaar. Voor de periode in dat jaar dat u dan nog niet of niet meer teelt geldt de term ‘geen registratieplicht’. Als een deel van uw kassen niet in gebruik is geldt de term ‘onbeteeld oppervlak’.</w:t>
            </w:r>
            <w:r>
              <w:rPr>
                <w:rFonts w:cs="Arial"/>
                <w:sz w:val="16"/>
                <w:szCs w:val="16"/>
              </w:rPr>
              <w:br/>
              <w:t xml:space="preserve"> Bij verhuur van een deel van de kas behoeft u dat deel niet meer te verantwoorden en zal dus het geregistreerde totale oppervlak verminderen.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pStyle w:val="Documentstructuur"/>
        <w:widowControl w:val="0"/>
        <w:shd w:val="clear" w:color="auto" w:fill="D9D9D9" w:themeFill="background1" w:themeFillShade="D9"/>
        <w:autoSpaceDE w:val="0"/>
        <w:autoSpaceDN w:val="0"/>
        <w:adjustRightInd w:val="0"/>
        <w:spacing w:line="240" w:lineRule="auto"/>
        <w:ind w:left="640"/>
        <w:rPr>
          <w:rFonts w:ascii="Arial" w:hAnsi="Arial" w:cs="Arial"/>
          <w:sz w:val="20"/>
          <w:szCs w:val="20"/>
        </w:rPr>
      </w:pPr>
      <w:r>
        <w:rPr>
          <w:rFonts w:ascii="Arial" w:hAnsi="Arial" w:cs="Arial"/>
          <w:sz w:val="20"/>
          <w:szCs w:val="20"/>
        </w:rPr>
        <w:t>Als u meer ruimte nodig heeft in de tabel dan kunt u daarvoor een extra pagina toevoegen. Een voorbeeld van het invullen van deze tabel is onderaan de toelichting bijgevoegd.</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C3.</w:t>
      </w:r>
      <w:r>
        <w:rPr>
          <w:rFonts w:cs="Arial"/>
          <w:szCs w:val="20"/>
        </w:rPr>
        <w:tab/>
        <w:t>Verbruik aan totaal stikstof (in kg N) en totaal fosfor (in kg P): om het door u gerealiseerde verbruik over het hele kalenderjaar te berekenen, telt u de totale mestgift aan N over het hele jaar op. U moet daarbij dus zelf per meststof de hoeveelheid N bepalen. U doet hetzelfde voor de gift aan P. Het is aan te raden om in een logboek het gebruik van de hoeveelheid van diverse meststoffen bij te houden.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C4.</w:t>
      </w:r>
      <w:r>
        <w:rPr>
          <w:rFonts w:cs="Arial"/>
          <w:szCs w:val="20"/>
        </w:rPr>
        <w:tab/>
        <w:t>Hier rapporteert u hoeveel drainagewater is geloosd. In de Activiteitenregeling milieubeheer is opgenomen dat eenmaal per 4 weken de geloosde hoeveelheid drainagewater op riolering en/of oppervlaktewater moet worden gemeten en geregistreerd.</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C5.</w:t>
      </w:r>
      <w:r>
        <w:rPr>
          <w:rFonts w:cs="Arial"/>
          <w:szCs w:val="20"/>
        </w:rPr>
        <w:tab/>
        <w:t>U dient 1 x per 13 weken, of vier (4) keer per jaar een monster te nemen van het te lozen drainagewater en te laten analyseren op de gehaltes aan NH</w:t>
      </w:r>
      <w:r>
        <w:rPr>
          <w:rFonts w:cs="Arial"/>
          <w:szCs w:val="20"/>
          <w:vertAlign w:val="subscript"/>
        </w:rPr>
        <w:t>4</w:t>
      </w:r>
      <w:r>
        <w:rPr>
          <w:rFonts w:cs="Arial"/>
          <w:szCs w:val="20"/>
        </w:rPr>
        <w:t>, NO</w:t>
      </w:r>
      <w:r>
        <w:rPr>
          <w:rFonts w:cs="Arial"/>
          <w:szCs w:val="20"/>
          <w:vertAlign w:val="subscript"/>
        </w:rPr>
        <w:t>3</w:t>
      </w:r>
      <w:r>
        <w:rPr>
          <w:rFonts w:cs="Arial"/>
          <w:szCs w:val="20"/>
        </w:rPr>
        <w:t xml:space="preserve"> en P. Let op dat u monstername en de metingen verspreidt over het jaar, of in elke periode van 8 weken een meting uitvoert. Vermeld steeds de datum van monstername.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Blok D. : Vragen voor alle bedrijven, de ondertekening</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D1.</w:t>
      </w:r>
      <w:r>
        <w:rPr>
          <w:rFonts w:cs="Arial"/>
          <w:szCs w:val="20"/>
        </w:rPr>
        <w:tab/>
        <w:t>Opmerkingen: Hier kunt u eventueel ter zake doende opmerkingen noteren.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D2.</w:t>
      </w:r>
      <w:r>
        <w:rPr>
          <w:rFonts w:cs="Arial"/>
          <w:szCs w:val="20"/>
        </w:rPr>
        <w:tab/>
        <w:t>Mocht u toch gebruik maken van dit formulier vergeet dan niet het formulier te dateren en te ondertekenen.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D3.</w:t>
      </w:r>
      <w:r>
        <w:rPr>
          <w:rFonts w:cs="Arial"/>
          <w:szCs w:val="20"/>
        </w:rPr>
        <w:tab/>
        <w:t>U kunt de rapportage rechtstreeks invoeren op de website. U kunt de rapportage ook aanleveren via een zogenaamde geaccepteerde deskundige. Op de website van de UO-IMT vindt u een lijst van geaccepteerde deskundigen.</w:t>
      </w:r>
      <w:r>
        <w:rPr>
          <w:rFonts w:cs="Arial"/>
          <w:szCs w:val="20"/>
        </w:rPr>
        <w:br/>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9330"/>
      </w:tblGrid>
      <w:tr w:rsidR="00FC57C8" w:rsidTr="00F43C9B">
        <w:tc>
          <w:tcPr>
            <w:tcW w:w="9330"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VOORBEELD</w:t>
            </w:r>
            <w:r>
              <w:rPr>
                <w:rFonts w:cs="Arial"/>
                <w:sz w:val="16"/>
                <w:szCs w:val="16"/>
              </w:rPr>
              <w:br/>
              <w:t xml:space="preserve"> Van het invullen van het Teeltplan </w:t>
            </w: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3924"/>
        <w:gridCol w:w="1802"/>
        <w:gridCol w:w="1802"/>
        <w:gridCol w:w="1802"/>
      </w:tblGrid>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Gewasgroep (code) </w:t>
            </w:r>
          </w:p>
        </w:tc>
        <w:tc>
          <w:tcPr>
            <w:tcW w:w="3604" w:type="dxa"/>
            <w:gridSpan w:val="2"/>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Periode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Oppervlakte </w:t>
            </w: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Van week</w:t>
            </w:r>
            <w:r>
              <w:rPr>
                <w:rFonts w:cs="Arial"/>
                <w:sz w:val="16"/>
                <w:szCs w:val="16"/>
                <w:vertAlign w:val="superscript"/>
              </w:rPr>
              <w:t>1</w:t>
            </w:r>
            <w:r>
              <w:rPr>
                <w:rFonts w:cs="Arial"/>
                <w:sz w:val="16"/>
                <w:szCs w:val="16"/>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Tot en met week</w:t>
            </w:r>
            <w:r>
              <w:rPr>
                <w:rFonts w:cs="Arial"/>
                <w:sz w:val="16"/>
                <w:szCs w:val="16"/>
                <w:vertAlign w:val="superscript"/>
              </w:rPr>
              <w:t>1</w:t>
            </w:r>
            <w:r>
              <w:rPr>
                <w:rFonts w:cs="Arial"/>
                <w:sz w:val="16"/>
                <w:szCs w:val="16"/>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(in ha) </w:t>
            </w: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Onbeteeld oppervlak (000)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2,3000 </w:t>
            </w: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Geen registratieplicht (999)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Paprika (82)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42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2,3000 </w:t>
            </w: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Courgette (301)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38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1,7000 </w:t>
            </w: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Onbeteeld oppervlak (000)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39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43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1,7000 </w:t>
            </w: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Onbeteeld oppervlak (000)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44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52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4,0000 </w:t>
            </w: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r w:rsidR="00FC57C8" w:rsidTr="00F43C9B">
        <w:tc>
          <w:tcPr>
            <w:tcW w:w="3924"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c>
          <w:tcPr>
            <w:tcW w:w="1802" w:type="dxa"/>
            <w:tcBorders>
              <w:top w:val="single" w:sz="4" w:space="0" w:color="auto"/>
              <w:left w:val="single" w:sz="4" w:space="0" w:color="auto"/>
              <w:bottom w:val="single" w:sz="4" w:space="0" w:color="auto"/>
              <w:right w:val="single" w:sz="4" w:space="0" w:color="auto"/>
            </w:tcBorders>
          </w:tcPr>
          <w:p w:rsidR="00FC57C8" w:rsidRDefault="00FC57C8" w:rsidP="00FC57C8">
            <w:pPr>
              <w:widowControl w:val="0"/>
              <w:shd w:val="clear" w:color="auto" w:fill="D9D9D9" w:themeFill="background1" w:themeFillShade="D9"/>
              <w:autoSpaceDE w:val="0"/>
              <w:autoSpaceDN w:val="0"/>
              <w:adjustRightInd w:val="0"/>
              <w:spacing w:line="240" w:lineRule="auto"/>
              <w:rPr>
                <w:rFonts w:cs="Arial"/>
                <w:sz w:val="16"/>
                <w:szCs w:val="16"/>
              </w:rPr>
            </w:pPr>
          </w:p>
        </w:tc>
      </w:tr>
    </w:tbl>
    <w:p w:rsidR="00FC57C8" w:rsidRDefault="00FC57C8" w:rsidP="00FC57C8">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pStyle w:val="Documentstructuur"/>
        <w:widowControl w:val="0"/>
        <w:shd w:val="clear" w:color="auto" w:fill="D9D9D9" w:themeFill="background1" w:themeFillShade="D9"/>
        <w:autoSpaceDE w:val="0"/>
        <w:autoSpaceDN w:val="0"/>
        <w:adjustRightInd w:val="0"/>
        <w:spacing w:line="240" w:lineRule="auto"/>
        <w:ind w:left="640"/>
        <w:rPr>
          <w:rFonts w:ascii="Arial" w:hAnsi="Arial" w:cs="Arial"/>
          <w:sz w:val="20"/>
          <w:szCs w:val="20"/>
        </w:rPr>
      </w:pPr>
      <w:r>
        <w:rPr>
          <w:rFonts w:ascii="Arial" w:hAnsi="Arial" w:cs="Arial"/>
          <w:sz w:val="20"/>
          <w:szCs w:val="20"/>
          <w:vertAlign w:val="superscript"/>
        </w:rPr>
        <w:t>1</w:t>
      </w:r>
      <w:r>
        <w:rPr>
          <w:rFonts w:ascii="Arial" w:hAnsi="Arial" w:cs="Arial"/>
          <w:sz w:val="20"/>
          <w:szCs w:val="20"/>
        </w:rPr>
        <w:t xml:space="preserve"> Een week in het rapportagejaar.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Toelichting op het voorbeeld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Deze teler heeft op zijn bedrijf een totaal teeltoppervlak van 4 hectare (40.000 m</w:t>
      </w:r>
      <w:r>
        <w:rPr>
          <w:rFonts w:cs="Arial"/>
          <w:szCs w:val="20"/>
          <w:vertAlign w:val="superscript"/>
        </w:rPr>
        <w:t>2</w:t>
      </w:r>
      <w:r>
        <w:rPr>
          <w:rFonts w:cs="Arial"/>
          <w:szCs w:val="20"/>
        </w:rPr>
        <w:t>). Daarvan gebruikt hij dit jaar 2,3 ha voor paprikateelt, en 1,7 ha voor courgettes. Een gedeelte van het jaar, in de winter, ligt het bedrijf leeg.</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 de tabel moet deze teler dus 3 dingen aangeven: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1.</w:t>
      </w:r>
      <w:r>
        <w:rPr>
          <w:rFonts w:cs="Arial"/>
          <w:szCs w:val="20"/>
        </w:rPr>
        <w:tab/>
        <w:t>Wanneer en op welk oppervlak hij paprika’s teelt.</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2.</w:t>
      </w:r>
      <w:r>
        <w:rPr>
          <w:rFonts w:cs="Arial"/>
          <w:szCs w:val="20"/>
        </w:rPr>
        <w:tab/>
        <w:t>Wanneer en op welk oppervlak hij courgettes teelt.</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3.</w:t>
      </w:r>
      <w:r>
        <w:rPr>
          <w:rFonts w:cs="Arial"/>
          <w:szCs w:val="20"/>
        </w:rPr>
        <w:tab/>
        <w:t>Wanneer welk oppervlak onbeteeld is.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Eerst worden de gewassen ingevuld.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teler teelt paprika’s van week 3 tot en met week 43 op 2,3 ha. De gewascode voor paprika is 82. Dit wordt opgenomen in de tabel l.</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teler teelt courgette van week 1 tot en met 38 op 1,7 ha. De gewascode voor courgette is 301. Ook dit wordt vermeld.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In deze rapportage is het belangrijk om ook de periodes te vermelden dat (een deel van de) kas leeg staat. De rapportage is namelijk pas volledig als voor alle 52 (of 53) weken is vermeld wat er in de kas geteeld is.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Voor deze tuinder geldt dat de kas zowel in het begin van het jaar als het eind van het jaar gedeeltelijk leeg staat. Dit wordt vermeld als onbeteeld oppervlak. Omdat het oppervlakte onbeteeld aan het eind van het jaar (vanaf week 43) verandert zijn hier drie regels voor nodig in de tabel.</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Per week vergelijkt de teler het oppervlak dat in gebruik is voor paprika en courgette met het totale teeltoppervlak.</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In week 1 en week 2 staan er al wel courgettes in de kas, maar nog geen paprika’s. 2,3 ha van het kasoppervlak is dus onbeteeld. Op de bovenste, voorgedrukte, regel van de tabel (‘onbeteeld’) geeft hij aan dat in week 1 en 2 2,3 ha onbeteeld is.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In de periode van week 3 tot en met week 38 is het totale kasoppervlak in gebruik voor paprika’s en courgettes. Er is dus in deze periode geen onbeteeld oppervlak.</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 de weken 39 tot en met 42 is 1,7 ha onbeteeld. De tuinder neemt dit op in de tabel. Vanaf week 43 staat de hele kas leeg. Ook dit wordt vermeld in de tabel.</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szCs w:val="20"/>
        </w:rPr>
        <w:br/>
      </w:r>
      <w:r>
        <w:rPr>
          <w:rFonts w:cs="Arial"/>
          <w:szCs w:val="20"/>
        </w:rPr>
        <w:br/>
      </w:r>
      <w:bookmarkStart w:id="438" w:name="Bijlage7AR"/>
      <w:r>
        <w:rPr>
          <w:rFonts w:cs="Arial"/>
          <w:b/>
          <w:bCs/>
          <w:szCs w:val="20"/>
        </w:rPr>
        <w:t xml:space="preserve">Bijlage 7. Meetvoorschrift binnenschietinrichtingen </w:t>
      </w:r>
      <w:bookmarkEnd w:id="438"/>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Doel meetvoorschrift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doel van het Meetvoorschrift binnenschietinrichtingen is om de geluidimmissies ten gevolge van schietgeluid rondom een civiele binnenschietinrichting te bepalen op de gevel van nabijgelegen geluidgevoelige bestemmingen of in in- of aanpandige gebouwen.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Schiet- en impulsgeluid in bestaande voorschriften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In de Handleiding Meten en Rekenen Industrielawaai (1999) wordt gesteld dat deze niet van toepassing is op schietgeluid. Voor de inventarisatie en beoordeling van schietgeluid wordt verwezen naar de Circulaire Schietlawaai (oorspronkelijke versie 1979).</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In de Circulaire Schietlawaai berust de beoordeling van schietgeluid op twee aspecten: het Lknal niveau van een enkel schot, en het gemiddelde geluidniveau over een periode van een uur (waarbij het aantal schoten wordt meegenomen). De Circulaire is echter specifiek van toepassing op schietinrichtingen in de open lucht. Daarnaast wordt in de Circulaire het gebruik van Lknal waarden voorgeschreven, waarbij de metingen dienen te worden uitgevoerd in de stand ‘impuls’ en ‘A-weging’, met bijbehorende dB(A, imp) waarden. De internationale standaard voor geluidmeters, IEC 61672:2003, schrijft echter alleen nog de ‘fast’ en ‘slow’ tijdweging voor en concludeert dat ‘impulse’ weging ongeschikt is voor impulsgeluid. Alleen uit historische overwegingen wordt in deze norm nog iets gezegd over de meterstand impulse.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Er is derhalve geen meetmethode voorgeschreven om de beoordelingsgrootheden voor schietgeluid van binnenschietinrichtingen te bepalen. Deze leemte wordt door dit nieuwe meetvoorschrift ingevuld.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Beoordelingsmaten voor schietgeluid van binnenschietbanen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In het Activiteitenbesluit wordt voor de beoordeling van het geluid van schietbanen van twee beoordelingsgrootheden uitgegaan: Het langtijdgemiddelde beoordelingsniveaus (L</w:t>
      </w:r>
      <w:r>
        <w:rPr>
          <w:rFonts w:cs="Arial"/>
          <w:szCs w:val="20"/>
          <w:vertAlign w:val="subscript"/>
        </w:rPr>
        <w:t>Ar,LT</w:t>
      </w:r>
      <w:r>
        <w:rPr>
          <w:rFonts w:cs="Arial"/>
          <w:szCs w:val="20"/>
        </w:rPr>
        <w:t>) en het maximale geluidniveau (L</w:t>
      </w:r>
      <w:r>
        <w:rPr>
          <w:rFonts w:cs="Arial"/>
          <w:szCs w:val="20"/>
          <w:vertAlign w:val="subscript"/>
        </w:rPr>
        <w:t>Amax</w:t>
      </w:r>
      <w:r>
        <w:rPr>
          <w:rFonts w:cs="Arial"/>
          <w:szCs w:val="20"/>
        </w:rPr>
        <w:t>) voor drie beoordelingsperioden: de dag-, avond- en nachtperiode.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Voor het meten en berekenen van het langtijdgemiddelde beoordelingsniveaus (L</w:t>
      </w:r>
      <w:r>
        <w:rPr>
          <w:rFonts w:cs="Arial"/>
          <w:szCs w:val="20"/>
          <w:vertAlign w:val="subscript"/>
        </w:rPr>
        <w:t>Ar,LT</w:t>
      </w:r>
      <w:r>
        <w:rPr>
          <w:rFonts w:cs="Arial"/>
          <w:szCs w:val="20"/>
        </w:rPr>
        <w:t>) wordt gebruik gemaakt van het A-gewogen geluidexpositieniveau L</w:t>
      </w:r>
      <w:r>
        <w:rPr>
          <w:rFonts w:cs="Arial"/>
          <w:szCs w:val="20"/>
          <w:vertAlign w:val="subscript"/>
        </w:rPr>
        <w:t>AE</w:t>
      </w:r>
      <w:r>
        <w:rPr>
          <w:rFonts w:cs="Arial"/>
          <w:szCs w:val="20"/>
        </w:rPr>
        <w:t xml:space="preserve"> van een enkel schot (zie ISO 17201). Het equivalente geluidniveau L</w:t>
      </w:r>
      <w:r>
        <w:rPr>
          <w:rFonts w:cs="Arial"/>
          <w:szCs w:val="20"/>
          <w:vertAlign w:val="subscript"/>
        </w:rPr>
        <w:t>Aeq</w:t>
      </w:r>
      <w:r>
        <w:rPr>
          <w:rFonts w:cs="Arial"/>
          <w:szCs w:val="20"/>
        </w:rPr>
        <w:t xml:space="preserve"> van een wapentype is gerelateerd aan het geluidexpositieniveau L</w:t>
      </w:r>
      <w:r>
        <w:rPr>
          <w:rFonts w:cs="Arial"/>
          <w:szCs w:val="20"/>
          <w:vertAlign w:val="subscript"/>
        </w:rPr>
        <w:t>AE</w:t>
      </w:r>
      <w:r>
        <w:rPr>
          <w:rFonts w:cs="Arial"/>
          <w:szCs w:val="20"/>
        </w:rPr>
        <w:t xml:space="preserve"> volgens:</w:t>
      </w:r>
    </w:p>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Cs w:val="20"/>
          <w:lang w:val="fr-FR"/>
        </w:rPr>
      </w:pPr>
      <w:r w:rsidRPr="00FC57C8">
        <w:rPr>
          <w:rFonts w:cs="Arial"/>
          <w:szCs w:val="20"/>
          <w:lang w:val="fr-FR"/>
        </w:rPr>
        <w:t>L</w:t>
      </w:r>
      <w:r w:rsidRPr="00FC57C8">
        <w:rPr>
          <w:rFonts w:cs="Arial"/>
          <w:szCs w:val="20"/>
          <w:vertAlign w:val="subscript"/>
          <w:lang w:val="fr-FR"/>
        </w:rPr>
        <w:t>Aeq</w:t>
      </w:r>
      <w:r w:rsidRPr="00FC57C8">
        <w:rPr>
          <w:rFonts w:cs="Arial"/>
          <w:szCs w:val="20"/>
          <w:lang w:val="fr-FR"/>
        </w:rPr>
        <w:t xml:space="preserve"> = L</w:t>
      </w:r>
      <w:r w:rsidRPr="00FC57C8">
        <w:rPr>
          <w:rFonts w:cs="Arial"/>
          <w:szCs w:val="20"/>
          <w:vertAlign w:val="subscript"/>
          <w:lang w:val="fr-FR"/>
        </w:rPr>
        <w:t>AE</w:t>
      </w:r>
      <w:r w:rsidRPr="00FC57C8">
        <w:rPr>
          <w:rFonts w:cs="Arial"/>
          <w:szCs w:val="20"/>
          <w:lang w:val="fr-FR"/>
        </w:rPr>
        <w:t xml:space="preserve"> – 10log(T) + 10log(N) (1)</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met</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L</w:t>
      </w:r>
      <w:r>
        <w:rPr>
          <w:rFonts w:cs="Arial"/>
          <w:szCs w:val="20"/>
          <w:vertAlign w:val="subscript"/>
        </w:rPr>
        <w:t>AE</w:t>
      </w:r>
      <w:r>
        <w:rPr>
          <w:rFonts w:cs="Arial"/>
          <w:szCs w:val="20"/>
        </w:rPr>
        <w:t xml:space="preserve"> het geluidexpositieniveau van een wapentype;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T de tijdsduur in seconden van een beoordelingsperiode;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N het aantal schoten binnen de beoordelingsperiode.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L</w:t>
      </w:r>
      <w:r>
        <w:rPr>
          <w:rFonts w:cs="Arial"/>
          <w:szCs w:val="20"/>
          <w:vertAlign w:val="subscript"/>
        </w:rPr>
        <w:t>Amax</w:t>
      </w:r>
      <w:r>
        <w:rPr>
          <w:rFonts w:cs="Arial"/>
          <w:szCs w:val="20"/>
        </w:rPr>
        <w:t xml:space="preserve"> niveau is het maximale A-gewogen geluidniveau van een enkel schot gemeten in de meterstand ‘Fast’.Vier verschillende categorieën worden onderscheiden voor de wapentypen die op binnenschietbanen gebruikt worden:</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1)</w:t>
      </w:r>
      <w:r>
        <w:rPr>
          <w:rFonts w:cs="Arial"/>
          <w:szCs w:val="20"/>
        </w:rPr>
        <w:tab/>
        <w:t>KKP: klein kaliber pistool (tot en met .22 / 5.6mm);</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2)</w:t>
      </w:r>
      <w:r>
        <w:rPr>
          <w:rFonts w:cs="Arial"/>
          <w:szCs w:val="20"/>
        </w:rPr>
        <w:tab/>
        <w:t>KKG: klein kaliber geweer (tot en met .22 / 5.6mm);</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3)</w:t>
      </w:r>
      <w:r>
        <w:rPr>
          <w:rFonts w:cs="Arial"/>
          <w:szCs w:val="20"/>
        </w:rPr>
        <w:tab/>
        <w:t>GKP: groot kaliber pistool (groter dan .22 / 5.6mm);</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4)</w:t>
      </w:r>
      <w:r>
        <w:rPr>
          <w:rFonts w:cs="Arial"/>
          <w:szCs w:val="20"/>
        </w:rPr>
        <w:tab/>
        <w:t>GKG: groot kaliber geweer (groter dan .22 / 5.6mm).</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Afhankelijk van de bedrijfssituatie, wordt voor de verschillende relevante beoordelingsperioden voor elke categorie één representatief wapen vastgesteld. Dit wordt beschreven in het volgende hoofdstuk.</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Het langtijdgemiddelde beoordelingsniveau (L</w:t>
      </w:r>
      <w:r>
        <w:rPr>
          <w:rFonts w:cs="Arial"/>
          <w:szCs w:val="20"/>
          <w:vertAlign w:val="subscript"/>
        </w:rPr>
        <w:t>Ar,LT</w:t>
      </w:r>
      <w:r>
        <w:rPr>
          <w:rFonts w:cs="Arial"/>
          <w:szCs w:val="20"/>
        </w:rPr>
        <w:t>) voor de verschillende relevante beoordelingsperioden wordt bepaald met gebruikmaking van onderstaande formule. Vergelijkbaar met paragraaf 7.3.2 van de Handleiding Meten en Rekenen Industrielawaai wordt de toeslag K</w:t>
      </w:r>
      <w:r>
        <w:rPr>
          <w:rFonts w:cs="Arial"/>
          <w:szCs w:val="20"/>
          <w:vertAlign w:val="subscript"/>
        </w:rPr>
        <w:t>2</w:t>
      </w:r>
      <w:r>
        <w:rPr>
          <w:rFonts w:cs="Arial"/>
          <w:szCs w:val="20"/>
        </w:rPr>
        <w:t xml:space="preserve"> van 5 dB toegepast voor het impulsachtige schietgeluid:</w:t>
      </w:r>
    </w:p>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Cs w:val="20"/>
          <w:lang w:val="fr-FR"/>
        </w:rPr>
      </w:pPr>
      <w:r w:rsidRPr="00FC57C8">
        <w:rPr>
          <w:rFonts w:cs="Arial"/>
          <w:szCs w:val="20"/>
          <w:lang w:val="fr-FR"/>
        </w:rPr>
        <w:t>L</w:t>
      </w:r>
      <w:r w:rsidRPr="00FC57C8">
        <w:rPr>
          <w:rFonts w:cs="Arial"/>
          <w:szCs w:val="20"/>
          <w:vertAlign w:val="subscript"/>
          <w:lang w:val="fr-FR"/>
        </w:rPr>
        <w:t>Ar,LT</w:t>
      </w:r>
      <w:r w:rsidRPr="00FC57C8">
        <w:rPr>
          <w:rFonts w:cs="Arial"/>
          <w:szCs w:val="20"/>
          <w:lang w:val="fr-FR"/>
        </w:rPr>
        <w:t xml:space="preserve"> = 10 </w:t>
      </w:r>
      <w:r w:rsidRPr="00FC57C8">
        <w:rPr>
          <w:rFonts w:cs="Arial"/>
          <w:i/>
          <w:iCs/>
          <w:szCs w:val="20"/>
          <w:lang w:val="fr-FR"/>
        </w:rPr>
        <w:t>log</w:t>
      </w:r>
      <w:r w:rsidRPr="00FC57C8">
        <w:rPr>
          <w:rFonts w:cs="Arial"/>
          <w:szCs w:val="20"/>
          <w:lang w:val="fr-FR"/>
        </w:rPr>
        <w:t xml:space="preserve"> </w:t>
      </w:r>
      <w:r>
        <w:rPr>
          <w:rFonts w:cs="Arial"/>
          <w:szCs w:val="20"/>
        </w:rPr>
        <w:t>Σ</w:t>
      </w:r>
      <w:r w:rsidRPr="00FC57C8">
        <w:rPr>
          <w:rFonts w:cs="Arial"/>
          <w:szCs w:val="20"/>
          <w:lang w:val="fr-FR"/>
        </w:rPr>
        <w:t xml:space="preserve"> </w:t>
      </w:r>
      <w:r w:rsidRPr="00FC57C8">
        <w:rPr>
          <w:rFonts w:cs="Arial"/>
          <w:i/>
          <w:iCs/>
          <w:szCs w:val="20"/>
          <w:lang w:val="fr-FR"/>
        </w:rPr>
        <w:t>N</w:t>
      </w:r>
      <w:r w:rsidRPr="00FC57C8">
        <w:rPr>
          <w:rFonts w:cs="Arial"/>
          <w:i/>
          <w:iCs/>
          <w:szCs w:val="20"/>
          <w:vertAlign w:val="subscript"/>
          <w:lang w:val="fr-FR"/>
        </w:rPr>
        <w:t>cat</w:t>
      </w:r>
      <w:r w:rsidRPr="00FC57C8">
        <w:rPr>
          <w:rFonts w:cs="Arial"/>
          <w:i/>
          <w:iCs/>
          <w:szCs w:val="20"/>
          <w:lang w:val="fr-FR"/>
        </w:rPr>
        <w:t xml:space="preserve"> </w:t>
      </w:r>
      <w:r w:rsidRPr="00FC57C8">
        <w:rPr>
          <w:rFonts w:cs="Arial"/>
          <w:szCs w:val="20"/>
          <w:lang w:val="fr-FR"/>
        </w:rPr>
        <w:t xml:space="preserve"> 10</w:t>
      </w:r>
      <w:r w:rsidRPr="00FC57C8">
        <w:rPr>
          <w:rFonts w:cs="Arial"/>
          <w:szCs w:val="20"/>
          <w:vertAlign w:val="superscript"/>
          <w:lang w:val="fr-FR"/>
        </w:rPr>
        <w:t>0,1*LAE,cat</w:t>
      </w:r>
      <w:r w:rsidRPr="00FC57C8">
        <w:rPr>
          <w:rFonts w:cs="Arial"/>
          <w:szCs w:val="20"/>
          <w:lang w:val="fr-FR"/>
        </w:rPr>
        <w:t xml:space="preserve"> – 10*logT + 5 (2)</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Hierin is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N</w:t>
      </w:r>
      <w:r>
        <w:rPr>
          <w:rFonts w:cs="Arial"/>
          <w:szCs w:val="20"/>
          <w:vertAlign w:val="subscript"/>
        </w:rPr>
        <w:t>cat</w:t>
      </w:r>
      <w:r>
        <w:rPr>
          <w:rFonts w:cs="Arial"/>
          <w:szCs w:val="20"/>
        </w:rPr>
        <w:t xml:space="preserve"> `Het totaal aantal schoten per jaar per categorie gedurende de relevante beoordelingsperiode (dag, avond, nacht), dus niet alleen de schoten voor het representatieve wapen in de betreffende categorie;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L</w:t>
      </w:r>
      <w:r>
        <w:rPr>
          <w:rFonts w:cs="Arial"/>
          <w:szCs w:val="20"/>
          <w:vertAlign w:val="subscript"/>
        </w:rPr>
        <w:t>AE,cat</w:t>
      </w:r>
      <w:r>
        <w:rPr>
          <w:rFonts w:cs="Arial"/>
          <w:szCs w:val="20"/>
        </w:rPr>
        <w:t xml:space="preserve"> Het gemiddeld gemeten geluidexpositieniveau voor het representatieve wapen;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T Het aantal seconden binnen de relevante beoordelingsperiode (voor de dagperiode van 07:00 tot 19:00 uur is dit 365x3600×12 = 15.768.000 seconden).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Overig geluid van de inrichting (apparatuur zoals ventilatoren) wordt als volgt toegevoegd:</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L</w:t>
      </w:r>
      <w:r>
        <w:rPr>
          <w:rFonts w:cs="Arial"/>
          <w:szCs w:val="20"/>
          <w:vertAlign w:val="subscript"/>
        </w:rPr>
        <w:t>Ar,LT</w:t>
      </w:r>
      <w:r>
        <w:rPr>
          <w:rFonts w:cs="Arial"/>
          <w:szCs w:val="20"/>
        </w:rPr>
        <w:t xml:space="preserve"> = 10 </w:t>
      </w:r>
      <w:r>
        <w:rPr>
          <w:rFonts w:cs="Arial"/>
          <w:i/>
          <w:iCs/>
          <w:szCs w:val="20"/>
        </w:rPr>
        <w:t>log</w:t>
      </w:r>
      <w:r>
        <w:rPr>
          <w:rFonts w:cs="Arial"/>
          <w:szCs w:val="20"/>
        </w:rPr>
        <w:t xml:space="preserve"> (10</w:t>
      </w:r>
      <w:r>
        <w:rPr>
          <w:rFonts w:cs="Arial"/>
          <w:szCs w:val="20"/>
          <w:vertAlign w:val="superscript"/>
        </w:rPr>
        <w:t>0,1*Lschiet</w:t>
      </w:r>
      <w:r>
        <w:rPr>
          <w:rFonts w:cs="Arial"/>
          <w:szCs w:val="20"/>
        </w:rPr>
        <w:t xml:space="preserve"> + 10</w:t>
      </w:r>
      <w:r>
        <w:rPr>
          <w:rFonts w:cs="Arial"/>
          <w:szCs w:val="20"/>
          <w:vertAlign w:val="superscript"/>
        </w:rPr>
        <w:t>0,1*Loverig</w:t>
      </w:r>
      <w:r>
        <w:rPr>
          <w:rFonts w:cs="Arial"/>
          <w:szCs w:val="20"/>
        </w:rPr>
        <w:t>) (3)</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Waarbij</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L</w:t>
      </w:r>
      <w:r>
        <w:rPr>
          <w:rFonts w:cs="Arial"/>
          <w:szCs w:val="20"/>
          <w:vertAlign w:val="subscript"/>
        </w:rPr>
        <w:t>schiet</w:t>
      </w:r>
      <w:r>
        <w:rPr>
          <w:rFonts w:cs="Arial"/>
          <w:szCs w:val="20"/>
        </w:rPr>
        <w:t xml:space="preserve"> het L</w:t>
      </w:r>
      <w:r>
        <w:rPr>
          <w:rFonts w:cs="Arial"/>
          <w:szCs w:val="20"/>
          <w:vertAlign w:val="subscript"/>
        </w:rPr>
        <w:t>Ar,LT</w:t>
      </w:r>
      <w:r>
        <w:rPr>
          <w:rFonts w:cs="Arial"/>
          <w:szCs w:val="20"/>
        </w:rPr>
        <w:t>is van het schietgeluid;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L</w:t>
      </w:r>
      <w:r>
        <w:rPr>
          <w:rFonts w:cs="Arial"/>
          <w:szCs w:val="20"/>
          <w:vertAlign w:val="subscript"/>
        </w:rPr>
        <w:t>overig</w:t>
      </w:r>
      <w:r>
        <w:rPr>
          <w:rFonts w:cs="Arial"/>
          <w:szCs w:val="20"/>
        </w:rPr>
        <w:t xml:space="preserve"> het L</w:t>
      </w:r>
      <w:r>
        <w:rPr>
          <w:rFonts w:cs="Arial"/>
          <w:szCs w:val="20"/>
          <w:vertAlign w:val="subscript"/>
        </w:rPr>
        <w:t>Ar,LT</w:t>
      </w:r>
      <w:r>
        <w:rPr>
          <w:rFonts w:cs="Arial"/>
          <w:szCs w:val="20"/>
        </w:rPr>
        <w:t>is van het overig inrichtinggeluid.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Akoestisch representatieve bedrijfssituatie</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representatieve beoordelingsperiode kenmerkend voor de geluidsituatie van de schietinrichting is vastgesteld op 1 kalenderjaar.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Het representatieve gebruik in aantallen schoten wordt verdeeld over de genoemde vier wapencategorieën. Per categorie wordt ook een representatief wapen vastgesteld.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Een representatief wapen wordt bepaald door het wapen dat binnen een categorie de hoogste geluidniveaus geeft. Daartoe wordt het wapen gekozen dat binnen een categorie het hoogste kaliber heeft; het hoogste gewicht van de voortdrijvende lading; de hoogste uittredesnelheid van de kogel heeft en de kortste loop heeft. Het wapen dat op basis hiervan naar verwachting de hoogste geluidemissie geeft en dat binnen de representatieve bedrijfssituatie in de betreffende categorie verantwoordelijk is voor meer dan 5 procent van het aantal schoten, wordt als representatief wapen aangemerkt.</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Bepaling van beoordelingsgrootheden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geluidimmissie van een wapencategorie, uitgedrukt in het A-gewogen geluidexpositieniveau, wordt bepaald uit metingen aan het wapentype dat representatief is voor de wapencategorie. De langtijdgemiddelde beoordelingsniveaus (L</w:t>
      </w:r>
      <w:r>
        <w:rPr>
          <w:rFonts w:cs="Arial"/>
          <w:szCs w:val="20"/>
          <w:vertAlign w:val="subscript"/>
        </w:rPr>
        <w:t>Ar,LT</w:t>
      </w:r>
      <w:r>
        <w:rPr>
          <w:rFonts w:cs="Arial"/>
          <w:szCs w:val="20"/>
        </w:rPr>
        <w:t>) voor de verschillende beoordelingsperioden worden vervolgens bepaald met behulp van formule (2).</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Het maximale geluidniveau (L</w:t>
      </w:r>
      <w:r>
        <w:rPr>
          <w:rFonts w:cs="Arial"/>
          <w:szCs w:val="20"/>
          <w:vertAlign w:val="subscript"/>
        </w:rPr>
        <w:t>Amax</w:t>
      </w:r>
      <w:r>
        <w:rPr>
          <w:rFonts w:cs="Arial"/>
          <w:szCs w:val="20"/>
        </w:rPr>
        <w:t>) wordt bepaald door het hoogste gemeten L</w:t>
      </w:r>
      <w:r>
        <w:rPr>
          <w:rFonts w:cs="Arial"/>
          <w:szCs w:val="20"/>
          <w:vertAlign w:val="subscript"/>
        </w:rPr>
        <w:t>Amax</w:t>
      </w:r>
      <w:r>
        <w:rPr>
          <w:rFonts w:cs="Arial"/>
          <w:szCs w:val="20"/>
        </w:rPr>
        <w:t xml:space="preserve"> niveau van één van de vier representatieve wapens.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Indien de binnenschietinrichting verschillende banen kent, dient deze procedure voor iedere baan apart te worden doorlopen. Het langtijdgemiddelde beoordelingsniveau is dan het energetisch gesommeerde beoordelingsniveau van de verschillende banen. Het maximale geluidniveau wordt bepaald door het niveau van de baan met het hoogste niveau.</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Indien de inrichting behalve schietgeluid tevens ander geluid produceert wordt dit toegevoegd middels formule (3). Ook voor dit geluid is de beoordelingsperiode 1 jaar.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Meten van de geluidimmissie</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Indicatieve metingen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Ter hoogte van de gevel van gevoelige gebouwen of in in- en aanpandige gevoelige gebouwen kunnen eerst indicatieve metingen worden uitgevoerd. Deze hebben als doel om te bepalen of de uiteindelijke metingen op de gevoelige bestemming betrouwbaar kunnen worden uitgevoerd en welke schietposities hiervoor relevant zijn.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De indicatieve meting wordt uitgevoerd door de variatie van het L</w:t>
      </w:r>
      <w:r>
        <w:rPr>
          <w:rFonts w:cs="Arial"/>
          <w:szCs w:val="20"/>
          <w:vertAlign w:val="subscript"/>
        </w:rPr>
        <w:t>Amax</w:t>
      </w:r>
      <w:r>
        <w:rPr>
          <w:rFonts w:cs="Arial"/>
          <w:szCs w:val="20"/>
        </w:rPr>
        <w:t xml:space="preserve"> niveau voor, tijdens en na een serie van 3 schoten af te lezen van de geluidniveaumeter. Indien het niveau van de metingen met schietgeluid ten minste 5 dB of meer bedraagt dan zonder schietgeluid, dan kunnen de L</w:t>
      </w:r>
      <w:r>
        <w:rPr>
          <w:rFonts w:cs="Arial"/>
          <w:szCs w:val="20"/>
          <w:vertAlign w:val="subscript"/>
        </w:rPr>
        <w:t>AE</w:t>
      </w:r>
      <w:r>
        <w:rPr>
          <w:rFonts w:cs="Arial"/>
          <w:szCs w:val="20"/>
        </w:rPr>
        <w:t xml:space="preserve"> en L</w:t>
      </w:r>
      <w:r>
        <w:rPr>
          <w:rFonts w:cs="Arial"/>
          <w:szCs w:val="20"/>
          <w:vertAlign w:val="subscript"/>
        </w:rPr>
        <w:t>Amax</w:t>
      </w:r>
      <w:r>
        <w:rPr>
          <w:rFonts w:cs="Arial"/>
          <w:szCs w:val="20"/>
        </w:rPr>
        <w:t xml:space="preserve"> metingen betrouwbaar worden uitgevoerd. Directe communicatie met de schutter is van belang om de tijdstippen van de meting af te stemmen. Het is van belang om deze indicatieve metingen uit te voeren met zo min mogelijk stoorgeluid.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Als het bovengenoemde verschil minder dan 5 dB is kunnen de metingen alsnog worden uitgevoerd, maar deze zijn dan niet betrouwbaar en geven alleen een bovengrens van de optredende geluidniveaus. Het is echter niet de verwachting dat voor dit soort situaties hinder zal optreden.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Metingen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Ter hoogte van de gevel van gevoelige gebouwen of in in- en aanpandige gevoelige gebouwen worden de L</w:t>
      </w:r>
      <w:r>
        <w:rPr>
          <w:rFonts w:cs="Arial"/>
          <w:szCs w:val="20"/>
          <w:vertAlign w:val="subscript"/>
        </w:rPr>
        <w:t>AE</w:t>
      </w:r>
      <w:r>
        <w:rPr>
          <w:rFonts w:cs="Arial"/>
          <w:szCs w:val="20"/>
        </w:rPr>
        <w:t xml:space="preserve"> en L</w:t>
      </w:r>
      <w:r>
        <w:rPr>
          <w:rFonts w:cs="Arial"/>
          <w:szCs w:val="20"/>
          <w:vertAlign w:val="subscript"/>
        </w:rPr>
        <w:t>Amax</w:t>
      </w:r>
      <w:r>
        <w:rPr>
          <w:rFonts w:cs="Arial"/>
          <w:szCs w:val="20"/>
        </w:rPr>
        <w:t xml:space="preserve"> niveaus gemeten van de vier representatieve wapens. Voor het bepalen van de meetposities wordt verwezen naar paragraaf 3.7 van de Handleiding Meten en Rekenen Industrielawaai.</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Vanwege het kortdurende karakter van het schietgeluid en mogelijke variaties in de niveaus van achtereenvolgende schoten, moeten per positie ten minste 5 schoten van elk representatief wapentype worden gemeten. Indien voor de L</w:t>
      </w:r>
      <w:r>
        <w:rPr>
          <w:rFonts w:cs="Arial"/>
          <w:szCs w:val="20"/>
          <w:vertAlign w:val="subscript"/>
        </w:rPr>
        <w:t>AE</w:t>
      </w:r>
      <w:r>
        <w:rPr>
          <w:rFonts w:cs="Arial"/>
          <w:szCs w:val="20"/>
        </w:rPr>
        <w:t xml:space="preserve"> waarden de standaarddeviatie van het energetisch gemiddelde (standaarddeviatie van de gemeten geluidniveaus gedeeld door √(N-1)) meer dan 1 dB bedraagt, dan dient het aantal schoten te worden vergroot totdat de standaarddeviatie minder dan 1 dB bedraagt.</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Voor de beoordeling is het invallende geluidniveau relevant. Indien het meetpunt direct vóór een gevel is gesitueerd dient, om het invallende geluidniveau te bepalen, de gevelcorrectieterm C</w:t>
      </w:r>
      <w:r>
        <w:rPr>
          <w:rFonts w:cs="Arial"/>
          <w:szCs w:val="20"/>
          <w:vertAlign w:val="subscript"/>
        </w:rPr>
        <w:t>g</w:t>
      </w:r>
      <w:r>
        <w:rPr>
          <w:rFonts w:cs="Arial"/>
          <w:szCs w:val="20"/>
        </w:rPr>
        <w:t xml:space="preserve"> te worden toegepast zoals deze is gedefinieerd in de Handleiding Meten en Rekenen Industrielawaai.</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Metingen dienen te worden uitgevoerd voor schietposities op het midden van baan en voor alle schietposities die ten opzichte van de kogelvanger relevant zijn. Het is mogelijk dat als gevolg van een akoestisch lek door de ventilatievoorziening de gemeten geluidniveaus hoger zijn als de schutter zich dichterbij de kogelvanger bevindt.</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Voor het vaststellen van langtijdgemiddelde beoordelingsniveaus worden de gemeten geluidexpositieniveaus per meetlocatie en per schietlocatie energetisch gemiddeld. Indien voor een bepaalde beoordelingslocatie voor verschillende schietposities metingen zijn uitgevoerd, dan worden, voor de bepaling van het langtijdgemiddelde beoordelingsniveau, alleen die meetresultaten gebruikt van de schietpositie waar het hoogste gemiddelde geluidexpositieniveau is gemeten.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Tevens dient per meetlocatie in een zo rustig mogelijke periode gedurende ten minste 1 minuut het L</w:t>
      </w:r>
      <w:r>
        <w:rPr>
          <w:rFonts w:cs="Arial"/>
          <w:szCs w:val="20"/>
          <w:vertAlign w:val="subscript"/>
        </w:rPr>
        <w:t>Aeq</w:t>
      </w:r>
      <w:r>
        <w:rPr>
          <w:rFonts w:cs="Arial"/>
          <w:szCs w:val="20"/>
        </w:rPr>
        <w:t xml:space="preserve"> niveau van het achtergrondgeluid te worden bepaald.</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Het meten van schietgeluid vraagt een aparte deskundigheid waarbij bijzondere aandacht geschonken moet worden aan het dynamisch bereik van het meetsysteem, invloeden van het achtergrondgeluidniveau en de meteorologie op het overdrachtpad van de schietinrichting naar een geluidgevoelige bestemming. Voor de windrichting zijn de voorschriften uit de paragraaf 3.5.5 van de Handleiding Meten en Rekenen Industrielawaai van toepassing. Indien de afstand vanaf de inrihting tot een meetlocatie minder dan 50 meter is, dan hoeft er niet onder meteo-raamcondities te worden gemeten. De windsnelheid op 10 meter hoogte dient in alle gevallen beneden de 5 meter per seconde te zijn.</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Apparatuur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metingen dienen te worden uitgevoerd met een ‘type 1’- geluidniveaumeter zoals dit gedefinieerd is in IEC 61672. Daarnaast is het aan te bevelen dat de geluidmeter voldoet aan de aanvullende voorwaarden voor het meten van impulsgeluid. Deze aanvullende voorwaarden zijn ook in deze norm gedefinieerd. In sommige oudere geluidmeters wordt het geluidexpositieniveau vastgesteld door een integratie van een beperkt aantal samples van het breedbandige instantane geluidniveau. Voor dit type geluidniveaumeters dient het sampling interval kleiner of gelijk te zijn aan 100 ηs.</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Referenties</w:t>
      </w:r>
    </w:p>
    <w:p w:rsid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Handleiding Meten en Rekenen Industrielawaai, 1999;</w:t>
      </w:r>
    </w:p>
    <w:p w:rsidR="00FC57C8" w:rsidRP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lang w:val="en-US"/>
        </w:rPr>
      </w:pPr>
      <w:r w:rsidRPr="00FC57C8">
        <w:rPr>
          <w:rFonts w:cs="Arial"/>
          <w:szCs w:val="20"/>
          <w:lang w:val="en-US"/>
        </w:rPr>
        <w:t>●.</w:t>
      </w:r>
      <w:r w:rsidRPr="00FC57C8">
        <w:rPr>
          <w:rFonts w:cs="Arial"/>
          <w:szCs w:val="20"/>
          <w:lang w:val="en-US"/>
        </w:rPr>
        <w:tab/>
        <w:t>IEC 61672:2003;</w:t>
      </w:r>
    </w:p>
    <w:p w:rsidR="00FC57C8" w:rsidRPr="00FC57C8" w:rsidRDefault="00FC57C8" w:rsidP="00FC57C8">
      <w:pPr>
        <w:widowControl w:val="0"/>
        <w:shd w:val="clear" w:color="auto" w:fill="D9D9D9" w:themeFill="background1" w:themeFillShade="D9"/>
        <w:autoSpaceDE w:val="0"/>
        <w:autoSpaceDN w:val="0"/>
        <w:adjustRightInd w:val="0"/>
        <w:spacing w:line="240" w:lineRule="auto"/>
        <w:ind w:left="640" w:hanging="320"/>
        <w:rPr>
          <w:rFonts w:cs="Arial"/>
          <w:szCs w:val="20"/>
          <w:lang w:val="en-US"/>
        </w:rPr>
      </w:pPr>
      <w:r w:rsidRPr="00FC57C8">
        <w:rPr>
          <w:rFonts w:cs="Arial"/>
          <w:szCs w:val="20"/>
          <w:lang w:val="en-US"/>
        </w:rPr>
        <w:t>●.</w:t>
      </w:r>
      <w:r w:rsidRPr="00FC57C8">
        <w:rPr>
          <w:rFonts w:cs="Arial"/>
          <w:szCs w:val="20"/>
          <w:lang w:val="en-US"/>
        </w:rPr>
        <w:tab/>
        <w:t>ISO 17201-1:2005/Cor 1:2009, Acoustics, Noise from shooting ranges, Part 1: Determination of muzzle blast by measurement.</w:t>
      </w:r>
    </w:p>
    <w:p w:rsidR="00FC57C8" w:rsidRPr="00FC57C8" w:rsidRDefault="00FC57C8" w:rsidP="00FC57C8">
      <w:pPr>
        <w:widowControl w:val="0"/>
        <w:shd w:val="clear" w:color="auto" w:fill="D9D9D9" w:themeFill="background1" w:themeFillShade="D9"/>
        <w:autoSpaceDE w:val="0"/>
        <w:autoSpaceDN w:val="0"/>
        <w:adjustRightInd w:val="0"/>
        <w:spacing w:line="240" w:lineRule="auto"/>
        <w:rPr>
          <w:rFonts w:cs="Arial"/>
          <w:szCs w:val="20"/>
          <w:lang w:val="en-US"/>
        </w:rPr>
      </w:pP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b/>
          <w:bCs/>
          <w:szCs w:val="20"/>
        </w:rPr>
      </w:pPr>
      <w:bookmarkStart w:id="439" w:name="Bijlage8AR"/>
      <w:r>
        <w:rPr>
          <w:rFonts w:cs="Arial"/>
          <w:b/>
          <w:bCs/>
          <w:szCs w:val="20"/>
        </w:rPr>
        <w:t xml:space="preserve">Bijlage 8. </w:t>
      </w:r>
      <w:bookmarkEnd w:id="439"/>
      <w:r w:rsidR="00B92EE8">
        <w:rPr>
          <w:rFonts w:cs="Arial"/>
          <w:b/>
          <w:bCs/>
          <w:szCs w:val="20"/>
        </w:rPr>
        <w:t>Rekenmethode zuiveringsrendement van de zuiveringtechnische werken waarvoor het openbaar lichaam of een andere rechtspersoon met de zorg is belast</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771CDFDC" wp14:editId="29C4E28D">
            <wp:extent cx="2009775" cy="2857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waarin: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w:t>
      </w:r>
      <w:r>
        <w:rPr>
          <w:rFonts w:cs="Arial"/>
          <w:szCs w:val="20"/>
          <w:vertAlign w:val="subscript"/>
        </w:rPr>
        <w:t>i</w:t>
      </w:r>
      <w:r>
        <w:rPr>
          <w:rFonts w:cs="Arial"/>
          <w:szCs w:val="20"/>
        </w:rPr>
        <w:t xml:space="preserve"> = hoeveelheid totaal stikstof, onderscheidenlijk totaal fosfor in het door de zuiveringstechnische werken waarvoor het openbaar lichaam of een andere rechtspersoon met de zorg is belast, te zuiveren stedelijk afvalwater, in kilogram per jaar.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w:t>
      </w:r>
      <w:r>
        <w:rPr>
          <w:rFonts w:cs="Arial"/>
          <w:szCs w:val="20"/>
          <w:vertAlign w:val="subscript"/>
        </w:rPr>
        <w:t>e</w:t>
      </w:r>
      <w:r>
        <w:rPr>
          <w:rFonts w:cs="Arial"/>
          <w:szCs w:val="20"/>
        </w:rPr>
        <w:t xml:space="preserve"> = hoeveelheid totaal stikstof, onderscheidenlijk totaal fosfor in het door de zuiveringstechnische werken waarvoor het openbaar lichaam of een andere rechtspersoon met de zorg is belast, na zuivering te lozen stedelijk afvalwater, in kilogram per jaar.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V</w:t>
      </w:r>
      <w:r>
        <w:rPr>
          <w:rFonts w:cs="Arial"/>
          <w:szCs w:val="20"/>
          <w:vertAlign w:val="subscript"/>
        </w:rPr>
        <w:t>i</w:t>
      </w:r>
      <w:r>
        <w:rPr>
          <w:rFonts w:cs="Arial"/>
          <w:szCs w:val="20"/>
        </w:rPr>
        <w:t xml:space="preserve"> en V</w:t>
      </w:r>
      <w:r>
        <w:rPr>
          <w:rFonts w:cs="Arial"/>
          <w:szCs w:val="20"/>
          <w:vertAlign w:val="subscript"/>
        </w:rPr>
        <w:t>e</w:t>
      </w:r>
      <w:r>
        <w:rPr>
          <w:rFonts w:cs="Arial"/>
          <w:szCs w:val="20"/>
        </w:rPr>
        <w:t xml:space="preserve"> worden berekend met de onderstaande formules:</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0133F6CB" wp14:editId="418F8CBB">
            <wp:extent cx="1952625" cy="11144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2625" cy="1114425"/>
                    </a:xfrm>
                    <a:prstGeom prst="rect">
                      <a:avLst/>
                    </a:prstGeom>
                    <a:noFill/>
                    <a:ln>
                      <a:noFill/>
                    </a:ln>
                  </pic:spPr>
                </pic:pic>
              </a:graphicData>
            </a:graphic>
          </wp:inline>
        </w:drawing>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waarin:</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r</w:t>
      </w:r>
      <w:r>
        <w:rPr>
          <w:rFonts w:cs="Arial"/>
          <w:szCs w:val="20"/>
        </w:rPr>
        <w:t xml:space="preserve"> = het betrokken zuiveringtechnische werk (inrichting 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n</w:t>
      </w:r>
      <w:r>
        <w:rPr>
          <w:rFonts w:cs="Arial"/>
          <w:szCs w:val="20"/>
        </w:rPr>
        <w:t xml:space="preserve"> = het aantal zuiveringtechnische werken waarvoor het openbaar lichaam of een andere rechtspersoon met de zorg is belast</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d</w:t>
      </w:r>
      <w:r>
        <w:rPr>
          <w:rFonts w:cs="Arial"/>
          <w:szCs w:val="20"/>
        </w:rPr>
        <w:t xml:space="preserve"> = de betrokken bemonsteringsdag</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M</w:t>
      </w:r>
      <w:r>
        <w:rPr>
          <w:rFonts w:cs="Arial"/>
          <w:i/>
          <w:iCs/>
          <w:szCs w:val="20"/>
          <w:vertAlign w:val="subscript"/>
        </w:rPr>
        <w:t>r</w:t>
      </w:r>
      <w:r>
        <w:rPr>
          <w:rFonts w:cs="Arial"/>
          <w:i/>
          <w:iCs/>
          <w:szCs w:val="20"/>
        </w:rPr>
        <w:t xml:space="preserve"> </w:t>
      </w:r>
      <w:r>
        <w:rPr>
          <w:rFonts w:cs="Arial"/>
          <w:szCs w:val="20"/>
        </w:rPr>
        <w:t xml:space="preserve"> = het aantal bemonsteringsdagen per jaar voor inrichting 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i</w:t>
      </w:r>
      <w:r>
        <w:rPr>
          <w:rFonts w:cs="Arial"/>
          <w:i/>
          <w:iCs/>
          <w:szCs w:val="20"/>
          <w:vertAlign w:val="subscript"/>
        </w:rPr>
        <w:t>rd</w:t>
      </w:r>
      <w:r>
        <w:rPr>
          <w:rFonts w:cs="Arial"/>
          <w:i/>
          <w:iCs/>
          <w:szCs w:val="20"/>
        </w:rPr>
        <w:t xml:space="preserve"> </w:t>
      </w:r>
      <w:r>
        <w:rPr>
          <w:rFonts w:cs="Arial"/>
          <w:szCs w:val="20"/>
        </w:rPr>
        <w:t xml:space="preserve"> = concentratie in het te zuiveren stedelijk afvalwater op dag d voor inrichting r in gram per kubieke meter</w:t>
      </w:r>
    </w:p>
    <w:p w:rsidR="00FC57C8" w:rsidRDefault="00FC57C8" w:rsidP="00FC57C8">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E</w:t>
      </w:r>
      <w:r>
        <w:rPr>
          <w:rFonts w:cs="Arial"/>
          <w:i/>
          <w:iCs/>
          <w:szCs w:val="20"/>
          <w:vertAlign w:val="subscript"/>
        </w:rPr>
        <w:t>rd</w:t>
      </w:r>
      <w:r>
        <w:rPr>
          <w:rFonts w:cs="Arial"/>
          <w:i/>
          <w:iCs/>
          <w:szCs w:val="20"/>
        </w:rPr>
        <w:t xml:space="preserve"> </w:t>
      </w:r>
      <w:r>
        <w:rPr>
          <w:rFonts w:cs="Arial"/>
          <w:szCs w:val="20"/>
        </w:rPr>
        <w:t xml:space="preserve"> = de na zuivering geloosde hoeveelheid stedelijk afvalwater op dag d door inrichting r in kubieke meter</w:t>
      </w:r>
    </w:p>
    <w:p w:rsidR="00FC57C8" w:rsidRDefault="00FC57C8" w:rsidP="00FC57C8">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 </w:t>
      </w:r>
      <w:r>
        <w:rPr>
          <w:rFonts w:cs="Arial"/>
          <w:i/>
          <w:iCs/>
          <w:szCs w:val="20"/>
        </w:rPr>
        <w:t>e</w:t>
      </w:r>
      <w:r>
        <w:rPr>
          <w:rFonts w:cs="Arial"/>
          <w:i/>
          <w:iCs/>
          <w:szCs w:val="20"/>
          <w:vertAlign w:val="subscript"/>
        </w:rPr>
        <w:t>rd</w:t>
      </w:r>
      <w:r>
        <w:rPr>
          <w:rFonts w:cs="Arial"/>
          <w:i/>
          <w:iCs/>
          <w:szCs w:val="20"/>
        </w:rPr>
        <w:t xml:space="preserve"> </w:t>
      </w:r>
      <w:r>
        <w:rPr>
          <w:rFonts w:cs="Arial"/>
          <w:szCs w:val="20"/>
        </w:rPr>
        <w:t xml:space="preserve"> = concentratie in het na zuivering te lozen stedelijk afvalwater op dag d voor inrichting r in gram per kubieke meter</w:t>
      </w:r>
    </w:p>
    <w:p w:rsidR="00F43C9B" w:rsidRPr="00AD2CF5" w:rsidRDefault="00F43C9B" w:rsidP="00F43C9B">
      <w:pPr>
        <w:shd w:val="clear" w:color="auto" w:fill="D9D9D9" w:themeFill="background1" w:themeFillShade="D9"/>
        <w:spacing w:before="100" w:beforeAutospacing="1" w:after="100" w:afterAutospacing="1" w:line="240" w:lineRule="auto"/>
        <w:outlineLvl w:val="3"/>
        <w:rPr>
          <w:rFonts w:ascii="Verdana" w:hAnsi="Verdana"/>
          <w:b/>
          <w:bCs/>
          <w:sz w:val="18"/>
          <w:szCs w:val="18"/>
        </w:rPr>
      </w:pPr>
      <w:bookmarkStart w:id="440" w:name="Bijlage9AR"/>
      <w:r w:rsidRPr="00AD2CF5">
        <w:rPr>
          <w:rFonts w:ascii="Verdana" w:hAnsi="Verdana"/>
          <w:b/>
          <w:bCs/>
          <w:sz w:val="18"/>
          <w:szCs w:val="18"/>
        </w:rPr>
        <w:t>Bijlage 9</w:t>
      </w:r>
    </w:p>
    <w:bookmarkEnd w:id="440"/>
    <w:p w:rsidR="00F43C9B" w:rsidRPr="00AD2CF5" w:rsidRDefault="00F43C9B" w:rsidP="00F43C9B">
      <w:pPr>
        <w:shd w:val="clear" w:color="auto" w:fill="D9D9D9" w:themeFill="background1" w:themeFillShade="D9"/>
        <w:spacing w:before="100" w:beforeAutospacing="1" w:after="100" w:afterAutospacing="1" w:line="240" w:lineRule="auto"/>
        <w:outlineLvl w:val="3"/>
        <w:rPr>
          <w:rFonts w:ascii="Verdana" w:hAnsi="Verdana"/>
          <w:b/>
          <w:bCs/>
          <w:sz w:val="18"/>
          <w:szCs w:val="18"/>
        </w:rPr>
      </w:pPr>
      <w:r w:rsidRPr="00AD2CF5">
        <w:rPr>
          <w:rFonts w:ascii="Verdana" w:hAnsi="Verdana"/>
          <w:b/>
          <w:bCs/>
          <w:sz w:val="18"/>
          <w:szCs w:val="18"/>
        </w:rPr>
        <w:t>Rekenvoorschrift buitenschietbanen</w:t>
      </w:r>
    </w:p>
    <w:tbl>
      <w:tblPr>
        <w:tblW w:w="9787" w:type="dxa"/>
        <w:tblLayout w:type="fixed"/>
        <w:tblCellMar>
          <w:left w:w="255" w:type="dxa"/>
          <w:right w:w="255" w:type="dxa"/>
        </w:tblCellMar>
        <w:tblLook w:val="0000" w:firstRow="0" w:lastRow="0" w:firstColumn="0" w:lastColumn="0" w:noHBand="0" w:noVBand="0"/>
      </w:tblPr>
      <w:tblGrid>
        <w:gridCol w:w="539"/>
        <w:gridCol w:w="9248"/>
      </w:tblGrid>
      <w:tr w:rsidR="00F43C9B" w:rsidRPr="00AD2CF5" w:rsidTr="00F43C9B">
        <w:trPr>
          <w:trHeight w:hRule="exact" w:val="140"/>
        </w:trPr>
        <w:tc>
          <w:tcPr>
            <w:tcW w:w="539" w:type="dxa"/>
          </w:tcPr>
          <w:p w:rsidR="00F43C9B" w:rsidRPr="00AD2CF5" w:rsidRDefault="00F43C9B" w:rsidP="00F43C9B">
            <w:pPr>
              <w:pStyle w:val="NormalA"/>
              <w:framePr w:hSpace="181" w:wrap="notBeside" w:vAnchor="text" w:hAnchor="text" w:x="-2018" w:y="1" w:anchorLock="1"/>
              <w:shd w:val="clear" w:color="auto" w:fill="D9D9D9" w:themeFill="background1" w:themeFillShade="D9"/>
              <w:spacing w:before="20"/>
              <w:rPr>
                <w:lang w:val="nl-NL"/>
              </w:rPr>
            </w:pPr>
            <w:r w:rsidRPr="00AD2CF5">
              <w:rPr>
                <w:lang w:val="nl-NL"/>
              </w:rPr>
              <w:fldChar w:fldCharType="begin"/>
            </w:r>
            <w:r w:rsidRPr="00AD2CF5">
              <w:rPr>
                <w:lang w:val="nl-NL"/>
              </w:rPr>
              <w:instrText xml:space="preserve"> SET docinstituut "TNO Technisch Physische Dienst TU Delft</w:instrText>
            </w:r>
            <w:r w:rsidRPr="00AD2CF5">
              <w:rPr>
                <w:lang w:val="nl-NL"/>
              </w:rPr>
              <w:br/>
              <w:instrText xml:space="preserve">" \* MERGEFORMAT </w:instrText>
            </w:r>
            <w:r w:rsidRPr="00AD2CF5">
              <w:rPr>
                <w:lang w:val="nl-NL"/>
              </w:rPr>
              <w:fldChar w:fldCharType="separate"/>
            </w:r>
            <w:bookmarkStart w:id="441" w:name="docinstituut"/>
            <w:r w:rsidRPr="00AD2CF5">
              <w:rPr>
                <w:noProof/>
              </w:rPr>
              <w:t>TNO Technisch Physische Dienst TU Delft</w:t>
            </w:r>
            <w:r w:rsidRPr="00AD2CF5">
              <w:rPr>
                <w:noProof/>
              </w:rPr>
              <w:br/>
            </w:r>
            <w:bookmarkEnd w:id="441"/>
            <w:r w:rsidRPr="00AD2CF5">
              <w:rPr>
                <w:lang w:val="nl-NL"/>
              </w:rPr>
              <w:fldChar w:fldCharType="end"/>
            </w:r>
            <w:r w:rsidRPr="00AD2CF5">
              <w:rPr>
                <w:lang w:val="nl-NL"/>
              </w:rPr>
              <w:fldChar w:fldCharType="begin"/>
            </w:r>
            <w:r w:rsidRPr="00AD2CF5">
              <w:rPr>
                <w:lang w:val="nl-NL"/>
              </w:rPr>
              <w:instrText xml:space="preserve"> SET doctweedenaam "" \* MERGEFORMAT </w:instrText>
            </w:r>
            <w:r w:rsidRPr="00AD2CF5">
              <w:rPr>
                <w:lang w:val="nl-NL"/>
              </w:rPr>
              <w:fldChar w:fldCharType="separate"/>
            </w:r>
            <w:bookmarkStart w:id="442" w:name="doctweedenaam"/>
            <w:bookmarkEnd w:id="442"/>
            <w:r w:rsidRPr="00AD2CF5">
              <w:rPr>
                <w:noProof/>
              </w:rPr>
              <w:t xml:space="preserve"> </w:t>
            </w:r>
            <w:r w:rsidRPr="00AD2CF5">
              <w:rPr>
                <w:lang w:val="nl-NL"/>
              </w:rPr>
              <w:fldChar w:fldCharType="end"/>
            </w:r>
            <w:r w:rsidRPr="00AD2CF5">
              <w:rPr>
                <w:lang w:val="nl-NL"/>
              </w:rPr>
              <w:fldChar w:fldCharType="begin"/>
            </w:r>
            <w:r w:rsidRPr="00AD2CF5">
              <w:rPr>
                <w:lang w:val="nl-NL"/>
              </w:rPr>
              <w:instrText xml:space="preserve"> SET docadres "Stieltjesweg 1</w:instrText>
            </w:r>
            <w:r w:rsidRPr="00AD2CF5">
              <w:rPr>
                <w:lang w:val="nl-NL"/>
              </w:rPr>
              <w:br/>
              <w:instrText>Postbus 155</w:instrText>
            </w:r>
            <w:r w:rsidRPr="00AD2CF5">
              <w:rPr>
                <w:lang w:val="nl-NL"/>
              </w:rPr>
              <w:br/>
              <w:instrText>2600 AD Delft</w:instrText>
            </w:r>
            <w:r w:rsidRPr="00AD2CF5">
              <w:rPr>
                <w:lang w:val="nl-NL"/>
              </w:rPr>
              <w:br/>
            </w:r>
            <w:r w:rsidRPr="00AD2CF5">
              <w:rPr>
                <w:lang w:val="nl-NL"/>
              </w:rPr>
              <w:br/>
              <w:instrText>Telefoon 015 269 20 00</w:instrText>
            </w:r>
            <w:r w:rsidRPr="00AD2CF5">
              <w:rPr>
                <w:lang w:val="nl-NL"/>
              </w:rPr>
              <w:br/>
              <w:instrText xml:space="preserve">Fax 015 269 21 11" \* MERGEFORMAT </w:instrText>
            </w:r>
            <w:r w:rsidRPr="00AD2CF5">
              <w:rPr>
                <w:lang w:val="nl-NL"/>
              </w:rPr>
              <w:fldChar w:fldCharType="separate"/>
            </w:r>
            <w:bookmarkStart w:id="443" w:name="docadres"/>
            <w:r w:rsidRPr="00AD2CF5">
              <w:rPr>
                <w:noProof/>
              </w:rPr>
              <w:t>Stieltjesweg 1</w:t>
            </w:r>
            <w:r w:rsidRPr="00AD2CF5">
              <w:rPr>
                <w:noProof/>
              </w:rPr>
              <w:br/>
              <w:t>Postbus 155</w:t>
            </w:r>
            <w:r w:rsidRPr="00AD2CF5">
              <w:rPr>
                <w:noProof/>
              </w:rPr>
              <w:br/>
              <w:t>2600 AD Delft</w:t>
            </w:r>
            <w:r w:rsidRPr="00AD2CF5">
              <w:rPr>
                <w:noProof/>
              </w:rPr>
              <w:br/>
            </w:r>
            <w:r w:rsidRPr="00AD2CF5">
              <w:rPr>
                <w:noProof/>
              </w:rPr>
              <w:br/>
              <w:t>Telefoon 015 269 20 00</w:t>
            </w:r>
            <w:r w:rsidRPr="00AD2CF5">
              <w:rPr>
                <w:noProof/>
              </w:rPr>
              <w:br/>
              <w:t>Fax 015 269 21 11</w:t>
            </w:r>
            <w:bookmarkEnd w:id="443"/>
            <w:r w:rsidRPr="00AD2CF5">
              <w:rPr>
                <w:lang w:val="nl-NL"/>
              </w:rPr>
              <w:fldChar w:fldCharType="end"/>
            </w:r>
            <w:r w:rsidRPr="00AD2CF5">
              <w:rPr>
                <w:lang w:val="nl-NL"/>
              </w:rPr>
              <w:fldChar w:fldCharType="begin"/>
            </w:r>
            <w:r w:rsidRPr="00AD2CF5">
              <w:rPr>
                <w:lang w:val="nl-NL"/>
              </w:rPr>
              <w:instrText xml:space="preserve"> SET doconderdeel1 "</w:instrText>
            </w:r>
            <w:r w:rsidRPr="00AD2CF5">
              <w:rPr>
                <w:lang w:val="nl-NL"/>
              </w:rPr>
              <w:br/>
            </w:r>
            <w:r w:rsidRPr="00AD2CF5">
              <w:rPr>
                <w:lang w:val="nl-NL"/>
              </w:rPr>
              <w:br/>
            </w:r>
            <w:r w:rsidRPr="00AD2CF5">
              <w:rPr>
                <w:lang w:val="nl-NL"/>
              </w:rPr>
              <w:br/>
              <w:instrText>TNO Technisch Physische Dienst TU Delft (TPD) vervult</w:instrText>
            </w:r>
            <w:r w:rsidRPr="00AD2CF5">
              <w:rPr>
                <w:lang w:val="nl-NL"/>
              </w:rPr>
              <w:br/>
              <w:instrText xml:space="preserve">" \* MERGEFORMAT </w:instrText>
            </w:r>
            <w:r w:rsidRPr="00AD2CF5">
              <w:rPr>
                <w:lang w:val="nl-NL"/>
              </w:rPr>
              <w:fldChar w:fldCharType="separate"/>
            </w:r>
            <w:bookmarkStart w:id="444" w:name="doconderdeel1"/>
            <w:r w:rsidRPr="00AD2CF5">
              <w:rPr>
                <w:noProof/>
              </w:rPr>
              <w:br/>
            </w:r>
            <w:r w:rsidRPr="00AD2CF5">
              <w:rPr>
                <w:noProof/>
              </w:rPr>
              <w:br/>
            </w:r>
            <w:r w:rsidRPr="00AD2CF5">
              <w:rPr>
                <w:noProof/>
              </w:rPr>
              <w:br/>
              <w:t>TNO Technisch Physische Dienst TU Delft (TPD) vervult</w:t>
            </w:r>
            <w:r w:rsidRPr="00AD2CF5">
              <w:rPr>
                <w:noProof/>
              </w:rPr>
              <w:br/>
            </w:r>
            <w:bookmarkEnd w:id="444"/>
            <w:r w:rsidRPr="00AD2CF5">
              <w:rPr>
                <w:lang w:val="nl-NL"/>
              </w:rPr>
              <w:fldChar w:fldCharType="end"/>
            </w:r>
            <w:r w:rsidRPr="00AD2CF5">
              <w:rPr>
                <w:lang w:val="nl-NL"/>
              </w:rPr>
              <w:fldChar w:fldCharType="begin"/>
            </w:r>
            <w:r w:rsidRPr="00AD2CF5">
              <w:rPr>
                <w:lang w:val="nl-NL"/>
              </w:rPr>
              <w:instrText xml:space="preserve"> SET doconderdeel2 "vanuit een multidisciplinaire aanpak opdrachten voor</w:instrText>
            </w:r>
            <w:r w:rsidRPr="00AD2CF5">
              <w:rPr>
                <w:lang w:val="nl-NL"/>
              </w:rPr>
              <w:br/>
              <w:instrText>bedrijfsleven en overheid. Kennisgebieden zijn:</w:instrText>
            </w:r>
            <w:r w:rsidRPr="00AD2CF5">
              <w:rPr>
                <w:lang w:val="nl-NL"/>
              </w:rPr>
              <w:br/>
              <w:instrText>toegepaste fysica, informatica, mechanica, elektronica,</w:instrText>
            </w:r>
            <w:r w:rsidRPr="00AD2CF5">
              <w:rPr>
                <w:lang w:val="nl-NL"/>
              </w:rPr>
              <w:br/>
              <w:instrText xml:space="preserve">materialen en procestechnologie." \* MERGEFORMAT </w:instrText>
            </w:r>
            <w:r w:rsidRPr="00AD2CF5">
              <w:rPr>
                <w:lang w:val="nl-NL"/>
              </w:rPr>
              <w:fldChar w:fldCharType="separate"/>
            </w:r>
            <w:bookmarkStart w:id="445" w:name="doconderdeel2"/>
            <w:r w:rsidRPr="00AD2CF5">
              <w:rPr>
                <w:noProof/>
              </w:rPr>
              <w:t>vanuit een multidisciplinaire aanpak opdrachten voor</w:t>
            </w:r>
            <w:r w:rsidRPr="00AD2CF5">
              <w:rPr>
                <w:noProof/>
              </w:rPr>
              <w:br/>
              <w:t>bedrijfsleven en overheid. Kennisgebieden zijn:</w:t>
            </w:r>
            <w:r w:rsidRPr="00AD2CF5">
              <w:rPr>
                <w:noProof/>
              </w:rPr>
              <w:br/>
              <w:t>toegepaste fysica, informatica, mechanica, elektronica,</w:t>
            </w:r>
            <w:r w:rsidRPr="00AD2CF5">
              <w:rPr>
                <w:noProof/>
              </w:rPr>
              <w:br/>
              <w:t>materialen en procestechnologie.</w:t>
            </w:r>
            <w:bookmarkEnd w:id="445"/>
            <w:r w:rsidRPr="00AD2CF5">
              <w:rPr>
                <w:lang w:val="nl-NL"/>
              </w:rPr>
              <w:fldChar w:fldCharType="end"/>
            </w:r>
            <w:r w:rsidRPr="00AD2CF5">
              <w:rPr>
                <w:lang w:val="nl-NL"/>
              </w:rPr>
              <w:fldChar w:fldCharType="begin"/>
            </w:r>
            <w:r w:rsidRPr="00AD2CF5">
              <w:rPr>
                <w:lang w:val="nl-NL"/>
              </w:rPr>
              <w:instrText xml:space="preserve"> SET docvolgnr "940202" \* MERGEFORMAT </w:instrText>
            </w:r>
            <w:r w:rsidRPr="00AD2CF5">
              <w:rPr>
                <w:lang w:val="nl-NL"/>
              </w:rPr>
              <w:fldChar w:fldCharType="separate"/>
            </w:r>
            <w:bookmarkStart w:id="446" w:name="docvolgnr"/>
            <w:r w:rsidRPr="00AD2CF5">
              <w:rPr>
                <w:noProof/>
              </w:rPr>
              <w:t>940202</w:t>
            </w:r>
            <w:bookmarkEnd w:id="446"/>
            <w:r w:rsidRPr="00AD2CF5">
              <w:rPr>
                <w:lang w:val="nl-NL"/>
              </w:rPr>
              <w:fldChar w:fldCharType="end"/>
            </w:r>
            <w:r w:rsidRPr="00AD2CF5">
              <w:rPr>
                <w:lang w:val="nl-NL"/>
              </w:rPr>
              <w:fldChar w:fldCharType="begin"/>
            </w:r>
            <w:r w:rsidRPr="00AD2CF5">
              <w:rPr>
                <w:lang w:val="nl-NL"/>
              </w:rPr>
              <w:instrText xml:space="preserve"> SET docauteur "ir. F.H.A. van den Berg" \* MERGEFORMAT </w:instrText>
            </w:r>
            <w:r w:rsidRPr="00AD2CF5">
              <w:rPr>
                <w:lang w:val="nl-NL"/>
              </w:rPr>
              <w:fldChar w:fldCharType="separate"/>
            </w:r>
            <w:bookmarkStart w:id="447" w:name="docauteur"/>
            <w:r w:rsidRPr="00AD2CF5">
              <w:rPr>
                <w:noProof/>
              </w:rPr>
              <w:t>ir. F.H.A. van den Berg</w:t>
            </w:r>
            <w:bookmarkEnd w:id="447"/>
            <w:r w:rsidRPr="00AD2CF5">
              <w:rPr>
                <w:lang w:val="nl-NL"/>
              </w:rPr>
              <w:fldChar w:fldCharType="end"/>
            </w:r>
            <w:r w:rsidRPr="00AD2CF5">
              <w:rPr>
                <w:lang w:val="nl-NL"/>
              </w:rPr>
              <w:fldChar w:fldCharType="begin"/>
            </w:r>
            <w:r w:rsidRPr="00AD2CF5">
              <w:rPr>
                <w:lang w:val="nl-NL"/>
              </w:rPr>
              <w:instrText xml:space="preserve"> SET docdiv "HAG" \* MERGEFORMAT </w:instrText>
            </w:r>
            <w:r w:rsidRPr="00AD2CF5">
              <w:rPr>
                <w:lang w:val="nl-NL"/>
              </w:rPr>
              <w:fldChar w:fldCharType="separate"/>
            </w:r>
            <w:bookmarkStart w:id="448" w:name="docdiv"/>
            <w:r w:rsidRPr="00AD2CF5">
              <w:rPr>
                <w:noProof/>
              </w:rPr>
              <w:t>HAG</w:t>
            </w:r>
            <w:bookmarkEnd w:id="448"/>
            <w:r w:rsidRPr="00AD2CF5">
              <w:rPr>
                <w:lang w:val="nl-NL"/>
              </w:rPr>
              <w:fldChar w:fldCharType="end"/>
            </w:r>
            <w:r w:rsidRPr="00AD2CF5">
              <w:rPr>
                <w:lang w:val="nl-NL"/>
              </w:rPr>
              <w:fldChar w:fldCharType="begin"/>
            </w:r>
            <w:r w:rsidRPr="00AD2CF5">
              <w:rPr>
                <w:lang w:val="nl-NL"/>
              </w:rPr>
              <w:instrText xml:space="preserve"> SET docprojectnr "528.090" \* MERGEFORMAT </w:instrText>
            </w:r>
            <w:r w:rsidRPr="00AD2CF5">
              <w:rPr>
                <w:lang w:val="nl-NL"/>
              </w:rPr>
              <w:fldChar w:fldCharType="separate"/>
            </w:r>
            <w:bookmarkStart w:id="449" w:name="docprojectnr"/>
            <w:r w:rsidRPr="00AD2CF5">
              <w:rPr>
                <w:noProof/>
              </w:rPr>
              <w:t>528.090</w:t>
            </w:r>
            <w:bookmarkEnd w:id="449"/>
            <w:r w:rsidRPr="00AD2CF5">
              <w:rPr>
                <w:lang w:val="nl-NL"/>
              </w:rPr>
              <w:fldChar w:fldCharType="end"/>
            </w:r>
            <w:r w:rsidRPr="00AD2CF5">
              <w:rPr>
                <w:lang w:val="nl-NL"/>
              </w:rPr>
              <w:fldChar w:fldCharType="begin"/>
            </w:r>
            <w:r w:rsidRPr="00AD2CF5">
              <w:rPr>
                <w:lang w:val="nl-NL"/>
              </w:rPr>
              <w:instrText xml:space="preserve"> SET doctitle "Handleiding ter bepaling van de geluidbelasting ten gevolge van militaire schietactiviteiten" \* MERGEFORMAT </w:instrText>
            </w:r>
            <w:r w:rsidRPr="00AD2CF5">
              <w:rPr>
                <w:lang w:val="nl-NL"/>
              </w:rPr>
              <w:fldChar w:fldCharType="separate"/>
            </w:r>
            <w:bookmarkStart w:id="450" w:name="doctitle"/>
            <w:r w:rsidRPr="00AD2CF5">
              <w:rPr>
                <w:noProof/>
              </w:rPr>
              <w:t>Handleiding ter bepaling van de geluidbelasting ten gevolge van militaire schietactiviteiten</w:t>
            </w:r>
            <w:bookmarkEnd w:id="450"/>
            <w:r w:rsidRPr="00AD2CF5">
              <w:rPr>
                <w:lang w:val="nl-NL"/>
              </w:rPr>
              <w:fldChar w:fldCharType="end"/>
            </w:r>
            <w:r w:rsidRPr="00AD2CF5">
              <w:rPr>
                <w:lang w:val="nl-NL"/>
              </w:rPr>
              <w:fldChar w:fldCharType="begin"/>
            </w:r>
            <w:r w:rsidRPr="00AD2CF5">
              <w:rPr>
                <w:lang w:val="nl-NL"/>
              </w:rPr>
              <w:instrText xml:space="preserve"> SET doccontrole "" \* MERGEFORMAT </w:instrText>
            </w:r>
            <w:r w:rsidRPr="00AD2CF5">
              <w:rPr>
                <w:lang w:val="nl-NL"/>
              </w:rPr>
              <w:fldChar w:fldCharType="separate"/>
            </w:r>
            <w:bookmarkStart w:id="451" w:name="doccontrole"/>
            <w:bookmarkEnd w:id="451"/>
            <w:r w:rsidRPr="00AD2CF5">
              <w:rPr>
                <w:noProof/>
              </w:rPr>
              <w:t xml:space="preserve"> </w:t>
            </w:r>
            <w:r w:rsidRPr="00AD2CF5">
              <w:rPr>
                <w:lang w:val="nl-NL"/>
              </w:rPr>
              <w:fldChar w:fldCharType="end"/>
            </w:r>
            <w:r w:rsidRPr="00AD2CF5">
              <w:rPr>
                <w:lang w:val="nl-NL"/>
              </w:rPr>
              <w:fldChar w:fldCharType="begin"/>
            </w:r>
            <w:r w:rsidRPr="00AD2CF5">
              <w:rPr>
                <w:lang w:val="nl-NL"/>
              </w:rPr>
              <w:instrText xml:space="preserve"> SET docgoedkeuring "" \* MERGEFORMAT </w:instrText>
            </w:r>
            <w:r w:rsidRPr="00AD2CF5">
              <w:rPr>
                <w:lang w:val="nl-NL"/>
              </w:rPr>
              <w:fldChar w:fldCharType="separate"/>
            </w:r>
            <w:bookmarkStart w:id="452" w:name="docgoedkeuring"/>
            <w:bookmarkEnd w:id="452"/>
            <w:r w:rsidRPr="00AD2CF5">
              <w:rPr>
                <w:noProof/>
              </w:rPr>
              <w:t xml:space="preserve"> </w:t>
            </w:r>
            <w:r w:rsidRPr="00AD2CF5">
              <w:rPr>
                <w:lang w:val="nl-NL"/>
              </w:rPr>
              <w:fldChar w:fldCharType="end"/>
            </w:r>
          </w:p>
        </w:tc>
        <w:tc>
          <w:tcPr>
            <w:tcW w:w="9248" w:type="dxa"/>
          </w:tcPr>
          <w:p w:rsidR="00F43C9B" w:rsidRPr="00AD2CF5" w:rsidRDefault="00F43C9B" w:rsidP="00F43C9B">
            <w:pPr>
              <w:pStyle w:val="Titel"/>
              <w:framePr w:hSpace="181" w:wrap="auto" w:hAnchor="text" w:x="-2018" w:anchorLock="1"/>
              <w:shd w:val="clear" w:color="auto" w:fill="D9D9D9" w:themeFill="background1" w:themeFillShade="D9"/>
              <w:ind w:right="1027"/>
            </w:pPr>
          </w:p>
        </w:tc>
      </w:tr>
    </w:tbl>
    <w:p w:rsidR="00F43C9B" w:rsidRPr="00AD2CF5" w:rsidRDefault="00F43C9B" w:rsidP="00F43C9B">
      <w:pPr>
        <w:shd w:val="clear" w:color="auto" w:fill="D9D9D9" w:themeFill="background1" w:themeFillShade="D9"/>
        <w:tabs>
          <w:tab w:val="left" w:pos="1843"/>
          <w:tab w:val="left" w:pos="2268"/>
        </w:tabs>
        <w:spacing w:line="240" w:lineRule="auto"/>
        <w:ind w:left="2268" w:hanging="2268"/>
        <w:rPr>
          <w:b/>
          <w:sz w:val="28"/>
        </w:rPr>
      </w:pPr>
      <w:r w:rsidRPr="00AD2CF5">
        <w:rPr>
          <w:b/>
          <w:sz w:val="28"/>
        </w:rPr>
        <w:t>Inhoud</w:t>
      </w:r>
    </w:p>
    <w:p w:rsidR="00F43C9B" w:rsidRPr="00AD2CF5" w:rsidRDefault="00F43C9B" w:rsidP="00F43C9B">
      <w:pPr>
        <w:shd w:val="clear" w:color="auto" w:fill="D9D9D9" w:themeFill="background1" w:themeFillShade="D9"/>
        <w:spacing w:line="240" w:lineRule="auto"/>
        <w:rPr>
          <w:sz w:val="28"/>
        </w:rPr>
      </w:pPr>
    </w:p>
    <w:p w:rsidR="00F43C9B" w:rsidRPr="00AD2CF5" w:rsidRDefault="00F43C9B" w:rsidP="00F43C9B">
      <w:pPr>
        <w:shd w:val="clear" w:color="auto" w:fill="D9D9D9" w:themeFill="background1" w:themeFillShade="D9"/>
        <w:spacing w:line="240" w:lineRule="auto"/>
        <w:rPr>
          <w:sz w:val="28"/>
        </w:rPr>
      </w:pPr>
    </w:p>
    <w:p w:rsidR="00F43C9B" w:rsidRPr="00AD2CF5" w:rsidRDefault="00F43C9B" w:rsidP="00F43C9B">
      <w:pPr>
        <w:pStyle w:val="Inhopg1"/>
        <w:shd w:val="clear" w:color="auto" w:fill="D9D9D9" w:themeFill="background1" w:themeFillShade="D9"/>
        <w:tabs>
          <w:tab w:val="left" w:pos="440"/>
          <w:tab w:val="right" w:pos="7361"/>
        </w:tabs>
        <w:rPr>
          <w:noProof/>
        </w:rPr>
      </w:pPr>
      <w:r w:rsidRPr="00AD2CF5">
        <w:rPr>
          <w:b/>
          <w:caps/>
        </w:rPr>
        <w:fldChar w:fldCharType="begin"/>
      </w:r>
      <w:r w:rsidRPr="00AD2CF5">
        <w:rPr>
          <w:b/>
          <w:caps/>
        </w:rPr>
        <w:instrText xml:space="preserve"> TOC \o "1-3" </w:instrText>
      </w:r>
      <w:r w:rsidRPr="00AD2CF5">
        <w:rPr>
          <w:b/>
          <w:caps/>
        </w:rPr>
        <w:fldChar w:fldCharType="separate"/>
      </w:r>
      <w:r w:rsidRPr="00AD2CF5">
        <w:rPr>
          <w:noProof/>
        </w:rPr>
        <w:t>1</w:t>
      </w:r>
      <w:r w:rsidRPr="00AD2CF5">
        <w:rPr>
          <w:noProof/>
        </w:rPr>
        <w:tab/>
        <w:t>Inleiding</w:t>
      </w:r>
      <w:r w:rsidRPr="00AD2CF5">
        <w:rPr>
          <w:noProof/>
        </w:rPr>
        <w:tab/>
      </w:r>
      <w:r w:rsidRPr="00AD2CF5">
        <w:rPr>
          <w:noProof/>
        </w:rPr>
        <w:fldChar w:fldCharType="begin"/>
      </w:r>
      <w:r w:rsidRPr="00AD2CF5">
        <w:rPr>
          <w:noProof/>
        </w:rPr>
        <w:instrText xml:space="preserve"> PAGEREF _Toc413945805 \h </w:instrText>
      </w:r>
      <w:r w:rsidRPr="00AD2CF5">
        <w:rPr>
          <w:noProof/>
        </w:rPr>
      </w:r>
      <w:r w:rsidRPr="00AD2CF5">
        <w:rPr>
          <w:noProof/>
        </w:rPr>
        <w:fldChar w:fldCharType="separate"/>
      </w:r>
      <w:r>
        <w:rPr>
          <w:noProof/>
        </w:rPr>
        <w:t>98</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1.1</w:t>
      </w:r>
      <w:r w:rsidRPr="00AD2CF5">
        <w:rPr>
          <w:noProof/>
        </w:rPr>
        <w:tab/>
        <w:t>Doel</w:t>
      </w:r>
      <w:r w:rsidRPr="00AD2CF5">
        <w:rPr>
          <w:noProof/>
        </w:rPr>
        <w:tab/>
      </w:r>
      <w:r w:rsidRPr="00AD2CF5">
        <w:rPr>
          <w:noProof/>
        </w:rPr>
        <w:fldChar w:fldCharType="begin"/>
      </w:r>
      <w:r w:rsidRPr="00AD2CF5">
        <w:rPr>
          <w:noProof/>
        </w:rPr>
        <w:instrText xml:space="preserve"> PAGEREF _Toc413945806 \h </w:instrText>
      </w:r>
      <w:r w:rsidRPr="00AD2CF5">
        <w:rPr>
          <w:noProof/>
        </w:rPr>
      </w:r>
      <w:r w:rsidRPr="00AD2CF5">
        <w:rPr>
          <w:noProof/>
        </w:rPr>
        <w:fldChar w:fldCharType="separate"/>
      </w:r>
      <w:r>
        <w:rPr>
          <w:noProof/>
        </w:rPr>
        <w:t>98</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1.2</w:t>
      </w:r>
      <w:r w:rsidRPr="00AD2CF5">
        <w:rPr>
          <w:noProof/>
        </w:rPr>
        <w:tab/>
        <w:t>Structuur van het voorschrift</w:t>
      </w:r>
      <w:r w:rsidRPr="00AD2CF5">
        <w:rPr>
          <w:noProof/>
        </w:rPr>
        <w:tab/>
      </w:r>
      <w:r w:rsidRPr="00AD2CF5">
        <w:rPr>
          <w:noProof/>
        </w:rPr>
        <w:fldChar w:fldCharType="begin"/>
      </w:r>
      <w:r w:rsidRPr="00AD2CF5">
        <w:rPr>
          <w:noProof/>
        </w:rPr>
        <w:instrText xml:space="preserve"> PAGEREF _Toc413945807 \h </w:instrText>
      </w:r>
      <w:r w:rsidRPr="00AD2CF5">
        <w:rPr>
          <w:noProof/>
        </w:rPr>
      </w:r>
      <w:r w:rsidRPr="00AD2CF5">
        <w:rPr>
          <w:noProof/>
        </w:rPr>
        <w:fldChar w:fldCharType="separate"/>
      </w:r>
      <w:r>
        <w:rPr>
          <w:noProof/>
        </w:rPr>
        <w:t>98</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1.3</w:t>
      </w:r>
      <w:r w:rsidRPr="00AD2CF5">
        <w:rPr>
          <w:noProof/>
        </w:rPr>
        <w:tab/>
        <w:t>Gegevensbestanden</w:t>
      </w:r>
      <w:r w:rsidRPr="00AD2CF5">
        <w:rPr>
          <w:noProof/>
        </w:rPr>
        <w:tab/>
      </w:r>
      <w:r w:rsidRPr="00AD2CF5">
        <w:rPr>
          <w:noProof/>
        </w:rPr>
        <w:fldChar w:fldCharType="begin"/>
      </w:r>
      <w:r w:rsidRPr="00AD2CF5">
        <w:rPr>
          <w:noProof/>
        </w:rPr>
        <w:instrText xml:space="preserve"> PAGEREF _Toc413945808 \h </w:instrText>
      </w:r>
      <w:r w:rsidRPr="00AD2CF5">
        <w:rPr>
          <w:noProof/>
        </w:rPr>
      </w:r>
      <w:r w:rsidRPr="00AD2CF5">
        <w:rPr>
          <w:noProof/>
        </w:rPr>
        <w:fldChar w:fldCharType="separate"/>
      </w:r>
      <w:r>
        <w:rPr>
          <w:noProof/>
        </w:rPr>
        <w:t>99</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2.1</w:t>
      </w:r>
      <w:r w:rsidRPr="00AD2CF5">
        <w:rPr>
          <w:noProof/>
        </w:rPr>
        <w:tab/>
        <w:t>Inleiding</w:t>
      </w:r>
      <w:r w:rsidRPr="00AD2CF5">
        <w:rPr>
          <w:noProof/>
        </w:rPr>
        <w:tab/>
      </w:r>
      <w:r w:rsidRPr="00AD2CF5">
        <w:rPr>
          <w:noProof/>
        </w:rPr>
        <w:fldChar w:fldCharType="begin"/>
      </w:r>
      <w:r w:rsidRPr="00AD2CF5">
        <w:rPr>
          <w:noProof/>
        </w:rPr>
        <w:instrText xml:space="preserve"> PAGEREF _Toc413945809 \h </w:instrText>
      </w:r>
      <w:r w:rsidRPr="00AD2CF5">
        <w:rPr>
          <w:noProof/>
        </w:rPr>
      </w:r>
      <w:r w:rsidRPr="00AD2CF5">
        <w:rPr>
          <w:noProof/>
        </w:rPr>
        <w:fldChar w:fldCharType="separate"/>
      </w:r>
      <w:r>
        <w:rPr>
          <w:noProof/>
        </w:rPr>
        <w:t>100</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2.2</w:t>
      </w:r>
      <w:r w:rsidRPr="00AD2CF5">
        <w:rPr>
          <w:noProof/>
        </w:rPr>
        <w:tab/>
        <w:t>Het begrip schietgeluid</w:t>
      </w:r>
      <w:r w:rsidRPr="00AD2CF5">
        <w:rPr>
          <w:noProof/>
        </w:rPr>
        <w:tab/>
      </w:r>
      <w:r w:rsidRPr="00AD2CF5">
        <w:rPr>
          <w:noProof/>
        </w:rPr>
        <w:fldChar w:fldCharType="begin"/>
      </w:r>
      <w:r w:rsidRPr="00AD2CF5">
        <w:rPr>
          <w:noProof/>
        </w:rPr>
        <w:instrText xml:space="preserve"> PAGEREF _Toc413945810 \h </w:instrText>
      </w:r>
      <w:r w:rsidRPr="00AD2CF5">
        <w:rPr>
          <w:noProof/>
        </w:rPr>
      </w:r>
      <w:r w:rsidRPr="00AD2CF5">
        <w:rPr>
          <w:noProof/>
        </w:rPr>
        <w:fldChar w:fldCharType="separate"/>
      </w:r>
      <w:r>
        <w:rPr>
          <w:noProof/>
        </w:rPr>
        <w:t>100</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2.3</w:t>
      </w:r>
      <w:r w:rsidRPr="00AD2CF5">
        <w:rPr>
          <w:noProof/>
        </w:rPr>
        <w:tab/>
        <w:t>Akoestische grootheden</w:t>
      </w:r>
      <w:r w:rsidRPr="00AD2CF5">
        <w:rPr>
          <w:noProof/>
        </w:rPr>
        <w:tab/>
      </w:r>
      <w:r w:rsidRPr="00AD2CF5">
        <w:rPr>
          <w:noProof/>
        </w:rPr>
        <w:fldChar w:fldCharType="begin"/>
      </w:r>
      <w:r w:rsidRPr="00AD2CF5">
        <w:rPr>
          <w:noProof/>
        </w:rPr>
        <w:instrText xml:space="preserve"> PAGEREF _Toc413945811 \h </w:instrText>
      </w:r>
      <w:r w:rsidRPr="00AD2CF5">
        <w:rPr>
          <w:noProof/>
        </w:rPr>
      </w:r>
      <w:r w:rsidRPr="00AD2CF5">
        <w:rPr>
          <w:noProof/>
        </w:rPr>
        <w:fldChar w:fldCharType="separate"/>
      </w:r>
      <w:r>
        <w:rPr>
          <w:noProof/>
        </w:rPr>
        <w:t>100</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2.4</w:t>
      </w:r>
      <w:r w:rsidRPr="00AD2CF5">
        <w:rPr>
          <w:noProof/>
        </w:rPr>
        <w:tab/>
        <w:t>Meteorologische grootheden</w:t>
      </w:r>
      <w:r w:rsidRPr="00AD2CF5">
        <w:rPr>
          <w:noProof/>
        </w:rPr>
        <w:tab/>
      </w:r>
      <w:r w:rsidRPr="00AD2CF5">
        <w:rPr>
          <w:noProof/>
        </w:rPr>
        <w:fldChar w:fldCharType="begin"/>
      </w:r>
      <w:r w:rsidRPr="00AD2CF5">
        <w:rPr>
          <w:noProof/>
        </w:rPr>
        <w:instrText xml:space="preserve"> PAGEREF _Toc413945812 \h </w:instrText>
      </w:r>
      <w:r w:rsidRPr="00AD2CF5">
        <w:rPr>
          <w:noProof/>
        </w:rPr>
      </w:r>
      <w:r w:rsidRPr="00AD2CF5">
        <w:rPr>
          <w:noProof/>
        </w:rPr>
        <w:fldChar w:fldCharType="separate"/>
      </w:r>
      <w:r>
        <w:rPr>
          <w:noProof/>
        </w:rPr>
        <w:t>101</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2.5</w:t>
      </w:r>
      <w:r w:rsidRPr="00AD2CF5">
        <w:rPr>
          <w:noProof/>
        </w:rPr>
        <w:tab/>
        <w:t>Beoordelingsgrootheden</w:t>
      </w:r>
      <w:r w:rsidRPr="00AD2CF5">
        <w:rPr>
          <w:noProof/>
        </w:rPr>
        <w:tab/>
      </w:r>
      <w:r w:rsidRPr="00AD2CF5">
        <w:rPr>
          <w:noProof/>
        </w:rPr>
        <w:fldChar w:fldCharType="begin"/>
      </w:r>
      <w:r w:rsidRPr="00AD2CF5">
        <w:rPr>
          <w:noProof/>
        </w:rPr>
        <w:instrText xml:space="preserve"> PAGEREF _Toc413945813 \h </w:instrText>
      </w:r>
      <w:r w:rsidRPr="00AD2CF5">
        <w:rPr>
          <w:noProof/>
        </w:rPr>
      </w:r>
      <w:r w:rsidRPr="00AD2CF5">
        <w:rPr>
          <w:noProof/>
        </w:rPr>
        <w:fldChar w:fldCharType="separate"/>
      </w:r>
      <w:r>
        <w:rPr>
          <w:noProof/>
        </w:rPr>
        <w:t>103</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2.6</w:t>
      </w:r>
      <w:r w:rsidRPr="00AD2CF5">
        <w:rPr>
          <w:noProof/>
        </w:rPr>
        <w:tab/>
        <w:t>Overige grootheden</w:t>
      </w:r>
      <w:r w:rsidRPr="00AD2CF5">
        <w:rPr>
          <w:noProof/>
        </w:rPr>
        <w:tab/>
      </w:r>
      <w:r w:rsidRPr="00AD2CF5">
        <w:rPr>
          <w:noProof/>
        </w:rPr>
        <w:fldChar w:fldCharType="begin"/>
      </w:r>
      <w:r w:rsidRPr="00AD2CF5">
        <w:rPr>
          <w:noProof/>
        </w:rPr>
        <w:instrText xml:space="preserve"> PAGEREF _Toc413945814 \h </w:instrText>
      </w:r>
      <w:r w:rsidRPr="00AD2CF5">
        <w:rPr>
          <w:noProof/>
        </w:rPr>
      </w:r>
      <w:r w:rsidRPr="00AD2CF5">
        <w:rPr>
          <w:noProof/>
        </w:rPr>
        <w:fldChar w:fldCharType="separate"/>
      </w:r>
      <w:r>
        <w:rPr>
          <w:noProof/>
        </w:rPr>
        <w:t>103</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2.6.1</w:t>
      </w:r>
      <w:r w:rsidRPr="00AD2CF5">
        <w:rPr>
          <w:noProof/>
        </w:rPr>
        <w:tab/>
      </w:r>
      <w:r w:rsidRPr="00AD2CF5">
        <w:rPr>
          <w:noProof/>
          <w:lang w:bidi="en-US"/>
        </w:rPr>
        <w:t>Bodemparameters</w:t>
      </w:r>
      <w:r w:rsidRPr="00AD2CF5">
        <w:rPr>
          <w:noProof/>
        </w:rPr>
        <w:tab/>
      </w:r>
      <w:r w:rsidRPr="00AD2CF5">
        <w:rPr>
          <w:noProof/>
        </w:rPr>
        <w:fldChar w:fldCharType="begin"/>
      </w:r>
      <w:r w:rsidRPr="00AD2CF5">
        <w:rPr>
          <w:noProof/>
        </w:rPr>
        <w:instrText xml:space="preserve"> PAGEREF _Toc413945815 \h </w:instrText>
      </w:r>
      <w:r w:rsidRPr="00AD2CF5">
        <w:rPr>
          <w:noProof/>
        </w:rPr>
      </w:r>
      <w:r w:rsidRPr="00AD2CF5">
        <w:rPr>
          <w:noProof/>
        </w:rPr>
        <w:fldChar w:fldCharType="separate"/>
      </w:r>
      <w:r>
        <w:rPr>
          <w:noProof/>
        </w:rPr>
        <w:t>103</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2.6.2</w:t>
      </w:r>
      <w:r w:rsidRPr="00AD2CF5">
        <w:rPr>
          <w:noProof/>
        </w:rPr>
        <w:tab/>
      </w:r>
      <w:r w:rsidRPr="00AD2CF5">
        <w:rPr>
          <w:noProof/>
          <w:lang w:bidi="en-US"/>
        </w:rPr>
        <w:t>Kogelparameters</w:t>
      </w:r>
      <w:r w:rsidRPr="00AD2CF5">
        <w:rPr>
          <w:noProof/>
        </w:rPr>
        <w:tab/>
      </w:r>
      <w:r w:rsidRPr="00AD2CF5">
        <w:rPr>
          <w:noProof/>
        </w:rPr>
        <w:fldChar w:fldCharType="begin"/>
      </w:r>
      <w:r w:rsidRPr="00AD2CF5">
        <w:rPr>
          <w:noProof/>
        </w:rPr>
        <w:instrText xml:space="preserve"> PAGEREF _Toc413945816 \h </w:instrText>
      </w:r>
      <w:r w:rsidRPr="00AD2CF5">
        <w:rPr>
          <w:noProof/>
        </w:rPr>
      </w:r>
      <w:r w:rsidRPr="00AD2CF5">
        <w:rPr>
          <w:noProof/>
        </w:rPr>
        <w:fldChar w:fldCharType="separate"/>
      </w:r>
      <w:r>
        <w:rPr>
          <w:noProof/>
        </w:rPr>
        <w:t>104</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2.7</w:t>
      </w:r>
      <w:r w:rsidRPr="00AD2CF5">
        <w:rPr>
          <w:noProof/>
        </w:rPr>
        <w:tab/>
        <w:t>Buitenschietbanen</w:t>
      </w:r>
      <w:r w:rsidRPr="00AD2CF5">
        <w:rPr>
          <w:noProof/>
        </w:rPr>
        <w:tab/>
      </w:r>
      <w:r w:rsidRPr="00AD2CF5">
        <w:rPr>
          <w:noProof/>
        </w:rPr>
        <w:fldChar w:fldCharType="begin"/>
      </w:r>
      <w:r w:rsidRPr="00AD2CF5">
        <w:rPr>
          <w:noProof/>
        </w:rPr>
        <w:instrText xml:space="preserve"> PAGEREF _Toc413945817 \h </w:instrText>
      </w:r>
      <w:r w:rsidRPr="00AD2CF5">
        <w:rPr>
          <w:noProof/>
        </w:rPr>
      </w:r>
      <w:r w:rsidRPr="00AD2CF5">
        <w:rPr>
          <w:noProof/>
        </w:rPr>
        <w:fldChar w:fldCharType="separate"/>
      </w:r>
      <w:r>
        <w:rPr>
          <w:noProof/>
        </w:rPr>
        <w:t>105</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2.8</w:t>
      </w:r>
      <w:r w:rsidRPr="00AD2CF5">
        <w:rPr>
          <w:noProof/>
        </w:rPr>
        <w:tab/>
        <w:t>Militaire oefenterreinen</w:t>
      </w:r>
      <w:r w:rsidRPr="00AD2CF5">
        <w:rPr>
          <w:noProof/>
        </w:rPr>
        <w:tab/>
      </w:r>
      <w:r w:rsidRPr="00AD2CF5">
        <w:rPr>
          <w:noProof/>
        </w:rPr>
        <w:fldChar w:fldCharType="begin"/>
      </w:r>
      <w:r w:rsidRPr="00AD2CF5">
        <w:rPr>
          <w:noProof/>
        </w:rPr>
        <w:instrText xml:space="preserve"> PAGEREF _Toc413945818 \h </w:instrText>
      </w:r>
      <w:r w:rsidRPr="00AD2CF5">
        <w:rPr>
          <w:noProof/>
        </w:rPr>
      </w:r>
      <w:r w:rsidRPr="00AD2CF5">
        <w:rPr>
          <w:noProof/>
        </w:rPr>
        <w:fldChar w:fldCharType="separate"/>
      </w:r>
      <w:r>
        <w:rPr>
          <w:noProof/>
        </w:rPr>
        <w:t>109</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2.9</w:t>
      </w:r>
      <w:r w:rsidRPr="00AD2CF5">
        <w:rPr>
          <w:noProof/>
        </w:rPr>
        <w:tab/>
        <w:t>Achtergronden bij de fysische modellering van schietgeluid</w:t>
      </w:r>
      <w:r w:rsidRPr="00AD2CF5">
        <w:rPr>
          <w:noProof/>
        </w:rPr>
        <w:tab/>
      </w:r>
      <w:r w:rsidRPr="00AD2CF5">
        <w:rPr>
          <w:noProof/>
        </w:rPr>
        <w:fldChar w:fldCharType="begin"/>
      </w:r>
      <w:r w:rsidRPr="00AD2CF5">
        <w:rPr>
          <w:noProof/>
        </w:rPr>
        <w:instrText xml:space="preserve"> PAGEREF _Toc413945819 \h </w:instrText>
      </w:r>
      <w:r w:rsidRPr="00AD2CF5">
        <w:rPr>
          <w:noProof/>
        </w:rPr>
      </w:r>
      <w:r w:rsidRPr="00AD2CF5">
        <w:rPr>
          <w:noProof/>
        </w:rPr>
        <w:fldChar w:fldCharType="separate"/>
      </w:r>
      <w:r>
        <w:rPr>
          <w:noProof/>
        </w:rPr>
        <w:t>109</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2.10</w:t>
      </w:r>
      <w:r w:rsidRPr="00AD2CF5">
        <w:rPr>
          <w:noProof/>
        </w:rPr>
        <w:tab/>
        <w:t>Symbolen</w:t>
      </w:r>
      <w:r w:rsidRPr="00AD2CF5">
        <w:rPr>
          <w:noProof/>
        </w:rPr>
        <w:tab/>
      </w:r>
      <w:r w:rsidRPr="00AD2CF5">
        <w:rPr>
          <w:noProof/>
        </w:rPr>
        <w:fldChar w:fldCharType="begin"/>
      </w:r>
      <w:r w:rsidRPr="00AD2CF5">
        <w:rPr>
          <w:noProof/>
        </w:rPr>
        <w:instrText xml:space="preserve"> PAGEREF _Toc413945820 \h </w:instrText>
      </w:r>
      <w:r w:rsidRPr="00AD2CF5">
        <w:rPr>
          <w:noProof/>
        </w:rPr>
      </w:r>
      <w:r w:rsidRPr="00AD2CF5">
        <w:rPr>
          <w:noProof/>
        </w:rPr>
        <w:fldChar w:fldCharType="separate"/>
      </w:r>
      <w:r>
        <w:rPr>
          <w:noProof/>
        </w:rPr>
        <w:t>112</w:t>
      </w:r>
      <w:r w:rsidRPr="00AD2CF5">
        <w:rPr>
          <w:noProof/>
        </w:rPr>
        <w:fldChar w:fldCharType="end"/>
      </w:r>
    </w:p>
    <w:p w:rsidR="00F43C9B" w:rsidRPr="00AD2CF5" w:rsidRDefault="00F43C9B" w:rsidP="00F43C9B">
      <w:pPr>
        <w:pStyle w:val="Inhopg1"/>
        <w:shd w:val="clear" w:color="auto" w:fill="D9D9D9" w:themeFill="background1" w:themeFillShade="D9"/>
        <w:tabs>
          <w:tab w:val="left" w:pos="440"/>
          <w:tab w:val="right" w:pos="7361"/>
        </w:tabs>
        <w:rPr>
          <w:noProof/>
        </w:rPr>
      </w:pPr>
      <w:r w:rsidRPr="00AD2CF5">
        <w:rPr>
          <w:noProof/>
        </w:rPr>
        <w:t>3</w:t>
      </w:r>
      <w:r w:rsidRPr="00AD2CF5">
        <w:rPr>
          <w:noProof/>
        </w:rPr>
        <w:tab/>
        <w:t>Beoordelingsgrootheid</w:t>
      </w:r>
      <w:r w:rsidRPr="00AD2CF5">
        <w:rPr>
          <w:noProof/>
        </w:rPr>
        <w:tab/>
      </w:r>
      <w:r w:rsidRPr="00AD2CF5">
        <w:rPr>
          <w:noProof/>
        </w:rPr>
        <w:fldChar w:fldCharType="begin"/>
      </w:r>
      <w:r w:rsidRPr="00AD2CF5">
        <w:rPr>
          <w:noProof/>
        </w:rPr>
        <w:instrText xml:space="preserve"> PAGEREF _Toc413945821 \h </w:instrText>
      </w:r>
      <w:r w:rsidRPr="00AD2CF5">
        <w:rPr>
          <w:noProof/>
        </w:rPr>
      </w:r>
      <w:r w:rsidRPr="00AD2CF5">
        <w:rPr>
          <w:noProof/>
        </w:rPr>
        <w:fldChar w:fldCharType="separate"/>
      </w:r>
      <w:r>
        <w:rPr>
          <w:noProof/>
        </w:rPr>
        <w:t>1</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3.1</w:t>
      </w:r>
      <w:r w:rsidRPr="00AD2CF5">
        <w:rPr>
          <w:noProof/>
        </w:rPr>
        <w:tab/>
        <w:t>Toepassingsbereik</w:t>
      </w:r>
      <w:r w:rsidRPr="00AD2CF5">
        <w:rPr>
          <w:noProof/>
        </w:rPr>
        <w:tab/>
      </w:r>
      <w:r w:rsidRPr="00AD2CF5">
        <w:rPr>
          <w:noProof/>
        </w:rPr>
        <w:fldChar w:fldCharType="begin"/>
      </w:r>
      <w:r w:rsidRPr="00AD2CF5">
        <w:rPr>
          <w:noProof/>
        </w:rPr>
        <w:instrText xml:space="preserve"> PAGEREF _Toc413945822 \h </w:instrText>
      </w:r>
      <w:r w:rsidRPr="00AD2CF5">
        <w:rPr>
          <w:noProof/>
        </w:rPr>
      </w:r>
      <w:r w:rsidRPr="00AD2CF5">
        <w:rPr>
          <w:noProof/>
        </w:rPr>
        <w:fldChar w:fldCharType="separate"/>
      </w:r>
      <w:r>
        <w:rPr>
          <w:noProof/>
        </w:rPr>
        <w:t>1</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3.2</w:t>
      </w:r>
      <w:r w:rsidRPr="00AD2CF5">
        <w:rPr>
          <w:noProof/>
        </w:rPr>
        <w:tab/>
        <w:t>Geluidbelasting</w:t>
      </w:r>
      <w:r w:rsidRPr="00AD2CF5">
        <w:rPr>
          <w:noProof/>
        </w:rPr>
        <w:tab/>
      </w:r>
      <w:r w:rsidRPr="00AD2CF5">
        <w:rPr>
          <w:noProof/>
        </w:rPr>
        <w:fldChar w:fldCharType="begin"/>
      </w:r>
      <w:r w:rsidRPr="00AD2CF5">
        <w:rPr>
          <w:noProof/>
        </w:rPr>
        <w:instrText xml:space="preserve"> PAGEREF _Toc413945823 \h </w:instrText>
      </w:r>
      <w:r w:rsidRPr="00AD2CF5">
        <w:rPr>
          <w:noProof/>
        </w:rPr>
      </w:r>
      <w:r w:rsidRPr="00AD2CF5">
        <w:rPr>
          <w:noProof/>
        </w:rPr>
        <w:fldChar w:fldCharType="separate"/>
      </w:r>
      <w:r>
        <w:rPr>
          <w:noProof/>
        </w:rPr>
        <w:t>1</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3.4</w:t>
      </w:r>
      <w:r w:rsidRPr="00AD2CF5">
        <w:rPr>
          <w:noProof/>
        </w:rPr>
        <w:tab/>
        <w:t>Incidenteel gebruik</w:t>
      </w:r>
      <w:r w:rsidRPr="00AD2CF5">
        <w:rPr>
          <w:noProof/>
        </w:rPr>
        <w:tab/>
      </w:r>
      <w:r w:rsidRPr="00AD2CF5">
        <w:rPr>
          <w:noProof/>
        </w:rPr>
        <w:fldChar w:fldCharType="begin"/>
      </w:r>
      <w:r w:rsidRPr="00AD2CF5">
        <w:rPr>
          <w:noProof/>
        </w:rPr>
        <w:instrText xml:space="preserve"> PAGEREF _Toc413945824 \h </w:instrText>
      </w:r>
      <w:r w:rsidRPr="00AD2CF5">
        <w:rPr>
          <w:noProof/>
        </w:rPr>
      </w:r>
      <w:r w:rsidRPr="00AD2CF5">
        <w:rPr>
          <w:noProof/>
        </w:rPr>
        <w:fldChar w:fldCharType="separate"/>
      </w:r>
      <w:r>
        <w:rPr>
          <w:noProof/>
        </w:rPr>
        <w:t>6</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3.5</w:t>
      </w:r>
      <w:r w:rsidRPr="00AD2CF5">
        <w:rPr>
          <w:noProof/>
        </w:rPr>
        <w:tab/>
        <w:t>Salvo's</w:t>
      </w:r>
      <w:r w:rsidRPr="00AD2CF5">
        <w:rPr>
          <w:noProof/>
        </w:rPr>
        <w:tab/>
      </w:r>
      <w:r w:rsidRPr="00AD2CF5">
        <w:rPr>
          <w:noProof/>
        </w:rPr>
        <w:fldChar w:fldCharType="begin"/>
      </w:r>
      <w:r w:rsidRPr="00AD2CF5">
        <w:rPr>
          <w:noProof/>
        </w:rPr>
        <w:instrText xml:space="preserve"> PAGEREF _Toc413945825 \h </w:instrText>
      </w:r>
      <w:r w:rsidRPr="00AD2CF5">
        <w:rPr>
          <w:noProof/>
        </w:rPr>
      </w:r>
      <w:r w:rsidRPr="00AD2CF5">
        <w:rPr>
          <w:noProof/>
        </w:rPr>
        <w:fldChar w:fldCharType="separate"/>
      </w:r>
      <w:r>
        <w:rPr>
          <w:noProof/>
        </w:rPr>
        <w:t>6</w:t>
      </w:r>
      <w:r w:rsidRPr="00AD2CF5">
        <w:rPr>
          <w:noProof/>
        </w:rPr>
        <w:fldChar w:fldCharType="end"/>
      </w:r>
    </w:p>
    <w:p w:rsidR="00F43C9B" w:rsidRPr="00AD2CF5" w:rsidRDefault="00F43C9B" w:rsidP="00F43C9B">
      <w:pPr>
        <w:pStyle w:val="Inhopg1"/>
        <w:shd w:val="clear" w:color="auto" w:fill="D9D9D9" w:themeFill="background1" w:themeFillShade="D9"/>
        <w:tabs>
          <w:tab w:val="left" w:pos="440"/>
          <w:tab w:val="right" w:pos="7361"/>
        </w:tabs>
        <w:rPr>
          <w:noProof/>
        </w:rPr>
      </w:pPr>
      <w:r w:rsidRPr="00AD2CF5">
        <w:rPr>
          <w:noProof/>
        </w:rPr>
        <w:t>4</w:t>
      </w:r>
      <w:r w:rsidRPr="00AD2CF5">
        <w:rPr>
          <w:noProof/>
        </w:rPr>
        <w:tab/>
        <w:t>Rekenmethode</w:t>
      </w:r>
      <w:r w:rsidRPr="00AD2CF5">
        <w:rPr>
          <w:noProof/>
        </w:rPr>
        <w:tab/>
      </w:r>
      <w:r w:rsidRPr="00AD2CF5">
        <w:rPr>
          <w:noProof/>
        </w:rPr>
        <w:fldChar w:fldCharType="begin"/>
      </w:r>
      <w:r w:rsidRPr="00AD2CF5">
        <w:rPr>
          <w:noProof/>
        </w:rPr>
        <w:instrText xml:space="preserve"> PAGEREF _Toc413945826 \h </w:instrText>
      </w:r>
      <w:r w:rsidRPr="00AD2CF5">
        <w:rPr>
          <w:noProof/>
        </w:rPr>
      </w:r>
      <w:r w:rsidRPr="00AD2CF5">
        <w:rPr>
          <w:noProof/>
        </w:rPr>
        <w:fldChar w:fldCharType="separate"/>
      </w:r>
      <w:r>
        <w:rPr>
          <w:noProof/>
        </w:rPr>
        <w:t>7</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4.1</w:t>
      </w:r>
      <w:r w:rsidRPr="00AD2CF5">
        <w:rPr>
          <w:noProof/>
        </w:rPr>
        <w:tab/>
        <w:t>Inleiding</w:t>
      </w:r>
      <w:r w:rsidRPr="00AD2CF5">
        <w:rPr>
          <w:noProof/>
        </w:rPr>
        <w:tab/>
      </w:r>
      <w:r w:rsidRPr="00AD2CF5">
        <w:rPr>
          <w:noProof/>
        </w:rPr>
        <w:fldChar w:fldCharType="begin"/>
      </w:r>
      <w:r w:rsidRPr="00AD2CF5">
        <w:rPr>
          <w:noProof/>
        </w:rPr>
        <w:instrText xml:space="preserve"> PAGEREF _Toc413945827 \h </w:instrText>
      </w:r>
      <w:r w:rsidRPr="00AD2CF5">
        <w:rPr>
          <w:noProof/>
        </w:rPr>
      </w:r>
      <w:r w:rsidRPr="00AD2CF5">
        <w:rPr>
          <w:noProof/>
        </w:rPr>
        <w:fldChar w:fldCharType="separate"/>
      </w:r>
      <w:r>
        <w:rPr>
          <w:noProof/>
        </w:rPr>
        <w:t>7</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4.2</w:t>
      </w:r>
      <w:r w:rsidRPr="00AD2CF5">
        <w:rPr>
          <w:noProof/>
        </w:rPr>
        <w:tab/>
        <w:t>Toepassingsbereik</w:t>
      </w:r>
      <w:r w:rsidRPr="00AD2CF5">
        <w:rPr>
          <w:noProof/>
        </w:rPr>
        <w:tab/>
      </w:r>
      <w:r w:rsidRPr="00AD2CF5">
        <w:rPr>
          <w:noProof/>
        </w:rPr>
        <w:fldChar w:fldCharType="begin"/>
      </w:r>
      <w:r w:rsidRPr="00AD2CF5">
        <w:rPr>
          <w:noProof/>
        </w:rPr>
        <w:instrText xml:space="preserve"> PAGEREF _Toc413945828 \h </w:instrText>
      </w:r>
      <w:r w:rsidRPr="00AD2CF5">
        <w:rPr>
          <w:noProof/>
        </w:rPr>
      </w:r>
      <w:r w:rsidRPr="00AD2CF5">
        <w:rPr>
          <w:noProof/>
        </w:rPr>
        <w:fldChar w:fldCharType="separate"/>
      </w:r>
      <w:r>
        <w:rPr>
          <w:noProof/>
        </w:rPr>
        <w:t>7</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4.3</w:t>
      </w:r>
      <w:r w:rsidRPr="00AD2CF5">
        <w:rPr>
          <w:noProof/>
        </w:rPr>
        <w:tab/>
        <w:t>Principe van de rekenmethode</w:t>
      </w:r>
      <w:r w:rsidRPr="00AD2CF5">
        <w:rPr>
          <w:noProof/>
        </w:rPr>
        <w:tab/>
      </w:r>
      <w:r w:rsidRPr="00AD2CF5">
        <w:rPr>
          <w:noProof/>
        </w:rPr>
        <w:fldChar w:fldCharType="begin"/>
      </w:r>
      <w:r w:rsidRPr="00AD2CF5">
        <w:rPr>
          <w:noProof/>
        </w:rPr>
        <w:instrText xml:space="preserve"> PAGEREF _Toc413945829 \h </w:instrText>
      </w:r>
      <w:r w:rsidRPr="00AD2CF5">
        <w:rPr>
          <w:noProof/>
        </w:rPr>
      </w:r>
      <w:r w:rsidRPr="00AD2CF5">
        <w:rPr>
          <w:noProof/>
        </w:rPr>
        <w:fldChar w:fldCharType="separate"/>
      </w:r>
      <w:r>
        <w:rPr>
          <w:noProof/>
        </w:rPr>
        <w:t>8</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4.4</w:t>
      </w:r>
      <w:r w:rsidRPr="00AD2CF5">
        <w:rPr>
          <w:noProof/>
        </w:rPr>
        <w:tab/>
        <w:t>Toe te passen gegevensbestanden</w:t>
      </w:r>
      <w:r w:rsidRPr="00AD2CF5">
        <w:rPr>
          <w:noProof/>
        </w:rPr>
        <w:tab/>
      </w:r>
      <w:r w:rsidRPr="00AD2CF5">
        <w:rPr>
          <w:noProof/>
        </w:rPr>
        <w:fldChar w:fldCharType="begin"/>
      </w:r>
      <w:r w:rsidRPr="00AD2CF5">
        <w:rPr>
          <w:noProof/>
        </w:rPr>
        <w:instrText xml:space="preserve"> PAGEREF _Toc413945830 \h </w:instrText>
      </w:r>
      <w:r w:rsidRPr="00AD2CF5">
        <w:rPr>
          <w:noProof/>
        </w:rPr>
      </w:r>
      <w:r w:rsidRPr="00AD2CF5">
        <w:rPr>
          <w:noProof/>
        </w:rPr>
        <w:fldChar w:fldCharType="separate"/>
      </w:r>
      <w:r>
        <w:rPr>
          <w:noProof/>
        </w:rPr>
        <w:t>11</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4.4.1</w:t>
      </w:r>
      <w:r w:rsidRPr="00AD2CF5">
        <w:rPr>
          <w:noProof/>
        </w:rPr>
        <w:tab/>
      </w:r>
      <w:r w:rsidRPr="00AD2CF5">
        <w:rPr>
          <w:noProof/>
          <w:lang w:bidi="en-US"/>
        </w:rPr>
        <w:t>Gegevensbestand van bronnen</w:t>
      </w:r>
      <w:r w:rsidRPr="00AD2CF5">
        <w:rPr>
          <w:noProof/>
        </w:rPr>
        <w:tab/>
      </w:r>
      <w:r w:rsidRPr="00AD2CF5">
        <w:rPr>
          <w:noProof/>
        </w:rPr>
        <w:fldChar w:fldCharType="begin"/>
      </w:r>
      <w:r w:rsidRPr="00AD2CF5">
        <w:rPr>
          <w:noProof/>
        </w:rPr>
        <w:instrText xml:space="preserve"> PAGEREF _Toc413945831 \h </w:instrText>
      </w:r>
      <w:r w:rsidRPr="00AD2CF5">
        <w:rPr>
          <w:noProof/>
        </w:rPr>
      </w:r>
      <w:r w:rsidRPr="00AD2CF5">
        <w:rPr>
          <w:noProof/>
        </w:rPr>
        <w:fldChar w:fldCharType="separate"/>
      </w:r>
      <w:r>
        <w:rPr>
          <w:noProof/>
        </w:rPr>
        <w:t>11</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4.4.2</w:t>
      </w:r>
      <w:r w:rsidRPr="00AD2CF5">
        <w:rPr>
          <w:noProof/>
        </w:rPr>
        <w:tab/>
      </w:r>
      <w:r w:rsidRPr="00AD2CF5">
        <w:rPr>
          <w:noProof/>
          <w:lang w:bidi="en-US"/>
        </w:rPr>
        <w:t>Gegegevensbestand voor bepaling bodemdemping</w:t>
      </w:r>
      <w:r w:rsidRPr="00AD2CF5">
        <w:rPr>
          <w:noProof/>
        </w:rPr>
        <w:tab/>
      </w:r>
      <w:r w:rsidRPr="00AD2CF5">
        <w:rPr>
          <w:noProof/>
        </w:rPr>
        <w:fldChar w:fldCharType="begin"/>
      </w:r>
      <w:r w:rsidRPr="00AD2CF5">
        <w:rPr>
          <w:noProof/>
        </w:rPr>
        <w:instrText xml:space="preserve"> PAGEREF _Toc413945832 \h </w:instrText>
      </w:r>
      <w:r w:rsidRPr="00AD2CF5">
        <w:rPr>
          <w:noProof/>
        </w:rPr>
      </w:r>
      <w:r w:rsidRPr="00AD2CF5">
        <w:rPr>
          <w:noProof/>
        </w:rPr>
        <w:fldChar w:fldCharType="separate"/>
      </w:r>
      <w:r>
        <w:rPr>
          <w:noProof/>
        </w:rPr>
        <w:t>14</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4.4.3</w:t>
      </w:r>
      <w:r w:rsidRPr="00AD2CF5">
        <w:rPr>
          <w:noProof/>
        </w:rPr>
        <w:tab/>
      </w:r>
      <w:r w:rsidRPr="00AD2CF5">
        <w:rPr>
          <w:noProof/>
          <w:lang w:bidi="en-US"/>
        </w:rPr>
        <w:t>Gegevensbestand met statistische gewichten</w:t>
      </w:r>
      <w:r w:rsidRPr="00AD2CF5">
        <w:rPr>
          <w:noProof/>
        </w:rPr>
        <w:tab/>
      </w:r>
      <w:r w:rsidRPr="00AD2CF5">
        <w:rPr>
          <w:noProof/>
        </w:rPr>
        <w:fldChar w:fldCharType="begin"/>
      </w:r>
      <w:r w:rsidRPr="00AD2CF5">
        <w:rPr>
          <w:noProof/>
        </w:rPr>
        <w:instrText xml:space="preserve"> PAGEREF _Toc413945833 \h </w:instrText>
      </w:r>
      <w:r w:rsidRPr="00AD2CF5">
        <w:rPr>
          <w:noProof/>
        </w:rPr>
      </w:r>
      <w:r w:rsidRPr="00AD2CF5">
        <w:rPr>
          <w:noProof/>
        </w:rPr>
        <w:fldChar w:fldCharType="separate"/>
      </w:r>
      <w:r>
        <w:rPr>
          <w:noProof/>
        </w:rPr>
        <w:t>19</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4.5</w:t>
      </w:r>
      <w:r w:rsidRPr="00AD2CF5">
        <w:rPr>
          <w:noProof/>
        </w:rPr>
        <w:tab/>
        <w:t>Invoergrootheden rekenmethode</w:t>
      </w:r>
      <w:r w:rsidRPr="00AD2CF5">
        <w:rPr>
          <w:noProof/>
        </w:rPr>
        <w:tab/>
      </w:r>
      <w:r w:rsidRPr="00AD2CF5">
        <w:rPr>
          <w:noProof/>
        </w:rPr>
        <w:fldChar w:fldCharType="begin"/>
      </w:r>
      <w:r w:rsidRPr="00AD2CF5">
        <w:rPr>
          <w:noProof/>
        </w:rPr>
        <w:instrText xml:space="preserve"> PAGEREF _Toc413945834 \h </w:instrText>
      </w:r>
      <w:r w:rsidRPr="00AD2CF5">
        <w:rPr>
          <w:noProof/>
        </w:rPr>
      </w:r>
      <w:r w:rsidRPr="00AD2CF5">
        <w:rPr>
          <w:noProof/>
        </w:rPr>
        <w:fldChar w:fldCharType="separate"/>
      </w:r>
      <w:r>
        <w:rPr>
          <w:noProof/>
        </w:rPr>
        <w:t>24</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4.5.1</w:t>
      </w:r>
      <w:r w:rsidRPr="00AD2CF5">
        <w:rPr>
          <w:noProof/>
        </w:rPr>
        <w:tab/>
      </w:r>
      <w:r w:rsidRPr="00AD2CF5">
        <w:rPr>
          <w:noProof/>
          <w:lang w:bidi="en-US"/>
        </w:rPr>
        <w:t>Brongegevens</w:t>
      </w:r>
      <w:r w:rsidRPr="00AD2CF5">
        <w:rPr>
          <w:noProof/>
        </w:rPr>
        <w:tab/>
      </w:r>
      <w:r w:rsidRPr="00AD2CF5">
        <w:rPr>
          <w:noProof/>
        </w:rPr>
        <w:fldChar w:fldCharType="begin"/>
      </w:r>
      <w:r w:rsidRPr="00AD2CF5">
        <w:rPr>
          <w:noProof/>
        </w:rPr>
        <w:instrText xml:space="preserve"> PAGEREF _Toc413945835 \h </w:instrText>
      </w:r>
      <w:r w:rsidRPr="00AD2CF5">
        <w:rPr>
          <w:noProof/>
        </w:rPr>
      </w:r>
      <w:r w:rsidRPr="00AD2CF5">
        <w:rPr>
          <w:noProof/>
        </w:rPr>
        <w:fldChar w:fldCharType="separate"/>
      </w:r>
      <w:r>
        <w:rPr>
          <w:noProof/>
        </w:rPr>
        <w:t>24</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4.5.2</w:t>
      </w:r>
      <w:r w:rsidRPr="00AD2CF5">
        <w:rPr>
          <w:noProof/>
        </w:rPr>
        <w:tab/>
      </w:r>
      <w:r w:rsidRPr="00AD2CF5">
        <w:rPr>
          <w:noProof/>
          <w:lang w:bidi="en-US"/>
        </w:rPr>
        <w:t>Bodemtype (hardheid/ruwheid)</w:t>
      </w:r>
      <w:r w:rsidRPr="00AD2CF5">
        <w:rPr>
          <w:noProof/>
        </w:rPr>
        <w:tab/>
      </w:r>
      <w:r w:rsidRPr="00AD2CF5">
        <w:rPr>
          <w:noProof/>
        </w:rPr>
        <w:fldChar w:fldCharType="begin"/>
      </w:r>
      <w:r w:rsidRPr="00AD2CF5">
        <w:rPr>
          <w:noProof/>
        </w:rPr>
        <w:instrText xml:space="preserve"> PAGEREF _Toc413945836 \h </w:instrText>
      </w:r>
      <w:r w:rsidRPr="00AD2CF5">
        <w:rPr>
          <w:noProof/>
        </w:rPr>
      </w:r>
      <w:r w:rsidRPr="00AD2CF5">
        <w:rPr>
          <w:noProof/>
        </w:rPr>
        <w:fldChar w:fldCharType="separate"/>
      </w:r>
      <w:r>
        <w:rPr>
          <w:noProof/>
        </w:rPr>
        <w:t>26</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4.5.3</w:t>
      </w:r>
      <w:r w:rsidRPr="00AD2CF5">
        <w:rPr>
          <w:noProof/>
        </w:rPr>
        <w:tab/>
      </w:r>
      <w:r w:rsidRPr="00AD2CF5">
        <w:rPr>
          <w:noProof/>
          <w:lang w:bidi="en-US"/>
        </w:rPr>
        <w:t>Afschermende objecten</w:t>
      </w:r>
      <w:r w:rsidRPr="00AD2CF5">
        <w:rPr>
          <w:noProof/>
        </w:rPr>
        <w:tab/>
      </w:r>
      <w:r w:rsidRPr="00AD2CF5">
        <w:rPr>
          <w:noProof/>
        </w:rPr>
        <w:fldChar w:fldCharType="begin"/>
      </w:r>
      <w:r w:rsidRPr="00AD2CF5">
        <w:rPr>
          <w:noProof/>
        </w:rPr>
        <w:instrText xml:space="preserve"> PAGEREF _Toc413945837 \h </w:instrText>
      </w:r>
      <w:r w:rsidRPr="00AD2CF5">
        <w:rPr>
          <w:noProof/>
        </w:rPr>
      </w:r>
      <w:r w:rsidRPr="00AD2CF5">
        <w:rPr>
          <w:noProof/>
        </w:rPr>
        <w:fldChar w:fldCharType="separate"/>
      </w:r>
      <w:r>
        <w:rPr>
          <w:noProof/>
        </w:rPr>
        <w:t>28</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4.5.4</w:t>
      </w:r>
      <w:r w:rsidRPr="00AD2CF5">
        <w:rPr>
          <w:noProof/>
        </w:rPr>
        <w:tab/>
      </w:r>
      <w:r w:rsidRPr="00AD2CF5">
        <w:rPr>
          <w:noProof/>
          <w:lang w:bidi="en-US"/>
        </w:rPr>
        <w:t>Reflecterende objecten</w:t>
      </w:r>
      <w:r w:rsidRPr="00AD2CF5">
        <w:rPr>
          <w:noProof/>
        </w:rPr>
        <w:tab/>
      </w:r>
      <w:r w:rsidRPr="00AD2CF5">
        <w:rPr>
          <w:noProof/>
        </w:rPr>
        <w:fldChar w:fldCharType="begin"/>
      </w:r>
      <w:r w:rsidRPr="00AD2CF5">
        <w:rPr>
          <w:noProof/>
        </w:rPr>
        <w:instrText xml:space="preserve"> PAGEREF _Toc413945838 \h </w:instrText>
      </w:r>
      <w:r w:rsidRPr="00AD2CF5">
        <w:rPr>
          <w:noProof/>
        </w:rPr>
      </w:r>
      <w:r w:rsidRPr="00AD2CF5">
        <w:rPr>
          <w:noProof/>
        </w:rPr>
        <w:fldChar w:fldCharType="separate"/>
      </w:r>
      <w:r>
        <w:rPr>
          <w:noProof/>
        </w:rPr>
        <w:t>29</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4.5.5</w:t>
      </w:r>
      <w:r w:rsidRPr="00AD2CF5">
        <w:rPr>
          <w:noProof/>
        </w:rPr>
        <w:tab/>
      </w:r>
      <w:r w:rsidRPr="00AD2CF5">
        <w:rPr>
          <w:noProof/>
          <w:lang w:bidi="en-US"/>
        </w:rPr>
        <w:t>Keuze van rekenpunten</w:t>
      </w:r>
      <w:r w:rsidRPr="00AD2CF5">
        <w:rPr>
          <w:noProof/>
        </w:rPr>
        <w:tab/>
      </w:r>
      <w:r w:rsidRPr="00AD2CF5">
        <w:rPr>
          <w:noProof/>
        </w:rPr>
        <w:fldChar w:fldCharType="begin"/>
      </w:r>
      <w:r w:rsidRPr="00AD2CF5">
        <w:rPr>
          <w:noProof/>
        </w:rPr>
        <w:instrText xml:space="preserve"> PAGEREF _Toc413945839 \h </w:instrText>
      </w:r>
      <w:r w:rsidRPr="00AD2CF5">
        <w:rPr>
          <w:noProof/>
        </w:rPr>
      </w:r>
      <w:r w:rsidRPr="00AD2CF5">
        <w:rPr>
          <w:noProof/>
        </w:rPr>
        <w:fldChar w:fldCharType="separate"/>
      </w:r>
      <w:r>
        <w:rPr>
          <w:noProof/>
        </w:rPr>
        <w:t>32</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4.6</w:t>
      </w:r>
      <w:r w:rsidRPr="00AD2CF5">
        <w:rPr>
          <w:noProof/>
        </w:rPr>
        <w:tab/>
        <w:t>Berekening van het geluidexpositieniveau</w:t>
      </w:r>
      <w:r w:rsidRPr="00AD2CF5">
        <w:rPr>
          <w:noProof/>
        </w:rPr>
        <w:tab/>
      </w:r>
      <w:r w:rsidRPr="00AD2CF5">
        <w:rPr>
          <w:noProof/>
        </w:rPr>
        <w:fldChar w:fldCharType="begin"/>
      </w:r>
      <w:r w:rsidRPr="00AD2CF5">
        <w:rPr>
          <w:noProof/>
        </w:rPr>
        <w:instrText xml:space="preserve"> PAGEREF _Toc413945840 \h </w:instrText>
      </w:r>
      <w:r w:rsidRPr="00AD2CF5">
        <w:rPr>
          <w:noProof/>
        </w:rPr>
      </w:r>
      <w:r w:rsidRPr="00AD2CF5">
        <w:rPr>
          <w:noProof/>
        </w:rPr>
        <w:fldChar w:fldCharType="separate"/>
      </w:r>
      <w:r>
        <w:rPr>
          <w:noProof/>
        </w:rPr>
        <w:t>33</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4.6.1</w:t>
      </w:r>
      <w:r w:rsidRPr="00AD2CF5">
        <w:rPr>
          <w:noProof/>
        </w:rPr>
        <w:tab/>
      </w:r>
      <w:r w:rsidRPr="00AD2CF5">
        <w:rPr>
          <w:noProof/>
          <w:lang w:bidi="en-US"/>
        </w:rPr>
        <w:t>Bronniveau</w:t>
      </w:r>
      <w:r w:rsidRPr="00AD2CF5">
        <w:rPr>
          <w:noProof/>
        </w:rPr>
        <w:tab/>
      </w:r>
      <w:r w:rsidRPr="00AD2CF5">
        <w:rPr>
          <w:noProof/>
        </w:rPr>
        <w:fldChar w:fldCharType="begin"/>
      </w:r>
      <w:r w:rsidRPr="00AD2CF5">
        <w:rPr>
          <w:noProof/>
        </w:rPr>
        <w:instrText xml:space="preserve"> PAGEREF _Toc413945841 \h </w:instrText>
      </w:r>
      <w:r w:rsidRPr="00AD2CF5">
        <w:rPr>
          <w:noProof/>
        </w:rPr>
      </w:r>
      <w:r w:rsidRPr="00AD2CF5">
        <w:rPr>
          <w:noProof/>
        </w:rPr>
        <w:fldChar w:fldCharType="separate"/>
      </w:r>
      <w:r>
        <w:rPr>
          <w:noProof/>
        </w:rPr>
        <w:t>33</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4.6.2</w:t>
      </w:r>
      <w:r w:rsidRPr="00AD2CF5">
        <w:rPr>
          <w:noProof/>
        </w:rPr>
        <w:tab/>
      </w:r>
      <w:r w:rsidRPr="00AD2CF5">
        <w:rPr>
          <w:noProof/>
          <w:lang w:bidi="en-US"/>
        </w:rPr>
        <w:t>Geometrische demping</w:t>
      </w:r>
      <w:r w:rsidRPr="00AD2CF5">
        <w:rPr>
          <w:noProof/>
        </w:rPr>
        <w:tab/>
      </w:r>
      <w:r w:rsidRPr="00AD2CF5">
        <w:rPr>
          <w:noProof/>
        </w:rPr>
        <w:fldChar w:fldCharType="begin"/>
      </w:r>
      <w:r w:rsidRPr="00AD2CF5">
        <w:rPr>
          <w:noProof/>
        </w:rPr>
        <w:instrText xml:space="preserve"> PAGEREF _Toc413945842 \h </w:instrText>
      </w:r>
      <w:r w:rsidRPr="00AD2CF5">
        <w:rPr>
          <w:noProof/>
        </w:rPr>
      </w:r>
      <w:r w:rsidRPr="00AD2CF5">
        <w:rPr>
          <w:noProof/>
        </w:rPr>
        <w:fldChar w:fldCharType="separate"/>
      </w:r>
      <w:r>
        <w:rPr>
          <w:noProof/>
        </w:rPr>
        <w:t>37</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4.6.3</w:t>
      </w:r>
      <w:r w:rsidRPr="00AD2CF5">
        <w:rPr>
          <w:noProof/>
        </w:rPr>
        <w:tab/>
      </w:r>
      <w:r w:rsidRPr="00AD2CF5">
        <w:rPr>
          <w:noProof/>
          <w:lang w:bidi="en-US"/>
        </w:rPr>
        <w:t>Luchtdemping</w:t>
      </w:r>
      <w:r w:rsidRPr="00AD2CF5">
        <w:rPr>
          <w:noProof/>
        </w:rPr>
        <w:tab/>
      </w:r>
      <w:r w:rsidRPr="00AD2CF5">
        <w:rPr>
          <w:noProof/>
        </w:rPr>
        <w:fldChar w:fldCharType="begin"/>
      </w:r>
      <w:r w:rsidRPr="00AD2CF5">
        <w:rPr>
          <w:noProof/>
        </w:rPr>
        <w:instrText xml:space="preserve"> PAGEREF _Toc413945843 \h </w:instrText>
      </w:r>
      <w:r w:rsidRPr="00AD2CF5">
        <w:rPr>
          <w:noProof/>
        </w:rPr>
      </w:r>
      <w:r w:rsidRPr="00AD2CF5">
        <w:rPr>
          <w:noProof/>
        </w:rPr>
        <w:fldChar w:fldCharType="separate"/>
      </w:r>
      <w:r>
        <w:rPr>
          <w:noProof/>
        </w:rPr>
        <w:t>41</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4.6.4</w:t>
      </w:r>
      <w:r w:rsidRPr="00AD2CF5">
        <w:rPr>
          <w:noProof/>
        </w:rPr>
        <w:tab/>
      </w:r>
      <w:r w:rsidRPr="00AD2CF5">
        <w:rPr>
          <w:noProof/>
          <w:lang w:bidi="en-US"/>
        </w:rPr>
        <w:t>Bodemdemping</w:t>
      </w:r>
      <w:r w:rsidRPr="00AD2CF5">
        <w:rPr>
          <w:noProof/>
        </w:rPr>
        <w:tab/>
      </w:r>
      <w:r w:rsidRPr="00AD2CF5">
        <w:rPr>
          <w:noProof/>
        </w:rPr>
        <w:fldChar w:fldCharType="begin"/>
      </w:r>
      <w:r w:rsidRPr="00AD2CF5">
        <w:rPr>
          <w:noProof/>
        </w:rPr>
        <w:instrText xml:space="preserve"> PAGEREF _Toc413945844 \h </w:instrText>
      </w:r>
      <w:r w:rsidRPr="00AD2CF5">
        <w:rPr>
          <w:noProof/>
        </w:rPr>
      </w:r>
      <w:r w:rsidRPr="00AD2CF5">
        <w:rPr>
          <w:noProof/>
        </w:rPr>
        <w:fldChar w:fldCharType="separate"/>
      </w:r>
      <w:r>
        <w:rPr>
          <w:noProof/>
        </w:rPr>
        <w:t>42</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4.6.5</w:t>
      </w:r>
      <w:r w:rsidRPr="00AD2CF5">
        <w:rPr>
          <w:noProof/>
        </w:rPr>
        <w:tab/>
      </w:r>
      <w:r w:rsidRPr="00AD2CF5">
        <w:rPr>
          <w:noProof/>
          <w:lang w:bidi="en-US"/>
        </w:rPr>
        <w:t>Afscherming</w:t>
      </w:r>
      <w:r w:rsidRPr="00AD2CF5">
        <w:rPr>
          <w:noProof/>
        </w:rPr>
        <w:tab/>
      </w:r>
      <w:r w:rsidRPr="00AD2CF5">
        <w:rPr>
          <w:noProof/>
        </w:rPr>
        <w:fldChar w:fldCharType="begin"/>
      </w:r>
      <w:r w:rsidRPr="00AD2CF5">
        <w:rPr>
          <w:noProof/>
        </w:rPr>
        <w:instrText xml:space="preserve"> PAGEREF _Toc413945845 \h </w:instrText>
      </w:r>
      <w:r w:rsidRPr="00AD2CF5">
        <w:rPr>
          <w:noProof/>
        </w:rPr>
      </w:r>
      <w:r w:rsidRPr="00AD2CF5">
        <w:rPr>
          <w:noProof/>
        </w:rPr>
        <w:fldChar w:fldCharType="separate"/>
      </w:r>
      <w:r>
        <w:rPr>
          <w:noProof/>
        </w:rPr>
        <w:t>47</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4.6.6</w:t>
      </w:r>
      <w:r w:rsidRPr="00AD2CF5">
        <w:rPr>
          <w:noProof/>
        </w:rPr>
        <w:tab/>
      </w:r>
      <w:r w:rsidRPr="00AD2CF5">
        <w:rPr>
          <w:noProof/>
          <w:lang w:bidi="en-US"/>
        </w:rPr>
        <w:t>Niet-lineaire demping</w:t>
      </w:r>
      <w:r w:rsidRPr="00AD2CF5">
        <w:rPr>
          <w:noProof/>
        </w:rPr>
        <w:tab/>
      </w:r>
      <w:r w:rsidRPr="00AD2CF5">
        <w:rPr>
          <w:noProof/>
        </w:rPr>
        <w:fldChar w:fldCharType="begin"/>
      </w:r>
      <w:r w:rsidRPr="00AD2CF5">
        <w:rPr>
          <w:noProof/>
        </w:rPr>
        <w:instrText xml:space="preserve"> PAGEREF _Toc413945846 \h </w:instrText>
      </w:r>
      <w:r w:rsidRPr="00AD2CF5">
        <w:rPr>
          <w:noProof/>
        </w:rPr>
      </w:r>
      <w:r w:rsidRPr="00AD2CF5">
        <w:rPr>
          <w:noProof/>
        </w:rPr>
        <w:fldChar w:fldCharType="separate"/>
      </w:r>
      <w:r>
        <w:rPr>
          <w:noProof/>
        </w:rPr>
        <w:t>57</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4.6.7</w:t>
      </w:r>
      <w:r w:rsidRPr="00AD2CF5">
        <w:rPr>
          <w:noProof/>
        </w:rPr>
        <w:tab/>
      </w:r>
      <w:r w:rsidRPr="00AD2CF5">
        <w:rPr>
          <w:noProof/>
          <w:lang w:bidi="en-US"/>
        </w:rPr>
        <w:t>Spiegelreflecties</w:t>
      </w:r>
      <w:r w:rsidRPr="00AD2CF5">
        <w:rPr>
          <w:noProof/>
        </w:rPr>
        <w:tab/>
      </w:r>
      <w:r w:rsidRPr="00AD2CF5">
        <w:rPr>
          <w:noProof/>
        </w:rPr>
        <w:fldChar w:fldCharType="begin"/>
      </w:r>
      <w:r w:rsidRPr="00AD2CF5">
        <w:rPr>
          <w:noProof/>
        </w:rPr>
        <w:instrText xml:space="preserve"> PAGEREF _Toc413945847 \h </w:instrText>
      </w:r>
      <w:r w:rsidRPr="00AD2CF5">
        <w:rPr>
          <w:noProof/>
        </w:rPr>
      </w:r>
      <w:r w:rsidRPr="00AD2CF5">
        <w:rPr>
          <w:noProof/>
        </w:rPr>
        <w:fldChar w:fldCharType="separate"/>
      </w:r>
      <w:r>
        <w:rPr>
          <w:noProof/>
        </w:rPr>
        <w:t>59</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4.6.8</w:t>
      </w:r>
      <w:r w:rsidRPr="00AD2CF5">
        <w:rPr>
          <w:noProof/>
        </w:rPr>
        <w:tab/>
      </w:r>
      <w:r w:rsidRPr="00AD2CF5">
        <w:rPr>
          <w:noProof/>
          <w:lang w:bidi="en-US"/>
        </w:rPr>
        <w:t>Diffuse reflectie</w:t>
      </w:r>
      <w:r w:rsidRPr="00AD2CF5">
        <w:rPr>
          <w:noProof/>
        </w:rPr>
        <w:tab/>
      </w:r>
      <w:r w:rsidRPr="00AD2CF5">
        <w:rPr>
          <w:noProof/>
        </w:rPr>
        <w:fldChar w:fldCharType="begin"/>
      </w:r>
      <w:r w:rsidRPr="00AD2CF5">
        <w:rPr>
          <w:noProof/>
        </w:rPr>
        <w:instrText xml:space="preserve"> PAGEREF _Toc413945848 \h </w:instrText>
      </w:r>
      <w:r w:rsidRPr="00AD2CF5">
        <w:rPr>
          <w:noProof/>
        </w:rPr>
      </w:r>
      <w:r w:rsidRPr="00AD2CF5">
        <w:rPr>
          <w:noProof/>
        </w:rPr>
        <w:fldChar w:fldCharType="separate"/>
      </w:r>
      <w:r>
        <w:rPr>
          <w:noProof/>
        </w:rPr>
        <w:t>63</w:t>
      </w:r>
      <w:r w:rsidRPr="00AD2CF5">
        <w:rPr>
          <w:noProof/>
        </w:rPr>
        <w:fldChar w:fldCharType="end"/>
      </w:r>
    </w:p>
    <w:p w:rsidR="00F43C9B" w:rsidRPr="00AD2CF5" w:rsidRDefault="00F43C9B" w:rsidP="00F43C9B">
      <w:pPr>
        <w:pStyle w:val="Inhopg1"/>
        <w:shd w:val="clear" w:color="auto" w:fill="D9D9D9" w:themeFill="background1" w:themeFillShade="D9"/>
        <w:tabs>
          <w:tab w:val="left" w:pos="440"/>
          <w:tab w:val="right" w:pos="7361"/>
        </w:tabs>
        <w:rPr>
          <w:noProof/>
        </w:rPr>
      </w:pPr>
      <w:r w:rsidRPr="00AD2CF5">
        <w:rPr>
          <w:noProof/>
        </w:rPr>
        <w:t xml:space="preserve">5 </w:t>
      </w:r>
      <w:r w:rsidRPr="00AD2CF5">
        <w:rPr>
          <w:noProof/>
        </w:rPr>
        <w:tab/>
        <w:t>Beschrijving invoergegevens</w:t>
      </w:r>
      <w:r w:rsidRPr="00AD2CF5">
        <w:rPr>
          <w:noProof/>
        </w:rPr>
        <w:tab/>
      </w:r>
      <w:r w:rsidRPr="00AD2CF5">
        <w:rPr>
          <w:noProof/>
        </w:rPr>
        <w:fldChar w:fldCharType="begin"/>
      </w:r>
      <w:r w:rsidRPr="00AD2CF5">
        <w:rPr>
          <w:noProof/>
        </w:rPr>
        <w:instrText xml:space="preserve"> PAGEREF _Toc413945849 \h </w:instrText>
      </w:r>
      <w:r w:rsidRPr="00AD2CF5">
        <w:rPr>
          <w:noProof/>
        </w:rPr>
      </w:r>
      <w:r w:rsidRPr="00AD2CF5">
        <w:rPr>
          <w:noProof/>
        </w:rPr>
        <w:fldChar w:fldCharType="separate"/>
      </w:r>
      <w:r>
        <w:rPr>
          <w:noProof/>
        </w:rPr>
        <w:t>67</w:t>
      </w:r>
      <w:r w:rsidRPr="00AD2CF5">
        <w:rPr>
          <w:noProof/>
        </w:rPr>
        <w:fldChar w:fldCharType="end"/>
      </w:r>
    </w:p>
    <w:p w:rsidR="00F43C9B" w:rsidRPr="00AD2CF5" w:rsidRDefault="00F43C9B" w:rsidP="00F43C9B">
      <w:pPr>
        <w:pStyle w:val="Inhopg2"/>
        <w:shd w:val="clear" w:color="auto" w:fill="D9D9D9" w:themeFill="background1" w:themeFillShade="D9"/>
        <w:tabs>
          <w:tab w:val="right" w:pos="7361"/>
        </w:tabs>
        <w:rPr>
          <w:noProof/>
        </w:rPr>
      </w:pPr>
      <w:r w:rsidRPr="00AD2CF5">
        <w:rPr>
          <w:noProof/>
        </w:rPr>
        <w:t>.</w:t>
      </w:r>
      <w:r w:rsidRPr="00AD2CF5">
        <w:rPr>
          <w:noProof/>
        </w:rPr>
        <w:tab/>
      </w:r>
      <w:r w:rsidRPr="00AD2CF5">
        <w:rPr>
          <w:noProof/>
        </w:rPr>
        <w:fldChar w:fldCharType="begin"/>
      </w:r>
      <w:r w:rsidRPr="00AD2CF5">
        <w:rPr>
          <w:noProof/>
        </w:rPr>
        <w:instrText xml:space="preserve"> PAGEREF _Toc413945850 \h </w:instrText>
      </w:r>
      <w:r w:rsidRPr="00AD2CF5">
        <w:rPr>
          <w:noProof/>
        </w:rPr>
      </w:r>
      <w:r w:rsidRPr="00AD2CF5">
        <w:rPr>
          <w:noProof/>
        </w:rPr>
        <w:fldChar w:fldCharType="separate"/>
      </w:r>
      <w:r>
        <w:rPr>
          <w:b/>
          <w:bCs/>
          <w:noProof/>
        </w:rPr>
        <w:t>Fout! Bladwijzer niet gedefinieerd.</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5.1</w:t>
      </w:r>
      <w:r w:rsidRPr="00AD2CF5">
        <w:rPr>
          <w:noProof/>
        </w:rPr>
        <w:tab/>
        <w:t>Gebruiksbeschrijving</w:t>
      </w:r>
      <w:r w:rsidRPr="00AD2CF5">
        <w:rPr>
          <w:noProof/>
        </w:rPr>
        <w:tab/>
      </w:r>
      <w:r w:rsidRPr="00AD2CF5">
        <w:rPr>
          <w:noProof/>
        </w:rPr>
        <w:fldChar w:fldCharType="begin"/>
      </w:r>
      <w:r w:rsidRPr="00AD2CF5">
        <w:rPr>
          <w:noProof/>
        </w:rPr>
        <w:instrText xml:space="preserve"> PAGEREF _Toc413945851 \h </w:instrText>
      </w:r>
      <w:r w:rsidRPr="00AD2CF5">
        <w:rPr>
          <w:noProof/>
        </w:rPr>
      </w:r>
      <w:r w:rsidRPr="00AD2CF5">
        <w:rPr>
          <w:noProof/>
        </w:rPr>
        <w:fldChar w:fldCharType="separate"/>
      </w:r>
      <w:r>
        <w:rPr>
          <w:noProof/>
        </w:rPr>
        <w:t>67</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5.1.1</w:t>
      </w:r>
      <w:r w:rsidRPr="00AD2CF5">
        <w:rPr>
          <w:noProof/>
        </w:rPr>
        <w:tab/>
      </w:r>
      <w:r w:rsidRPr="00AD2CF5">
        <w:rPr>
          <w:noProof/>
          <w:lang w:bidi="en-US"/>
        </w:rPr>
        <w:t>Schietbanen</w:t>
      </w:r>
      <w:r w:rsidRPr="00AD2CF5">
        <w:rPr>
          <w:noProof/>
        </w:rPr>
        <w:tab/>
      </w:r>
      <w:r w:rsidRPr="00AD2CF5">
        <w:rPr>
          <w:noProof/>
        </w:rPr>
        <w:fldChar w:fldCharType="begin"/>
      </w:r>
      <w:r w:rsidRPr="00AD2CF5">
        <w:rPr>
          <w:noProof/>
        </w:rPr>
        <w:instrText xml:space="preserve"> PAGEREF _Toc413945852 \h </w:instrText>
      </w:r>
      <w:r w:rsidRPr="00AD2CF5">
        <w:rPr>
          <w:noProof/>
        </w:rPr>
      </w:r>
      <w:r w:rsidRPr="00AD2CF5">
        <w:rPr>
          <w:noProof/>
        </w:rPr>
        <w:fldChar w:fldCharType="separate"/>
      </w:r>
      <w:r>
        <w:rPr>
          <w:noProof/>
        </w:rPr>
        <w:t>67</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5.2</w:t>
      </w:r>
      <w:r w:rsidRPr="00AD2CF5">
        <w:rPr>
          <w:noProof/>
        </w:rPr>
        <w:tab/>
        <w:t>Rekenmodel</w:t>
      </w:r>
      <w:r w:rsidRPr="00AD2CF5">
        <w:rPr>
          <w:noProof/>
        </w:rPr>
        <w:tab/>
      </w:r>
      <w:r w:rsidRPr="00AD2CF5">
        <w:rPr>
          <w:noProof/>
        </w:rPr>
        <w:fldChar w:fldCharType="begin"/>
      </w:r>
      <w:r w:rsidRPr="00AD2CF5">
        <w:rPr>
          <w:noProof/>
        </w:rPr>
        <w:instrText xml:space="preserve"> PAGEREF _Toc413945853 \h </w:instrText>
      </w:r>
      <w:r w:rsidRPr="00AD2CF5">
        <w:rPr>
          <w:noProof/>
        </w:rPr>
      </w:r>
      <w:r w:rsidRPr="00AD2CF5">
        <w:rPr>
          <w:noProof/>
        </w:rPr>
        <w:fldChar w:fldCharType="separate"/>
      </w:r>
      <w:r>
        <w:rPr>
          <w:noProof/>
        </w:rPr>
        <w:t>68</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5.2.1</w:t>
      </w:r>
      <w:r w:rsidRPr="00AD2CF5">
        <w:rPr>
          <w:noProof/>
        </w:rPr>
        <w:tab/>
      </w:r>
      <w:r w:rsidRPr="00AD2CF5">
        <w:rPr>
          <w:noProof/>
          <w:lang w:bidi="en-US"/>
        </w:rPr>
        <w:t>Toepassingsbereik</w:t>
      </w:r>
      <w:r w:rsidRPr="00AD2CF5">
        <w:rPr>
          <w:noProof/>
        </w:rPr>
        <w:tab/>
      </w:r>
      <w:r w:rsidRPr="00AD2CF5">
        <w:rPr>
          <w:noProof/>
        </w:rPr>
        <w:fldChar w:fldCharType="begin"/>
      </w:r>
      <w:r w:rsidRPr="00AD2CF5">
        <w:rPr>
          <w:noProof/>
        </w:rPr>
        <w:instrText xml:space="preserve"> PAGEREF _Toc413945854 \h </w:instrText>
      </w:r>
      <w:r w:rsidRPr="00AD2CF5">
        <w:rPr>
          <w:noProof/>
        </w:rPr>
      </w:r>
      <w:r w:rsidRPr="00AD2CF5">
        <w:rPr>
          <w:noProof/>
        </w:rPr>
        <w:fldChar w:fldCharType="separate"/>
      </w:r>
      <w:r>
        <w:rPr>
          <w:noProof/>
        </w:rPr>
        <w:t>68</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5.2.2</w:t>
      </w:r>
      <w:r w:rsidRPr="00AD2CF5">
        <w:rPr>
          <w:noProof/>
        </w:rPr>
        <w:tab/>
      </w:r>
      <w:r w:rsidRPr="00AD2CF5">
        <w:rPr>
          <w:noProof/>
          <w:lang w:bidi="en-US"/>
        </w:rPr>
        <w:t>Gebruikte software</w:t>
      </w:r>
      <w:r w:rsidRPr="00AD2CF5">
        <w:rPr>
          <w:noProof/>
        </w:rPr>
        <w:tab/>
      </w:r>
      <w:r w:rsidRPr="00AD2CF5">
        <w:rPr>
          <w:noProof/>
        </w:rPr>
        <w:fldChar w:fldCharType="begin"/>
      </w:r>
      <w:r w:rsidRPr="00AD2CF5">
        <w:rPr>
          <w:noProof/>
        </w:rPr>
        <w:instrText xml:space="preserve"> PAGEREF _Toc413945855 \h </w:instrText>
      </w:r>
      <w:r w:rsidRPr="00AD2CF5">
        <w:rPr>
          <w:noProof/>
        </w:rPr>
      </w:r>
      <w:r w:rsidRPr="00AD2CF5">
        <w:rPr>
          <w:noProof/>
        </w:rPr>
        <w:fldChar w:fldCharType="separate"/>
      </w:r>
      <w:r>
        <w:rPr>
          <w:noProof/>
        </w:rPr>
        <w:t>68</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5.2.3</w:t>
      </w:r>
      <w:r w:rsidRPr="00AD2CF5">
        <w:rPr>
          <w:noProof/>
        </w:rPr>
        <w:tab/>
      </w:r>
      <w:r w:rsidRPr="00AD2CF5">
        <w:rPr>
          <w:noProof/>
          <w:lang w:bidi="en-US"/>
        </w:rPr>
        <w:t>Modellering</w:t>
      </w:r>
      <w:r w:rsidRPr="00AD2CF5">
        <w:rPr>
          <w:noProof/>
        </w:rPr>
        <w:tab/>
      </w:r>
      <w:r w:rsidRPr="00AD2CF5">
        <w:rPr>
          <w:noProof/>
        </w:rPr>
        <w:fldChar w:fldCharType="begin"/>
      </w:r>
      <w:r w:rsidRPr="00AD2CF5">
        <w:rPr>
          <w:noProof/>
        </w:rPr>
        <w:instrText xml:space="preserve"> PAGEREF _Toc413945856 \h </w:instrText>
      </w:r>
      <w:r w:rsidRPr="00AD2CF5">
        <w:rPr>
          <w:noProof/>
        </w:rPr>
      </w:r>
      <w:r w:rsidRPr="00AD2CF5">
        <w:rPr>
          <w:noProof/>
        </w:rPr>
        <w:fldChar w:fldCharType="separate"/>
      </w:r>
      <w:r>
        <w:rPr>
          <w:noProof/>
        </w:rPr>
        <w:t>68</w:t>
      </w:r>
      <w:r w:rsidRPr="00AD2CF5">
        <w:rPr>
          <w:noProof/>
        </w:rPr>
        <w:fldChar w:fldCharType="end"/>
      </w:r>
    </w:p>
    <w:p w:rsidR="00F43C9B" w:rsidRPr="00AD2CF5" w:rsidRDefault="00F43C9B" w:rsidP="00F43C9B">
      <w:pPr>
        <w:pStyle w:val="Inhopg3"/>
        <w:shd w:val="clear" w:color="auto" w:fill="D9D9D9" w:themeFill="background1" w:themeFillShade="D9"/>
        <w:tabs>
          <w:tab w:val="left" w:pos="1320"/>
          <w:tab w:val="right" w:pos="7361"/>
        </w:tabs>
        <w:rPr>
          <w:noProof/>
        </w:rPr>
      </w:pPr>
      <w:r w:rsidRPr="00AD2CF5">
        <w:rPr>
          <w:noProof/>
          <w:lang w:bidi="en-US"/>
        </w:rPr>
        <w:t>5.2.4</w:t>
      </w:r>
      <w:r w:rsidRPr="00AD2CF5">
        <w:rPr>
          <w:noProof/>
        </w:rPr>
        <w:tab/>
      </w:r>
      <w:r w:rsidRPr="00AD2CF5">
        <w:rPr>
          <w:noProof/>
          <w:lang w:bidi="en-US"/>
        </w:rPr>
        <w:t>Invoergegevens voor het rekenmodel</w:t>
      </w:r>
      <w:r w:rsidRPr="00AD2CF5">
        <w:rPr>
          <w:noProof/>
        </w:rPr>
        <w:tab/>
      </w:r>
      <w:r w:rsidRPr="00AD2CF5">
        <w:rPr>
          <w:noProof/>
        </w:rPr>
        <w:fldChar w:fldCharType="begin"/>
      </w:r>
      <w:r w:rsidRPr="00AD2CF5">
        <w:rPr>
          <w:noProof/>
        </w:rPr>
        <w:instrText xml:space="preserve"> PAGEREF _Toc413945857 \h </w:instrText>
      </w:r>
      <w:r w:rsidRPr="00AD2CF5">
        <w:rPr>
          <w:noProof/>
        </w:rPr>
      </w:r>
      <w:r w:rsidRPr="00AD2CF5">
        <w:rPr>
          <w:noProof/>
        </w:rPr>
        <w:fldChar w:fldCharType="separate"/>
      </w:r>
      <w:r>
        <w:rPr>
          <w:noProof/>
        </w:rPr>
        <w:t>68</w:t>
      </w:r>
      <w:r w:rsidRPr="00AD2CF5">
        <w:rPr>
          <w:noProof/>
        </w:rPr>
        <w:fldChar w:fldCharType="end"/>
      </w:r>
    </w:p>
    <w:p w:rsidR="00F43C9B" w:rsidRPr="00AD2CF5" w:rsidRDefault="00F43C9B" w:rsidP="00F43C9B">
      <w:pPr>
        <w:pStyle w:val="Inhopg2"/>
        <w:shd w:val="clear" w:color="auto" w:fill="D9D9D9" w:themeFill="background1" w:themeFillShade="D9"/>
        <w:tabs>
          <w:tab w:val="left" w:pos="880"/>
          <w:tab w:val="right" w:pos="7361"/>
        </w:tabs>
        <w:rPr>
          <w:noProof/>
        </w:rPr>
      </w:pPr>
      <w:r w:rsidRPr="00AD2CF5">
        <w:rPr>
          <w:noProof/>
        </w:rPr>
        <w:t>5.3</w:t>
      </w:r>
      <w:r w:rsidRPr="00AD2CF5">
        <w:rPr>
          <w:noProof/>
        </w:rPr>
        <w:tab/>
        <w:t>Berekeningsresultaten</w:t>
      </w:r>
      <w:r w:rsidRPr="00AD2CF5">
        <w:rPr>
          <w:noProof/>
        </w:rPr>
        <w:tab/>
      </w:r>
      <w:r w:rsidRPr="00AD2CF5">
        <w:rPr>
          <w:noProof/>
        </w:rPr>
        <w:fldChar w:fldCharType="begin"/>
      </w:r>
      <w:r w:rsidRPr="00AD2CF5">
        <w:rPr>
          <w:noProof/>
        </w:rPr>
        <w:instrText xml:space="preserve"> PAGEREF _Toc413945858 \h </w:instrText>
      </w:r>
      <w:r w:rsidRPr="00AD2CF5">
        <w:rPr>
          <w:noProof/>
        </w:rPr>
      </w:r>
      <w:r w:rsidRPr="00AD2CF5">
        <w:rPr>
          <w:noProof/>
        </w:rPr>
        <w:fldChar w:fldCharType="separate"/>
      </w:r>
      <w:r>
        <w:rPr>
          <w:noProof/>
        </w:rPr>
        <w:t>69</w:t>
      </w:r>
      <w:r w:rsidRPr="00AD2CF5">
        <w:rPr>
          <w:noProof/>
        </w:rPr>
        <w:fldChar w:fldCharType="end"/>
      </w:r>
    </w:p>
    <w:p w:rsidR="00F43C9B" w:rsidRPr="00AD2CF5" w:rsidRDefault="00F43C9B" w:rsidP="00F43C9B">
      <w:pPr>
        <w:pStyle w:val="Inhopg1"/>
        <w:shd w:val="clear" w:color="auto" w:fill="D9D9D9" w:themeFill="background1" w:themeFillShade="D9"/>
        <w:tabs>
          <w:tab w:val="right" w:pos="7361"/>
        </w:tabs>
        <w:rPr>
          <w:noProof/>
        </w:rPr>
      </w:pPr>
      <w:r w:rsidRPr="00AD2CF5">
        <w:rPr>
          <w:noProof/>
        </w:rPr>
        <w:t xml:space="preserve">Bijlage A: Methode voor de berekening van </w:t>
      </w:r>
      <w:r w:rsidRPr="00AD2CF5">
        <w:rPr>
          <w:i/>
          <w:iCs/>
          <w:noProof/>
        </w:rPr>
        <w:t>L</w:t>
      </w:r>
      <w:r w:rsidRPr="00AD2CF5">
        <w:rPr>
          <w:i/>
          <w:iCs/>
          <w:noProof/>
          <w:vertAlign w:val="subscript"/>
        </w:rPr>
        <w:t>Es, periode</w:t>
      </w:r>
      <w:r w:rsidRPr="00AD2CF5">
        <w:rPr>
          <w:noProof/>
        </w:rPr>
        <w:t xml:space="preserve"> bij een geluidbelasting kleiner dan 50 dB(A)</w:t>
      </w:r>
      <w:r w:rsidRPr="00AD2CF5">
        <w:rPr>
          <w:noProof/>
        </w:rPr>
        <w:tab/>
      </w:r>
      <w:r w:rsidRPr="00AD2CF5">
        <w:rPr>
          <w:noProof/>
        </w:rPr>
        <w:fldChar w:fldCharType="begin"/>
      </w:r>
      <w:r w:rsidRPr="00AD2CF5">
        <w:rPr>
          <w:noProof/>
        </w:rPr>
        <w:instrText xml:space="preserve"> PAGEREF _Toc413945859 \h </w:instrText>
      </w:r>
      <w:r w:rsidRPr="00AD2CF5">
        <w:rPr>
          <w:noProof/>
        </w:rPr>
      </w:r>
      <w:r w:rsidRPr="00AD2CF5">
        <w:rPr>
          <w:noProof/>
        </w:rPr>
        <w:fldChar w:fldCharType="separate"/>
      </w:r>
      <w:r>
        <w:rPr>
          <w:noProof/>
        </w:rPr>
        <w:t>69</w:t>
      </w:r>
      <w:r w:rsidRPr="00AD2CF5">
        <w:rPr>
          <w:noProof/>
        </w:rPr>
        <w:fldChar w:fldCharType="end"/>
      </w:r>
    </w:p>
    <w:p w:rsidR="00F43C9B" w:rsidRPr="00AD2CF5" w:rsidRDefault="00F43C9B" w:rsidP="00F43C9B">
      <w:pPr>
        <w:pStyle w:val="Inhopg1"/>
        <w:shd w:val="clear" w:color="auto" w:fill="D9D9D9" w:themeFill="background1" w:themeFillShade="D9"/>
        <w:tabs>
          <w:tab w:val="right" w:pos="7361"/>
        </w:tabs>
        <w:rPr>
          <w:noProof/>
        </w:rPr>
      </w:pPr>
      <w:r w:rsidRPr="00AD2CF5">
        <w:rPr>
          <w:noProof/>
        </w:rPr>
        <w:t>Toelichting</w:t>
      </w:r>
      <w:r w:rsidRPr="00AD2CF5">
        <w:rPr>
          <w:noProof/>
        </w:rPr>
        <w:tab/>
      </w:r>
      <w:r w:rsidRPr="00AD2CF5">
        <w:rPr>
          <w:noProof/>
        </w:rPr>
        <w:fldChar w:fldCharType="begin"/>
      </w:r>
      <w:r w:rsidRPr="00AD2CF5">
        <w:rPr>
          <w:noProof/>
        </w:rPr>
        <w:instrText xml:space="preserve"> PAGEREF _Toc413945860 \h </w:instrText>
      </w:r>
      <w:r w:rsidRPr="00AD2CF5">
        <w:rPr>
          <w:noProof/>
        </w:rPr>
      </w:r>
      <w:r w:rsidRPr="00AD2CF5">
        <w:rPr>
          <w:noProof/>
        </w:rPr>
        <w:fldChar w:fldCharType="separate"/>
      </w:r>
      <w:r>
        <w:rPr>
          <w:noProof/>
        </w:rPr>
        <w:t>71</w:t>
      </w:r>
      <w:r w:rsidRPr="00AD2CF5">
        <w:rPr>
          <w:noProof/>
        </w:rPr>
        <w:fldChar w:fldCharType="end"/>
      </w:r>
    </w:p>
    <w:p w:rsidR="00F43C9B" w:rsidRPr="00AD2CF5" w:rsidRDefault="00F43C9B" w:rsidP="00F43C9B">
      <w:pPr>
        <w:pStyle w:val="Inhopg2"/>
        <w:shd w:val="clear" w:color="auto" w:fill="D9D9D9" w:themeFill="background1" w:themeFillShade="D9"/>
        <w:tabs>
          <w:tab w:val="left" w:pos="660"/>
          <w:tab w:val="right" w:pos="7361"/>
        </w:tabs>
        <w:rPr>
          <w:noProof/>
        </w:rPr>
      </w:pPr>
      <w:r w:rsidRPr="00AD2CF5">
        <w:rPr>
          <w:noProof/>
        </w:rPr>
        <w:t>1</w:t>
      </w:r>
      <w:r w:rsidRPr="00AD2CF5">
        <w:rPr>
          <w:noProof/>
        </w:rPr>
        <w:tab/>
        <w:t>Waarom een voorschrift specifiek voor schietgeluid</w:t>
      </w:r>
      <w:r w:rsidRPr="00AD2CF5">
        <w:rPr>
          <w:noProof/>
        </w:rPr>
        <w:tab/>
      </w:r>
      <w:r w:rsidRPr="00AD2CF5">
        <w:rPr>
          <w:noProof/>
        </w:rPr>
        <w:fldChar w:fldCharType="begin"/>
      </w:r>
      <w:r w:rsidRPr="00AD2CF5">
        <w:rPr>
          <w:noProof/>
        </w:rPr>
        <w:instrText xml:space="preserve"> PAGEREF _Toc413945861 \h </w:instrText>
      </w:r>
      <w:r w:rsidRPr="00AD2CF5">
        <w:rPr>
          <w:noProof/>
        </w:rPr>
      </w:r>
      <w:r w:rsidRPr="00AD2CF5">
        <w:rPr>
          <w:noProof/>
        </w:rPr>
        <w:fldChar w:fldCharType="separate"/>
      </w:r>
      <w:r>
        <w:rPr>
          <w:noProof/>
        </w:rPr>
        <w:t>71</w:t>
      </w:r>
      <w:r w:rsidRPr="00AD2CF5">
        <w:rPr>
          <w:noProof/>
        </w:rPr>
        <w:fldChar w:fldCharType="end"/>
      </w:r>
    </w:p>
    <w:p w:rsidR="00F43C9B" w:rsidRPr="00AD2CF5" w:rsidRDefault="00F43C9B" w:rsidP="00F43C9B">
      <w:pPr>
        <w:pStyle w:val="Inhopg3"/>
        <w:shd w:val="clear" w:color="auto" w:fill="D9D9D9" w:themeFill="background1" w:themeFillShade="D9"/>
        <w:tabs>
          <w:tab w:val="left" w:pos="880"/>
          <w:tab w:val="right" w:pos="7361"/>
        </w:tabs>
        <w:rPr>
          <w:noProof/>
        </w:rPr>
      </w:pPr>
      <w:r w:rsidRPr="00AD2CF5">
        <w:rPr>
          <w:noProof/>
          <w:lang w:bidi="en-US"/>
        </w:rPr>
        <w:t>2</w:t>
      </w:r>
      <w:r w:rsidRPr="00AD2CF5">
        <w:rPr>
          <w:noProof/>
        </w:rPr>
        <w:tab/>
      </w:r>
      <w:r w:rsidRPr="00AD2CF5">
        <w:rPr>
          <w:noProof/>
          <w:lang w:bidi="en-US"/>
        </w:rPr>
        <w:t>Beoordeling van schietgeluid</w:t>
      </w:r>
      <w:r w:rsidRPr="00AD2CF5">
        <w:rPr>
          <w:noProof/>
        </w:rPr>
        <w:tab/>
      </w:r>
      <w:r w:rsidRPr="00AD2CF5">
        <w:rPr>
          <w:noProof/>
        </w:rPr>
        <w:fldChar w:fldCharType="begin"/>
      </w:r>
      <w:r w:rsidRPr="00AD2CF5">
        <w:rPr>
          <w:noProof/>
        </w:rPr>
        <w:instrText xml:space="preserve"> PAGEREF _Toc413945862 \h </w:instrText>
      </w:r>
      <w:r w:rsidRPr="00AD2CF5">
        <w:rPr>
          <w:noProof/>
        </w:rPr>
      </w:r>
      <w:r w:rsidRPr="00AD2CF5">
        <w:rPr>
          <w:noProof/>
        </w:rPr>
        <w:fldChar w:fldCharType="separate"/>
      </w:r>
      <w:r>
        <w:rPr>
          <w:noProof/>
        </w:rPr>
        <w:t>71</w:t>
      </w:r>
      <w:r w:rsidRPr="00AD2CF5">
        <w:rPr>
          <w:noProof/>
        </w:rPr>
        <w:fldChar w:fldCharType="end"/>
      </w:r>
    </w:p>
    <w:p w:rsidR="00F43C9B" w:rsidRPr="00AD2CF5" w:rsidRDefault="00F43C9B" w:rsidP="00F43C9B">
      <w:pPr>
        <w:pStyle w:val="Inhopg3"/>
        <w:shd w:val="clear" w:color="auto" w:fill="D9D9D9" w:themeFill="background1" w:themeFillShade="D9"/>
        <w:tabs>
          <w:tab w:val="left" w:pos="880"/>
          <w:tab w:val="right" w:pos="7361"/>
        </w:tabs>
        <w:rPr>
          <w:noProof/>
        </w:rPr>
      </w:pPr>
      <w:r w:rsidRPr="00AD2CF5">
        <w:rPr>
          <w:noProof/>
          <w:lang w:bidi="en-US"/>
        </w:rPr>
        <w:t>3</w:t>
      </w:r>
      <w:r w:rsidRPr="00AD2CF5">
        <w:rPr>
          <w:noProof/>
        </w:rPr>
        <w:tab/>
      </w:r>
      <w:r w:rsidRPr="00AD2CF5">
        <w:rPr>
          <w:noProof/>
          <w:lang w:bidi="en-US"/>
        </w:rPr>
        <w:t>Fysische modellering van schietgeluid</w:t>
      </w:r>
      <w:r w:rsidRPr="00AD2CF5">
        <w:rPr>
          <w:noProof/>
        </w:rPr>
        <w:tab/>
      </w:r>
      <w:r w:rsidRPr="00AD2CF5">
        <w:rPr>
          <w:noProof/>
        </w:rPr>
        <w:fldChar w:fldCharType="begin"/>
      </w:r>
      <w:r w:rsidRPr="00AD2CF5">
        <w:rPr>
          <w:noProof/>
        </w:rPr>
        <w:instrText xml:space="preserve"> PAGEREF _Toc413945863 \h </w:instrText>
      </w:r>
      <w:r w:rsidRPr="00AD2CF5">
        <w:rPr>
          <w:noProof/>
        </w:rPr>
      </w:r>
      <w:r w:rsidRPr="00AD2CF5">
        <w:rPr>
          <w:noProof/>
        </w:rPr>
        <w:fldChar w:fldCharType="separate"/>
      </w:r>
      <w:r>
        <w:rPr>
          <w:noProof/>
        </w:rPr>
        <w:t>72</w:t>
      </w:r>
      <w:r w:rsidRPr="00AD2CF5">
        <w:rPr>
          <w:noProof/>
        </w:rPr>
        <w:fldChar w:fldCharType="end"/>
      </w:r>
    </w:p>
    <w:p w:rsidR="00F43C9B" w:rsidRPr="00AD2CF5" w:rsidRDefault="00F43C9B" w:rsidP="00F43C9B">
      <w:pPr>
        <w:pStyle w:val="Inhopg2"/>
        <w:shd w:val="clear" w:color="auto" w:fill="D9D9D9" w:themeFill="background1" w:themeFillShade="D9"/>
        <w:tabs>
          <w:tab w:val="left" w:pos="660"/>
          <w:tab w:val="right" w:pos="7361"/>
        </w:tabs>
        <w:rPr>
          <w:noProof/>
        </w:rPr>
      </w:pPr>
      <w:r w:rsidRPr="00AD2CF5">
        <w:rPr>
          <w:noProof/>
        </w:rPr>
        <w:t>5</w:t>
      </w:r>
      <w:r w:rsidRPr="00AD2CF5">
        <w:rPr>
          <w:noProof/>
        </w:rPr>
        <w:tab/>
        <w:t>Uitgangspunten</w:t>
      </w:r>
      <w:r w:rsidRPr="00AD2CF5">
        <w:rPr>
          <w:noProof/>
        </w:rPr>
        <w:tab/>
      </w:r>
      <w:r w:rsidRPr="00AD2CF5">
        <w:rPr>
          <w:noProof/>
        </w:rPr>
        <w:fldChar w:fldCharType="begin"/>
      </w:r>
      <w:r w:rsidRPr="00AD2CF5">
        <w:rPr>
          <w:noProof/>
        </w:rPr>
        <w:instrText xml:space="preserve"> PAGEREF _Toc413945864 \h </w:instrText>
      </w:r>
      <w:r w:rsidRPr="00AD2CF5">
        <w:rPr>
          <w:noProof/>
        </w:rPr>
      </w:r>
      <w:r w:rsidRPr="00AD2CF5">
        <w:rPr>
          <w:noProof/>
        </w:rPr>
        <w:fldChar w:fldCharType="separate"/>
      </w:r>
      <w:r>
        <w:rPr>
          <w:noProof/>
        </w:rPr>
        <w:t>75</w:t>
      </w:r>
      <w:r w:rsidRPr="00AD2CF5">
        <w:rPr>
          <w:noProof/>
        </w:rPr>
        <w:fldChar w:fldCharType="end"/>
      </w:r>
    </w:p>
    <w:p w:rsidR="00F43C9B" w:rsidRPr="00AD2CF5" w:rsidRDefault="00F43C9B" w:rsidP="00F43C9B">
      <w:pPr>
        <w:pStyle w:val="Inhopg2"/>
        <w:shd w:val="clear" w:color="auto" w:fill="D9D9D9" w:themeFill="background1" w:themeFillShade="D9"/>
        <w:tabs>
          <w:tab w:val="left" w:pos="660"/>
          <w:tab w:val="right" w:pos="7361"/>
        </w:tabs>
        <w:rPr>
          <w:noProof/>
        </w:rPr>
      </w:pPr>
      <w:r w:rsidRPr="00AD2CF5">
        <w:rPr>
          <w:noProof/>
        </w:rPr>
        <w:t>6</w:t>
      </w:r>
      <w:r w:rsidRPr="00AD2CF5">
        <w:rPr>
          <w:noProof/>
        </w:rPr>
        <w:tab/>
        <w:t>Beoordelingsgrootheid</w:t>
      </w:r>
      <w:r w:rsidRPr="00AD2CF5">
        <w:rPr>
          <w:noProof/>
        </w:rPr>
        <w:tab/>
      </w:r>
      <w:r w:rsidRPr="00AD2CF5">
        <w:rPr>
          <w:noProof/>
        </w:rPr>
        <w:fldChar w:fldCharType="begin"/>
      </w:r>
      <w:r w:rsidRPr="00AD2CF5">
        <w:rPr>
          <w:noProof/>
        </w:rPr>
        <w:instrText xml:space="preserve"> PAGEREF _Toc413945865 \h </w:instrText>
      </w:r>
      <w:r w:rsidRPr="00AD2CF5">
        <w:rPr>
          <w:noProof/>
        </w:rPr>
      </w:r>
      <w:r w:rsidRPr="00AD2CF5">
        <w:rPr>
          <w:noProof/>
        </w:rPr>
        <w:fldChar w:fldCharType="separate"/>
      </w:r>
      <w:r>
        <w:rPr>
          <w:noProof/>
        </w:rPr>
        <w:t>76</w:t>
      </w:r>
      <w:r w:rsidRPr="00AD2CF5">
        <w:rPr>
          <w:noProof/>
        </w:rPr>
        <w:fldChar w:fldCharType="end"/>
      </w:r>
    </w:p>
    <w:p w:rsidR="00F43C9B" w:rsidRPr="00AD2CF5" w:rsidRDefault="00F43C9B" w:rsidP="00F43C9B">
      <w:pPr>
        <w:shd w:val="clear" w:color="auto" w:fill="D9D9D9" w:themeFill="background1" w:themeFillShade="D9"/>
        <w:spacing w:line="240" w:lineRule="auto"/>
      </w:pPr>
      <w:r w:rsidRPr="00AD2CF5">
        <w:fldChar w:fldCharType="end"/>
      </w:r>
    </w:p>
    <w:p w:rsidR="00F43C9B" w:rsidRPr="00AD2CF5" w:rsidRDefault="00F43C9B" w:rsidP="00F43C9B">
      <w:pPr>
        <w:pStyle w:val="Kop1"/>
        <w:shd w:val="clear" w:color="auto" w:fill="D9D9D9" w:themeFill="background1" w:themeFillShade="D9"/>
      </w:pPr>
      <w:r w:rsidRPr="00AD2CF5">
        <w:br w:type="page"/>
      </w:r>
      <w:bookmarkStart w:id="453" w:name="_Toc428341374"/>
      <w:bookmarkStart w:id="454" w:name="_Toc428595712"/>
      <w:bookmarkStart w:id="455" w:name="_Toc431793337"/>
      <w:bookmarkStart w:id="456" w:name="_Toc428341393"/>
      <w:bookmarkStart w:id="457" w:name="_Toc428595730"/>
      <w:bookmarkStart w:id="458" w:name="_Toc428596305"/>
      <w:r w:rsidRPr="00AD2CF5">
        <w:fldChar w:fldCharType="begin"/>
      </w:r>
      <w:r w:rsidRPr="00AD2CF5">
        <w:instrText xml:space="preserve"> SEQ numchaplev1 \n \* MERGEFORMAT </w:instrText>
      </w:r>
      <w:r w:rsidRPr="00AD2CF5">
        <w:fldChar w:fldCharType="separate"/>
      </w:r>
      <w:bookmarkStart w:id="459" w:name="_Toc529692768"/>
      <w:bookmarkStart w:id="460" w:name="_Toc413945805"/>
      <w:bookmarkStart w:id="461" w:name="_Toc431375818"/>
      <w:r>
        <w:rPr>
          <w:noProof/>
        </w:rPr>
        <w:t>1</w:t>
      </w:r>
      <w:r w:rsidRPr="00AD2CF5">
        <w:fldChar w:fldCharType="end"/>
      </w:r>
      <w:r w:rsidRPr="00AD2CF5">
        <w:fldChar w:fldCharType="begin"/>
      </w:r>
      <w:r w:rsidRPr="00AD2CF5">
        <w:instrText xml:space="preserve"> SEQ numchaplev2 \r0\h \* MERGEFORMAT </w:instrText>
      </w:r>
      <w:r w:rsidRPr="00AD2CF5">
        <w:fldChar w:fldCharType="end"/>
      </w:r>
      <w:r w:rsidRPr="00AD2CF5">
        <w:fldChar w:fldCharType="begin"/>
      </w:r>
      <w:r w:rsidRPr="00AD2CF5">
        <w:instrText xml:space="preserve"> SEQ numchapfig \r0\h \* MERGEFORMAT </w:instrText>
      </w:r>
      <w:r w:rsidRPr="00AD2CF5">
        <w:fldChar w:fldCharType="end"/>
      </w:r>
      <w:r w:rsidRPr="00AD2CF5">
        <w:fldChar w:fldCharType="begin"/>
      </w:r>
      <w:r w:rsidRPr="00AD2CF5">
        <w:instrText xml:space="preserve"> SEQ numchaptab \r0\h \* MERGEFORMAT </w:instrText>
      </w:r>
      <w:r w:rsidRPr="00AD2CF5">
        <w:fldChar w:fldCharType="end"/>
      </w:r>
      <w:r w:rsidRPr="00AD2CF5">
        <w:fldChar w:fldCharType="begin"/>
      </w:r>
      <w:r w:rsidRPr="00AD2CF5">
        <w:instrText xml:space="preserve"> SEQ numchapequ \r0\h \* MERGEFORMAT </w:instrText>
      </w:r>
      <w:r w:rsidRPr="00AD2CF5">
        <w:fldChar w:fldCharType="end"/>
      </w:r>
      <w:r w:rsidRPr="00AD2CF5">
        <w:tab/>
        <w:t>Inleiding</w:t>
      </w:r>
      <w:bookmarkEnd w:id="453"/>
      <w:bookmarkEnd w:id="454"/>
      <w:bookmarkEnd w:id="455"/>
      <w:bookmarkEnd w:id="459"/>
      <w:bookmarkEnd w:id="460"/>
      <w:bookmarkEnd w:id="461"/>
    </w:p>
    <w:bookmarkStart w:id="462" w:name="_Toc465131583"/>
    <w:p w:rsidR="00F43C9B" w:rsidRPr="00AD2CF5" w:rsidRDefault="00F43C9B" w:rsidP="00F43C9B">
      <w:pPr>
        <w:pStyle w:val="Kop2"/>
        <w:shd w:val="clear" w:color="auto" w:fill="D9D9D9" w:themeFill="background1" w:themeFillShade="D9"/>
      </w:pPr>
      <w:r w:rsidRPr="00AD2CF5">
        <w:fldChar w:fldCharType="begin"/>
      </w:r>
      <w:r w:rsidRPr="00AD2CF5">
        <w:instrText xml:space="preserve"> SEQ numchaplev1 \c \* MERGEFORMAT </w:instrText>
      </w:r>
      <w:r w:rsidRPr="00AD2CF5">
        <w:fldChar w:fldCharType="separate"/>
      </w:r>
      <w:bookmarkStart w:id="463" w:name="_Toc413945806"/>
      <w:bookmarkStart w:id="464" w:name="_Toc529692769"/>
      <w:bookmarkStart w:id="465" w:name="_Toc431375819"/>
      <w:r>
        <w:rPr>
          <w:noProof/>
        </w:rPr>
        <w:t>1</w:t>
      </w:r>
      <w:r w:rsidRPr="00AD2CF5">
        <w:fldChar w:fldCharType="end"/>
      </w:r>
      <w:r w:rsidRPr="00AD2CF5">
        <w:t>.</w:t>
      </w:r>
      <w:r w:rsidR="00C428B8">
        <w:fldChar w:fldCharType="begin"/>
      </w:r>
      <w:r w:rsidR="00C428B8">
        <w:instrText xml:space="preserve"> SEQ numchaplev2 \n \* MERGEFORMAT </w:instrText>
      </w:r>
      <w:r w:rsidR="00C428B8">
        <w:fldChar w:fldCharType="separate"/>
      </w:r>
      <w:r>
        <w:rPr>
          <w:noProof/>
        </w:rPr>
        <w:t>1</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Doel</w:t>
      </w:r>
      <w:bookmarkEnd w:id="462"/>
      <w:bookmarkEnd w:id="463"/>
      <w:bookmarkEnd w:id="464"/>
      <w:bookmarkEnd w:id="465"/>
    </w:p>
    <w:p w:rsidR="00F43C9B" w:rsidRPr="00AD2CF5" w:rsidRDefault="00F43C9B" w:rsidP="00F43C9B">
      <w:pPr>
        <w:shd w:val="clear" w:color="auto" w:fill="D9D9D9" w:themeFill="background1" w:themeFillShade="D9"/>
        <w:spacing w:line="240" w:lineRule="auto"/>
      </w:pPr>
      <w:r w:rsidRPr="00AD2CF5">
        <w:t>Ten behoeve van de beoordeling van schietgeluid geeft dit voorschrift de technische procedures aan die in het kader van het Activiteitenbesluit milieubeheer moeten worden toegepast. De methodieken uit het voorschrift kunnen ook in een ander kader worden toegepast, zoals bij het opstellen van een MER.</w:t>
      </w:r>
    </w:p>
    <w:bookmarkStart w:id="466" w:name="_Toc465131589"/>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467" w:name="_Toc529692775"/>
      <w:bookmarkStart w:id="468" w:name="_Toc413945807"/>
      <w:bookmarkStart w:id="469" w:name="_Toc431375820"/>
      <w:r>
        <w:rPr>
          <w:noProof/>
        </w:rPr>
        <w:t>1</w:t>
      </w:r>
      <w:r w:rsidRPr="00AD2CF5">
        <w:fldChar w:fldCharType="end"/>
      </w:r>
      <w:r w:rsidRPr="00AD2CF5">
        <w:t>.2</w:t>
      </w:r>
      <w:r w:rsidRPr="00AD2CF5">
        <w:fldChar w:fldCharType="begin"/>
      </w:r>
      <w:r w:rsidRPr="00AD2CF5">
        <w:instrText xml:space="preserve"> SEQ numchaplev3 \r0\h \* MERGEFORMAT </w:instrText>
      </w:r>
      <w:r w:rsidRPr="00AD2CF5">
        <w:fldChar w:fldCharType="end"/>
      </w:r>
      <w:r w:rsidRPr="00AD2CF5">
        <w:tab/>
        <w:t>Structuur van het voorschrift</w:t>
      </w:r>
      <w:bookmarkEnd w:id="466"/>
      <w:bookmarkEnd w:id="467"/>
      <w:bookmarkEnd w:id="468"/>
      <w:bookmarkEnd w:id="469"/>
    </w:p>
    <w:p w:rsidR="00F43C9B" w:rsidRPr="00AD2CF5" w:rsidRDefault="00F43C9B" w:rsidP="00F43C9B">
      <w:pPr>
        <w:shd w:val="clear" w:color="auto" w:fill="D9D9D9" w:themeFill="background1" w:themeFillShade="D9"/>
        <w:spacing w:line="240" w:lineRule="auto"/>
      </w:pPr>
      <w:r w:rsidRPr="00AD2CF5">
        <w:t>Dit voorschrift bestaat uit voorliggend document in combinatie me</w:t>
      </w:r>
      <w:r w:rsidRPr="00AD2CF5">
        <w:fldChar w:fldCharType="begin"/>
      </w:r>
      <w:r w:rsidRPr="00AD2CF5">
        <w:instrText xml:space="preserve"> XE "cd-rom" </w:instrText>
      </w:r>
      <w:r w:rsidRPr="00AD2CF5">
        <w:fldChar w:fldCharType="end"/>
      </w:r>
      <w:r w:rsidRPr="00AD2CF5">
        <w:t>t  vijf gegevensbestanden  die voor de rekenmethode worden toegepast.</w:t>
      </w:r>
    </w:p>
    <w:p w:rsidR="00F43C9B" w:rsidRPr="00AD2CF5" w:rsidRDefault="00F43C9B" w:rsidP="00F43C9B">
      <w:pPr>
        <w:shd w:val="clear" w:color="auto" w:fill="D9D9D9" w:themeFill="background1" w:themeFillShade="D9"/>
        <w:spacing w:line="240" w:lineRule="auto"/>
      </w:pPr>
      <w:r w:rsidRPr="00AD2CF5">
        <w:t>In hoofdstuk 1 wordt het doel van dit voorschrift beschreven.</w:t>
      </w:r>
    </w:p>
    <w:p w:rsidR="00F43C9B" w:rsidRPr="00AD2CF5" w:rsidRDefault="00F43C9B" w:rsidP="00F43C9B">
      <w:pPr>
        <w:keepLines/>
        <w:shd w:val="clear" w:color="auto" w:fill="D9D9D9" w:themeFill="background1" w:themeFillShade="D9"/>
        <w:spacing w:line="240" w:lineRule="auto"/>
      </w:pPr>
      <w:r w:rsidRPr="00AD2CF5">
        <w:t>In hoofdstuk 2 worden definities gegeven van fysische grootheden en van termen, die in het voorschrift gebruikt worden en die specifiek op schietgeluid van toepassing zijn. Voor de fysische grootheden wordt een onderscheid gemaakt tussen:</w:t>
      </w:r>
    </w:p>
    <w:p w:rsidR="00F43C9B" w:rsidRPr="00AD2CF5" w:rsidRDefault="00F43C9B" w:rsidP="00EB7F6B">
      <w:pPr>
        <w:keepLines/>
        <w:numPr>
          <w:ilvl w:val="0"/>
          <w:numId w:val="3"/>
        </w:numPr>
        <w:shd w:val="clear" w:color="auto" w:fill="D9D9D9" w:themeFill="background1" w:themeFillShade="D9"/>
        <w:spacing w:line="240" w:lineRule="auto"/>
        <w:ind w:left="0" w:firstLine="0"/>
      </w:pPr>
      <w:r w:rsidRPr="00AD2CF5">
        <w:t>Akoestische grootheden</w:t>
      </w:r>
    </w:p>
    <w:p w:rsidR="00F43C9B" w:rsidRPr="00AD2CF5" w:rsidRDefault="00F43C9B" w:rsidP="00EB7F6B">
      <w:pPr>
        <w:keepLines/>
        <w:numPr>
          <w:ilvl w:val="0"/>
          <w:numId w:val="3"/>
        </w:numPr>
        <w:shd w:val="clear" w:color="auto" w:fill="D9D9D9" w:themeFill="background1" w:themeFillShade="D9"/>
        <w:spacing w:line="240" w:lineRule="auto"/>
        <w:ind w:left="0" w:firstLine="0"/>
      </w:pPr>
      <w:r w:rsidRPr="00AD2CF5">
        <w:t>Meteorologische grootheden</w:t>
      </w:r>
    </w:p>
    <w:p w:rsidR="00F43C9B" w:rsidRPr="00AD2CF5" w:rsidRDefault="00F43C9B" w:rsidP="00EB7F6B">
      <w:pPr>
        <w:keepLines/>
        <w:numPr>
          <w:ilvl w:val="0"/>
          <w:numId w:val="3"/>
        </w:numPr>
        <w:shd w:val="clear" w:color="auto" w:fill="D9D9D9" w:themeFill="background1" w:themeFillShade="D9"/>
        <w:spacing w:line="240" w:lineRule="auto"/>
        <w:ind w:left="0" w:firstLine="0"/>
      </w:pPr>
      <w:r w:rsidRPr="00AD2CF5">
        <w:t>Beoordelingsgrootheden</w:t>
      </w:r>
    </w:p>
    <w:p w:rsidR="00F43C9B" w:rsidRPr="00AD2CF5" w:rsidRDefault="00F43C9B" w:rsidP="00EB7F6B">
      <w:pPr>
        <w:keepLines/>
        <w:numPr>
          <w:ilvl w:val="0"/>
          <w:numId w:val="3"/>
        </w:numPr>
        <w:shd w:val="clear" w:color="auto" w:fill="D9D9D9" w:themeFill="background1" w:themeFillShade="D9"/>
        <w:spacing w:line="240" w:lineRule="auto"/>
        <w:ind w:left="0" w:firstLine="0"/>
      </w:pPr>
      <w:r w:rsidRPr="00AD2CF5">
        <w:t>Overige grootheden</w:t>
      </w:r>
    </w:p>
    <w:p w:rsidR="00F43C9B" w:rsidRPr="00AD2CF5" w:rsidRDefault="00F43C9B" w:rsidP="00F43C9B">
      <w:pPr>
        <w:shd w:val="clear" w:color="auto" w:fill="D9D9D9" w:themeFill="background1" w:themeFillShade="D9"/>
        <w:spacing w:line="240" w:lineRule="auto"/>
      </w:pPr>
    </w:p>
    <w:p w:rsidR="00F43C9B" w:rsidRPr="00AD2CF5" w:rsidRDefault="00F43C9B" w:rsidP="00F43C9B">
      <w:pPr>
        <w:shd w:val="clear" w:color="auto" w:fill="D9D9D9" w:themeFill="background1" w:themeFillShade="D9"/>
        <w:spacing w:line="240" w:lineRule="auto"/>
      </w:pPr>
      <w:r w:rsidRPr="00AD2CF5">
        <w:t xml:space="preserve">In § 2.7 worden een aantal typen schietinrichtingen beschreven. Aangegeven wordt waarin </w:t>
      </w:r>
      <w:r w:rsidRPr="00AD2CF5">
        <w:noBreakHyphen/>
        <w:t> akoestisch gezien - de verschillende soorten schietinrichtingen zich onder</w:t>
      </w:r>
      <w:r w:rsidRPr="00AD2CF5">
        <w:softHyphen/>
        <w:t>scheiden.</w:t>
      </w:r>
    </w:p>
    <w:p w:rsidR="00F43C9B" w:rsidRPr="00AD2CF5" w:rsidRDefault="00F43C9B" w:rsidP="00F43C9B">
      <w:pPr>
        <w:shd w:val="clear" w:color="auto" w:fill="D9D9D9" w:themeFill="background1" w:themeFillShade="D9"/>
        <w:spacing w:line="240" w:lineRule="auto"/>
      </w:pPr>
      <w:r w:rsidRPr="00AD2CF5">
        <w:t>In § 2.8 worden de specifieke eigenschappen van schietgeluid beschreven waar dit zich onderscheidt van andere vormen van geluid.</w:t>
      </w:r>
    </w:p>
    <w:p w:rsidR="00F43C9B" w:rsidRPr="00AD2CF5" w:rsidRDefault="00F43C9B" w:rsidP="00F43C9B">
      <w:pPr>
        <w:shd w:val="clear" w:color="auto" w:fill="D9D9D9" w:themeFill="background1" w:themeFillShade="D9"/>
        <w:spacing w:line="240" w:lineRule="auto"/>
      </w:pPr>
      <w:r w:rsidRPr="00AD2CF5">
        <w:t>Het hoofdstuk wordt afgesloten met een lijst van symbolen, die in het voorschrift worden gebruikt.</w:t>
      </w:r>
    </w:p>
    <w:p w:rsidR="00F43C9B" w:rsidRPr="00AD2CF5" w:rsidRDefault="00F43C9B" w:rsidP="00F43C9B">
      <w:pPr>
        <w:shd w:val="clear" w:color="auto" w:fill="D9D9D9" w:themeFill="background1" w:themeFillShade="D9"/>
        <w:spacing w:line="240" w:lineRule="auto"/>
      </w:pPr>
      <w:r w:rsidRPr="00AD2CF5">
        <w:t>In hoofdstuk 3 wordt een beschrijving gegeven van de beoordelingsmethode. De hinderrelevante beoordelingsmaat</w:t>
      </w:r>
      <w:r w:rsidRPr="00AD2CF5">
        <w:fldChar w:fldCharType="begin"/>
      </w:r>
      <w:r w:rsidRPr="00AD2CF5">
        <w:instrText xml:space="preserve"> XE "beoordelingsmaat" </w:instrText>
      </w:r>
      <w:r w:rsidRPr="00AD2CF5">
        <w:fldChar w:fldCharType="end"/>
      </w:r>
      <w:r w:rsidRPr="00AD2CF5">
        <w:t xml:space="preserve"> wordt hier gepresenteerd en hoe die berekend kan worden uit het A- en C-gewogen geluidexpositieniveau</w:t>
      </w:r>
      <w:r w:rsidRPr="00AD2CF5">
        <w:fldChar w:fldCharType="begin"/>
      </w:r>
      <w:r w:rsidRPr="00AD2CF5">
        <w:instrText xml:space="preserve"> XE "geluidexpositieniveau" </w:instrText>
      </w:r>
      <w:r w:rsidRPr="00AD2CF5">
        <w:fldChar w:fldCharType="end"/>
      </w:r>
      <w:r w:rsidRPr="00AD2CF5">
        <w:t>.</w:t>
      </w:r>
    </w:p>
    <w:p w:rsidR="00F43C9B" w:rsidRPr="00AD2CF5" w:rsidRDefault="00F43C9B" w:rsidP="00F43C9B">
      <w:pPr>
        <w:shd w:val="clear" w:color="auto" w:fill="D9D9D9" w:themeFill="background1" w:themeFillShade="D9"/>
        <w:spacing w:line="240" w:lineRule="auto"/>
      </w:pPr>
      <w:r w:rsidRPr="00AD2CF5">
        <w:t>In hoofdstuk 4 wordt een beschrijving gegeven van de rekenmethode voor het bepalen van het geluidexpositieniveau.</w:t>
      </w:r>
      <w:r w:rsidRPr="00AD2CF5">
        <w:fldChar w:fldCharType="begin"/>
      </w:r>
      <w:r w:rsidRPr="00AD2CF5">
        <w:instrText xml:space="preserve"> XE "geluidexpositieniveau" </w:instrText>
      </w:r>
      <w:r w:rsidRPr="00AD2CF5">
        <w:fldChar w:fldCharType="end"/>
      </w:r>
      <w:r w:rsidRPr="00AD2CF5">
        <w:t xml:space="preserve"> Na een algemene inleiding wordt in § 4.2 het toepassingsbereik</w:t>
      </w:r>
      <w:r w:rsidRPr="00AD2CF5">
        <w:fldChar w:fldCharType="begin"/>
      </w:r>
      <w:r w:rsidRPr="00AD2CF5">
        <w:instrText xml:space="preserve"> XE "toepassingsbereik" </w:instrText>
      </w:r>
      <w:r w:rsidRPr="00AD2CF5">
        <w:fldChar w:fldCharType="end"/>
      </w:r>
      <w:r w:rsidRPr="00AD2CF5">
        <w:t xml:space="preserve"> van de methode aangegeven. In § 4.4 staat hoe de gegevens</w:t>
      </w:r>
      <w:r w:rsidRPr="00AD2CF5">
        <w:softHyphen/>
        <w:t xml:space="preserve">bestanden, die </w:t>
      </w:r>
      <w:r w:rsidRPr="00AD2CF5">
        <w:fldChar w:fldCharType="begin"/>
      </w:r>
      <w:r w:rsidRPr="00AD2CF5">
        <w:instrText xml:space="preserve"> XE "cd-rom" </w:instrText>
      </w:r>
      <w:r w:rsidRPr="00AD2CF5">
        <w:fldChar w:fldCharType="end"/>
      </w:r>
      <w:r w:rsidRPr="00AD2CF5">
        <w:t>ter beschikking zijn gesteld, moeten worden toege</w:t>
      </w:r>
      <w:r w:rsidRPr="00AD2CF5">
        <w:softHyphen/>
        <w:t>past. In § 4.5 wordt aangegeven welke eisen gesteld worden aan de grootheden, waarmee de schietinrichting en omgeving gekarakteriseerd wordt. In § 4.6 wordt de eigenlijke rekenmethode gedefinieerd voor het bepalen van het geluidexpositie</w:t>
      </w:r>
      <w:r w:rsidRPr="00AD2CF5">
        <w:softHyphen/>
        <w:t>niveau.</w:t>
      </w:r>
    </w:p>
    <w:p w:rsidR="00F43C9B" w:rsidRPr="00AD2CF5" w:rsidRDefault="00F43C9B" w:rsidP="00F43C9B">
      <w:pPr>
        <w:shd w:val="clear" w:color="auto" w:fill="D9D9D9" w:themeFill="background1" w:themeFillShade="D9"/>
        <w:spacing w:line="240" w:lineRule="auto"/>
      </w:pPr>
    </w:p>
    <w:p w:rsidR="00F43C9B" w:rsidRPr="00AD2CF5" w:rsidRDefault="00F43C9B" w:rsidP="00F43C9B">
      <w:pPr>
        <w:shd w:val="clear" w:color="auto" w:fill="D9D9D9" w:themeFill="background1" w:themeFillShade="D9"/>
        <w:spacing w:line="240" w:lineRule="auto"/>
      </w:pPr>
      <w:r w:rsidRPr="00AD2CF5">
        <w:t>In hoofdstuk 5 worden aanvullende eisen beschreven, die bij de rapportage van berekeningsresultaten in acht genomen dienen te worden.</w:t>
      </w:r>
    </w:p>
    <w:p w:rsidR="00F43C9B" w:rsidRPr="00AD2CF5" w:rsidRDefault="00F43C9B" w:rsidP="00F43C9B">
      <w:pPr>
        <w:shd w:val="clear" w:color="auto" w:fill="D9D9D9" w:themeFill="background1" w:themeFillShade="D9"/>
        <w:spacing w:line="240" w:lineRule="auto"/>
      </w:pPr>
      <w:r w:rsidRPr="00AD2CF5">
        <w:t>In bijlage A is aangegeven hoe deelbijdragen aan de geluidbelasting kunnen worden bepaald als een geluidbelasting onder de 50 dB(A) moet worden vastgesteld.</w:t>
      </w:r>
    </w:p>
    <w:p w:rsidR="00F43C9B" w:rsidRPr="00AD2CF5" w:rsidRDefault="00F43C9B" w:rsidP="00F43C9B">
      <w:pPr>
        <w:shd w:val="clear" w:color="auto" w:fill="D9D9D9" w:themeFill="background1" w:themeFillShade="D9"/>
        <w:spacing w:line="240" w:lineRule="auto"/>
      </w:pPr>
    </w:p>
    <w:bookmarkStart w:id="470" w:name="_Toc465131590"/>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471" w:name="_Toc529692776"/>
      <w:bookmarkStart w:id="472" w:name="_Toc413945808"/>
      <w:bookmarkStart w:id="473" w:name="_Toc431375821"/>
      <w:r>
        <w:rPr>
          <w:noProof/>
        </w:rPr>
        <w:t>1</w:t>
      </w:r>
      <w:r w:rsidRPr="00AD2CF5">
        <w:fldChar w:fldCharType="end"/>
      </w:r>
      <w:r w:rsidRPr="00AD2CF5">
        <w:t>.3</w:t>
      </w:r>
      <w:r w:rsidRPr="00AD2CF5">
        <w:fldChar w:fldCharType="begin"/>
      </w:r>
      <w:r w:rsidRPr="00AD2CF5">
        <w:instrText xml:space="preserve"> SEQ numchaplev3 \r0\h \* MERGEFORMAT </w:instrText>
      </w:r>
      <w:r w:rsidRPr="00AD2CF5">
        <w:fldChar w:fldCharType="end"/>
      </w:r>
      <w:r w:rsidRPr="00AD2CF5">
        <w:tab/>
      </w:r>
      <w:bookmarkEnd w:id="470"/>
      <w:bookmarkEnd w:id="471"/>
      <w:r w:rsidRPr="00AD2CF5">
        <w:t>Gegevensbestanden</w:t>
      </w:r>
      <w:bookmarkEnd w:id="472"/>
      <w:bookmarkEnd w:id="473"/>
      <w:r w:rsidRPr="00AD2CF5">
        <w:fldChar w:fldCharType="begin"/>
      </w:r>
      <w:r w:rsidRPr="00AD2CF5">
        <w:instrText xml:space="preserve"> XE "</w:instrText>
      </w:r>
      <w:r w:rsidRPr="00AD2CF5">
        <w:rPr>
          <w:sz w:val="22"/>
        </w:rPr>
        <w:instrText>cd-rom"</w:instrText>
      </w:r>
      <w:r w:rsidRPr="00AD2CF5">
        <w:instrText xml:space="preserve"> </w:instrText>
      </w:r>
      <w:r w:rsidRPr="00AD2CF5">
        <w:fldChar w:fldCharType="end"/>
      </w:r>
    </w:p>
    <w:p w:rsidR="00F43C9B" w:rsidRPr="00AD2CF5" w:rsidRDefault="00F43C9B" w:rsidP="00F43C9B">
      <w:pPr>
        <w:shd w:val="clear" w:color="auto" w:fill="D9D9D9" w:themeFill="background1" w:themeFillShade="D9"/>
        <w:spacing w:line="240" w:lineRule="auto"/>
      </w:pPr>
      <w:r w:rsidRPr="00AD2CF5">
        <w:t>De gegevensbestanden die voor de rekenmethode worden toegepast worden via het RIVM</w:t>
      </w:r>
      <w:r w:rsidRPr="00AD2CF5">
        <w:rPr>
          <w:rStyle w:val="Voetnootmarkering"/>
        </w:rPr>
        <w:footnoteReference w:id="1"/>
      </w:r>
      <w:r w:rsidRPr="00AD2CF5">
        <w:t xml:space="preserve"> ter beschikking gesteld. Ook worden er twee programma’s ter beschikking gesteld: </w:t>
      </w:r>
      <w:r w:rsidRPr="00AD2CF5">
        <w:rPr>
          <w:b/>
        </w:rPr>
        <w:t>ShowdB</w:t>
      </w:r>
      <w:r w:rsidRPr="00AD2CF5">
        <w:t xml:space="preserve"> en </w:t>
      </w:r>
      <w:r w:rsidRPr="00AD2CF5">
        <w:rPr>
          <w:b/>
        </w:rPr>
        <w:t>ShowKog</w:t>
      </w:r>
      <w:r w:rsidRPr="00AD2CF5">
        <w:t xml:space="preserve">. Met het programma </w:t>
      </w:r>
      <w:r w:rsidRPr="00AD2CF5">
        <w:rPr>
          <w:b/>
        </w:rPr>
        <w:t>ShowdB</w:t>
      </w:r>
      <w:r w:rsidRPr="00AD2CF5">
        <w:t xml:space="preserve"> kunnen deze gegevensbestanden bekeken worden en kan de afhankelijk</w:t>
      </w:r>
      <w:r w:rsidRPr="00AD2CF5">
        <w:softHyphen/>
        <w:t>heid van de verschillende parameters, die hierbij een rol spelen z</w:t>
      </w:r>
      <w:bookmarkStart w:id="474" w:name="_GoBack"/>
      <w:bookmarkEnd w:id="474"/>
      <w:r w:rsidRPr="00AD2CF5">
        <w:t xml:space="preserve">ichtbaar worden gemaakt. Met het programma </w:t>
      </w:r>
      <w:r w:rsidRPr="00AD2CF5">
        <w:rPr>
          <w:b/>
        </w:rPr>
        <w:t xml:space="preserve">ShowKog </w:t>
      </w:r>
      <w:r w:rsidRPr="00AD2CF5">
        <w:t xml:space="preserve">wordt de </w:t>
      </w:r>
      <w:r w:rsidRPr="00AD2CF5">
        <w:softHyphen/>
        <w:t>uit</w:t>
      </w:r>
      <w:r w:rsidRPr="00AD2CF5">
        <w:softHyphen/>
        <w:t>breiding van kogel- en mondings</w:t>
      </w:r>
      <w:r w:rsidRPr="00AD2CF5">
        <w:softHyphen/>
        <w:t>geluid</w:t>
      </w:r>
      <w:r w:rsidRPr="00AD2CF5">
        <w:fldChar w:fldCharType="begin"/>
      </w:r>
      <w:r w:rsidRPr="00AD2CF5">
        <w:instrText xml:space="preserve"> XE "mondingsgeluid" </w:instrText>
      </w:r>
      <w:r w:rsidRPr="00AD2CF5">
        <w:fldChar w:fldCharType="end"/>
      </w:r>
      <w:r w:rsidRPr="00AD2CF5">
        <w:t xml:space="preserve"> gevisualiseerd.</w:t>
      </w:r>
    </w:p>
    <w:p w:rsidR="00F43C9B" w:rsidRPr="00AD2CF5" w:rsidRDefault="00F43C9B" w:rsidP="00F43C9B">
      <w:pPr>
        <w:shd w:val="clear" w:color="auto" w:fill="D9D9D9" w:themeFill="background1" w:themeFillShade="D9"/>
        <w:spacing w:line="240" w:lineRule="auto"/>
        <w:rPr>
          <w:b/>
          <w:sz w:val="28"/>
          <w:szCs w:val="28"/>
        </w:rPr>
      </w:pPr>
      <w:r w:rsidRPr="00AD2CF5">
        <w:br w:type="page"/>
      </w:r>
      <w:bookmarkStart w:id="475" w:name="_Toc465131591"/>
      <w:r w:rsidRPr="00AD2CF5">
        <w:rPr>
          <w:b/>
          <w:sz w:val="28"/>
          <w:szCs w:val="28"/>
        </w:rPr>
        <w:fldChar w:fldCharType="begin"/>
      </w:r>
      <w:r w:rsidRPr="00AD2CF5">
        <w:rPr>
          <w:b/>
          <w:sz w:val="28"/>
          <w:szCs w:val="28"/>
        </w:rPr>
        <w:instrText xml:space="preserve"> SEQ numchaplev1 \n \* MERGEFORMAT </w:instrText>
      </w:r>
      <w:r w:rsidRPr="00AD2CF5">
        <w:rPr>
          <w:b/>
          <w:sz w:val="28"/>
          <w:szCs w:val="28"/>
        </w:rPr>
        <w:fldChar w:fldCharType="separate"/>
      </w:r>
      <w:bookmarkStart w:id="476" w:name="_Toc529692777"/>
      <w:r>
        <w:rPr>
          <w:b/>
          <w:noProof/>
          <w:sz w:val="28"/>
          <w:szCs w:val="28"/>
        </w:rPr>
        <w:t>2</w:t>
      </w:r>
      <w:r w:rsidRPr="00AD2CF5">
        <w:rPr>
          <w:b/>
          <w:sz w:val="28"/>
          <w:szCs w:val="28"/>
        </w:rPr>
        <w:fldChar w:fldCharType="end"/>
      </w:r>
      <w:r w:rsidRPr="00AD2CF5">
        <w:rPr>
          <w:b/>
          <w:sz w:val="28"/>
          <w:szCs w:val="28"/>
        </w:rPr>
        <w:fldChar w:fldCharType="begin"/>
      </w:r>
      <w:r w:rsidRPr="00AD2CF5">
        <w:rPr>
          <w:b/>
          <w:sz w:val="28"/>
          <w:szCs w:val="28"/>
        </w:rPr>
        <w:instrText xml:space="preserve"> SEQ numchaplev2 \r0\h \* MERGEFORMAT </w:instrText>
      </w:r>
      <w:r w:rsidRPr="00AD2CF5">
        <w:rPr>
          <w:b/>
          <w:sz w:val="28"/>
          <w:szCs w:val="28"/>
        </w:rPr>
        <w:fldChar w:fldCharType="end"/>
      </w:r>
      <w:r w:rsidRPr="00AD2CF5">
        <w:rPr>
          <w:b/>
          <w:sz w:val="28"/>
          <w:szCs w:val="28"/>
        </w:rPr>
        <w:fldChar w:fldCharType="begin"/>
      </w:r>
      <w:r w:rsidRPr="00AD2CF5">
        <w:rPr>
          <w:b/>
          <w:sz w:val="28"/>
          <w:szCs w:val="28"/>
        </w:rPr>
        <w:instrText xml:space="preserve"> SEQ numchapfig \r0\h \* MERGEFORMAT </w:instrText>
      </w:r>
      <w:r w:rsidRPr="00AD2CF5">
        <w:rPr>
          <w:b/>
          <w:sz w:val="28"/>
          <w:szCs w:val="28"/>
        </w:rPr>
        <w:fldChar w:fldCharType="end"/>
      </w:r>
      <w:r w:rsidRPr="00AD2CF5">
        <w:rPr>
          <w:b/>
          <w:sz w:val="28"/>
          <w:szCs w:val="28"/>
        </w:rPr>
        <w:fldChar w:fldCharType="begin"/>
      </w:r>
      <w:r w:rsidRPr="00AD2CF5">
        <w:rPr>
          <w:b/>
          <w:sz w:val="28"/>
          <w:szCs w:val="28"/>
        </w:rPr>
        <w:instrText xml:space="preserve"> SEQ numchaptab \r0\h \* MERGEFORMAT </w:instrText>
      </w:r>
      <w:r w:rsidRPr="00AD2CF5">
        <w:rPr>
          <w:b/>
          <w:sz w:val="28"/>
          <w:szCs w:val="28"/>
        </w:rPr>
        <w:fldChar w:fldCharType="end"/>
      </w:r>
      <w:r w:rsidRPr="00AD2CF5">
        <w:rPr>
          <w:b/>
          <w:sz w:val="28"/>
          <w:szCs w:val="28"/>
        </w:rPr>
        <w:fldChar w:fldCharType="begin"/>
      </w:r>
      <w:r w:rsidRPr="00AD2CF5">
        <w:rPr>
          <w:b/>
          <w:sz w:val="28"/>
          <w:szCs w:val="28"/>
        </w:rPr>
        <w:instrText xml:space="preserve"> SEQ numchapequ \r0\h \* MERGEFORMAT </w:instrText>
      </w:r>
      <w:r w:rsidRPr="00AD2CF5">
        <w:rPr>
          <w:b/>
          <w:sz w:val="28"/>
          <w:szCs w:val="28"/>
        </w:rPr>
        <w:fldChar w:fldCharType="end"/>
      </w:r>
      <w:r w:rsidRPr="00AD2CF5">
        <w:rPr>
          <w:b/>
          <w:sz w:val="28"/>
          <w:szCs w:val="28"/>
        </w:rPr>
        <w:tab/>
      </w:r>
      <w:r w:rsidRPr="00AD2CF5">
        <w:rPr>
          <w:rFonts w:asciiTheme="majorHAnsi" w:hAnsiTheme="majorHAnsi"/>
          <w:b/>
          <w:i/>
          <w:sz w:val="28"/>
          <w:szCs w:val="28"/>
        </w:rPr>
        <w:t>Definities</w:t>
      </w:r>
      <w:r w:rsidRPr="00AD2CF5">
        <w:rPr>
          <w:b/>
          <w:i/>
          <w:sz w:val="28"/>
          <w:szCs w:val="28"/>
        </w:rPr>
        <w:t xml:space="preserve"> en begrippen</w:t>
      </w:r>
      <w:bookmarkEnd w:id="475"/>
      <w:bookmarkEnd w:id="476"/>
    </w:p>
    <w:bookmarkStart w:id="477" w:name="_Toc465131592"/>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478" w:name="_Toc529692778"/>
      <w:bookmarkStart w:id="479" w:name="_Toc413945809"/>
      <w:bookmarkStart w:id="480" w:name="_Toc431375822"/>
      <w:r>
        <w:rPr>
          <w:noProof/>
        </w:rPr>
        <w:t>2</w:t>
      </w:r>
      <w:r w:rsidRPr="00AD2CF5">
        <w:fldChar w:fldCharType="end"/>
      </w:r>
      <w:r w:rsidRPr="00AD2CF5">
        <w:t>.</w:t>
      </w:r>
      <w:r w:rsidR="00C428B8">
        <w:fldChar w:fldCharType="begin"/>
      </w:r>
      <w:r w:rsidR="00C428B8">
        <w:instrText xml:space="preserve"> SEQ numchaplev2 \n \* MERGEFORMAT </w:instrText>
      </w:r>
      <w:r w:rsidR="00C428B8">
        <w:fldChar w:fldCharType="separate"/>
      </w:r>
      <w:r>
        <w:rPr>
          <w:noProof/>
        </w:rPr>
        <w:t>1</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Inleiding</w:t>
      </w:r>
      <w:bookmarkEnd w:id="477"/>
      <w:bookmarkEnd w:id="478"/>
      <w:bookmarkEnd w:id="479"/>
      <w:bookmarkEnd w:id="480"/>
    </w:p>
    <w:p w:rsidR="00F43C9B" w:rsidRPr="00AD2CF5" w:rsidRDefault="00F43C9B" w:rsidP="00F43C9B">
      <w:pPr>
        <w:shd w:val="clear" w:color="auto" w:fill="D9D9D9" w:themeFill="background1" w:themeFillShade="D9"/>
        <w:spacing w:line="240" w:lineRule="auto"/>
      </w:pPr>
      <w:r w:rsidRPr="00AD2CF5">
        <w:t>In dit hoofdstuk worden de grootheden beschreven die van belang zijn voor de beoor</w:t>
      </w:r>
      <w:r w:rsidRPr="00AD2CF5">
        <w:softHyphen/>
        <w:t>deling van schietgeluid in het kader van zonering</w:t>
      </w:r>
      <w:r w:rsidRPr="00AD2CF5">
        <w:fldChar w:fldCharType="begin"/>
      </w:r>
      <w:r w:rsidRPr="00AD2CF5">
        <w:instrText xml:space="preserve"> XE "zonering" </w:instrText>
      </w:r>
      <w:r w:rsidRPr="00AD2CF5">
        <w:fldChar w:fldCharType="end"/>
      </w:r>
      <w:r w:rsidRPr="00AD2CF5">
        <w:t xml:space="preserve"> en vergunningverlening.</w:t>
      </w:r>
    </w:p>
    <w:p w:rsidR="00F43C9B" w:rsidRPr="00AD2CF5" w:rsidRDefault="00F43C9B" w:rsidP="00F43C9B">
      <w:pPr>
        <w:shd w:val="clear" w:color="auto" w:fill="D9D9D9" w:themeFill="background1" w:themeFillShade="D9"/>
        <w:spacing w:line="240" w:lineRule="auto"/>
        <w:rPr>
          <w:sz w:val="21"/>
        </w:rPr>
      </w:pPr>
      <w:r w:rsidRPr="00AD2CF5">
        <w:t>Definities worden gegeven van zowel de akoestische grootheden, de beoordelings</w:t>
      </w:r>
      <w:r w:rsidRPr="00AD2CF5">
        <w:softHyphen/>
        <w:t>groothe</w:t>
      </w:r>
      <w:r w:rsidRPr="00AD2CF5">
        <w:softHyphen/>
        <w:t>den</w:t>
      </w:r>
      <w:r w:rsidRPr="00AD2CF5">
        <w:fldChar w:fldCharType="begin"/>
      </w:r>
      <w:r w:rsidRPr="00AD2CF5">
        <w:instrText xml:space="preserve"> XE "beoordelingsgrootheden" </w:instrText>
      </w:r>
      <w:r w:rsidRPr="00AD2CF5">
        <w:fldChar w:fldCharType="end"/>
      </w:r>
      <w:r w:rsidRPr="00AD2CF5">
        <w:t xml:space="preserve"> als van de begrippen, die specifiek van toepassing zijn op schiet</w:t>
      </w:r>
      <w:r w:rsidRPr="00AD2CF5">
        <w:softHyphen/>
        <w:t>geluid</w:t>
      </w:r>
      <w:r w:rsidRPr="00AD2CF5">
        <w:rPr>
          <w:sz w:val="21"/>
        </w:rPr>
        <w:t>.</w:t>
      </w:r>
    </w:p>
    <w:bookmarkStart w:id="481" w:name="_Toc465131593"/>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482" w:name="_Toc529692779"/>
      <w:bookmarkStart w:id="483" w:name="_Toc413945810"/>
      <w:bookmarkStart w:id="484" w:name="_Toc431375823"/>
      <w:r>
        <w:rPr>
          <w:noProof/>
        </w:rPr>
        <w:t>2</w:t>
      </w:r>
      <w:r w:rsidRPr="00AD2CF5">
        <w:fldChar w:fldCharType="end"/>
      </w:r>
      <w:r w:rsidRPr="00AD2CF5">
        <w:t>.</w:t>
      </w:r>
      <w:r w:rsidR="00C428B8">
        <w:fldChar w:fldCharType="begin"/>
      </w:r>
      <w:r w:rsidR="00C428B8">
        <w:instrText xml:space="preserve"> SEQ numchaplev2 \n \* MERGEFORMAT </w:instrText>
      </w:r>
      <w:r w:rsidR="00C428B8">
        <w:fldChar w:fldCharType="separate"/>
      </w:r>
      <w:r>
        <w:rPr>
          <w:noProof/>
        </w:rPr>
        <w:t>2</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Het begrip schietgeluid</w:t>
      </w:r>
      <w:bookmarkEnd w:id="481"/>
      <w:bookmarkEnd w:id="482"/>
      <w:bookmarkEnd w:id="483"/>
      <w:bookmarkEnd w:id="484"/>
    </w:p>
    <w:p w:rsidR="00F43C9B" w:rsidRPr="00AD2CF5" w:rsidRDefault="00F43C9B" w:rsidP="00F43C9B">
      <w:pPr>
        <w:shd w:val="clear" w:color="auto" w:fill="D9D9D9" w:themeFill="background1" w:themeFillShade="D9"/>
        <w:spacing w:line="240" w:lineRule="auto"/>
      </w:pPr>
      <w:r w:rsidRPr="00AD2CF5">
        <w:t>Voorbeelden van schietgeluid zijn: Schoten met vuurwapens en detonaties van handgranaten</w:t>
      </w:r>
      <w:r w:rsidRPr="00AD2CF5">
        <w:fldChar w:fldCharType="begin"/>
      </w:r>
      <w:r w:rsidRPr="00AD2CF5">
        <w:instrText xml:space="preserve"> XE "handgranaten" </w:instrText>
      </w:r>
      <w:r w:rsidRPr="00AD2CF5">
        <w:fldChar w:fldCharType="end"/>
      </w:r>
      <w:r w:rsidRPr="00AD2CF5">
        <w:t>, projectielen en bommen</w:t>
      </w:r>
      <w:r w:rsidRPr="00AD2CF5">
        <w:fldChar w:fldCharType="begin"/>
      </w:r>
      <w:r w:rsidRPr="00AD2CF5">
        <w:instrText xml:space="preserve"> XE "bommen" </w:instrText>
      </w:r>
      <w:r w:rsidRPr="00AD2CF5">
        <w:fldChar w:fldCharType="end"/>
      </w:r>
      <w:r w:rsidRPr="00AD2CF5">
        <w:t>. Ook het geluid dat ontstaat bij gebruik van wapen- of knalsimulatoren valt hieronder. Een voorbehoud moet voor zware vliegtuigbommen gemaakt worden, aangezien het frequentiegebied hierbij zo laag is, dat het model vooralsnog niet kan worden toegepast (zie ook § 4.2).</w:t>
      </w:r>
    </w:p>
    <w:bookmarkStart w:id="485" w:name="_Toc465131594"/>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486" w:name="_Toc529692780"/>
      <w:bookmarkStart w:id="487" w:name="_Toc413945811"/>
      <w:bookmarkStart w:id="488" w:name="_Toc431375824"/>
      <w:r>
        <w:rPr>
          <w:noProof/>
        </w:rPr>
        <w:t>2</w:t>
      </w:r>
      <w:r w:rsidRPr="00AD2CF5">
        <w:fldChar w:fldCharType="end"/>
      </w:r>
      <w:r w:rsidRPr="00AD2CF5">
        <w:t>.</w:t>
      </w:r>
      <w:r w:rsidR="00C428B8">
        <w:fldChar w:fldCharType="begin"/>
      </w:r>
      <w:r w:rsidR="00C428B8">
        <w:instrText xml:space="preserve"> SEQ numchaplev2 \n \* MERGEFORMAT </w:instrText>
      </w:r>
      <w:r w:rsidR="00C428B8">
        <w:fldChar w:fldCharType="separate"/>
      </w:r>
      <w:r>
        <w:rPr>
          <w:noProof/>
        </w:rPr>
        <w:t>3</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Akoestische grootheden</w:t>
      </w:r>
      <w:bookmarkEnd w:id="485"/>
      <w:bookmarkEnd w:id="486"/>
      <w:bookmarkEnd w:id="487"/>
      <w:bookmarkEnd w:id="488"/>
    </w:p>
    <w:p w:rsidR="00F43C9B" w:rsidRPr="00AD2CF5" w:rsidRDefault="00F43C9B" w:rsidP="00F43C9B">
      <w:pPr>
        <w:shd w:val="clear" w:color="auto" w:fill="D9D9D9" w:themeFill="background1" w:themeFillShade="D9"/>
        <w:spacing w:line="240" w:lineRule="auto"/>
      </w:pPr>
      <w:r w:rsidRPr="00AD2CF5">
        <w:t>In dit voorschrift worden een groot aantal akoes</w:t>
      </w:r>
      <w:r w:rsidRPr="00AD2CF5">
        <w:softHyphen/>
        <w:t>ti</w:t>
      </w:r>
      <w:r w:rsidRPr="00AD2CF5">
        <w:softHyphen/>
        <w:t>sche begrippen gebruikt. In § 2.10 is een overzicht gegeven van de symbolen, die hiervoor gebruikt worden. Hieronder worden van de belangrijkste begrippen de de</w:t>
      </w:r>
      <w:r w:rsidRPr="00AD2CF5">
        <w:softHyphen/>
        <w:t>fi</w:t>
      </w:r>
      <w:r w:rsidRPr="00AD2CF5">
        <w:softHyphen/>
        <w:t>nities gegeven, die specifiek voor schietgeluid worden gebruikt. Voor de overi</w:t>
      </w:r>
      <w:r w:rsidRPr="00AD2CF5">
        <w:softHyphen/>
        <w:t>ge akoestische begrippen wordt verwezen naar akoestische handboeken; fre</w:t>
      </w:r>
      <w:r w:rsidRPr="00AD2CF5">
        <w:softHyphen/>
        <w:t>quen</w:t>
      </w:r>
      <w:r w:rsidRPr="00AD2CF5">
        <w:softHyphen/>
        <w:t>tie</w:t>
      </w:r>
      <w:r w:rsidRPr="00AD2CF5">
        <w:softHyphen/>
        <w:t>wegingen zijn gedefinieerd in IEC 651.</w:t>
      </w:r>
    </w:p>
    <w:p w:rsidR="00F43C9B" w:rsidRPr="00AD2CF5" w:rsidRDefault="00F43C9B" w:rsidP="00F43C9B">
      <w:pPr>
        <w:shd w:val="clear" w:color="auto" w:fill="D9D9D9" w:themeFill="background1" w:themeFillShade="D9"/>
        <w:spacing w:line="240" w:lineRule="auto"/>
      </w:pPr>
      <w:r w:rsidRPr="00AD2CF5">
        <w:rPr>
          <w:i/>
        </w:rPr>
        <w:t>Momentane geluiddruk</w:t>
      </w:r>
      <w:r w:rsidRPr="00AD2CF5">
        <w:rPr>
          <w:i/>
        </w:rPr>
        <w:fldChar w:fldCharType="begin"/>
      </w:r>
      <w:r w:rsidRPr="00AD2CF5">
        <w:rPr>
          <w:i/>
        </w:rPr>
        <w:instrText xml:space="preserve"> XE "</w:instrText>
      </w:r>
      <w:r w:rsidRPr="00AD2CF5">
        <w:instrText>geluiddruk"</w:instrText>
      </w:r>
      <w:r w:rsidRPr="00AD2CF5">
        <w:rPr>
          <w:i/>
        </w:rPr>
        <w:instrText xml:space="preserve"> </w:instrText>
      </w:r>
      <w:r w:rsidRPr="00AD2CF5">
        <w:rPr>
          <w:i/>
        </w:rPr>
        <w:fldChar w:fldCharType="end"/>
      </w:r>
      <w:r w:rsidRPr="00AD2CF5">
        <w:rPr>
          <w:i/>
        </w:rPr>
        <w:t>: p</w:t>
      </w:r>
      <w:r w:rsidRPr="00AD2CF5">
        <w:t xml:space="preserve"> [</w:t>
      </w:r>
      <w:r w:rsidRPr="00AD2CF5">
        <w:rPr>
          <w:i/>
        </w:rPr>
        <w:t>Pa</w:t>
      </w:r>
      <w:r w:rsidRPr="00AD2CF5">
        <w:t>]</w:t>
      </w:r>
    </w:p>
    <w:p w:rsidR="00F43C9B" w:rsidRPr="00AD2CF5" w:rsidRDefault="00F43C9B" w:rsidP="00F43C9B">
      <w:pPr>
        <w:shd w:val="clear" w:color="auto" w:fill="D9D9D9" w:themeFill="background1" w:themeFillShade="D9"/>
        <w:spacing w:line="240" w:lineRule="auto"/>
      </w:pPr>
      <w:r w:rsidRPr="00AD2CF5">
        <w:t>De (momentane) geluiddruk</w:t>
      </w:r>
      <w:r w:rsidRPr="00AD2CF5">
        <w:fldChar w:fldCharType="begin"/>
      </w:r>
      <w:r w:rsidRPr="00AD2CF5">
        <w:instrText xml:space="preserve"> XE "geluiddruk" </w:instrText>
      </w:r>
      <w:r w:rsidRPr="00AD2CF5">
        <w:fldChar w:fldCharType="end"/>
      </w:r>
      <w:r w:rsidRPr="00AD2CF5">
        <w:t xml:space="preserve"> in een geluidveld is gedefinieerd als de totale druk verminderd met de statische druk. De geluiddruk varieert met de tijd en met de positie.</w:t>
      </w:r>
    </w:p>
    <w:p w:rsidR="00F43C9B" w:rsidRPr="00AD2CF5" w:rsidRDefault="00F43C9B" w:rsidP="00F43C9B">
      <w:pPr>
        <w:shd w:val="clear" w:color="auto" w:fill="D9D9D9" w:themeFill="background1" w:themeFillShade="D9"/>
        <w:spacing w:line="240" w:lineRule="auto"/>
      </w:pPr>
      <w:r w:rsidRPr="00AD2CF5">
        <w:rPr>
          <w:i/>
        </w:rPr>
        <w:t>Geluidexpositie: E</w:t>
      </w:r>
      <w:r w:rsidRPr="00AD2CF5">
        <w:t xml:space="preserve"> [</w:t>
      </w:r>
      <w:r w:rsidRPr="00AD2CF5">
        <w:rPr>
          <w:i/>
        </w:rPr>
        <w:t>Pa²s</w:t>
      </w:r>
      <w:r w:rsidRPr="00AD2CF5">
        <w:t>]</w:t>
      </w:r>
    </w:p>
    <w:p w:rsidR="00F43C9B" w:rsidRPr="00AD2CF5" w:rsidRDefault="00F43C9B" w:rsidP="00F43C9B">
      <w:pPr>
        <w:shd w:val="clear" w:color="auto" w:fill="D9D9D9" w:themeFill="background1" w:themeFillShade="D9"/>
        <w:spacing w:line="240" w:lineRule="auto"/>
      </w:pPr>
      <w:r w:rsidRPr="00AD2CF5">
        <w:t>De geluidexpositie</w:t>
      </w:r>
      <w:r w:rsidRPr="00AD2CF5">
        <w:fldChar w:fldCharType="begin"/>
      </w:r>
      <w:r w:rsidRPr="00AD2CF5">
        <w:instrText xml:space="preserve"> XE "geluidexpositie" </w:instrText>
      </w:r>
      <w:r w:rsidRPr="00AD2CF5">
        <w:fldChar w:fldCharType="end"/>
      </w:r>
      <w:r w:rsidRPr="00AD2CF5">
        <w:t xml:space="preserve"> </w:t>
      </w:r>
      <w:r w:rsidRPr="00AD2CF5">
        <w:rPr>
          <w:i/>
        </w:rPr>
        <w:t>E</w:t>
      </w:r>
      <w:r w:rsidRPr="00AD2CF5">
        <w:t xml:space="preserve"> van een geluidpuls is gedefinieerd als de tijdsintegraal van het kwadraat van de momentane geluiddruk</w:t>
      </w:r>
      <w:r w:rsidRPr="00AD2CF5">
        <w:fldChar w:fldCharType="begin"/>
      </w:r>
      <w:r w:rsidRPr="00AD2CF5">
        <w:instrText xml:space="preserve"> XE "geluiddruk" </w:instrText>
      </w:r>
      <w:r w:rsidRPr="00AD2CF5">
        <w:fldChar w:fldCharType="end"/>
      </w:r>
      <w:r w:rsidRPr="00AD2CF5">
        <w:t xml:space="preserve"> </w:t>
      </w:r>
      <w:r w:rsidRPr="00AD2CF5">
        <w:rPr>
          <w:i/>
        </w:rPr>
        <w:t>p(t)</w:t>
      </w:r>
      <w:r w:rsidRPr="00AD2CF5">
        <w:t xml:space="preserve"> over de tijdsduur</w:t>
      </w:r>
      <w:r w:rsidRPr="00AD2CF5">
        <w:rPr>
          <w:iCs/>
        </w:rPr>
        <w:t xml:space="preserve"> </w:t>
      </w:r>
      <w:r w:rsidRPr="00AD2CF5">
        <w:rPr>
          <w:i/>
        </w:rPr>
        <w:t xml:space="preserve">T </w:t>
      </w:r>
      <w:r w:rsidRPr="00AD2CF5">
        <w:rPr>
          <w:iCs/>
        </w:rPr>
        <w:t>van de geluidpuls</w:t>
      </w:r>
      <w:r w:rsidRPr="00AD2CF5">
        <w:t>:</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position w:val="-30"/>
        </w:rPr>
        <w:object w:dxaOrig="10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9pt" o:ole="">
            <v:imagedata r:id="rId57" o:title=""/>
          </v:shape>
          <o:OLEObject Type="Embed" ProgID="Equation.2" ShapeID="_x0000_i1025" DrawAspect="Content" ObjectID="_1511255363" r:id="rId58"/>
        </w:object>
      </w:r>
      <w:r w:rsidRPr="00AD2CF5">
        <w:rPr>
          <w:lang w:val="nl-NL"/>
        </w:rPr>
        <w:tab/>
      </w:r>
    </w:p>
    <w:p w:rsidR="00F43C9B" w:rsidRPr="00AD2CF5" w:rsidRDefault="00F43C9B" w:rsidP="00F43C9B">
      <w:pPr>
        <w:shd w:val="clear" w:color="auto" w:fill="D9D9D9" w:themeFill="background1" w:themeFillShade="D9"/>
        <w:spacing w:line="240" w:lineRule="auto"/>
      </w:pPr>
      <w:r w:rsidRPr="00AD2CF5">
        <w:t xml:space="preserve">Hierbij wordt in het algemeen een frequentieweging toegepast op het geluiddruksignaal </w:t>
      </w:r>
      <w:r w:rsidRPr="00AD2CF5">
        <w:rPr>
          <w:i/>
        </w:rPr>
        <w:t>p(t)</w:t>
      </w:r>
      <w:r w:rsidRPr="00AD2CF5">
        <w:t>. In dit voorschrift worden de A</w:t>
      </w:r>
      <w:r w:rsidRPr="00AD2CF5">
        <w:noBreakHyphen/>
        <w:t>weging en de C</w:t>
      </w:r>
      <w:r w:rsidRPr="00AD2CF5">
        <w:noBreakHyphen/>
        <w:t>weging toegepast.</w:t>
      </w:r>
    </w:p>
    <w:p w:rsidR="00F43C9B" w:rsidRPr="00AD2CF5" w:rsidRDefault="00F43C9B" w:rsidP="00F43C9B">
      <w:pPr>
        <w:shd w:val="clear" w:color="auto" w:fill="D9D9D9" w:themeFill="background1" w:themeFillShade="D9"/>
        <w:spacing w:line="240" w:lineRule="auto"/>
        <w:rPr>
          <w:i/>
        </w:rPr>
      </w:pPr>
    </w:p>
    <w:p w:rsidR="00F43C9B" w:rsidRPr="00AD2CF5" w:rsidRDefault="00F43C9B" w:rsidP="00F43C9B">
      <w:pPr>
        <w:shd w:val="clear" w:color="auto" w:fill="D9D9D9" w:themeFill="background1" w:themeFillShade="D9"/>
        <w:spacing w:line="240" w:lineRule="auto"/>
        <w:rPr>
          <w:sz w:val="21"/>
        </w:rPr>
      </w:pPr>
      <w:r w:rsidRPr="00AD2CF5">
        <w:rPr>
          <w:i/>
        </w:rPr>
        <w:t>Geluidexpositieniveau: L</w:t>
      </w:r>
      <w:r w:rsidRPr="00AD2CF5">
        <w:rPr>
          <w:i/>
          <w:position w:val="-6"/>
        </w:rPr>
        <w:t>E</w:t>
      </w:r>
      <w:r w:rsidRPr="00AD2CF5">
        <w:t xml:space="preserve"> [dB(A) of dB(C)]</w:t>
      </w:r>
    </w:p>
    <w:p w:rsidR="00F43C9B" w:rsidRPr="00AD2CF5" w:rsidRDefault="00F43C9B" w:rsidP="00F43C9B">
      <w:pPr>
        <w:shd w:val="clear" w:color="auto" w:fill="D9D9D9" w:themeFill="background1" w:themeFillShade="D9"/>
        <w:spacing w:line="240" w:lineRule="auto"/>
      </w:pPr>
      <w:r w:rsidRPr="00AD2CF5">
        <w:t>Het geluidexpositieniveau</w:t>
      </w:r>
      <w:r w:rsidRPr="00AD2CF5">
        <w:fldChar w:fldCharType="begin"/>
      </w:r>
      <w:r w:rsidRPr="00AD2CF5">
        <w:instrText xml:space="preserve"> XE "geluidexpositieniveau" </w:instrText>
      </w:r>
      <w:r w:rsidRPr="00AD2CF5">
        <w:fldChar w:fldCharType="end"/>
      </w:r>
      <w:r w:rsidRPr="00AD2CF5">
        <w:t xml:space="preserve"> </w:t>
      </w:r>
      <w:r w:rsidRPr="00AD2CF5">
        <w:rPr>
          <w:i/>
        </w:rPr>
        <w:t>L</w:t>
      </w:r>
      <w:r w:rsidRPr="00AD2CF5">
        <w:rPr>
          <w:i/>
          <w:vertAlign w:val="subscript"/>
        </w:rPr>
        <w:t>E</w:t>
      </w:r>
      <w:r w:rsidRPr="00AD2CF5">
        <w:t xml:space="preserve"> is gedefinieerd als tien keer de logaritme met grondtal 10 van de verhouding van de geluidexpositie</w:t>
      </w:r>
      <w:r w:rsidRPr="00AD2CF5">
        <w:fldChar w:fldCharType="begin"/>
      </w:r>
      <w:r w:rsidRPr="00AD2CF5">
        <w:instrText xml:space="preserve"> XE "geluidexpositie" </w:instrText>
      </w:r>
      <w:r w:rsidRPr="00AD2CF5">
        <w:fldChar w:fldCharType="end"/>
      </w:r>
      <w:r w:rsidRPr="00AD2CF5">
        <w:t xml:space="preserve"> </w:t>
      </w:r>
      <w:r w:rsidRPr="00AD2CF5">
        <w:rPr>
          <w:i/>
        </w:rPr>
        <w:t>E</w:t>
      </w:r>
      <w:r w:rsidRPr="00AD2CF5">
        <w:t xml:space="preserve"> en een referentiewaarde </w:t>
      </w:r>
      <w:r w:rsidRPr="00AD2CF5">
        <w:rPr>
          <w:i/>
        </w:rPr>
        <w:t>E</w:t>
      </w:r>
      <w:r w:rsidRPr="00AD2CF5">
        <w:rPr>
          <w:vertAlign w:val="subscript"/>
        </w:rPr>
        <w:t>0</w:t>
      </w:r>
      <w:r w:rsidRPr="00AD2CF5">
        <w:t> = (20µPa)</w:t>
      </w:r>
      <w:r w:rsidRPr="00AD2CF5">
        <w:rPr>
          <w:vertAlign w:val="superscript"/>
        </w:rPr>
        <w:t>2</w:t>
      </w:r>
      <w:r w:rsidRPr="00AD2CF5">
        <w:t>s:</w:t>
      </w:r>
    </w:p>
    <w:p w:rsidR="00F43C9B" w:rsidRPr="00AD2CF5" w:rsidRDefault="00F43C9B" w:rsidP="00F43C9B">
      <w:pPr>
        <w:pStyle w:val="Bijschrift"/>
        <w:shd w:val="clear" w:color="auto" w:fill="D9D9D9" w:themeFill="background1" w:themeFillShade="D9"/>
        <w:tabs>
          <w:tab w:val="left" w:pos="567"/>
          <w:tab w:val="right" w:pos="7371"/>
        </w:tabs>
        <w:rPr>
          <w:sz w:val="21"/>
          <w:lang w:val="nl-NL"/>
        </w:rPr>
      </w:pPr>
      <w:r w:rsidRPr="00AD2CF5">
        <w:rPr>
          <w:position w:val="-10"/>
        </w:rPr>
        <w:object w:dxaOrig="1640" w:dyaOrig="360">
          <v:shape id="_x0000_i1026" type="#_x0000_t75" style="width:82.5pt;height:18pt" o:ole="">
            <v:imagedata r:id="rId59" o:title=""/>
          </v:shape>
          <o:OLEObject Type="Embed" ProgID="Equation.2" ShapeID="_x0000_i1026" DrawAspect="Content" ObjectID="_1511255364" r:id="rId60"/>
        </w:object>
      </w:r>
      <w:r w:rsidRPr="00AD2CF5">
        <w:rPr>
          <w:lang w:val="nl-NL"/>
        </w:rPr>
        <w:tab/>
      </w:r>
    </w:p>
    <w:p w:rsidR="00F43C9B" w:rsidRPr="00AD2CF5" w:rsidRDefault="00F43C9B" w:rsidP="00F43C9B">
      <w:pPr>
        <w:shd w:val="clear" w:color="auto" w:fill="D9D9D9" w:themeFill="background1" w:themeFillShade="D9"/>
        <w:spacing w:line="240" w:lineRule="auto"/>
      </w:pPr>
      <w:r w:rsidRPr="00AD2CF5">
        <w:t xml:space="preserve">De frequentieweging wordt aangegeven door een extra subscript, dus </w:t>
      </w:r>
      <w:r w:rsidRPr="00AD2CF5">
        <w:rPr>
          <w:i/>
        </w:rPr>
        <w:t>L</w:t>
      </w:r>
      <w:r w:rsidRPr="00AD2CF5">
        <w:rPr>
          <w:i/>
          <w:vertAlign w:val="subscript"/>
        </w:rPr>
        <w:t>AE</w:t>
      </w:r>
      <w:r w:rsidRPr="00AD2CF5">
        <w:t xml:space="preserve"> of </w:t>
      </w:r>
      <w:r w:rsidRPr="00AD2CF5">
        <w:rPr>
          <w:i/>
        </w:rPr>
        <w:t>L</w:t>
      </w:r>
      <w:r w:rsidRPr="00AD2CF5">
        <w:rPr>
          <w:i/>
          <w:vertAlign w:val="subscript"/>
        </w:rPr>
        <w:t>CE</w:t>
      </w:r>
      <w:r w:rsidRPr="00AD2CF5">
        <w:t xml:space="preserve"> voor de A</w:t>
      </w:r>
      <w:r w:rsidRPr="00AD2CF5">
        <w:noBreakHyphen/>
        <w:t>weging resp. de C</w:t>
      </w:r>
      <w:r w:rsidRPr="00AD2CF5">
        <w:noBreakHyphen/>
        <w:t>weging.</w:t>
      </w:r>
    </w:p>
    <w:p w:rsidR="00F43C9B" w:rsidRPr="00AD2CF5" w:rsidRDefault="00F43C9B" w:rsidP="00F43C9B">
      <w:pPr>
        <w:keepNext/>
        <w:keepLines/>
        <w:shd w:val="clear" w:color="auto" w:fill="D9D9D9" w:themeFill="background1" w:themeFillShade="D9"/>
        <w:tabs>
          <w:tab w:val="left" w:pos="-108"/>
          <w:tab w:val="left" w:pos="743"/>
        </w:tabs>
        <w:suppressAutoHyphens/>
        <w:spacing w:line="240" w:lineRule="auto"/>
      </w:pPr>
      <w:r w:rsidRPr="00AD2CF5">
        <w:rPr>
          <w:i/>
        </w:rPr>
        <w:t>Bronniveau: L</w:t>
      </w:r>
      <w:r w:rsidRPr="00AD2CF5">
        <w:rPr>
          <w:i/>
          <w:vertAlign w:val="subscript"/>
        </w:rPr>
        <w:t>Eb</w:t>
      </w:r>
    </w:p>
    <w:p w:rsidR="00F43C9B" w:rsidRPr="00AD2CF5" w:rsidRDefault="00F43C9B" w:rsidP="00F43C9B">
      <w:pPr>
        <w:keepNext/>
        <w:keepLines/>
        <w:shd w:val="clear" w:color="auto" w:fill="D9D9D9" w:themeFill="background1" w:themeFillShade="D9"/>
        <w:tabs>
          <w:tab w:val="left" w:pos="-108"/>
          <w:tab w:val="left" w:pos="743"/>
        </w:tabs>
        <w:suppressAutoHyphens/>
        <w:spacing w:line="240" w:lineRule="auto"/>
      </w:pPr>
      <w:r w:rsidRPr="00AD2CF5">
        <w:t>Het bronniveau</w:t>
      </w:r>
      <w:r w:rsidRPr="00AD2CF5">
        <w:fldChar w:fldCharType="begin"/>
      </w:r>
      <w:r w:rsidRPr="00AD2CF5">
        <w:instrText xml:space="preserve"> XE "bronniveau" </w:instrText>
      </w:r>
      <w:r w:rsidRPr="00AD2CF5">
        <w:fldChar w:fldCharType="end"/>
      </w:r>
      <w:r w:rsidRPr="00AD2CF5">
        <w:t xml:space="preserve"> </w:t>
      </w:r>
      <w:r w:rsidRPr="00AD2CF5">
        <w:rPr>
          <w:i/>
        </w:rPr>
        <w:t>L</w:t>
      </w:r>
      <w:r w:rsidRPr="00AD2CF5">
        <w:rPr>
          <w:i/>
          <w:vertAlign w:val="subscript"/>
        </w:rPr>
        <w:t>Eb</w:t>
      </w:r>
      <w:r w:rsidRPr="00AD2CF5">
        <w:t xml:space="preserve"> van een puntbron</w:t>
      </w:r>
      <w:r w:rsidRPr="00AD2CF5">
        <w:fldChar w:fldCharType="begin"/>
      </w:r>
      <w:r w:rsidRPr="00AD2CF5">
        <w:instrText xml:space="preserve"> XE "puntbron" </w:instrText>
      </w:r>
      <w:r w:rsidRPr="00AD2CF5">
        <w:fldChar w:fldCharType="end"/>
      </w:r>
      <w:r w:rsidRPr="00AD2CF5">
        <w:t xml:space="preserve"> is in deze gedefinieerd als:</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position w:val="-10"/>
        </w:rPr>
        <w:object w:dxaOrig="2120" w:dyaOrig="360">
          <v:shape id="_x0000_i1027" type="#_x0000_t75" style="width:106.5pt;height:18pt" o:ole="">
            <v:imagedata r:id="rId61" o:title=""/>
          </v:shape>
          <o:OLEObject Type="Embed" ProgID="Equation.2" ShapeID="_x0000_i1027" DrawAspect="Content" ObjectID="_1511255365" r:id="rId62"/>
        </w:object>
      </w:r>
      <w:r w:rsidRPr="00AD2CF5">
        <w:rPr>
          <w:b w:val="0"/>
          <w:i/>
          <w:lang w:val="nl-NL"/>
        </w:rPr>
        <w:tab/>
      </w:r>
    </w:p>
    <w:p w:rsidR="00F43C9B" w:rsidRPr="00AD2CF5" w:rsidRDefault="00F43C9B" w:rsidP="00F43C9B">
      <w:pPr>
        <w:pStyle w:val="Bijschrift"/>
        <w:shd w:val="clear" w:color="auto" w:fill="D9D9D9" w:themeFill="background1" w:themeFillShade="D9"/>
        <w:tabs>
          <w:tab w:val="left" w:pos="567"/>
          <w:tab w:val="right" w:pos="7371"/>
        </w:tabs>
        <w:rPr>
          <w:b w:val="0"/>
          <w:lang w:val="nl-NL"/>
        </w:rPr>
      </w:pPr>
      <w:r w:rsidRPr="00AD2CF5">
        <w:rPr>
          <w:b w:val="0"/>
          <w:lang w:val="nl-NL"/>
        </w:rPr>
        <w:t xml:space="preserve">waarin </w:t>
      </w:r>
      <w:r w:rsidRPr="00AD2CF5">
        <w:rPr>
          <w:b w:val="0"/>
          <w:i/>
          <w:lang w:val="nl-NL"/>
        </w:rPr>
        <w:t>L</w:t>
      </w:r>
      <w:r w:rsidRPr="00AD2CF5">
        <w:rPr>
          <w:b w:val="0"/>
          <w:i/>
          <w:vertAlign w:val="subscript"/>
          <w:lang w:val="nl-NL"/>
        </w:rPr>
        <w:t>E</w:t>
      </w:r>
      <w:r w:rsidRPr="00AD2CF5">
        <w:rPr>
          <w:b w:val="0"/>
          <w:lang w:val="nl-NL"/>
        </w:rPr>
        <w:t xml:space="preserve"> het geluidexpositieniveau</w:t>
      </w:r>
      <w:r w:rsidRPr="00AD2CF5">
        <w:rPr>
          <w:b w:val="0"/>
        </w:rPr>
        <w:fldChar w:fldCharType="begin"/>
      </w:r>
      <w:r w:rsidRPr="00AD2CF5">
        <w:rPr>
          <w:b w:val="0"/>
          <w:lang w:val="nl-NL"/>
        </w:rPr>
        <w:instrText xml:space="preserve"> XE "</w:instrText>
      </w:r>
      <w:r w:rsidRPr="00AD2CF5">
        <w:rPr>
          <w:lang w:val="nl-NL"/>
        </w:rPr>
        <w:instrText>geluidexpositieniveau"</w:instrText>
      </w:r>
      <w:r w:rsidRPr="00AD2CF5">
        <w:rPr>
          <w:b w:val="0"/>
          <w:lang w:val="nl-NL"/>
        </w:rPr>
        <w:instrText xml:space="preserve"> </w:instrText>
      </w:r>
      <w:r w:rsidRPr="00AD2CF5">
        <w:rPr>
          <w:b w:val="0"/>
        </w:rPr>
        <w:fldChar w:fldCharType="end"/>
      </w:r>
      <w:r w:rsidRPr="00AD2CF5">
        <w:rPr>
          <w:b w:val="0"/>
          <w:lang w:val="nl-NL"/>
        </w:rPr>
        <w:t xml:space="preserve"> is op een afstand </w:t>
      </w:r>
      <w:r w:rsidRPr="00AD2CF5">
        <w:rPr>
          <w:b w:val="0"/>
          <w:i/>
          <w:lang w:val="nl-NL"/>
        </w:rPr>
        <w:t>r</w:t>
      </w:r>
      <w:r w:rsidRPr="00AD2CF5">
        <w:rPr>
          <w:b w:val="0"/>
          <w:lang w:val="nl-NL"/>
        </w:rPr>
        <w:t xml:space="preserve"> van de bron in een homogeen verliesvrij medium. In dit voorschrift wordt gerekend in octaafbanden, en de bronniveaus worden dus per octaafband</w:t>
      </w:r>
      <w:r w:rsidRPr="00AD2CF5">
        <w:rPr>
          <w:b w:val="0"/>
        </w:rPr>
        <w:fldChar w:fldCharType="begin"/>
      </w:r>
      <w:r w:rsidRPr="00AD2CF5">
        <w:rPr>
          <w:b w:val="0"/>
          <w:lang w:val="nl-NL"/>
        </w:rPr>
        <w:instrText xml:space="preserve"> XE "</w:instrText>
      </w:r>
      <w:r w:rsidRPr="00AD2CF5">
        <w:rPr>
          <w:lang w:val="nl-NL"/>
        </w:rPr>
        <w:instrText>octaafband"</w:instrText>
      </w:r>
      <w:r w:rsidRPr="00AD2CF5">
        <w:rPr>
          <w:b w:val="0"/>
          <w:lang w:val="nl-NL"/>
        </w:rPr>
        <w:instrText xml:space="preserve"> </w:instrText>
      </w:r>
      <w:r w:rsidRPr="00AD2CF5">
        <w:rPr>
          <w:b w:val="0"/>
        </w:rPr>
        <w:fldChar w:fldCharType="end"/>
      </w:r>
      <w:r w:rsidRPr="00AD2CF5">
        <w:rPr>
          <w:b w:val="0"/>
          <w:lang w:val="nl-NL"/>
        </w:rPr>
        <w:t xml:space="preserve"> opgegeven. Deze definitie is alleen van toepassing op mondingsgeluid</w:t>
      </w:r>
      <w:r w:rsidRPr="00AD2CF5">
        <w:rPr>
          <w:b w:val="0"/>
        </w:rPr>
        <w:fldChar w:fldCharType="begin"/>
      </w:r>
      <w:r w:rsidRPr="00AD2CF5">
        <w:rPr>
          <w:b w:val="0"/>
          <w:lang w:val="nl-NL"/>
        </w:rPr>
        <w:instrText xml:space="preserve"> XE "</w:instrText>
      </w:r>
      <w:r w:rsidRPr="00AD2CF5">
        <w:rPr>
          <w:lang w:val="nl-NL"/>
        </w:rPr>
        <w:instrText>mondingsgeluid"</w:instrText>
      </w:r>
      <w:r w:rsidRPr="00AD2CF5">
        <w:rPr>
          <w:b w:val="0"/>
          <w:lang w:val="nl-NL"/>
        </w:rPr>
        <w:instrText xml:space="preserve"> </w:instrText>
      </w:r>
      <w:r w:rsidRPr="00AD2CF5">
        <w:rPr>
          <w:b w:val="0"/>
        </w:rPr>
        <w:fldChar w:fldCharType="end"/>
      </w:r>
      <w:r w:rsidRPr="00AD2CF5">
        <w:rPr>
          <w:b w:val="0"/>
          <w:lang w:val="nl-NL"/>
        </w:rPr>
        <w:t xml:space="preserve"> en detonatiegeluid, die door puntbronnen worden gerepresenteerd. Voor kogelgeluid</w:t>
      </w:r>
      <w:r w:rsidRPr="00AD2CF5">
        <w:rPr>
          <w:b w:val="0"/>
        </w:rPr>
        <w:fldChar w:fldCharType="begin"/>
      </w:r>
      <w:r w:rsidRPr="00AD2CF5">
        <w:rPr>
          <w:b w:val="0"/>
          <w:lang w:val="nl-NL"/>
        </w:rPr>
        <w:instrText xml:space="preserve"> XE "</w:instrText>
      </w:r>
      <w:r w:rsidRPr="00AD2CF5">
        <w:rPr>
          <w:lang w:val="nl-NL"/>
        </w:rPr>
        <w:instrText>kogelgeluid"</w:instrText>
      </w:r>
      <w:r w:rsidRPr="00AD2CF5">
        <w:rPr>
          <w:b w:val="0"/>
          <w:lang w:val="nl-NL"/>
        </w:rPr>
        <w:instrText xml:space="preserve"> </w:instrText>
      </w:r>
      <w:r w:rsidRPr="00AD2CF5">
        <w:rPr>
          <w:b w:val="0"/>
        </w:rPr>
        <w:fldChar w:fldCharType="end"/>
      </w:r>
      <w:r w:rsidRPr="00AD2CF5">
        <w:rPr>
          <w:b w:val="0"/>
          <w:lang w:val="nl-NL"/>
        </w:rPr>
        <w:t xml:space="preserve"> wordt een andere definitie van het bronniveau</w:t>
      </w:r>
      <w:r w:rsidRPr="00AD2CF5">
        <w:rPr>
          <w:b w:val="0"/>
        </w:rPr>
        <w:fldChar w:fldCharType="begin"/>
      </w:r>
      <w:r w:rsidRPr="00AD2CF5">
        <w:rPr>
          <w:b w:val="0"/>
          <w:lang w:val="nl-NL"/>
        </w:rPr>
        <w:instrText xml:space="preserve"> XE "</w:instrText>
      </w:r>
      <w:r w:rsidRPr="00AD2CF5">
        <w:rPr>
          <w:lang w:val="nl-NL"/>
        </w:rPr>
        <w:instrText>bronniveau"</w:instrText>
      </w:r>
      <w:r w:rsidRPr="00AD2CF5">
        <w:rPr>
          <w:b w:val="0"/>
          <w:lang w:val="nl-NL"/>
        </w:rPr>
        <w:instrText xml:space="preserve"> </w:instrText>
      </w:r>
      <w:r w:rsidRPr="00AD2CF5">
        <w:rPr>
          <w:b w:val="0"/>
        </w:rPr>
        <w:fldChar w:fldCharType="end"/>
      </w:r>
      <w:r w:rsidRPr="00AD2CF5">
        <w:rPr>
          <w:b w:val="0"/>
          <w:lang w:val="nl-NL"/>
        </w:rPr>
        <w:t xml:space="preserve"> gehanteerd (zie § 4.6.1).</w:t>
      </w:r>
    </w:p>
    <w:bookmarkStart w:id="489" w:name="_Toc465131595"/>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490" w:name="_Toc529692781"/>
      <w:bookmarkStart w:id="491" w:name="_Toc413945812"/>
      <w:bookmarkStart w:id="492" w:name="_Toc431375825"/>
      <w:r>
        <w:rPr>
          <w:noProof/>
        </w:rPr>
        <w:t>2</w:t>
      </w:r>
      <w:r w:rsidRPr="00AD2CF5">
        <w:fldChar w:fldCharType="end"/>
      </w:r>
      <w:r w:rsidRPr="00AD2CF5">
        <w:t>.</w:t>
      </w:r>
      <w:r w:rsidR="00C428B8">
        <w:fldChar w:fldCharType="begin"/>
      </w:r>
      <w:r w:rsidR="00C428B8">
        <w:instrText xml:space="preserve"> SEQ numchaplev2 \n \* MERGEFORMAT </w:instrText>
      </w:r>
      <w:r w:rsidR="00C428B8">
        <w:fldChar w:fldCharType="separate"/>
      </w:r>
      <w:r>
        <w:rPr>
          <w:noProof/>
        </w:rPr>
        <w:t>4</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Meteorologische grootheden</w:t>
      </w:r>
      <w:bookmarkEnd w:id="489"/>
      <w:bookmarkEnd w:id="490"/>
      <w:bookmarkEnd w:id="491"/>
      <w:bookmarkEnd w:id="492"/>
    </w:p>
    <w:p w:rsidR="00F43C9B" w:rsidRPr="00AD2CF5" w:rsidRDefault="00F43C9B" w:rsidP="00F43C9B">
      <w:pPr>
        <w:keepNext/>
        <w:keepLines/>
        <w:shd w:val="clear" w:color="auto" w:fill="D9D9D9" w:themeFill="background1" w:themeFillShade="D9"/>
        <w:tabs>
          <w:tab w:val="left" w:pos="-108"/>
          <w:tab w:val="left" w:pos="743"/>
        </w:tabs>
        <w:suppressAutoHyphens/>
        <w:spacing w:line="240" w:lineRule="auto"/>
      </w:pPr>
      <w:r w:rsidRPr="00AD2CF5">
        <w:t>Bij de rekenmethode wordt de (hinder-relevant</w:t>
      </w:r>
      <w:r w:rsidRPr="00AD2CF5">
        <w:fldChar w:fldCharType="begin"/>
      </w:r>
      <w:r w:rsidRPr="00AD2CF5">
        <w:instrText xml:space="preserve"> XE "hinder-relevant" </w:instrText>
      </w:r>
      <w:r w:rsidRPr="00AD2CF5">
        <w:fldChar w:fldCharType="end"/>
      </w:r>
      <w:r w:rsidRPr="00AD2CF5">
        <w:t>e) geluidbelasting bepaald als een gemiddelde over verschillende meteorologische klassen.</w:t>
      </w:r>
      <w:r w:rsidRPr="00AD2CF5">
        <w:fldChar w:fldCharType="begin"/>
      </w:r>
      <w:r w:rsidRPr="00AD2CF5">
        <w:instrText xml:space="preserve"> XE "meteorologische klasse" </w:instrText>
      </w:r>
      <w:r w:rsidRPr="00AD2CF5">
        <w:fldChar w:fldCharType="end"/>
      </w:r>
      <w:r w:rsidRPr="00AD2CF5">
        <w:t xml:space="preserve"> Hierbij wordt dus rekening gehouden met het feit dat de geluidoverdracht</w:t>
      </w:r>
      <w:r w:rsidRPr="00AD2CF5">
        <w:fldChar w:fldCharType="begin"/>
      </w:r>
      <w:r w:rsidRPr="00AD2CF5">
        <w:instrText xml:space="preserve"> XE "geluidoverdracht" </w:instrText>
      </w:r>
      <w:r w:rsidRPr="00AD2CF5">
        <w:fldChar w:fldCharType="end"/>
      </w:r>
      <w:r w:rsidRPr="00AD2CF5">
        <w:t xml:space="preserve"> sterk afhankelijk is van de plaatselijke weersomstandigheden.</w:t>
      </w:r>
      <w:r w:rsidRPr="00AD2CF5">
        <w:fldChar w:fldCharType="begin"/>
      </w:r>
      <w:r w:rsidRPr="00AD2CF5">
        <w:instrText xml:space="preserve"> XE "weersomstandigheden" </w:instrText>
      </w:r>
      <w:r w:rsidRPr="00AD2CF5">
        <w:fldChar w:fldCharType="end"/>
      </w:r>
      <w:r w:rsidRPr="00AD2CF5">
        <w:t xml:space="preserve"> De verschillende meteorologische klassen worden getypeerd door het effectieve geluid</w:t>
      </w:r>
      <w:r w:rsidRPr="00AD2CF5">
        <w:softHyphen/>
        <w:t>snel</w:t>
      </w:r>
      <w:r w:rsidRPr="00AD2CF5">
        <w:softHyphen/>
        <w:t>heidsprofiel.</w:t>
      </w:r>
      <w:r w:rsidRPr="00AD2CF5">
        <w:fldChar w:fldCharType="begin"/>
      </w:r>
      <w:r w:rsidRPr="00AD2CF5">
        <w:instrText xml:space="preserve"> XE "effectieve geluidsnelheidsprofiel" </w:instrText>
      </w:r>
      <w:r w:rsidRPr="00AD2CF5">
        <w:fldChar w:fldCharType="end"/>
      </w:r>
      <w:r w:rsidRPr="00AD2CF5">
        <w:t xml:space="preserve"> In deze paragraaf worden de definities gegeven van de groot</w:t>
      </w:r>
      <w:r w:rsidRPr="00AD2CF5">
        <w:softHyphen/>
        <w:t>heden die hierbij een rol spelen.</w:t>
      </w:r>
    </w:p>
    <w:p w:rsidR="00F43C9B" w:rsidRPr="00AD2CF5" w:rsidRDefault="00F43C9B" w:rsidP="00F43C9B">
      <w:pPr>
        <w:keepLines/>
        <w:shd w:val="clear" w:color="auto" w:fill="D9D9D9" w:themeFill="background1" w:themeFillShade="D9"/>
        <w:tabs>
          <w:tab w:val="left" w:pos="-108"/>
          <w:tab w:val="left" w:pos="743"/>
        </w:tabs>
        <w:suppressAutoHyphens/>
        <w:spacing w:line="240" w:lineRule="auto"/>
      </w:pPr>
      <w:r w:rsidRPr="00AD2CF5">
        <w:rPr>
          <w:i/>
        </w:rPr>
        <w:t>Windsnelheid: u</w:t>
      </w:r>
      <w:r w:rsidRPr="00AD2CF5">
        <w:t xml:space="preserve"> [m/s]</w:t>
      </w:r>
      <w:r w:rsidRPr="00AD2CF5">
        <w:br/>
        <w:t>De windsnelheid</w:t>
      </w:r>
      <w:r w:rsidRPr="00AD2CF5">
        <w:fldChar w:fldCharType="begin"/>
      </w:r>
      <w:r w:rsidRPr="00AD2CF5">
        <w:instrText xml:space="preserve"> XE "windsnelheid" </w:instrText>
      </w:r>
      <w:r w:rsidRPr="00AD2CF5">
        <w:fldChar w:fldCharType="end"/>
      </w:r>
      <w:r w:rsidRPr="00AD2CF5">
        <w:t xml:space="preserve"> is aan sterke fluctuaties in de tijd onderhevig. Voor een beschrijving van de toestand van de atmosfeer</w:t>
      </w:r>
      <w:r w:rsidRPr="00AD2CF5">
        <w:fldChar w:fldCharType="begin"/>
      </w:r>
      <w:r w:rsidRPr="00AD2CF5">
        <w:instrText xml:space="preserve"> XE "atmosfeer" </w:instrText>
      </w:r>
      <w:r w:rsidRPr="00AD2CF5">
        <w:fldChar w:fldCharType="end"/>
      </w:r>
      <w:r w:rsidRPr="00AD2CF5">
        <w:t xml:space="preserve"> wordt van de gemiddelde windsnelheid uitgegaan, waarbij gemiddeld is over een periode van typerend 5 minuten. De windsnelheid neemt over het algemeen met de hoogte toe. In de rekenmethode wordt ervan uitgegaan dat de gemiddelde windsnelheid in het geluidpad niet met de horizontale positie varieert. Met name bij land-waterovergangen kan dit echter wel het geval zijn. De methode is dan niet zonder</w:t>
      </w:r>
      <w:r w:rsidRPr="00AD2CF5">
        <w:softHyphen/>
        <w:t xml:space="preserve">meer toepasbaar. In dit voorschrift wordt alleen de horizontale component van de windsnelheid gebruikt, aangeduid met het symbool </w:t>
      </w:r>
      <w:r w:rsidRPr="00AD2CF5">
        <w:rPr>
          <w:i/>
        </w:rPr>
        <w:t>u</w:t>
      </w:r>
      <w:r w:rsidRPr="00AD2CF5">
        <w:t>.</w:t>
      </w:r>
    </w:p>
    <w:p w:rsidR="00F43C9B" w:rsidRPr="00AD2CF5" w:rsidRDefault="00F43C9B" w:rsidP="00F43C9B">
      <w:pPr>
        <w:keepNext/>
        <w:shd w:val="clear" w:color="auto" w:fill="D9D9D9" w:themeFill="background1" w:themeFillShade="D9"/>
        <w:tabs>
          <w:tab w:val="left" w:pos="-108"/>
          <w:tab w:val="left" w:pos="743"/>
        </w:tabs>
        <w:suppressAutoHyphens/>
        <w:spacing w:line="240" w:lineRule="auto"/>
      </w:pPr>
      <w:r w:rsidRPr="00AD2CF5">
        <w:rPr>
          <w:i/>
        </w:rPr>
        <w:t>Temperatuur: t</w:t>
      </w:r>
      <w:r w:rsidRPr="00AD2CF5">
        <w:t xml:space="preserve"> [</w:t>
      </w:r>
      <w:r w:rsidRPr="00AD2CF5">
        <w:rPr>
          <w:rFonts w:ascii="Symbol" w:hAnsi="Symbol"/>
        </w:rPr>
        <w:t></w:t>
      </w:r>
      <w:r w:rsidRPr="00AD2CF5">
        <w:t xml:space="preserve">C] en </w:t>
      </w:r>
      <w:r w:rsidRPr="00AD2CF5">
        <w:rPr>
          <w:i/>
        </w:rPr>
        <w:t xml:space="preserve">T </w:t>
      </w:r>
      <w:r w:rsidRPr="00AD2CF5">
        <w:t>[K]</w:t>
      </w:r>
      <w:r w:rsidRPr="00AD2CF5">
        <w:br/>
        <w:t>De temperatuur</w:t>
      </w:r>
      <w:r w:rsidRPr="00AD2CF5">
        <w:fldChar w:fldCharType="begin"/>
      </w:r>
      <w:r w:rsidRPr="00AD2CF5">
        <w:instrText xml:space="preserve"> XE "temperatuur" </w:instrText>
      </w:r>
      <w:r w:rsidRPr="00AD2CF5">
        <w:fldChar w:fldCharType="end"/>
      </w:r>
      <w:r w:rsidRPr="00AD2CF5">
        <w:t xml:space="preserve"> is aan fluctuaties in de tijd onderhevig. Voor een beschrijving van de toe</w:t>
      </w:r>
      <w:r w:rsidRPr="00AD2CF5">
        <w:softHyphen/>
        <w:t>stand van de atmosfeer</w:t>
      </w:r>
      <w:r w:rsidRPr="00AD2CF5">
        <w:fldChar w:fldCharType="begin"/>
      </w:r>
      <w:r w:rsidRPr="00AD2CF5">
        <w:instrText xml:space="preserve"> XE "atmosfeer" </w:instrText>
      </w:r>
      <w:r w:rsidRPr="00AD2CF5">
        <w:fldChar w:fldCharType="end"/>
      </w:r>
      <w:r w:rsidRPr="00AD2CF5">
        <w:t xml:space="preserve"> wordt van het gemiddelde uitgegaan, waarbij gemiddeld is over een periode van typerend 5 minuten. In de rekenmethode is ervan uitgegaan dat de gemiddelde temperatuur in het geluidpad alleen met de hoogte varieert. Met name bij land-waterovergangen treden ook horizontale temperatuurverschillen op. De methode is dan niet zonder</w:t>
      </w:r>
      <w:r w:rsidRPr="00AD2CF5">
        <w:softHyphen/>
        <w:t>meer toepasbaar. Zowel de temperatuur in graden Celsius als de absolute temperatuur in Kelvin worden gebruikt.</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rPr>
          <w:i/>
        </w:rPr>
        <w:t>Windrichting</w:t>
      </w:r>
      <w:r w:rsidRPr="00AD2CF5">
        <w:t xml:space="preserve"> </w:t>
      </w:r>
      <w:r w:rsidRPr="00AD2CF5">
        <w:rPr>
          <w:i/>
        </w:rPr>
        <w:sym w:font="Symbol" w:char="F066"/>
      </w:r>
      <w:r w:rsidRPr="00AD2CF5">
        <w:rPr>
          <w:i/>
        </w:rPr>
        <w:t xml:space="preserve"> </w:t>
      </w:r>
      <w:r w:rsidRPr="00AD2CF5">
        <w:t>[</w:t>
      </w:r>
      <w:r w:rsidRPr="00AD2CF5">
        <w:rPr>
          <w:rFonts w:ascii="Symbol" w:hAnsi="Symbol"/>
        </w:rPr>
        <w:t></w:t>
      </w:r>
      <w:r w:rsidRPr="00AD2CF5">
        <w:t>]</w:t>
      </w:r>
      <w:r w:rsidRPr="00AD2CF5">
        <w:br/>
        <w:t>De windrichting</w:t>
      </w:r>
      <w:r w:rsidRPr="00AD2CF5">
        <w:fldChar w:fldCharType="begin"/>
      </w:r>
      <w:r w:rsidRPr="00AD2CF5">
        <w:instrText xml:space="preserve"> XE "windrichting" </w:instrText>
      </w:r>
      <w:r w:rsidRPr="00AD2CF5">
        <w:fldChar w:fldCharType="end"/>
      </w:r>
      <w:r w:rsidRPr="00AD2CF5">
        <w:t xml:space="preserve"> is de richting van waaruit de wind komt. De windrichting wordt uitgedrukt in graden ten opzichte van het noorden (kloksgewijs). Westenwind komt dus overeen met 270</w:t>
      </w:r>
      <w:r w:rsidRPr="00AD2CF5">
        <w:rPr>
          <w:rFonts w:ascii="Symbol" w:hAnsi="Symbol"/>
        </w:rPr>
        <w:t></w:t>
      </w:r>
      <w:r w:rsidRPr="00AD2CF5">
        <w:t>.</w:t>
      </w:r>
    </w:p>
    <w:p w:rsidR="00F43C9B" w:rsidRPr="00AD2CF5" w:rsidRDefault="00F43C9B" w:rsidP="00F43C9B">
      <w:pPr>
        <w:shd w:val="clear" w:color="auto" w:fill="D9D9D9" w:themeFill="background1" w:themeFillShade="D9"/>
        <w:tabs>
          <w:tab w:val="left" w:pos="-108"/>
          <w:tab w:val="left" w:pos="743"/>
        </w:tabs>
        <w:suppressAutoHyphens/>
        <w:spacing w:line="240" w:lineRule="auto"/>
      </w:pPr>
      <w:r w:rsidRPr="00AD2CF5">
        <w:rPr>
          <w:i/>
        </w:rPr>
        <w:t>Effectieve geluidsnelheid</w:t>
      </w:r>
      <w:r w:rsidRPr="00AD2CF5">
        <w:rPr>
          <w:i/>
        </w:rPr>
        <w:fldChar w:fldCharType="begin"/>
      </w:r>
      <w:r w:rsidRPr="00AD2CF5">
        <w:rPr>
          <w:i/>
        </w:rPr>
        <w:instrText xml:space="preserve"> XE "</w:instrText>
      </w:r>
      <w:r w:rsidRPr="00AD2CF5">
        <w:instrText>geluidsnelheid"</w:instrText>
      </w:r>
      <w:r w:rsidRPr="00AD2CF5">
        <w:rPr>
          <w:i/>
        </w:rPr>
        <w:instrText xml:space="preserve"> </w:instrText>
      </w:r>
      <w:r w:rsidRPr="00AD2CF5">
        <w:rPr>
          <w:i/>
        </w:rPr>
        <w:fldChar w:fldCharType="end"/>
      </w:r>
      <w:r w:rsidRPr="00AD2CF5">
        <w:rPr>
          <w:i/>
        </w:rPr>
        <w:t>: c</w:t>
      </w:r>
      <w:r w:rsidRPr="00AD2CF5">
        <w:rPr>
          <w:i/>
          <w:vertAlign w:val="subscript"/>
        </w:rPr>
        <w:t>eff</w:t>
      </w:r>
      <w:r w:rsidRPr="00AD2CF5">
        <w:t xml:space="preserve"> [m/s]</w:t>
      </w:r>
      <w:r w:rsidRPr="00AD2CF5">
        <w:br/>
        <w:t>De effectieve geluidsnelheid</w:t>
      </w:r>
      <w:r w:rsidRPr="00AD2CF5">
        <w:fldChar w:fldCharType="begin"/>
      </w:r>
      <w:r w:rsidRPr="00AD2CF5">
        <w:instrText xml:space="preserve"> XE "geluidsnelheid" </w:instrText>
      </w:r>
      <w:r w:rsidRPr="00AD2CF5">
        <w:fldChar w:fldCharType="end"/>
      </w:r>
      <w:r w:rsidRPr="00AD2CF5">
        <w:t>, d.w.z. de snelheid waarmee een geluidgolf zich in de atmosfeer</w:t>
      </w:r>
      <w:r w:rsidRPr="00AD2CF5">
        <w:fldChar w:fldCharType="begin"/>
      </w:r>
      <w:r w:rsidRPr="00AD2CF5">
        <w:instrText xml:space="preserve"> XE "atmosfeer" </w:instrText>
      </w:r>
      <w:r w:rsidRPr="00AD2CF5">
        <w:fldChar w:fldCharType="end"/>
      </w:r>
      <w:r w:rsidRPr="00AD2CF5">
        <w:t xml:space="preserve"> voortplant, wordt bepaald door de absolute temperatuur</w:t>
      </w:r>
      <w:r w:rsidRPr="00AD2CF5">
        <w:fldChar w:fldCharType="begin"/>
      </w:r>
      <w:r w:rsidRPr="00AD2CF5">
        <w:instrText xml:space="preserve"> XE "temperatuur" </w:instrText>
      </w:r>
      <w:r w:rsidRPr="00AD2CF5">
        <w:fldChar w:fldCharType="end"/>
      </w:r>
      <w:r w:rsidRPr="00AD2CF5">
        <w:t xml:space="preserve"> </w:t>
      </w:r>
      <w:r w:rsidRPr="00AD2CF5">
        <w:rPr>
          <w:i/>
        </w:rPr>
        <w:t xml:space="preserve">T, </w:t>
      </w:r>
      <w:r w:rsidRPr="00AD2CF5">
        <w:t xml:space="preserve">de horizontale windcomponent </w:t>
      </w:r>
      <w:r w:rsidRPr="00AD2CF5">
        <w:rPr>
          <w:i/>
        </w:rPr>
        <w:t>u</w:t>
      </w:r>
      <w:r w:rsidRPr="00AD2CF5">
        <w:t>,</w:t>
      </w:r>
      <w:r w:rsidRPr="00AD2CF5">
        <w:rPr>
          <w:i/>
        </w:rPr>
        <w:t xml:space="preserve"> </w:t>
      </w:r>
      <w:r w:rsidRPr="00AD2CF5">
        <w:t>en het hoekverschil tussen de windrichting</w:t>
      </w:r>
      <w:r w:rsidRPr="00AD2CF5">
        <w:fldChar w:fldCharType="begin"/>
      </w:r>
      <w:r w:rsidRPr="00AD2CF5">
        <w:instrText xml:space="preserve"> XE "windrichting" </w:instrText>
      </w:r>
      <w:r w:rsidRPr="00AD2CF5">
        <w:fldChar w:fldCharType="end"/>
      </w:r>
      <w:r w:rsidRPr="00AD2CF5">
        <w:t xml:space="preserve"> </w:t>
      </w:r>
      <w:r w:rsidRPr="00AD2CF5">
        <w:rPr>
          <w:rFonts w:ascii="Symbol" w:hAnsi="Symbol"/>
          <w:i/>
        </w:rPr>
        <w:t></w:t>
      </w:r>
      <w:r w:rsidRPr="00AD2CF5">
        <w:t xml:space="preserve"> en de richting </w:t>
      </w:r>
      <w:r w:rsidRPr="00AD2CF5">
        <w:rPr>
          <w:rFonts w:ascii="Symbol" w:hAnsi="Symbol"/>
          <w:i/>
        </w:rPr>
        <w:t></w:t>
      </w:r>
      <w:r w:rsidRPr="00AD2CF5">
        <w:t xml:space="preserve"> waarin het geluid zich voortplant (</w:t>
      </w:r>
      <w:r w:rsidRPr="00AD2CF5">
        <w:rPr>
          <w:rFonts w:ascii="Symbol" w:hAnsi="Symbol"/>
          <w:i/>
        </w:rPr>
        <w:t></w:t>
      </w:r>
      <w:r w:rsidRPr="00AD2CF5">
        <w:t xml:space="preserve"> en </w:t>
      </w:r>
      <w:r w:rsidRPr="00AD2CF5">
        <w:rPr>
          <w:rFonts w:ascii="Symbol" w:hAnsi="Symbol"/>
          <w:i/>
        </w:rPr>
        <w:t></w:t>
      </w:r>
      <w:r w:rsidRPr="00AD2CF5">
        <w:t xml:space="preserve"> zijn hoeken t.o.v. het geografische noorden; dus bv. </w:t>
      </w:r>
      <w:r w:rsidRPr="00AD2CF5">
        <w:rPr>
          <w:rFonts w:ascii="Symbol" w:hAnsi="Symbol"/>
          <w:i/>
        </w:rPr>
        <w:t></w:t>
      </w:r>
      <w:r w:rsidRPr="00AD2CF5">
        <w:rPr>
          <w:rFonts w:ascii="Symbol" w:hAnsi="Symbol"/>
          <w:i/>
        </w:rPr>
        <w:t></w:t>
      </w:r>
      <w:r w:rsidRPr="00AD2CF5">
        <w:rPr>
          <w:rFonts w:ascii="Symbol" w:hAnsi="Symbol"/>
          <w:i/>
        </w:rPr>
        <w:t></w:t>
      </w:r>
      <w:r w:rsidRPr="00AD2CF5">
        <w:rPr>
          <w:rFonts w:ascii="Symbol" w:hAnsi="Symbol"/>
        </w:rPr>
        <w:t></w:t>
      </w:r>
      <w:r w:rsidRPr="00AD2CF5">
        <w:rPr>
          <w:rFonts w:ascii="Symbol" w:hAnsi="Symbol"/>
        </w:rPr>
        <w:t></w:t>
      </w:r>
      <w:r w:rsidRPr="00AD2CF5">
        <w:rPr>
          <w:rFonts w:ascii="Symbol" w:hAnsi="Symbol"/>
        </w:rPr>
        <w:t></w:t>
      </w:r>
      <w:r w:rsidRPr="00AD2CF5">
        <w:rPr>
          <w:rFonts w:ascii="Symbol" w:hAnsi="Symbol"/>
        </w:rPr>
        <w:t></w:t>
      </w:r>
      <w:r w:rsidRPr="00AD2CF5">
        <w:rPr>
          <w:rFonts w:ascii="Symbol" w:hAnsi="Symbol"/>
        </w:rPr>
        <w:sym w:font="Symbol" w:char="F0B0"/>
      </w:r>
      <w:r w:rsidRPr="00AD2CF5">
        <w:rPr>
          <w:rFonts w:ascii="Symbol" w:hAnsi="Symbol"/>
        </w:rPr>
        <w:t></w:t>
      </w:r>
      <w:r w:rsidRPr="00AD2CF5">
        <w:t xml:space="preserve">voor oostenwind, en </w:t>
      </w:r>
      <w:r w:rsidRPr="00AD2CF5">
        <w:rPr>
          <w:rFonts w:ascii="Symbol" w:hAnsi="Symbol"/>
          <w:i/>
        </w:rPr>
        <w:t></w:t>
      </w:r>
      <w:r w:rsidRPr="00AD2CF5">
        <w:rPr>
          <w:rFonts w:ascii="Symbol" w:hAnsi="Symbol"/>
          <w:i/>
        </w:rPr>
        <w:t></w:t>
      </w:r>
      <w:r w:rsidRPr="00AD2CF5">
        <w:rPr>
          <w:rFonts w:ascii="Symbol" w:hAnsi="Symbol"/>
          <w:i/>
        </w:rPr>
        <w:t></w:t>
      </w:r>
      <w:r w:rsidRPr="00AD2CF5">
        <w:rPr>
          <w:rFonts w:ascii="Symbol" w:hAnsi="Symbol"/>
        </w:rPr>
        <w:t></w:t>
      </w:r>
      <w:r w:rsidRPr="00AD2CF5">
        <w:rPr>
          <w:rFonts w:ascii="Symbol" w:hAnsi="Symbol"/>
        </w:rPr>
        <w:t></w:t>
      </w:r>
      <w:r w:rsidRPr="00AD2CF5">
        <w:rPr>
          <w:rFonts w:ascii="Symbol" w:hAnsi="Symbol"/>
        </w:rPr>
        <w:t></w:t>
      </w:r>
      <w:r w:rsidRPr="00AD2CF5">
        <w:rPr>
          <w:rFonts w:ascii="Symbol" w:hAnsi="Symbol"/>
        </w:rPr>
        <w:t></w:t>
      </w:r>
      <w:r w:rsidRPr="00AD2CF5">
        <w:rPr>
          <w:rFonts w:ascii="Symbol" w:hAnsi="Symbol"/>
        </w:rPr>
        <w:sym w:font="Symbol" w:char="F0B0"/>
      </w:r>
      <w:r w:rsidRPr="00AD2CF5">
        <w:rPr>
          <w:rFonts w:ascii="Symbol" w:hAnsi="Symbol"/>
        </w:rPr>
        <w:t></w:t>
      </w:r>
      <w:r w:rsidRPr="00AD2CF5">
        <w:t>voor geluidvoortplanting van west naar oost).</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position w:val="-10"/>
        </w:rPr>
        <w:object w:dxaOrig="3519" w:dyaOrig="380">
          <v:shape id="_x0000_i1028" type="#_x0000_t75" style="width:176.25pt;height:19.5pt" o:ole="" fillcolor="window">
            <v:imagedata r:id="rId63" o:title=""/>
          </v:shape>
          <o:OLEObject Type="Embed" ProgID="Equation.3" ShapeID="_x0000_i1028" DrawAspect="Content" ObjectID="_1511255366" r:id="rId64"/>
        </w:object>
      </w:r>
      <w:r w:rsidRPr="00AD2CF5">
        <w:rPr>
          <w:lang w:val="nl-NL"/>
        </w:rPr>
        <w:tab/>
      </w:r>
    </w:p>
    <w:p w:rsidR="00F43C9B" w:rsidRPr="00AD2CF5" w:rsidRDefault="00F43C9B" w:rsidP="00F43C9B">
      <w:pPr>
        <w:shd w:val="clear" w:color="auto" w:fill="D9D9D9" w:themeFill="background1" w:themeFillShade="D9"/>
        <w:spacing w:line="240" w:lineRule="auto"/>
        <w:rPr>
          <w:b/>
        </w:rPr>
      </w:pPr>
    </w:p>
    <w:p w:rsidR="00F43C9B" w:rsidRPr="00AD2CF5" w:rsidRDefault="00F43C9B" w:rsidP="00F43C9B">
      <w:pPr>
        <w:shd w:val="clear" w:color="auto" w:fill="D9D9D9" w:themeFill="background1" w:themeFillShade="D9"/>
        <w:tabs>
          <w:tab w:val="left" w:pos="-108"/>
          <w:tab w:val="left" w:pos="743"/>
        </w:tabs>
        <w:suppressAutoHyphens/>
        <w:spacing w:line="240" w:lineRule="auto"/>
      </w:pPr>
      <w:r w:rsidRPr="00AD2CF5">
        <w:t>De geluidsnelheid</w:t>
      </w:r>
      <w:r w:rsidRPr="00AD2CF5">
        <w:fldChar w:fldCharType="begin"/>
      </w:r>
      <w:r w:rsidRPr="00AD2CF5">
        <w:instrText xml:space="preserve"> XE "geluidsnelheid" </w:instrText>
      </w:r>
      <w:r w:rsidRPr="00AD2CF5">
        <w:fldChar w:fldCharType="end"/>
      </w:r>
      <w:r w:rsidRPr="00AD2CF5">
        <w:t xml:space="preserve"> is dus gelijk aan de som van de "thermische geluidsnelheid" en de vectorwind, de component van de wind in de geluidvoortplantingsrichting. In dit voorschrift wordt de aanduiding ‘effectief’ meestal weggelaten, en wordt de ‘effectieve geluidsnelheid’ als de ‘geluidsnelheid’ aangeduid. In overeenstemming hiermee wordt het symbool </w:t>
      </w:r>
      <w:r w:rsidRPr="00AD2CF5">
        <w:rPr>
          <w:i/>
        </w:rPr>
        <w:t>c</w:t>
      </w:r>
      <w:r w:rsidRPr="00AD2CF5">
        <w:t xml:space="preserve"> gebruikt in plaats van </w:t>
      </w:r>
      <w:r w:rsidRPr="00AD2CF5">
        <w:rPr>
          <w:i/>
        </w:rPr>
        <w:t>c</w:t>
      </w:r>
      <w:r w:rsidRPr="00AD2CF5">
        <w:rPr>
          <w:i/>
          <w:vertAlign w:val="subscript"/>
        </w:rPr>
        <w:t>eff</w:t>
      </w:r>
      <w:r w:rsidRPr="00AD2CF5">
        <w:t>.</w:t>
      </w:r>
    </w:p>
    <w:p w:rsidR="00F43C9B" w:rsidRPr="00AD2CF5" w:rsidRDefault="00F43C9B" w:rsidP="00F43C9B">
      <w:pPr>
        <w:shd w:val="clear" w:color="auto" w:fill="D9D9D9" w:themeFill="background1" w:themeFillShade="D9"/>
        <w:tabs>
          <w:tab w:val="left" w:pos="-108"/>
          <w:tab w:val="left" w:pos="743"/>
        </w:tabs>
        <w:suppressAutoHyphens/>
        <w:spacing w:line="240" w:lineRule="auto"/>
      </w:pPr>
      <w:r w:rsidRPr="00AD2CF5">
        <w:rPr>
          <w:i/>
        </w:rPr>
        <w:t>Geluidsnelheidsprofiel</w:t>
      </w:r>
      <w:r w:rsidRPr="00AD2CF5">
        <w:t xml:space="preserve"> </w:t>
      </w:r>
      <w:r w:rsidRPr="00AD2CF5">
        <w:rPr>
          <w:i/>
        </w:rPr>
        <w:t xml:space="preserve">c(h) </w:t>
      </w:r>
      <w:r w:rsidRPr="00AD2CF5">
        <w:t>[m/s]</w:t>
      </w:r>
      <w:r w:rsidRPr="00AD2CF5">
        <w:br/>
        <w:t>Het verloop van de effectieve geluidsnelheid</w:t>
      </w:r>
      <w:r w:rsidRPr="00AD2CF5">
        <w:fldChar w:fldCharType="begin"/>
      </w:r>
      <w:r w:rsidRPr="00AD2CF5">
        <w:instrText xml:space="preserve"> XE "geluidsnelheid" </w:instrText>
      </w:r>
      <w:r w:rsidRPr="00AD2CF5">
        <w:fldChar w:fldCharType="end"/>
      </w:r>
      <w:r w:rsidRPr="00AD2CF5">
        <w:t xml:space="preserve"> met de hoogte (</w:t>
      </w:r>
      <w:r w:rsidRPr="00AD2CF5">
        <w:rPr>
          <w:i/>
        </w:rPr>
        <w:t>h</w:t>
      </w:r>
      <w:r w:rsidRPr="00AD2CF5">
        <w:t>) wordt aangeduid als het geluidsnelheidsprofiel</w:t>
      </w:r>
      <w:r w:rsidRPr="00AD2CF5">
        <w:fldChar w:fldCharType="begin"/>
      </w:r>
      <w:r w:rsidRPr="00AD2CF5">
        <w:instrText xml:space="preserve"> XE "geluidsnelheidsprofiel" </w:instrText>
      </w:r>
      <w:r w:rsidRPr="00AD2CF5">
        <w:fldChar w:fldCharType="end"/>
      </w:r>
      <w:r w:rsidRPr="00AD2CF5">
        <w:t xml:space="preserve"> </w:t>
      </w:r>
      <w:r w:rsidRPr="00AD2CF5">
        <w:rPr>
          <w:i/>
        </w:rPr>
        <w:t>c(h)</w:t>
      </w:r>
      <w:r w:rsidRPr="00AD2CF5">
        <w:t>. Dit verloop is een gevolg van de variaties van de temperatuur</w:t>
      </w:r>
      <w:r w:rsidRPr="00AD2CF5">
        <w:fldChar w:fldCharType="begin"/>
      </w:r>
      <w:r w:rsidRPr="00AD2CF5">
        <w:instrText xml:space="preserve"> XE "temperatuur" </w:instrText>
      </w:r>
      <w:r w:rsidRPr="00AD2CF5">
        <w:fldChar w:fldCharType="end"/>
      </w:r>
      <w:r w:rsidRPr="00AD2CF5">
        <w:t xml:space="preserve"> </w:t>
      </w:r>
      <w:r w:rsidRPr="00AD2CF5">
        <w:rPr>
          <w:i/>
        </w:rPr>
        <w:t>T</w:t>
      </w:r>
      <w:r w:rsidRPr="00AD2CF5">
        <w:t xml:space="preserve"> en de windsnelheid</w:t>
      </w:r>
      <w:r w:rsidRPr="00AD2CF5">
        <w:fldChar w:fldCharType="begin"/>
      </w:r>
      <w:r w:rsidRPr="00AD2CF5">
        <w:instrText xml:space="preserve"> XE "windsnelheid" </w:instrText>
      </w:r>
      <w:r w:rsidRPr="00AD2CF5">
        <w:fldChar w:fldCharType="end"/>
      </w:r>
      <w:r w:rsidRPr="00AD2CF5">
        <w:t xml:space="preserve"> </w:t>
      </w:r>
      <w:r w:rsidRPr="00AD2CF5">
        <w:rPr>
          <w:i/>
        </w:rPr>
        <w:t>u</w:t>
      </w:r>
      <w:r w:rsidRPr="00AD2CF5">
        <w:t xml:space="preserve"> met de hoogte. In dit voorschrift wordt de (hinder-relevant</w:t>
      </w:r>
      <w:r w:rsidRPr="00AD2CF5">
        <w:fldChar w:fldCharType="begin"/>
      </w:r>
      <w:r w:rsidRPr="00AD2CF5">
        <w:instrText xml:space="preserve"> XE "hinder-relevant" </w:instrText>
      </w:r>
      <w:r w:rsidRPr="00AD2CF5">
        <w:fldChar w:fldCharType="end"/>
      </w:r>
      <w:r w:rsidRPr="00AD2CF5">
        <w:t>e) geluidbelasting berekend als een gewogen gemiddelde over 27 meteorologische klasse</w:t>
      </w:r>
      <w:r w:rsidRPr="00AD2CF5">
        <w:fldChar w:fldCharType="begin"/>
      </w:r>
      <w:r w:rsidRPr="00AD2CF5">
        <w:instrText xml:space="preserve"> XE "meteorologische klasse" </w:instrText>
      </w:r>
      <w:r w:rsidRPr="00AD2CF5">
        <w:fldChar w:fldCharType="end"/>
      </w:r>
      <w:r w:rsidRPr="00AD2CF5">
        <w:t>n. Deze klassen worden getypeerd door het geluidsnelheidsprofiel waarbij drie groepen worden onderscheiden (zie §4.4.2).</w:t>
      </w:r>
    </w:p>
    <w:p w:rsidR="00F43C9B" w:rsidRPr="00AD2CF5" w:rsidRDefault="00F43C9B" w:rsidP="00F43C9B">
      <w:pPr>
        <w:shd w:val="clear" w:color="auto" w:fill="D9D9D9" w:themeFill="background1" w:themeFillShade="D9"/>
        <w:tabs>
          <w:tab w:val="left" w:pos="-108"/>
          <w:tab w:val="left" w:pos="743"/>
        </w:tabs>
        <w:suppressAutoHyphens/>
        <w:spacing w:line="240" w:lineRule="auto"/>
      </w:pPr>
      <w:r w:rsidRPr="00AD2CF5">
        <w:rPr>
          <w:i/>
        </w:rPr>
        <w:t>Relatieve vochtigheid</w:t>
      </w:r>
      <w:r w:rsidRPr="00AD2CF5">
        <w:t xml:space="preserve"> </w:t>
      </w:r>
      <w:r w:rsidRPr="00AD2CF5">
        <w:rPr>
          <w:i/>
        </w:rPr>
        <w:t>r</w:t>
      </w:r>
      <w:r w:rsidRPr="00AD2CF5">
        <w:rPr>
          <w:i/>
          <w:vertAlign w:val="subscript"/>
        </w:rPr>
        <w:t>v</w:t>
      </w:r>
      <w:r w:rsidRPr="00AD2CF5">
        <w:t xml:space="preserve"> [%]</w:t>
      </w:r>
      <w:r w:rsidRPr="00AD2CF5">
        <w:br/>
        <w:t>De relatieve vochtigheid</w:t>
      </w:r>
      <w:r w:rsidRPr="00AD2CF5">
        <w:fldChar w:fldCharType="begin"/>
      </w:r>
      <w:r w:rsidRPr="00AD2CF5">
        <w:instrText xml:space="preserve"> XE "relatieve vochtigheid" </w:instrText>
      </w:r>
      <w:r w:rsidRPr="00AD2CF5">
        <w:fldChar w:fldCharType="end"/>
      </w:r>
      <w:r w:rsidRPr="00AD2CF5">
        <w:t xml:space="preserve"> van de atmosfeer</w:t>
      </w:r>
      <w:r w:rsidRPr="00AD2CF5">
        <w:fldChar w:fldCharType="begin"/>
      </w:r>
      <w:r w:rsidRPr="00AD2CF5">
        <w:instrText xml:space="preserve"> XE "atmosfeer" </w:instrText>
      </w:r>
      <w:r w:rsidRPr="00AD2CF5">
        <w:fldChar w:fldCharType="end"/>
      </w:r>
      <w:r w:rsidRPr="00AD2CF5">
        <w:t xml:space="preserve"> is gedefinieerd als de partiële druk van waterdamp in de atmosfeer gedeeld door de verzadigings</w:t>
      </w:r>
      <w:r w:rsidRPr="00AD2CF5">
        <w:noBreakHyphen/>
        <w:t>dampdruk, uitgedrukt als een percentage.</w:t>
      </w:r>
    </w:p>
    <w:p w:rsidR="00F43C9B" w:rsidRPr="00AD2CF5" w:rsidRDefault="00F43C9B" w:rsidP="00F43C9B">
      <w:pPr>
        <w:shd w:val="clear" w:color="auto" w:fill="D9D9D9" w:themeFill="background1" w:themeFillShade="D9"/>
        <w:tabs>
          <w:tab w:val="left" w:pos="-108"/>
          <w:tab w:val="left" w:pos="743"/>
        </w:tabs>
        <w:suppressAutoHyphens/>
        <w:spacing w:line="240" w:lineRule="auto"/>
      </w:pPr>
      <w:r w:rsidRPr="00AD2CF5">
        <w:rPr>
          <w:i/>
        </w:rPr>
        <w:t>Ruwheidslengte</w:t>
      </w:r>
      <w:r w:rsidRPr="00AD2CF5">
        <w:t xml:space="preserve"> </w:t>
      </w:r>
      <w:r w:rsidRPr="00AD2CF5">
        <w:rPr>
          <w:i/>
        </w:rPr>
        <w:t>z</w:t>
      </w:r>
      <w:r w:rsidRPr="00AD2CF5">
        <w:rPr>
          <w:i/>
          <w:vertAlign w:val="subscript"/>
        </w:rPr>
        <w:t>0</w:t>
      </w:r>
      <w:r w:rsidRPr="00AD2CF5">
        <w:t xml:space="preserve"> [m]</w:t>
      </w:r>
      <w:r w:rsidRPr="00AD2CF5">
        <w:br/>
        <w:t>Vlakbij de bodem is de windsnelheid</w:t>
      </w:r>
      <w:r w:rsidRPr="00AD2CF5">
        <w:fldChar w:fldCharType="begin"/>
      </w:r>
      <w:r w:rsidRPr="00AD2CF5">
        <w:instrText xml:space="preserve"> XE "windsnelheid" </w:instrText>
      </w:r>
      <w:r w:rsidRPr="00AD2CF5">
        <w:fldChar w:fldCharType="end"/>
      </w:r>
      <w:r w:rsidRPr="00AD2CF5">
        <w:t xml:space="preserve"> vrijwel gelijk aan nul. De ruwheidslengte</w:t>
      </w:r>
      <w:r w:rsidRPr="00AD2CF5">
        <w:fldChar w:fldCharType="begin"/>
      </w:r>
      <w:r w:rsidRPr="00AD2CF5">
        <w:instrText xml:space="preserve"> XE "ruwheidslengte" </w:instrText>
      </w:r>
      <w:r w:rsidRPr="00AD2CF5">
        <w:fldChar w:fldCharType="end"/>
      </w:r>
      <w:r w:rsidRPr="00AD2CF5">
        <w:t xml:space="preserve"> van de bodem is gedefinieerd als de hoogte waar beneden de windsnelheid gelijk is aan nul. Voor de bepaling van de ruwheidslengte kan gebruik gemaakt worden van de Davenport</w:t>
      </w:r>
      <w:r w:rsidRPr="00AD2CF5">
        <w:noBreakHyphen/>
        <w:t>classificatie. Volgens deze classificatie bedraagt de ruwheidslengte 0,0002 m voor een water</w:t>
      </w:r>
      <w:r w:rsidRPr="00AD2CF5">
        <w:softHyphen/>
        <w:t>oppervlak, 0,03 meter voor open grasland en 0,25 meter voor heide.</w:t>
      </w:r>
    </w:p>
    <w:p w:rsidR="00F43C9B" w:rsidRPr="00AD2CF5" w:rsidRDefault="00F43C9B" w:rsidP="00F43C9B">
      <w:pPr>
        <w:shd w:val="clear" w:color="auto" w:fill="D9D9D9" w:themeFill="background1" w:themeFillShade="D9"/>
        <w:tabs>
          <w:tab w:val="left" w:pos="-108"/>
          <w:tab w:val="left" w:pos="743"/>
        </w:tabs>
        <w:suppressAutoHyphens/>
        <w:spacing w:line="240" w:lineRule="auto"/>
      </w:pPr>
    </w:p>
    <w:p w:rsidR="00F43C9B" w:rsidRPr="00AD2CF5" w:rsidRDefault="00F43C9B" w:rsidP="00F43C9B">
      <w:pPr>
        <w:keepNext/>
        <w:shd w:val="clear" w:color="auto" w:fill="D9D9D9" w:themeFill="background1" w:themeFillShade="D9"/>
        <w:tabs>
          <w:tab w:val="left" w:pos="-108"/>
          <w:tab w:val="left" w:pos="743"/>
        </w:tabs>
        <w:suppressAutoHyphens/>
        <w:spacing w:line="240" w:lineRule="auto"/>
      </w:pPr>
      <w:r w:rsidRPr="00AD2CF5">
        <w:rPr>
          <w:i/>
        </w:rPr>
        <w:t xml:space="preserve">Meteorologische dag </w:t>
      </w:r>
      <w:r w:rsidRPr="00AD2CF5">
        <w:br/>
        <w:t>Periode tussen één uur na zonsopgang en één uur voor zonsondergang.</w:t>
      </w:r>
    </w:p>
    <w:p w:rsidR="00F43C9B" w:rsidRPr="00AD2CF5" w:rsidRDefault="00F43C9B" w:rsidP="00F43C9B">
      <w:pPr>
        <w:shd w:val="clear" w:color="auto" w:fill="D9D9D9" w:themeFill="background1" w:themeFillShade="D9"/>
        <w:tabs>
          <w:tab w:val="left" w:pos="-108"/>
          <w:tab w:val="left" w:pos="743"/>
        </w:tabs>
        <w:suppressAutoHyphens/>
        <w:spacing w:line="240" w:lineRule="auto"/>
      </w:pPr>
      <w:r w:rsidRPr="00AD2CF5">
        <w:rPr>
          <w:i/>
        </w:rPr>
        <w:t xml:space="preserve">Meteorologische nacht </w:t>
      </w:r>
      <w:r w:rsidRPr="00AD2CF5">
        <w:br/>
        <w:t>Periode tussen één uur voor zonsondergang en één uur na zonsopgang.</w:t>
      </w:r>
    </w:p>
    <w:p w:rsidR="00F43C9B" w:rsidRPr="00AD2CF5" w:rsidRDefault="00F43C9B" w:rsidP="00F43C9B">
      <w:pPr>
        <w:keepNext/>
        <w:keepLines/>
        <w:shd w:val="clear" w:color="auto" w:fill="D9D9D9" w:themeFill="background1" w:themeFillShade="D9"/>
        <w:tabs>
          <w:tab w:val="left" w:pos="-108"/>
          <w:tab w:val="left" w:pos="743"/>
        </w:tabs>
        <w:suppressAutoHyphens/>
        <w:spacing w:line="240" w:lineRule="auto"/>
      </w:pPr>
      <w:r w:rsidRPr="00AD2CF5">
        <w:rPr>
          <w:i/>
        </w:rPr>
        <w:t>Juridische dag, avond en nacht</w:t>
      </w:r>
      <w:r w:rsidRPr="00AD2CF5">
        <w:br/>
        <w:t>Er worden drie beoordelingsperioden onderscheiden:</w:t>
      </w:r>
    </w:p>
    <w:p w:rsidR="00F43C9B" w:rsidRPr="00AD2CF5" w:rsidRDefault="00F43C9B" w:rsidP="00EB7F6B">
      <w:pPr>
        <w:keepNext/>
        <w:keepLines/>
        <w:numPr>
          <w:ilvl w:val="0"/>
          <w:numId w:val="3"/>
        </w:numPr>
        <w:shd w:val="clear" w:color="auto" w:fill="D9D9D9" w:themeFill="background1" w:themeFillShade="D9"/>
        <w:suppressAutoHyphens/>
        <w:spacing w:line="240" w:lineRule="auto"/>
        <w:ind w:left="284" w:hanging="284"/>
      </w:pPr>
      <w:r w:rsidRPr="00AD2CF5">
        <w:t>dagperiode</w:t>
      </w:r>
      <w:r w:rsidRPr="00AD2CF5">
        <w:tab/>
      </w:r>
      <w:r w:rsidRPr="00AD2CF5">
        <w:tab/>
        <w:t xml:space="preserve">07.00 </w:t>
      </w:r>
      <w:r w:rsidRPr="00AD2CF5">
        <w:tab/>
        <w:t>-</w:t>
      </w:r>
      <w:r w:rsidRPr="00AD2CF5">
        <w:tab/>
        <w:t>19.00 uur;</w:t>
      </w:r>
    </w:p>
    <w:p w:rsidR="00F43C9B" w:rsidRPr="00AD2CF5" w:rsidRDefault="00F43C9B" w:rsidP="00EB7F6B">
      <w:pPr>
        <w:keepNext/>
        <w:keepLines/>
        <w:numPr>
          <w:ilvl w:val="0"/>
          <w:numId w:val="3"/>
        </w:numPr>
        <w:shd w:val="clear" w:color="auto" w:fill="D9D9D9" w:themeFill="background1" w:themeFillShade="D9"/>
        <w:suppressAutoHyphens/>
        <w:spacing w:line="240" w:lineRule="auto"/>
        <w:ind w:left="284" w:hanging="284"/>
      </w:pPr>
      <w:r w:rsidRPr="00AD2CF5">
        <w:t>avondperiode</w:t>
      </w:r>
      <w:r w:rsidRPr="00AD2CF5">
        <w:tab/>
        <w:t>19.00</w:t>
      </w:r>
      <w:r w:rsidRPr="00AD2CF5">
        <w:tab/>
        <w:t>-</w:t>
      </w:r>
      <w:r w:rsidRPr="00AD2CF5">
        <w:tab/>
        <w:t>23.00 uur;</w:t>
      </w:r>
    </w:p>
    <w:p w:rsidR="00F43C9B" w:rsidRPr="00AD2CF5" w:rsidRDefault="00F43C9B" w:rsidP="00EB7F6B">
      <w:pPr>
        <w:keepNext/>
        <w:keepLines/>
        <w:numPr>
          <w:ilvl w:val="0"/>
          <w:numId w:val="3"/>
        </w:numPr>
        <w:shd w:val="clear" w:color="auto" w:fill="D9D9D9" w:themeFill="background1" w:themeFillShade="D9"/>
        <w:suppressAutoHyphens/>
        <w:spacing w:line="240" w:lineRule="auto"/>
        <w:ind w:left="284" w:hanging="284"/>
      </w:pPr>
      <w:r w:rsidRPr="00AD2CF5">
        <w:t>nachtperiode</w:t>
      </w:r>
      <w:r w:rsidRPr="00AD2CF5">
        <w:tab/>
      </w:r>
      <w:r w:rsidRPr="00AD2CF5">
        <w:tab/>
        <w:t>23.00</w:t>
      </w:r>
      <w:r w:rsidRPr="00AD2CF5">
        <w:tab/>
        <w:t>-</w:t>
      </w:r>
      <w:r w:rsidRPr="00AD2CF5">
        <w:tab/>
        <w:t>07.00 uur.</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rPr>
          <w:i/>
        </w:rPr>
      </w:pP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rPr>
          <w:i/>
        </w:rPr>
        <w:t>Windroossector</w:t>
      </w:r>
      <w:r w:rsidRPr="00AD2CF5">
        <w:t xml:space="preserve"> [</w:t>
      </w:r>
      <w:r w:rsidRPr="00AD2CF5">
        <w:rPr>
          <w:i/>
        </w:rPr>
        <w:sym w:font="Symbol" w:char="F063"/>
      </w:r>
      <w:r w:rsidRPr="00AD2CF5">
        <w:rPr>
          <w:i/>
        </w:rPr>
        <w:t>,</w:t>
      </w:r>
      <w:r w:rsidRPr="00AD2CF5">
        <w:rPr>
          <w:i/>
        </w:rPr>
        <w:sym w:font="Symbol" w:char="F07A"/>
      </w:r>
      <w:r w:rsidRPr="00AD2CF5">
        <w:t>] [</w:t>
      </w:r>
      <w:r w:rsidRPr="00AD2CF5">
        <w:rPr>
          <w:rFonts w:ascii="Symbol" w:hAnsi="Symbol"/>
        </w:rPr>
        <w:t></w:t>
      </w:r>
      <w:r w:rsidRPr="00AD2CF5">
        <w:br/>
        <w:t>Gedeelte van de windroos,</w:t>
      </w:r>
      <w:r w:rsidRPr="00AD2CF5">
        <w:fldChar w:fldCharType="begin"/>
      </w:r>
      <w:r w:rsidRPr="00AD2CF5">
        <w:instrText xml:space="preserve"> XE "windroos" </w:instrText>
      </w:r>
      <w:r w:rsidRPr="00AD2CF5">
        <w:fldChar w:fldCharType="end"/>
      </w:r>
      <w:r w:rsidRPr="00AD2CF5">
        <w:t xml:space="preserve"> dat voor het gebruik van de schietinrichting relevant is. Van de windroossector</w:t>
      </w:r>
      <w:r w:rsidRPr="00AD2CF5">
        <w:fldChar w:fldCharType="begin"/>
      </w:r>
      <w:r w:rsidRPr="00AD2CF5">
        <w:instrText xml:space="preserve"> XE "windroossector" </w:instrText>
      </w:r>
      <w:r w:rsidRPr="00AD2CF5">
        <w:fldChar w:fldCharType="end"/>
      </w:r>
      <w:r w:rsidRPr="00AD2CF5">
        <w:t xml:space="preserve"> wordt de sectorhoek</w:t>
      </w:r>
      <w:r w:rsidRPr="00AD2CF5">
        <w:fldChar w:fldCharType="begin"/>
      </w:r>
      <w:r w:rsidRPr="00AD2CF5">
        <w:instrText xml:space="preserve"> XE "sectorhoek" </w:instrText>
      </w:r>
      <w:r w:rsidRPr="00AD2CF5">
        <w:fldChar w:fldCharType="end"/>
      </w:r>
      <w:r w:rsidRPr="00AD2CF5">
        <w:t xml:space="preserve"> </w:t>
      </w:r>
      <w:r w:rsidRPr="00AD2CF5">
        <w:rPr>
          <w:i/>
        </w:rPr>
        <w:sym w:font="Symbol" w:char="F063"/>
      </w:r>
      <w:r w:rsidRPr="00AD2CF5">
        <w:rPr>
          <w:i/>
        </w:rPr>
        <w:t xml:space="preserve"> </w:t>
      </w:r>
      <w:r w:rsidRPr="00AD2CF5">
        <w:t>gegeven en het mid</w:t>
      </w:r>
      <w:r w:rsidRPr="00AD2CF5">
        <w:softHyphen/>
        <w:t>den van de wind</w:t>
      </w:r>
      <w:r w:rsidRPr="00AD2CF5">
        <w:softHyphen/>
        <w:t xml:space="preserve">roossector </w:t>
      </w:r>
      <w:r w:rsidRPr="00AD2CF5">
        <w:rPr>
          <w:i/>
        </w:rPr>
        <w:sym w:font="Symbol" w:char="F07A"/>
      </w:r>
      <w:r w:rsidRPr="00AD2CF5">
        <w:t>. Bij een windroossector van bijvoorbeeld [90</w:t>
      </w:r>
      <w:r w:rsidRPr="00AD2CF5">
        <w:rPr>
          <w:rFonts w:ascii="Symbol" w:hAnsi="Symbol"/>
        </w:rPr>
        <w:t></w:t>
      </w:r>
      <w:r w:rsidRPr="00AD2CF5">
        <w:rPr>
          <w:rFonts w:ascii="Symbol" w:hAnsi="Symbol"/>
        </w:rPr>
        <w:t></w:t>
      </w:r>
      <w:r w:rsidRPr="00AD2CF5">
        <w:rPr>
          <w:rFonts w:ascii="Symbol" w:hAnsi="Symbol"/>
        </w:rPr>
        <w:t></w:t>
      </w:r>
      <w:r w:rsidRPr="00AD2CF5">
        <w:t>270</w:t>
      </w:r>
      <w:r w:rsidRPr="00AD2CF5">
        <w:rPr>
          <w:rFonts w:ascii="Symbol" w:hAnsi="Symbol"/>
        </w:rPr>
        <w:t></w:t>
      </w:r>
      <w:r w:rsidRPr="00AD2CF5">
        <w:t>] is het gebruik van de schiet</w:t>
      </w:r>
      <w:r w:rsidRPr="00AD2CF5">
        <w:softHyphen/>
        <w:t>inrichting alleen relevant bij wind</w:t>
      </w:r>
      <w:r w:rsidRPr="00AD2CF5">
        <w:softHyphen/>
        <w:t>richtingen van (270</w:t>
      </w:r>
      <w:r w:rsidRPr="00AD2CF5">
        <w:rPr>
          <w:rFonts w:ascii="Symbol" w:hAnsi="Symbol"/>
        </w:rPr>
        <w:t></w:t>
      </w:r>
      <w:r w:rsidRPr="00AD2CF5">
        <w:rPr>
          <w:rFonts w:ascii="Symbol" w:hAnsi="Symbol"/>
        </w:rPr>
        <w:t></w:t>
      </w:r>
      <w:r w:rsidRPr="00AD2CF5">
        <w:sym w:font="Symbol" w:char="F0B1"/>
      </w:r>
      <w:r w:rsidRPr="00AD2CF5">
        <w:t xml:space="preserve"> 45</w:t>
      </w:r>
      <w:r w:rsidRPr="00AD2CF5">
        <w:rPr>
          <w:rFonts w:ascii="Symbol" w:hAnsi="Symbol"/>
        </w:rPr>
        <w:t></w:t>
      </w:r>
      <w:r w:rsidRPr="00AD2CF5">
        <w:rPr>
          <w:rFonts w:ascii="Symbol" w:hAnsi="Symbol"/>
        </w:rPr>
        <w:t></w:t>
      </w:r>
      <w:r w:rsidRPr="00AD2CF5">
        <w:t xml:space="preserve"> hetgeen overeenkomt met windrichtingen</w:t>
      </w:r>
      <w:r w:rsidRPr="00AD2CF5">
        <w:rPr>
          <w:rFonts w:ascii="Symbol" w:hAnsi="Symbol"/>
        </w:rPr>
        <w:t></w:t>
      </w:r>
      <w:r w:rsidRPr="00AD2CF5">
        <w:t>tussen noordwest en zuidwest (zie ook figuur 4.4).</w:t>
      </w:r>
    </w:p>
    <w:bookmarkStart w:id="493" w:name="_Toc465131596"/>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494" w:name="_Toc529692782"/>
      <w:bookmarkStart w:id="495" w:name="_Toc413945813"/>
      <w:bookmarkStart w:id="496" w:name="_Toc431375826"/>
      <w:r>
        <w:rPr>
          <w:noProof/>
        </w:rPr>
        <w:t>2</w:t>
      </w:r>
      <w:r w:rsidRPr="00AD2CF5">
        <w:fldChar w:fldCharType="end"/>
      </w:r>
      <w:r w:rsidRPr="00AD2CF5">
        <w:t>.</w:t>
      </w:r>
      <w:r w:rsidR="00C428B8">
        <w:fldChar w:fldCharType="begin"/>
      </w:r>
      <w:r w:rsidR="00C428B8">
        <w:instrText xml:space="preserve"> SEQ numchaplev</w:instrText>
      </w:r>
      <w:r w:rsidR="00C428B8">
        <w:instrText xml:space="preserve">2 \n \* MERGEFORMAT </w:instrText>
      </w:r>
      <w:r w:rsidR="00C428B8">
        <w:fldChar w:fldCharType="separate"/>
      </w:r>
      <w:r>
        <w:rPr>
          <w:noProof/>
        </w:rPr>
        <w:t>5</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Beoordelingsgrootheden</w:t>
      </w:r>
      <w:bookmarkEnd w:id="493"/>
      <w:bookmarkEnd w:id="494"/>
      <w:bookmarkEnd w:id="495"/>
      <w:bookmarkEnd w:id="496"/>
    </w:p>
    <w:p w:rsidR="00F43C9B" w:rsidRPr="00AD2CF5" w:rsidRDefault="00F43C9B" w:rsidP="00F43C9B">
      <w:pPr>
        <w:keepNext/>
        <w:keepLines/>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rPr>
          <w:i/>
        </w:rPr>
        <w:t>Geluidbelasting ten gevolge van schietgeluid: B</w:t>
      </w:r>
      <w:r w:rsidRPr="00AD2CF5">
        <w:rPr>
          <w:i/>
          <w:vertAlign w:val="subscript"/>
        </w:rPr>
        <w:t>s</w:t>
      </w:r>
      <w:r w:rsidRPr="00AD2CF5">
        <w:t xml:space="preserve"> [dB(A)]</w:t>
      </w:r>
    </w:p>
    <w:p w:rsidR="00F43C9B" w:rsidRPr="00AD2CF5" w:rsidRDefault="00F43C9B" w:rsidP="00F43C9B">
      <w:pPr>
        <w:keepLines/>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 xml:space="preserve">De hinderrelevante geluidbelasting ten gevolge van schietgeluid wordt aangegeven door het symbool </w:t>
      </w:r>
      <w:r w:rsidRPr="00AD2CF5">
        <w:rPr>
          <w:i/>
        </w:rPr>
        <w:t>B</w:t>
      </w:r>
      <w:r w:rsidRPr="00AD2CF5">
        <w:rPr>
          <w:i/>
          <w:vertAlign w:val="subscript"/>
        </w:rPr>
        <w:t>s</w:t>
      </w:r>
      <w:r w:rsidRPr="00AD2CF5">
        <w:t xml:space="preserve"> en uitgedrukt in dB(A). De dosis-effect relatie voor hinder ten gevolge van wegverkeersgeluid is hierbij als referentie gekozen. Dit houdt in dat bij gelijke hinderbeleving de getalwaarden van de geluidbelasting van schietgeluid en wegverkeersgeluid aan elkaar gelijk zijn.</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In de geluidbelasting is de gemiddelde invloed van het weer op de geluid</w:t>
      </w:r>
      <w:r w:rsidRPr="00AD2CF5">
        <w:softHyphen/>
        <w:t>over</w:t>
      </w:r>
      <w:r w:rsidRPr="00AD2CF5">
        <w:softHyphen/>
        <w:t>dracht</w:t>
      </w:r>
      <w:r w:rsidRPr="00AD2CF5">
        <w:fldChar w:fldCharType="begin"/>
      </w:r>
      <w:r w:rsidRPr="00AD2CF5">
        <w:instrText xml:space="preserve"> XE "geluidoverdracht" </w:instrText>
      </w:r>
      <w:r w:rsidRPr="00AD2CF5">
        <w:fldChar w:fldCharType="end"/>
      </w:r>
      <w:r w:rsidRPr="00AD2CF5">
        <w:t xml:space="preserve"> verwerkt.</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De geluidbelasting kan onderverdeeld worden in deelgeluidbelastingen van diverse schiet</w:t>
      </w:r>
      <w:r w:rsidRPr="00AD2CF5">
        <w:softHyphen/>
        <w:t>activiteiten. De totale geluidbelasting is de energetische som van deze deel</w:t>
      </w:r>
      <w:r w:rsidRPr="00AD2CF5">
        <w:softHyphen/>
        <w:t>geluidbelastingen.</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In analogie met de beoordelingsprocedures voor wegverkeers- en industriegeluid wordt bij zonering</w:t>
      </w:r>
      <w:r w:rsidRPr="00AD2CF5">
        <w:fldChar w:fldCharType="begin"/>
      </w:r>
      <w:r w:rsidRPr="00AD2CF5">
        <w:instrText xml:space="preserve"> XE "zonering" </w:instrText>
      </w:r>
      <w:r w:rsidRPr="00AD2CF5">
        <w:fldChar w:fldCharType="end"/>
      </w:r>
      <w:r w:rsidRPr="00AD2CF5">
        <w:t xml:space="preserve"> van schietgeluid de geluidbelasting uitgedrukt in een dag-avond-nachtwaarde (B</w:t>
      </w:r>
      <w:r w:rsidRPr="00AD2CF5">
        <w:rPr>
          <w:vertAlign w:val="subscript"/>
        </w:rPr>
        <w:t>s,dan</w:t>
      </w:r>
      <w:r w:rsidRPr="00AD2CF5">
        <w:t>), die bepaald wordt als een gewogen gemiddelde (zie § 3.1) van de B</w:t>
      </w:r>
      <w:r w:rsidRPr="00AD2CF5">
        <w:rPr>
          <w:vertAlign w:val="subscript"/>
        </w:rPr>
        <w:t>s</w:t>
      </w:r>
      <w:r w:rsidRPr="00AD2CF5">
        <w:t xml:space="preserve"> waarden voor de drie juridische beoordelingsperiode</w:t>
      </w:r>
      <w:r w:rsidRPr="00AD2CF5">
        <w:fldChar w:fldCharType="begin"/>
      </w:r>
      <w:r w:rsidRPr="00AD2CF5">
        <w:instrText xml:space="preserve"> XE "juridische beoordelingsperiode" </w:instrText>
      </w:r>
      <w:r w:rsidRPr="00AD2CF5">
        <w:fldChar w:fldCharType="end"/>
      </w:r>
      <w:r w:rsidRPr="00AD2CF5">
        <w:t>n:</w:t>
      </w:r>
    </w:p>
    <w:p w:rsidR="00F43C9B" w:rsidRPr="00AD2CF5" w:rsidRDefault="00F43C9B" w:rsidP="00EB7F6B">
      <w:pPr>
        <w:numPr>
          <w:ilvl w:val="0"/>
          <w:numId w:val="3"/>
        </w:numPr>
        <w:shd w:val="clear" w:color="auto" w:fill="D9D9D9" w:themeFill="background1" w:themeFillShade="D9"/>
        <w:suppressAutoHyphens/>
        <w:spacing w:line="240" w:lineRule="auto"/>
        <w:ind w:left="284"/>
      </w:pPr>
      <w:r w:rsidRPr="00AD2CF5">
        <w:rPr>
          <w:i/>
        </w:rPr>
        <w:t>B</w:t>
      </w:r>
      <w:r w:rsidRPr="00AD2CF5">
        <w:rPr>
          <w:i/>
          <w:vertAlign w:val="subscript"/>
        </w:rPr>
        <w:t>s,dag</w:t>
      </w:r>
      <w:r w:rsidRPr="00AD2CF5">
        <w:t xml:space="preserve"> </w:t>
      </w:r>
      <w:r w:rsidRPr="00AD2CF5">
        <w:tab/>
        <w:t>dag:</w:t>
      </w:r>
      <w:r w:rsidRPr="00AD2CF5">
        <w:tab/>
        <w:t>07.00 - 19.00 uur;</w:t>
      </w:r>
    </w:p>
    <w:p w:rsidR="00F43C9B" w:rsidRPr="00AD2CF5" w:rsidRDefault="00F43C9B" w:rsidP="00EB7F6B">
      <w:pPr>
        <w:numPr>
          <w:ilvl w:val="0"/>
          <w:numId w:val="3"/>
        </w:numPr>
        <w:shd w:val="clear" w:color="auto" w:fill="D9D9D9" w:themeFill="background1" w:themeFillShade="D9"/>
        <w:suppressAutoHyphens/>
        <w:spacing w:line="240" w:lineRule="auto"/>
        <w:ind w:left="284"/>
      </w:pPr>
      <w:r w:rsidRPr="00AD2CF5">
        <w:rPr>
          <w:i/>
        </w:rPr>
        <w:t>B</w:t>
      </w:r>
      <w:r w:rsidRPr="00AD2CF5">
        <w:rPr>
          <w:i/>
          <w:vertAlign w:val="subscript"/>
        </w:rPr>
        <w:t>s,avond</w:t>
      </w:r>
      <w:r w:rsidRPr="00AD2CF5">
        <w:tab/>
        <w:t>avond:</w:t>
      </w:r>
      <w:r w:rsidRPr="00AD2CF5">
        <w:tab/>
        <w:t>19.00 - 23.00 uur;</w:t>
      </w:r>
    </w:p>
    <w:p w:rsidR="00F43C9B" w:rsidRPr="00AD2CF5" w:rsidRDefault="00F43C9B" w:rsidP="00EB7F6B">
      <w:pPr>
        <w:numPr>
          <w:ilvl w:val="0"/>
          <w:numId w:val="3"/>
        </w:numPr>
        <w:shd w:val="clear" w:color="auto" w:fill="D9D9D9" w:themeFill="background1" w:themeFillShade="D9"/>
        <w:suppressAutoHyphens/>
        <w:spacing w:line="240" w:lineRule="auto"/>
        <w:ind w:left="284"/>
      </w:pPr>
      <w:r w:rsidRPr="00AD2CF5">
        <w:rPr>
          <w:i/>
        </w:rPr>
        <w:t>B</w:t>
      </w:r>
      <w:r w:rsidRPr="00AD2CF5">
        <w:rPr>
          <w:i/>
          <w:vertAlign w:val="subscript"/>
        </w:rPr>
        <w:t>s,nacht</w:t>
      </w:r>
      <w:r w:rsidRPr="00AD2CF5">
        <w:tab/>
        <w:t>nacht:</w:t>
      </w:r>
      <w:r w:rsidRPr="00AD2CF5">
        <w:tab/>
        <w:t>23.00 - 07.00 uur.</w:t>
      </w:r>
    </w:p>
    <w:bookmarkStart w:id="497" w:name="_Toc465131597"/>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498" w:name="_Toc529692783"/>
      <w:bookmarkStart w:id="499" w:name="_Toc413945814"/>
      <w:bookmarkStart w:id="500" w:name="_Toc431375827"/>
      <w:r>
        <w:rPr>
          <w:noProof/>
        </w:rPr>
        <w:t>2</w:t>
      </w:r>
      <w:r w:rsidRPr="00AD2CF5">
        <w:fldChar w:fldCharType="end"/>
      </w:r>
      <w:r w:rsidRPr="00AD2CF5">
        <w:t>.</w:t>
      </w:r>
      <w:r w:rsidR="00C428B8">
        <w:fldChar w:fldCharType="begin"/>
      </w:r>
      <w:r w:rsidR="00C428B8">
        <w:instrText xml:space="preserve"> SEQ numchaplev2 \n \* MERGEFORMAT </w:instrText>
      </w:r>
      <w:r w:rsidR="00C428B8">
        <w:fldChar w:fldCharType="separate"/>
      </w:r>
      <w:r>
        <w:rPr>
          <w:noProof/>
        </w:rPr>
        <w:t>6</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Overige grootheden</w:t>
      </w:r>
      <w:bookmarkEnd w:id="497"/>
      <w:bookmarkEnd w:id="498"/>
      <w:bookmarkEnd w:id="499"/>
      <w:bookmarkEnd w:id="500"/>
    </w:p>
    <w:bookmarkStart w:id="501" w:name="_Toc465131598"/>
    <w:p w:rsidR="00F43C9B" w:rsidRPr="00AD2CF5" w:rsidRDefault="00F43C9B" w:rsidP="00F43C9B">
      <w:pPr>
        <w:pStyle w:val="Kop3"/>
        <w:shd w:val="clear" w:color="auto" w:fill="D9D9D9" w:themeFill="background1" w:themeFillShade="D9"/>
      </w:pPr>
      <w:r w:rsidRPr="00AD2CF5">
        <w:fldChar w:fldCharType="begin"/>
      </w:r>
      <w:r w:rsidRPr="00AD2CF5">
        <w:instrText xml:space="preserve"> SEQ numchaplev1 \c \* MERGEFORMAT </w:instrText>
      </w:r>
      <w:r w:rsidRPr="00AD2CF5">
        <w:fldChar w:fldCharType="separate"/>
      </w:r>
      <w:bookmarkStart w:id="502" w:name="_Toc529692784"/>
      <w:bookmarkStart w:id="503" w:name="_Toc413945815"/>
      <w:bookmarkStart w:id="504" w:name="_Toc431375828"/>
      <w:r w:rsidRPr="00B15E90">
        <w:rPr>
          <w:noProof/>
        </w:rPr>
        <w:t>2</w:t>
      </w:r>
      <w:r w:rsidRPr="00AD2CF5">
        <w:fldChar w:fldCharType="end"/>
      </w:r>
      <w:r w:rsidRPr="00AD2CF5">
        <w:t>.</w:t>
      </w:r>
      <w:r w:rsidR="00C428B8">
        <w:fldChar w:fldCharType="begin"/>
      </w:r>
      <w:r w:rsidR="00C428B8">
        <w:instrText xml:space="preserve"> SEQ numchaplev2 \c \* MERGEFORMAT </w:instrText>
      </w:r>
      <w:r w:rsidR="00C428B8">
        <w:fldChar w:fldCharType="separate"/>
      </w:r>
      <w:r w:rsidRPr="00B15E90">
        <w:rPr>
          <w:noProof/>
        </w:rPr>
        <w:t>6</w:t>
      </w:r>
      <w:r w:rsidR="00C428B8">
        <w:rPr>
          <w:noProof/>
        </w:rPr>
        <w:fldChar w:fldCharType="end"/>
      </w:r>
      <w:r w:rsidRPr="00AD2CF5">
        <w:t>.</w:t>
      </w:r>
      <w:r w:rsidR="00C428B8">
        <w:fldChar w:fldCharType="begin"/>
      </w:r>
      <w:r w:rsidR="00C428B8">
        <w:instrText xml:space="preserve"> SEQ numchaplev3</w:instrText>
      </w:r>
      <w:r w:rsidR="00C428B8">
        <w:instrText xml:space="preserve"> \n \* MERGEFORMAT </w:instrText>
      </w:r>
      <w:r w:rsidR="00C428B8">
        <w:fldChar w:fldCharType="separate"/>
      </w:r>
      <w:r w:rsidRPr="00B15E90">
        <w:rPr>
          <w:noProof/>
        </w:rPr>
        <w:t>1</w:t>
      </w:r>
      <w:r w:rsidR="00C428B8">
        <w:rPr>
          <w:noProof/>
        </w:rPr>
        <w:fldChar w:fldCharType="end"/>
      </w:r>
      <w:r w:rsidRPr="00AD2CF5">
        <w:fldChar w:fldCharType="begin"/>
      </w:r>
      <w:r w:rsidRPr="00AD2CF5">
        <w:instrText xml:space="preserve"> SEQ numchaplev4 \r0\h \* MERGEFORMAT </w:instrText>
      </w:r>
      <w:r w:rsidRPr="00AD2CF5">
        <w:fldChar w:fldCharType="end"/>
      </w:r>
      <w:r w:rsidRPr="00AD2CF5">
        <w:tab/>
        <w:t>Bodemparameters</w:t>
      </w:r>
      <w:bookmarkEnd w:id="501"/>
      <w:bookmarkEnd w:id="502"/>
      <w:bookmarkEnd w:id="503"/>
      <w:bookmarkEnd w:id="504"/>
    </w:p>
    <w:p w:rsidR="00F43C9B" w:rsidRPr="00AD2CF5" w:rsidRDefault="00F43C9B" w:rsidP="00F43C9B">
      <w:pPr>
        <w:shd w:val="clear" w:color="auto" w:fill="D9D9D9" w:themeFill="background1" w:themeFillShade="D9"/>
      </w:pPr>
      <w:r w:rsidRPr="00AD2CF5">
        <w:t>De bodem wordt akoestisch gekarakteriseerd door twee parameters: de akoestische bodemhardheid</w:t>
      </w:r>
      <w:r w:rsidRPr="00AD2CF5">
        <w:fldChar w:fldCharType="begin"/>
      </w:r>
      <w:r w:rsidRPr="00AD2CF5">
        <w:instrText xml:space="preserve"> XE "bodemhardheid" </w:instrText>
      </w:r>
      <w:r w:rsidRPr="00AD2CF5">
        <w:fldChar w:fldCharType="end"/>
      </w:r>
      <w:r w:rsidRPr="00AD2CF5">
        <w:t xml:space="preserve"> en de bodemruwheid</w:t>
      </w:r>
      <w:r w:rsidRPr="00AD2CF5">
        <w:fldChar w:fldCharType="begin"/>
      </w:r>
      <w:r w:rsidRPr="00AD2CF5">
        <w:instrText xml:space="preserve"> XE "bodemruwheid" </w:instrText>
      </w:r>
      <w:r w:rsidRPr="00AD2CF5">
        <w:fldChar w:fldCharType="end"/>
      </w:r>
      <w:r w:rsidRPr="00AD2CF5">
        <w:t>.</w:t>
      </w:r>
    </w:p>
    <w:p w:rsidR="00F43C9B" w:rsidRPr="00AD2CF5" w:rsidRDefault="00F43C9B" w:rsidP="00F43C9B">
      <w:pPr>
        <w:shd w:val="clear" w:color="auto" w:fill="D9D9D9" w:themeFill="background1" w:themeFillShade="D9"/>
      </w:pPr>
      <w:r w:rsidRPr="00AD2CF5">
        <w:t>De akoestische bodemhardheid</w:t>
      </w:r>
      <w:r w:rsidRPr="00AD2CF5">
        <w:fldChar w:fldCharType="begin"/>
      </w:r>
      <w:r w:rsidRPr="00AD2CF5">
        <w:instrText xml:space="preserve"> XE "bodemhardheid" </w:instrText>
      </w:r>
      <w:r w:rsidRPr="00AD2CF5">
        <w:fldChar w:fldCharType="end"/>
      </w:r>
      <w:r w:rsidRPr="00AD2CF5">
        <w:t xml:space="preserve"> is bepalend voor reflectie</w:t>
      </w:r>
      <w:r w:rsidRPr="00AD2CF5">
        <w:fldChar w:fldCharType="begin"/>
      </w:r>
      <w:r w:rsidRPr="00AD2CF5">
        <w:instrText xml:space="preserve"> XE "reflectie" </w:instrText>
      </w:r>
      <w:r w:rsidRPr="00AD2CF5">
        <w:fldChar w:fldCharType="end"/>
      </w:r>
      <w:r w:rsidRPr="00AD2CF5">
        <w:t xml:space="preserve"> en absorptie van geluid door de bodem. Als maat voor de bodemhardheid wordt de </w:t>
      </w:r>
      <w:r w:rsidRPr="00AD2CF5">
        <w:rPr>
          <w:i/>
        </w:rPr>
        <w:t>stromingsweerstand</w:t>
      </w:r>
      <w:r w:rsidRPr="00AD2CF5">
        <w:rPr>
          <w:i/>
        </w:rPr>
        <w:fldChar w:fldCharType="begin"/>
      </w:r>
      <w:r w:rsidRPr="00AD2CF5">
        <w:rPr>
          <w:i/>
        </w:rPr>
        <w:instrText xml:space="preserve"> XE "</w:instrText>
      </w:r>
      <w:r w:rsidRPr="00AD2CF5">
        <w:instrText>stromingsweerstand"</w:instrText>
      </w:r>
      <w:r w:rsidRPr="00AD2CF5">
        <w:rPr>
          <w:i/>
        </w:rPr>
        <w:instrText xml:space="preserve"> </w:instrText>
      </w:r>
      <w:r w:rsidRPr="00AD2CF5">
        <w:rPr>
          <w:i/>
        </w:rPr>
        <w:fldChar w:fldCharType="end"/>
      </w:r>
      <w:r w:rsidRPr="00AD2CF5">
        <w:rPr>
          <w:i/>
        </w:rPr>
        <w:t xml:space="preserve"> </w:t>
      </w:r>
      <w:r w:rsidRPr="00AD2CF5">
        <w:rPr>
          <w:rFonts w:ascii="Symbol" w:hAnsi="Symbol"/>
          <w:i/>
        </w:rPr>
        <w:t></w:t>
      </w:r>
      <w:r w:rsidRPr="00AD2CF5">
        <w:t xml:space="preserve"> gehanteerd. De stromingsweerstand wordt gedefinieerd aan de hand van een situatie waarin een luchtstroom door een laag van het materiaal een drukval over de laag veroorzaakt. De stromings</w:t>
      </w:r>
      <w:r w:rsidRPr="00AD2CF5">
        <w:softHyphen/>
        <w:t xml:space="preserve">weerstand is dan gelijk aan verhouding van de drukval </w:t>
      </w:r>
      <w:r w:rsidRPr="00AD2CF5">
        <w:rPr>
          <w:rFonts w:ascii="Symbol" w:hAnsi="Symbol"/>
        </w:rPr>
        <w:t></w:t>
      </w:r>
      <w:r w:rsidRPr="00AD2CF5">
        <w:rPr>
          <w:i/>
        </w:rPr>
        <w:t>p</w:t>
      </w:r>
      <w:r w:rsidRPr="00AD2CF5">
        <w:t xml:space="preserve"> en de stroomsnelheid </w:t>
      </w:r>
      <w:r w:rsidRPr="00AD2CF5">
        <w:rPr>
          <w:i/>
        </w:rPr>
        <w:t>v</w:t>
      </w:r>
      <w:r w:rsidRPr="00AD2CF5">
        <w:t xml:space="preserve">, gedeeld door de laagdikte </w:t>
      </w:r>
      <w:r w:rsidRPr="00AD2CF5">
        <w:rPr>
          <w:i/>
        </w:rPr>
        <w:t>L</w:t>
      </w:r>
      <w:r w:rsidRPr="00AD2CF5">
        <w:t>. In formule:</w:t>
      </w:r>
    </w:p>
    <w:p w:rsidR="00F43C9B" w:rsidRPr="00AD2CF5" w:rsidRDefault="00F43C9B" w:rsidP="00F43C9B">
      <w:pPr>
        <w:shd w:val="clear" w:color="auto" w:fill="D9D9D9" w:themeFill="background1" w:themeFillShade="D9"/>
        <w:rPr>
          <w:b/>
          <w:i/>
        </w:rPr>
      </w:pPr>
      <w:r w:rsidRPr="00AD2CF5">
        <w:rPr>
          <w:position w:val="-22"/>
        </w:rPr>
        <w:object w:dxaOrig="1140" w:dyaOrig="620">
          <v:shape id="_x0000_i1029" type="#_x0000_t75" style="width:57pt;height:31.5pt" o:ole="">
            <v:imagedata r:id="rId65" o:title=""/>
          </v:shape>
          <o:OLEObject Type="Embed" ProgID="Equation.2" ShapeID="_x0000_i1029" DrawAspect="Content" ObjectID="_1511255367" r:id="rId66"/>
        </w:object>
      </w:r>
      <w:r w:rsidRPr="00AD2CF5">
        <w:tab/>
      </w:r>
    </w:p>
    <w:p w:rsidR="00F43C9B" w:rsidRPr="00AD2CF5" w:rsidRDefault="00F43C9B" w:rsidP="00F43C9B">
      <w:pPr>
        <w:shd w:val="clear" w:color="auto" w:fill="D9D9D9" w:themeFill="background1" w:themeFillShade="D9"/>
      </w:pPr>
      <w:r w:rsidRPr="00AD2CF5">
        <w:t>In deze rekenmethode voor schietgeluid wordt van drie waarden voor de akoestische bodemhardheid</w:t>
      </w:r>
      <w:r w:rsidRPr="00AD2CF5">
        <w:fldChar w:fldCharType="begin"/>
      </w:r>
      <w:r w:rsidRPr="00AD2CF5">
        <w:instrText xml:space="preserve"> XE "bodemhardheid" </w:instrText>
      </w:r>
      <w:r w:rsidRPr="00AD2CF5">
        <w:fldChar w:fldCharType="end"/>
      </w:r>
      <w:r w:rsidRPr="00AD2CF5">
        <w:t xml:space="preserve"> uitgegaan: reflecterend, absorberend en zeer absorberend. Voor de stromings</w:t>
      </w:r>
      <w:r w:rsidRPr="00AD2CF5">
        <w:softHyphen/>
        <w:t>weerstand</w:t>
      </w:r>
      <w:r w:rsidRPr="00AD2CF5">
        <w:fldChar w:fldCharType="begin"/>
      </w:r>
      <w:r w:rsidRPr="00AD2CF5">
        <w:instrText xml:space="preserve"> XE "stromingsweerstand" </w:instrText>
      </w:r>
      <w:r w:rsidRPr="00AD2CF5">
        <w:fldChar w:fldCharType="end"/>
      </w:r>
      <w:r w:rsidRPr="00AD2CF5">
        <w:t xml:space="preserve"> wordt voor een zeer absorberende bodem en een absorberende bodem respectievelijk 1</w:t>
      </w:r>
      <w:r w:rsidRPr="00AD2CF5">
        <w:rPr>
          <w:vertAlign w:val="superscript"/>
        </w:rPr>
        <w:t>.</w:t>
      </w:r>
      <w:r w:rsidRPr="00AD2CF5">
        <w:t>10</w:t>
      </w:r>
      <w:r w:rsidRPr="00AD2CF5">
        <w:rPr>
          <w:vertAlign w:val="superscript"/>
        </w:rPr>
        <w:t>5</w:t>
      </w:r>
      <w:r w:rsidRPr="00AD2CF5">
        <w:t> Nsm</w:t>
      </w:r>
      <w:r w:rsidRPr="00AD2CF5">
        <w:rPr>
          <w:vertAlign w:val="superscript"/>
        </w:rPr>
        <w:noBreakHyphen/>
        <w:t>4</w:t>
      </w:r>
      <w:r w:rsidRPr="00AD2CF5">
        <w:t xml:space="preserve"> en 3</w:t>
      </w:r>
      <w:r w:rsidRPr="00AD2CF5">
        <w:rPr>
          <w:vertAlign w:val="superscript"/>
        </w:rPr>
        <w:t>.</w:t>
      </w:r>
      <w:r w:rsidRPr="00AD2CF5">
        <w:t>10</w:t>
      </w:r>
      <w:r w:rsidRPr="00AD2CF5">
        <w:rPr>
          <w:vertAlign w:val="superscript"/>
        </w:rPr>
        <w:t>5</w:t>
      </w:r>
      <w:r w:rsidRPr="00AD2CF5">
        <w:t> Nsm</w:t>
      </w:r>
      <w:r w:rsidRPr="00AD2CF5">
        <w:rPr>
          <w:vertAlign w:val="superscript"/>
        </w:rPr>
        <w:t xml:space="preserve">-4 </w:t>
      </w:r>
      <w:r w:rsidRPr="00AD2CF5">
        <w:t>gehanteerd. Voor een akoestisch reflecterende bodem wordt een oneindig grote stromingsweerstand aangenomen (zie ook §4.5.2).</w:t>
      </w:r>
    </w:p>
    <w:p w:rsidR="00F43C9B" w:rsidRPr="00AD2CF5" w:rsidRDefault="00F43C9B" w:rsidP="00F43C9B">
      <w:pPr>
        <w:shd w:val="clear" w:color="auto" w:fill="D9D9D9" w:themeFill="background1" w:themeFillShade="D9"/>
      </w:pPr>
      <w:r w:rsidRPr="00AD2CF5">
        <w:t>De bodemruwheid</w:t>
      </w:r>
      <w:r w:rsidRPr="00AD2CF5">
        <w:fldChar w:fldCharType="begin"/>
      </w:r>
      <w:r w:rsidRPr="00AD2CF5">
        <w:instrText xml:space="preserve"> XE "bodemruwheid" </w:instrText>
      </w:r>
      <w:r w:rsidRPr="00AD2CF5">
        <w:fldChar w:fldCharType="end"/>
      </w:r>
      <w:r w:rsidRPr="00AD2CF5">
        <w:t xml:space="preserve"> beïnvloedt het windsnelheidsprofiel in de atmosfeer</w:t>
      </w:r>
      <w:r w:rsidRPr="00AD2CF5">
        <w:fldChar w:fldCharType="begin"/>
      </w:r>
      <w:r w:rsidRPr="00AD2CF5">
        <w:instrText xml:space="preserve"> XE "atmosfeer" </w:instrText>
      </w:r>
      <w:r w:rsidRPr="00AD2CF5">
        <w:fldChar w:fldCharType="end"/>
      </w:r>
      <w:r w:rsidRPr="00AD2CF5">
        <w:t xml:space="preserve"> boven de bodem, en daardoor indirect de geluidoverdracht</w:t>
      </w:r>
      <w:r w:rsidRPr="00AD2CF5">
        <w:fldChar w:fldCharType="begin"/>
      </w:r>
      <w:r w:rsidRPr="00AD2CF5">
        <w:instrText xml:space="preserve"> XE "geluidoverdracht" </w:instrText>
      </w:r>
      <w:r w:rsidRPr="00AD2CF5">
        <w:fldChar w:fldCharType="end"/>
      </w:r>
      <w:r w:rsidRPr="00AD2CF5">
        <w:t xml:space="preserve">. Een maat voor de bodemruwheid is de </w:t>
      </w:r>
      <w:r w:rsidRPr="00AD2CF5">
        <w:rPr>
          <w:i/>
        </w:rPr>
        <w:t>ruwheidslengte</w:t>
      </w:r>
      <w:r w:rsidRPr="00AD2CF5">
        <w:rPr>
          <w:i/>
        </w:rPr>
        <w:fldChar w:fldCharType="begin"/>
      </w:r>
      <w:r w:rsidRPr="00AD2CF5">
        <w:rPr>
          <w:i/>
        </w:rPr>
        <w:instrText xml:space="preserve"> XE "</w:instrText>
      </w:r>
      <w:r w:rsidRPr="00AD2CF5">
        <w:instrText>ruwheidslengte"</w:instrText>
      </w:r>
      <w:r w:rsidRPr="00AD2CF5">
        <w:rPr>
          <w:i/>
        </w:rPr>
        <w:instrText xml:space="preserve"> </w:instrText>
      </w:r>
      <w:r w:rsidRPr="00AD2CF5">
        <w:rPr>
          <w:i/>
        </w:rPr>
        <w:fldChar w:fldCharType="end"/>
      </w:r>
      <w:r w:rsidRPr="00AD2CF5">
        <w:rPr>
          <w:i/>
        </w:rPr>
        <w:t xml:space="preserve"> z</w:t>
      </w:r>
      <w:r w:rsidRPr="00AD2CF5">
        <w:rPr>
          <w:i/>
          <w:vertAlign w:val="subscript"/>
        </w:rPr>
        <w:t>0</w:t>
      </w:r>
      <w:r w:rsidRPr="00AD2CF5">
        <w:t xml:space="preserve"> (zie §2.4).</w:t>
      </w:r>
    </w:p>
    <w:bookmarkStart w:id="505" w:name="_Toc465131599"/>
    <w:p w:rsidR="00F43C9B" w:rsidRPr="00AD2CF5" w:rsidRDefault="00F43C9B" w:rsidP="00F43C9B">
      <w:pPr>
        <w:pStyle w:val="Kop3"/>
        <w:shd w:val="clear" w:color="auto" w:fill="D9D9D9" w:themeFill="background1" w:themeFillShade="D9"/>
      </w:pPr>
      <w:r w:rsidRPr="00AD2CF5">
        <w:fldChar w:fldCharType="begin"/>
      </w:r>
      <w:r w:rsidRPr="00AD2CF5">
        <w:instrText xml:space="preserve"> SEQ numchaplev1 \c \* MERGEFORMAT </w:instrText>
      </w:r>
      <w:r w:rsidRPr="00AD2CF5">
        <w:fldChar w:fldCharType="separate"/>
      </w:r>
      <w:bookmarkStart w:id="506" w:name="_Toc529692785"/>
      <w:bookmarkStart w:id="507" w:name="_Toc413945816"/>
      <w:bookmarkStart w:id="508" w:name="_Toc431375829"/>
      <w:r>
        <w:rPr>
          <w:noProof/>
        </w:rPr>
        <w:t>2</w:t>
      </w:r>
      <w:r w:rsidRPr="00AD2CF5">
        <w:fldChar w:fldCharType="end"/>
      </w:r>
      <w:r w:rsidRPr="00AD2CF5">
        <w:t>.</w:t>
      </w:r>
      <w:r w:rsidR="00C428B8">
        <w:fldChar w:fldCharType="begin"/>
      </w:r>
      <w:r w:rsidR="00C428B8">
        <w:instrText xml:space="preserve"> SEQ numchaplev2 \c \* MERGEFORMAT </w:instrText>
      </w:r>
      <w:r w:rsidR="00C428B8">
        <w:fldChar w:fldCharType="separate"/>
      </w:r>
      <w:r w:rsidRPr="00B15E90">
        <w:rPr>
          <w:noProof/>
        </w:rPr>
        <w:t>6</w:t>
      </w:r>
      <w:r w:rsidR="00C428B8">
        <w:rPr>
          <w:noProof/>
        </w:rPr>
        <w:fldChar w:fldCharType="end"/>
      </w:r>
      <w:r w:rsidRPr="00AD2CF5">
        <w:t>.</w:t>
      </w:r>
      <w:r w:rsidR="00C428B8">
        <w:fldChar w:fldCharType="begin"/>
      </w:r>
      <w:r w:rsidR="00C428B8">
        <w:instrText xml:space="preserve"> SEQ numchaplev3 \n \* MERGEFORMAT </w:instrText>
      </w:r>
      <w:r w:rsidR="00C428B8">
        <w:fldChar w:fldCharType="separate"/>
      </w:r>
      <w:r w:rsidRPr="00B15E90">
        <w:rPr>
          <w:noProof/>
        </w:rPr>
        <w:t>2</w:t>
      </w:r>
      <w:r w:rsidR="00C428B8">
        <w:rPr>
          <w:noProof/>
        </w:rPr>
        <w:fldChar w:fldCharType="end"/>
      </w:r>
      <w:r w:rsidRPr="00AD2CF5">
        <w:fldChar w:fldCharType="begin"/>
      </w:r>
      <w:r w:rsidRPr="00AD2CF5">
        <w:instrText xml:space="preserve"> SEQ numchaplev4 \r0\h \* MERGEFORMAT </w:instrText>
      </w:r>
      <w:r w:rsidRPr="00AD2CF5">
        <w:fldChar w:fldCharType="end"/>
      </w:r>
      <w:r w:rsidRPr="00AD2CF5">
        <w:tab/>
        <w:t>Kogelparameters</w:t>
      </w:r>
      <w:bookmarkEnd w:id="505"/>
      <w:bookmarkEnd w:id="506"/>
      <w:bookmarkEnd w:id="507"/>
      <w:bookmarkEnd w:id="508"/>
    </w:p>
    <w:p w:rsidR="00F43C9B" w:rsidRPr="00AD2CF5" w:rsidRDefault="00F43C9B" w:rsidP="00F43C9B">
      <w:pPr>
        <w:shd w:val="clear" w:color="auto" w:fill="D9D9D9" w:themeFill="background1" w:themeFillShade="D9"/>
      </w:pPr>
      <w:r w:rsidRPr="00AD2CF5">
        <w:t>Voor de berekening van het niveau van het kogelgeluid</w:t>
      </w:r>
      <w:r w:rsidRPr="00AD2CF5">
        <w:fldChar w:fldCharType="begin"/>
      </w:r>
      <w:r w:rsidRPr="00AD2CF5">
        <w:instrText xml:space="preserve"> XE "kogelgeluid" </w:instrText>
      </w:r>
      <w:r w:rsidRPr="00AD2CF5">
        <w:fldChar w:fldCharType="end"/>
      </w:r>
      <w:r w:rsidRPr="00AD2CF5">
        <w:t xml:space="preserve"> zijn in eerste instantie twee parameters van belang: de </w:t>
      </w:r>
      <w:r w:rsidRPr="00AD2CF5">
        <w:rPr>
          <w:i/>
        </w:rPr>
        <w:t>kogeldiameter</w:t>
      </w:r>
      <w:r w:rsidRPr="00AD2CF5">
        <w:rPr>
          <w:i/>
        </w:rPr>
        <w:fldChar w:fldCharType="begin"/>
      </w:r>
      <w:r w:rsidRPr="00AD2CF5">
        <w:rPr>
          <w:i/>
        </w:rPr>
        <w:instrText xml:space="preserve"> XE "</w:instrText>
      </w:r>
      <w:r w:rsidRPr="00AD2CF5">
        <w:instrText>kogeldiameter"</w:instrText>
      </w:r>
      <w:r w:rsidRPr="00AD2CF5">
        <w:rPr>
          <w:i/>
        </w:rPr>
        <w:instrText xml:space="preserve"> </w:instrText>
      </w:r>
      <w:r w:rsidRPr="00AD2CF5">
        <w:rPr>
          <w:i/>
        </w:rPr>
        <w:fldChar w:fldCharType="end"/>
      </w:r>
      <w:r w:rsidRPr="00AD2CF5">
        <w:t xml:space="preserve"> </w:t>
      </w:r>
      <w:r w:rsidRPr="00AD2CF5">
        <w:rPr>
          <w:i/>
        </w:rPr>
        <w:t>d</w:t>
      </w:r>
      <w:r w:rsidRPr="00AD2CF5">
        <w:rPr>
          <w:i/>
          <w:vertAlign w:val="subscript"/>
        </w:rPr>
        <w:t>kogel</w:t>
      </w:r>
      <w:r w:rsidRPr="00AD2CF5">
        <w:t xml:space="preserve"> gedefinieerd als de maximale dia</w:t>
      </w:r>
      <w:r w:rsidRPr="00AD2CF5">
        <w:softHyphen/>
        <w:t>me</w:t>
      </w:r>
      <w:r w:rsidRPr="00AD2CF5">
        <w:softHyphen/>
        <w:t xml:space="preserve">ter van de kogel en de </w:t>
      </w:r>
      <w:r w:rsidRPr="00AD2CF5">
        <w:rPr>
          <w:i/>
        </w:rPr>
        <w:t>effectieve lengte</w:t>
      </w:r>
      <w:r w:rsidRPr="00AD2CF5">
        <w:rPr>
          <w:i/>
        </w:rPr>
        <w:fldChar w:fldCharType="begin"/>
      </w:r>
      <w:r w:rsidRPr="00AD2CF5">
        <w:rPr>
          <w:i/>
        </w:rPr>
        <w:instrText xml:space="preserve"> XE "</w:instrText>
      </w:r>
      <w:r w:rsidRPr="00AD2CF5">
        <w:instrText>effectieve lengte"</w:instrText>
      </w:r>
      <w:r w:rsidRPr="00AD2CF5">
        <w:rPr>
          <w:i/>
        </w:rPr>
        <w:instrText xml:space="preserve"> </w:instrText>
      </w:r>
      <w:r w:rsidRPr="00AD2CF5">
        <w:rPr>
          <w:i/>
        </w:rPr>
        <w:fldChar w:fldCharType="end"/>
      </w:r>
      <w:r w:rsidRPr="00AD2CF5">
        <w:t xml:space="preserve"> </w:t>
      </w:r>
      <w:r w:rsidRPr="00AD2CF5">
        <w:rPr>
          <w:i/>
        </w:rPr>
        <w:t>l</w:t>
      </w:r>
      <w:r w:rsidRPr="00AD2CF5">
        <w:rPr>
          <w:i/>
          <w:vertAlign w:val="subscript"/>
        </w:rPr>
        <w:t>kogel</w:t>
      </w:r>
      <w:r w:rsidRPr="00AD2CF5">
        <w:t xml:space="preserve"> gedefinieerd als de axiale afstand van de punt van de kogel tot aan de plaats waar de diameter maximaal is.</w:t>
      </w:r>
    </w:p>
    <w:p w:rsidR="00F43C9B" w:rsidRPr="00AD2CF5" w:rsidRDefault="00F43C9B" w:rsidP="00F43C9B">
      <w:pPr>
        <w:shd w:val="clear" w:color="auto" w:fill="D9D9D9" w:themeFill="background1" w:themeFillShade="D9"/>
      </w:pPr>
    </w:p>
    <w:p w:rsidR="00F43C9B" w:rsidRPr="00AD2CF5" w:rsidRDefault="00F43C9B" w:rsidP="00F43C9B">
      <w:pPr>
        <w:pStyle w:val="Inhopg1"/>
        <w:shd w:val="clear" w:color="auto" w:fill="D9D9D9" w:themeFill="background1" w:themeFillShade="D9"/>
        <w:spacing w:after="0" w:line="240" w:lineRule="auto"/>
      </w:pPr>
      <w:r w:rsidRPr="00AD2CF5">
        <w:rPr>
          <w:noProof/>
        </w:rPr>
        <w:drawing>
          <wp:inline distT="0" distB="0" distL="0" distR="0" wp14:anchorId="3B16CA9C" wp14:editId="74679E75">
            <wp:extent cx="2124075" cy="1285875"/>
            <wp:effectExtent l="0" t="0" r="9525" b="0"/>
            <wp:docPr id="46" name="Afbeelding 46" descr="k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gel"/>
                    <pic:cNvPicPr>
                      <a:picLocks noChangeAspect="1" noChangeArrowheads="1"/>
                    </pic:cNvPicPr>
                  </pic:nvPicPr>
                  <pic:blipFill>
                    <a:blip r:embed="rId67" cstate="print"/>
                    <a:srcRect/>
                    <a:stretch>
                      <a:fillRect/>
                    </a:stretch>
                  </pic:blipFill>
                  <pic:spPr bwMode="auto">
                    <a:xfrm>
                      <a:off x="0" y="0"/>
                      <a:ext cx="2124075" cy="1285875"/>
                    </a:xfrm>
                    <a:prstGeom prst="rect">
                      <a:avLst/>
                    </a:prstGeom>
                    <a:noFill/>
                    <a:ln w="9525">
                      <a:noFill/>
                      <a:miter lim="800000"/>
                      <a:headEnd/>
                      <a:tailEnd/>
                    </a:ln>
                  </pic:spPr>
                </pic:pic>
              </a:graphicData>
            </a:graphic>
          </wp:inline>
        </w:drawing>
      </w:r>
    </w:p>
    <w:p w:rsidR="00F43C9B" w:rsidRPr="00AD2CF5" w:rsidRDefault="00F43C9B" w:rsidP="00F43C9B">
      <w:pPr>
        <w:shd w:val="clear" w:color="auto" w:fill="D9D9D9" w:themeFill="background1" w:themeFillShade="D9"/>
        <w:rPr>
          <w:b/>
        </w:rPr>
      </w:pPr>
    </w:p>
    <w:p w:rsidR="00F43C9B" w:rsidRPr="00AD2CF5" w:rsidRDefault="00F43C9B" w:rsidP="00F43C9B">
      <w:pPr>
        <w:shd w:val="clear" w:color="auto" w:fill="D9D9D9" w:themeFill="background1" w:themeFillShade="D9"/>
      </w:pPr>
      <w:r w:rsidRPr="00AD2CF5">
        <w:rPr>
          <w:b/>
        </w:rPr>
        <w:t>Figuur 2.1:</w:t>
      </w:r>
      <w:r w:rsidRPr="00AD2CF5">
        <w:t xml:space="preserve"> Effectieve lengte </w:t>
      </w:r>
      <w:r w:rsidRPr="00AD2CF5">
        <w:rPr>
          <w:i/>
        </w:rPr>
        <w:t>l</w:t>
      </w:r>
      <w:r w:rsidRPr="00AD2CF5">
        <w:rPr>
          <w:i/>
          <w:vertAlign w:val="subscript"/>
        </w:rPr>
        <w:t>kogel</w:t>
      </w:r>
      <w:r w:rsidRPr="00AD2CF5">
        <w:t xml:space="preserve"> en diameter </w:t>
      </w:r>
      <w:r w:rsidRPr="00AD2CF5">
        <w:rPr>
          <w:i/>
        </w:rPr>
        <w:t>d</w:t>
      </w:r>
      <w:r w:rsidRPr="00AD2CF5">
        <w:rPr>
          <w:i/>
          <w:vertAlign w:val="subscript"/>
        </w:rPr>
        <w:t>kogel</w:t>
      </w:r>
      <w:r w:rsidRPr="00AD2CF5">
        <w:t xml:space="preserve"> van een kogel</w:t>
      </w:r>
    </w:p>
    <w:p w:rsidR="00F43C9B" w:rsidRPr="00AD2CF5" w:rsidRDefault="00F43C9B" w:rsidP="00F43C9B">
      <w:pPr>
        <w:shd w:val="clear" w:color="auto" w:fill="D9D9D9" w:themeFill="background1" w:themeFillShade="D9"/>
      </w:pPr>
      <w:r w:rsidRPr="00AD2CF5">
        <w:t>Het gebied waar het kogelgeluid</w:t>
      </w:r>
      <w:r w:rsidRPr="00AD2CF5">
        <w:fldChar w:fldCharType="begin"/>
      </w:r>
      <w:r w:rsidRPr="00AD2CF5">
        <w:instrText xml:space="preserve"> XE "kogelgeluid" </w:instrText>
      </w:r>
      <w:r w:rsidRPr="00AD2CF5">
        <w:fldChar w:fldCharType="end"/>
      </w:r>
      <w:r w:rsidRPr="00AD2CF5">
        <w:t xml:space="preserve"> kan worden waargenomen hangt af van de snel</w:t>
      </w:r>
      <w:r w:rsidRPr="00AD2CF5">
        <w:softHyphen/>
        <w:t>heid van de kogel. Deze snelheid wordt benaderd door een lineaire relatie:</w:t>
      </w:r>
    </w:p>
    <w:p w:rsidR="00F43C9B" w:rsidRPr="00AD2CF5" w:rsidRDefault="00F43C9B" w:rsidP="00F43C9B">
      <w:pPr>
        <w:shd w:val="clear" w:color="auto" w:fill="D9D9D9" w:themeFill="background1" w:themeFillShade="D9"/>
      </w:pPr>
      <w:r w:rsidRPr="00AD2CF5">
        <w:rPr>
          <w:position w:val="-12"/>
        </w:rPr>
        <w:object w:dxaOrig="1300" w:dyaOrig="360">
          <v:shape id="_x0000_i1030" type="#_x0000_t75" style="width:64.5pt;height:18pt" o:ole="" fillcolor="window">
            <v:imagedata r:id="rId68" o:title=""/>
          </v:shape>
          <o:OLEObject Type="Embed" ProgID="Equation.3" ShapeID="_x0000_i1030" DrawAspect="Content" ObjectID="_1511255368" r:id="rId69"/>
        </w:object>
      </w:r>
      <w:r w:rsidRPr="00AD2CF5">
        <w:tab/>
      </w:r>
      <w:r w:rsidRPr="00AD2CF5">
        <w:rPr>
          <w:b/>
          <w:bCs/>
        </w:rPr>
        <w:t xml:space="preserve">(2. </w:t>
      </w:r>
      <w:r w:rsidRPr="00AD2CF5">
        <w:rPr>
          <w:b/>
          <w:bCs/>
        </w:rPr>
        <w:fldChar w:fldCharType="begin"/>
      </w:r>
      <w:r w:rsidRPr="00AD2CF5">
        <w:rPr>
          <w:b/>
          <w:bCs/>
        </w:rPr>
        <w:instrText xml:space="preserve"> SEQ (2. \* ARABIC </w:instrText>
      </w:r>
      <w:r w:rsidRPr="00AD2CF5">
        <w:rPr>
          <w:b/>
          <w:bCs/>
        </w:rPr>
        <w:fldChar w:fldCharType="separate"/>
      </w:r>
      <w:r>
        <w:rPr>
          <w:b/>
          <w:bCs/>
          <w:noProof/>
        </w:rPr>
        <w:t>6</w:t>
      </w:r>
      <w:r w:rsidRPr="00AD2CF5">
        <w:rPr>
          <w:b/>
          <w:bCs/>
        </w:rPr>
        <w:fldChar w:fldCharType="end"/>
      </w:r>
      <w:r w:rsidRPr="00AD2CF5">
        <w:rPr>
          <w:b/>
          <w:bCs/>
        </w:rPr>
        <w:t>)</w:t>
      </w:r>
    </w:p>
    <w:p w:rsidR="00F43C9B" w:rsidRPr="00AD2CF5" w:rsidRDefault="00F43C9B" w:rsidP="00F43C9B">
      <w:pPr>
        <w:shd w:val="clear" w:color="auto" w:fill="D9D9D9" w:themeFill="background1" w:themeFillShade="D9"/>
      </w:pPr>
      <w:r w:rsidRPr="00AD2CF5">
        <w:t>met</w:t>
      </w:r>
    </w:p>
    <w:p w:rsidR="00F43C9B" w:rsidRPr="00AD2CF5" w:rsidRDefault="00F43C9B" w:rsidP="00F43C9B">
      <w:pPr>
        <w:shd w:val="clear" w:color="auto" w:fill="D9D9D9" w:themeFill="background1" w:themeFillShade="D9"/>
      </w:pPr>
      <w:r w:rsidRPr="00AD2CF5">
        <w:rPr>
          <w:i/>
        </w:rPr>
        <w:t>v</w:t>
      </w:r>
      <w:r w:rsidRPr="00AD2CF5">
        <w:rPr>
          <w:i/>
          <w:vertAlign w:val="subscript"/>
        </w:rPr>
        <w:t>0</w:t>
      </w:r>
      <w:r w:rsidRPr="00AD2CF5">
        <w:t xml:space="preserve"> </w:t>
      </w:r>
      <w:r w:rsidRPr="00AD2CF5">
        <w:tab/>
        <w:t>de snelheid van de kogel bij het verlaten van de vuurmond;</w:t>
      </w:r>
    </w:p>
    <w:p w:rsidR="00F43C9B" w:rsidRPr="00AD2CF5" w:rsidRDefault="00F43C9B" w:rsidP="00F43C9B">
      <w:pPr>
        <w:shd w:val="clear" w:color="auto" w:fill="D9D9D9" w:themeFill="background1" w:themeFillShade="D9"/>
      </w:pPr>
      <w:r w:rsidRPr="00AD2CF5">
        <w:rPr>
          <w:i/>
        </w:rPr>
        <w:t>v</w:t>
      </w:r>
      <w:r w:rsidRPr="00AD2CF5">
        <w:rPr>
          <w:i/>
          <w:vertAlign w:val="subscript"/>
        </w:rPr>
        <w:t>1</w:t>
      </w:r>
      <w:r w:rsidRPr="00AD2CF5">
        <w:rPr>
          <w:vertAlign w:val="subscript"/>
        </w:rPr>
        <w:tab/>
      </w:r>
      <w:r w:rsidRPr="00AD2CF5">
        <w:t>de verandering van de snelheid per eenheid van lengte;</w:t>
      </w:r>
    </w:p>
    <w:p w:rsidR="00F43C9B" w:rsidRPr="00AD2CF5" w:rsidRDefault="00F43C9B" w:rsidP="00F43C9B">
      <w:pPr>
        <w:shd w:val="clear" w:color="auto" w:fill="D9D9D9" w:themeFill="background1" w:themeFillShade="D9"/>
      </w:pPr>
      <w:r w:rsidRPr="00AD2CF5">
        <w:rPr>
          <w:i/>
        </w:rPr>
        <w:t>x</w:t>
      </w:r>
      <w:r w:rsidRPr="00AD2CF5">
        <w:tab/>
        <w:t>de afstand langs de kogelbaan</w:t>
      </w:r>
      <w:r w:rsidRPr="00AD2CF5">
        <w:fldChar w:fldCharType="begin"/>
      </w:r>
      <w:r w:rsidRPr="00AD2CF5">
        <w:instrText xml:space="preserve"> XE "kogelbaan" </w:instrText>
      </w:r>
      <w:r w:rsidRPr="00AD2CF5">
        <w:fldChar w:fldCharType="end"/>
      </w:r>
      <w:r w:rsidRPr="00AD2CF5">
        <w:t xml:space="preserve"> tot de vuurmond.</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t>Een afgeleide parameter die een rol speelt bij de berekening van kogelgeluid</w:t>
      </w:r>
      <w:r w:rsidRPr="00AD2CF5">
        <w:fldChar w:fldCharType="begin"/>
      </w:r>
      <w:r w:rsidRPr="00AD2CF5">
        <w:instrText xml:space="preserve"> XE "kogelgeluid" </w:instrText>
      </w:r>
      <w:r w:rsidRPr="00AD2CF5">
        <w:fldChar w:fldCharType="end"/>
      </w:r>
      <w:r w:rsidRPr="00AD2CF5">
        <w:t xml:space="preserve"> is het Mach-getal</w:t>
      </w:r>
      <w:r w:rsidRPr="00AD2CF5">
        <w:fldChar w:fldCharType="begin"/>
      </w:r>
      <w:r w:rsidRPr="00AD2CF5">
        <w:instrText xml:space="preserve"> XE "mach-getal" </w:instrText>
      </w:r>
      <w:r w:rsidRPr="00AD2CF5">
        <w:fldChar w:fldCharType="end"/>
      </w:r>
      <w:r w:rsidRPr="00AD2CF5">
        <w:t xml:space="preserve">. Dit is gedefinieerd als de verhouding van de snelheid </w:t>
      </w:r>
      <w:r w:rsidRPr="00AD2CF5">
        <w:rPr>
          <w:i/>
        </w:rPr>
        <w:t>v</w:t>
      </w:r>
      <w:r w:rsidRPr="00AD2CF5">
        <w:rPr>
          <w:i/>
          <w:vertAlign w:val="subscript"/>
        </w:rPr>
        <w:t>k</w:t>
      </w:r>
      <w:r w:rsidRPr="00AD2CF5">
        <w:rPr>
          <w:i/>
        </w:rPr>
        <w:t xml:space="preserve"> </w:t>
      </w:r>
      <w:r w:rsidRPr="00AD2CF5">
        <w:t>van de kogel en de geluidsnelheid</w:t>
      </w:r>
      <w:r w:rsidRPr="00AD2CF5">
        <w:fldChar w:fldCharType="begin"/>
      </w:r>
      <w:r w:rsidRPr="00AD2CF5">
        <w:instrText xml:space="preserve"> XE "geluidsnelheid" </w:instrText>
      </w:r>
      <w:r w:rsidRPr="00AD2CF5">
        <w:fldChar w:fldCharType="end"/>
      </w:r>
      <w:r w:rsidRPr="00AD2CF5">
        <w:t xml:space="preserve"> </w:t>
      </w:r>
      <w:r w:rsidRPr="00AD2CF5">
        <w:rPr>
          <w:i/>
        </w:rPr>
        <w:t>c</w:t>
      </w:r>
      <w:r w:rsidRPr="00AD2CF5">
        <w:rPr>
          <w:vertAlign w:val="subscript"/>
        </w:rPr>
        <w:t>10</w:t>
      </w:r>
      <w:r w:rsidRPr="00AD2CF5">
        <w:t xml:space="preserve"> (hiervoor wordt in dit voorschrift de waarde bij 10</w:t>
      </w:r>
      <w:r w:rsidRPr="00AD2CF5">
        <w:rPr>
          <w:rFonts w:ascii="Symbol" w:hAnsi="Symbol"/>
        </w:rPr>
        <w:t></w:t>
      </w:r>
      <w:r w:rsidRPr="00AD2CF5">
        <w:t>C en 1 atmosfeer</w:t>
      </w:r>
      <w:r w:rsidRPr="00AD2CF5">
        <w:fldChar w:fldCharType="begin"/>
      </w:r>
      <w:r w:rsidRPr="00AD2CF5">
        <w:instrText xml:space="preserve"> XE "atmosfeer" </w:instrText>
      </w:r>
      <w:r w:rsidRPr="00AD2CF5">
        <w:fldChar w:fldCharType="end"/>
      </w:r>
      <w:r w:rsidRPr="00AD2CF5">
        <w:t xml:space="preserve"> gehanteerd: </w:t>
      </w:r>
      <w:r w:rsidRPr="00AD2CF5">
        <w:rPr>
          <w:i/>
        </w:rPr>
        <w:t>c</w:t>
      </w:r>
      <w:r w:rsidRPr="00AD2CF5">
        <w:rPr>
          <w:vertAlign w:val="subscript"/>
        </w:rPr>
        <w:t>10</w:t>
      </w:r>
      <w:r w:rsidRPr="00AD2CF5">
        <w:t xml:space="preserve"> = 337.6 m/s).</w:t>
      </w:r>
    </w:p>
    <w:p w:rsidR="00F43C9B" w:rsidRPr="00AD2CF5" w:rsidRDefault="00F43C9B" w:rsidP="00F43C9B">
      <w:pPr>
        <w:shd w:val="clear" w:color="auto" w:fill="D9D9D9" w:themeFill="background1" w:themeFillShade="D9"/>
      </w:pPr>
      <w:r w:rsidRPr="00AD2CF5">
        <w:rPr>
          <w:position w:val="-28"/>
        </w:rPr>
        <w:object w:dxaOrig="820" w:dyaOrig="660">
          <v:shape id="_x0000_i1031" type="#_x0000_t75" style="width:40.5pt;height:33pt" o:ole="" fillcolor="window">
            <v:imagedata r:id="rId70" o:title=""/>
          </v:shape>
          <o:OLEObject Type="Embed" ProgID="Equation.3" ShapeID="_x0000_i1031" DrawAspect="Content" ObjectID="_1511255369" r:id="rId71"/>
        </w:object>
      </w:r>
      <w:r w:rsidRPr="00AD2CF5">
        <w:rPr>
          <w:i/>
        </w:rPr>
        <w:tab/>
      </w:r>
      <w:r w:rsidRPr="00AD2CF5">
        <w:t xml:space="preserve">(2. </w:t>
      </w:r>
      <w:r>
        <w:fldChar w:fldCharType="begin"/>
      </w:r>
      <w:r>
        <w:instrText xml:space="preserve"> SEQ (2. \* ARABIC </w:instrText>
      </w:r>
      <w:r>
        <w:fldChar w:fldCharType="separate"/>
      </w:r>
      <w:r>
        <w:rPr>
          <w:noProof/>
        </w:rPr>
        <w:t>7</w:t>
      </w:r>
      <w:r>
        <w:rPr>
          <w:noProof/>
        </w:rPr>
        <w:fldChar w:fldCharType="end"/>
      </w:r>
      <w:r w:rsidRPr="00AD2CF5">
        <w:t>)</w:t>
      </w:r>
    </w:p>
    <w:bookmarkStart w:id="509" w:name="_Toc465131600"/>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510" w:name="_Toc529692786"/>
      <w:bookmarkStart w:id="511" w:name="_Toc413945817"/>
      <w:bookmarkStart w:id="512" w:name="_Toc431375830"/>
      <w:r>
        <w:rPr>
          <w:noProof/>
        </w:rPr>
        <w:t>2</w:t>
      </w:r>
      <w:r w:rsidRPr="00AD2CF5">
        <w:rPr>
          <w:noProof/>
        </w:rPr>
        <w:fldChar w:fldCharType="end"/>
      </w:r>
      <w:r w:rsidRPr="00AD2CF5">
        <w:t>.</w:t>
      </w:r>
      <w:r w:rsidR="00C428B8">
        <w:fldChar w:fldCharType="begin"/>
      </w:r>
      <w:r w:rsidR="00C428B8">
        <w:instrText xml:space="preserve"> SEQ numchaplev2 \n \* MERGEFORMAT </w:instrText>
      </w:r>
      <w:r w:rsidR="00C428B8">
        <w:fldChar w:fldCharType="separate"/>
      </w:r>
      <w:r>
        <w:rPr>
          <w:noProof/>
        </w:rPr>
        <w:t>7</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r>
      <w:bookmarkEnd w:id="509"/>
      <w:bookmarkEnd w:id="510"/>
      <w:r w:rsidRPr="00AD2CF5">
        <w:t>Buitenschietbanen</w:t>
      </w:r>
      <w:bookmarkEnd w:id="511"/>
      <w:bookmarkEnd w:id="512"/>
    </w:p>
    <w:p w:rsidR="00F43C9B" w:rsidRPr="00AD2CF5" w:rsidRDefault="00F43C9B" w:rsidP="00F43C9B">
      <w:pPr>
        <w:shd w:val="clear" w:color="auto" w:fill="D9D9D9" w:themeFill="background1" w:themeFillShade="D9"/>
      </w:pPr>
      <w:r w:rsidRPr="00AD2CF5">
        <w:t>Op verschillende soorten banen wordt geschoten dan wel andersoortig knalgeluid gemaakt. In onderstaande tabel is een overzicht gegeven met voorbeelden van baantypen die in Nederland voorkomen en die in het kader van dit voorschrift relevant zijn. Voor het vaststellen van de geluidbelasting vragen de verschillende baantypen om een andere aanpak.</w:t>
      </w:r>
    </w:p>
    <w:p w:rsidR="00F43C9B" w:rsidRPr="00AD2CF5" w:rsidRDefault="00F43C9B" w:rsidP="00F43C9B">
      <w:pPr>
        <w:shd w:val="clear" w:color="auto" w:fill="D9D9D9" w:themeFill="background1" w:themeFillShade="D9"/>
      </w:pPr>
      <w:r w:rsidRPr="00AD2CF5">
        <w:rPr>
          <w:i/>
        </w:rPr>
        <w:t>Vrije schietbanen</w:t>
      </w:r>
      <w:r w:rsidRPr="00AD2CF5">
        <w:br/>
        <w:t>Dit zijn schietbanen, meestal voorzien van een kogelvanger, en mogelijk een over</w:t>
      </w:r>
      <w:r w:rsidRPr="00AD2CF5">
        <w:softHyphen/>
        <w:t>kapping boven de standplaats van de schutters, doch zonder voorzieningen ter beper</w:t>
      </w:r>
      <w:r w:rsidRPr="00AD2CF5">
        <w:softHyphen/>
        <w:t>king van de omvang van de onveilige zone zoals poorten, kokers, schermen, etc.</w:t>
      </w:r>
    </w:p>
    <w:p w:rsidR="00F43C9B" w:rsidRPr="00AD2CF5" w:rsidRDefault="00F43C9B" w:rsidP="00F43C9B">
      <w:pPr>
        <w:shd w:val="clear" w:color="auto" w:fill="D9D9D9" w:themeFill="background1" w:themeFillShade="D9"/>
      </w:pPr>
      <w:r w:rsidRPr="00AD2CF5">
        <w:t>De vrije schietbanen</w:t>
      </w:r>
      <w:r w:rsidRPr="00AD2CF5">
        <w:fldChar w:fldCharType="begin"/>
      </w:r>
      <w:r w:rsidRPr="00AD2CF5">
        <w:instrText xml:space="preserve"> XE "schietinrichtingen:vrije schietbanen" </w:instrText>
      </w:r>
      <w:r w:rsidRPr="00AD2CF5">
        <w:fldChar w:fldCharType="end"/>
      </w:r>
      <w:r w:rsidRPr="00AD2CF5">
        <w:t xml:space="preserve"> zijn onder te verdelen in:</w:t>
      </w:r>
    </w:p>
    <w:p w:rsidR="00F43C9B" w:rsidRPr="00AD2CF5" w:rsidRDefault="00F43C9B" w:rsidP="00F43C9B">
      <w:pPr>
        <w:shd w:val="clear" w:color="auto" w:fill="D9D9D9" w:themeFill="background1" w:themeFillShade="D9"/>
      </w:pPr>
      <w:r w:rsidRPr="00AD2CF5">
        <w:t>-</w:t>
      </w:r>
      <w:r w:rsidRPr="00AD2CF5">
        <w:tab/>
        <w:t>vrije geweerbanen;</w:t>
      </w:r>
    </w:p>
    <w:p w:rsidR="00F43C9B" w:rsidRPr="00AD2CF5" w:rsidRDefault="00F43C9B" w:rsidP="00F43C9B">
      <w:pPr>
        <w:shd w:val="clear" w:color="auto" w:fill="D9D9D9" w:themeFill="background1" w:themeFillShade="D9"/>
      </w:pPr>
      <w:r w:rsidRPr="00AD2CF5">
        <w:t>-</w:t>
      </w:r>
      <w:r w:rsidRPr="00AD2CF5">
        <w:tab/>
        <w:t>vrije mitrailleurbanen en vrije pistoolbanen.</w:t>
      </w:r>
    </w:p>
    <w:p w:rsidR="00F43C9B" w:rsidRPr="00AD2CF5" w:rsidRDefault="00F43C9B" w:rsidP="00F43C9B">
      <w:pPr>
        <w:shd w:val="clear" w:color="auto" w:fill="D9D9D9" w:themeFill="background1" w:themeFillShade="D9"/>
      </w:pPr>
      <w:r w:rsidRPr="00AD2CF5">
        <w:t>De lengte van een vrije geweerbaan is doorgaans 300 m; het aantal schietpunten varieert.</w:t>
      </w:r>
    </w:p>
    <w:p w:rsidR="00F43C9B" w:rsidRPr="00AD2CF5" w:rsidRDefault="00F43C9B" w:rsidP="00F43C9B">
      <w:pPr>
        <w:shd w:val="clear" w:color="auto" w:fill="D9D9D9" w:themeFill="background1" w:themeFillShade="D9"/>
      </w:pPr>
      <w:r w:rsidRPr="00AD2CF5">
        <w:t>In principe bestaat tussen de uitvoering van een vrije mitrailleurbaan en die van een vrije pistoolbaan geen verschil. Een vrije pistoolbaan heeft een lengte van 25m; het aantal schietpunten bedraagt doorgaans vijf tot tien.</w:t>
      </w:r>
    </w:p>
    <w:p w:rsidR="00F43C9B" w:rsidRPr="00AD2CF5" w:rsidRDefault="00F43C9B" w:rsidP="00F43C9B">
      <w:pPr>
        <w:shd w:val="clear" w:color="auto" w:fill="D9D9D9" w:themeFill="background1" w:themeFillShade="D9"/>
      </w:pPr>
      <w:r w:rsidRPr="00AD2CF5">
        <w:rPr>
          <w:i/>
        </w:rPr>
        <w:t>Schietkampen</w:t>
      </w:r>
      <w:r w:rsidRPr="00AD2CF5">
        <w:br/>
        <w:t>Een schietkamp bestaat uit één of meer schietbanen en/of schietpunten. De doel</w:t>
      </w:r>
      <w:r w:rsidRPr="00AD2CF5">
        <w:softHyphen/>
        <w:t>afstanden zijn hierbij groter dan bij vrije schietbanen</w:t>
      </w:r>
      <w:r w:rsidRPr="00AD2CF5">
        <w:fldChar w:fldCharType="begin"/>
      </w:r>
      <w:r w:rsidRPr="00AD2CF5">
        <w:instrText xml:space="preserve"> XE "schietinrichtingen:vrije schietbanen" </w:instrText>
      </w:r>
      <w:r w:rsidRPr="00AD2CF5">
        <w:fldChar w:fldCharType="end"/>
      </w:r>
      <w:r w:rsidRPr="00AD2CF5">
        <w:t>. Deze terreinen beslaan meerdere vierkante kilometers. Afhankelijk van de inrichting wordt met diverse wapentypen</w:t>
      </w:r>
      <w:r w:rsidRPr="00AD2CF5">
        <w:fldChar w:fldCharType="begin"/>
      </w:r>
      <w:r w:rsidRPr="00AD2CF5">
        <w:instrText xml:space="preserve"> XE "wapentypen" </w:instrText>
      </w:r>
      <w:r w:rsidRPr="00AD2CF5">
        <w:fldChar w:fldCharType="end"/>
      </w:r>
      <w:r w:rsidRPr="00AD2CF5">
        <w:t xml:space="preserve"> geschoten variërend van lichte handvuurwapens tot 155 mm Houwitsers.</w:t>
      </w:r>
    </w:p>
    <w:p w:rsidR="00F43C9B" w:rsidRPr="00AD2CF5" w:rsidRDefault="00F43C9B" w:rsidP="00F43C9B">
      <w:pPr>
        <w:shd w:val="clear" w:color="auto" w:fill="D9D9D9" w:themeFill="background1" w:themeFillShade="D9"/>
      </w:pPr>
      <w:r w:rsidRPr="00AD2CF5">
        <w:rPr>
          <w:i/>
        </w:rPr>
        <w:t>Poortbanen</w:t>
      </w:r>
      <w:r w:rsidRPr="00AD2CF5">
        <w:rPr>
          <w:i/>
        </w:rPr>
        <w:br/>
      </w:r>
      <w:r w:rsidRPr="00AD2CF5">
        <w:t>Dit zijn schietbanen waarbij door middel van poorten en kogelvangers wordt voorkomen dat - bij normaal gebruik - een direct schot de baan kan verlaten, waardoor een zekere mate van veiligheid wordt verkregen en met een beperkte onveilige zone kan worden volstaan. De poortbanen</w:t>
      </w:r>
      <w:r w:rsidRPr="00AD2CF5">
        <w:fldChar w:fldCharType="begin"/>
      </w:r>
      <w:r w:rsidRPr="00AD2CF5">
        <w:instrText xml:space="preserve"> XE "schietinrichtingen:poortbanen" </w:instrText>
      </w:r>
      <w:r w:rsidRPr="00AD2CF5">
        <w:fldChar w:fldCharType="end"/>
      </w:r>
      <w:r w:rsidRPr="00AD2CF5">
        <w:t xml:space="preserve"> zijn onder te verdelen in geweerpoortbanen en pistoolpoortbanen.</w:t>
      </w:r>
    </w:p>
    <w:p w:rsidR="00F43C9B" w:rsidRPr="00AD2CF5" w:rsidRDefault="00F43C9B" w:rsidP="00F43C9B">
      <w:pPr>
        <w:shd w:val="clear" w:color="auto" w:fill="D9D9D9" w:themeFill="background1" w:themeFillShade="D9"/>
      </w:pPr>
      <w:r w:rsidRPr="00AD2CF5">
        <w:t>Een geweerpoortbaan heeft bijvoorbeeld een lengte van 100 m, 200 m of 300 m. Een pistool</w:t>
      </w:r>
      <w:r w:rsidRPr="00AD2CF5">
        <w:softHyphen/>
        <w:t>poortbaan is 20 m of 25 m lang. Het aantal schietpunten op de banen is meestal zes. Bij pistoolpoort</w:t>
      </w:r>
      <w:r w:rsidRPr="00AD2CF5">
        <w:softHyphen/>
        <w:t>banen maakt de eerste poort deel uit van een schiethuisje waarin de schutters zich bevinden.</w:t>
      </w:r>
    </w:p>
    <w:p w:rsidR="00F43C9B" w:rsidRPr="00AD2CF5" w:rsidRDefault="00F43C9B" w:rsidP="00F43C9B">
      <w:pPr>
        <w:shd w:val="clear" w:color="auto" w:fill="D9D9D9" w:themeFill="background1" w:themeFillShade="D9"/>
      </w:pPr>
      <w:r w:rsidRPr="00AD2CF5">
        <w:t>Het geluiduitstralingspatroon van een poortbaan is, door de vele reflecties die mogelijk zijn, zeer complex. Voor de berekening van de geluidbelasting wordt in de rekenmethode deze baan door een puntbron</w:t>
      </w:r>
      <w:r w:rsidRPr="00AD2CF5">
        <w:fldChar w:fldCharType="begin"/>
      </w:r>
      <w:r w:rsidRPr="00AD2CF5">
        <w:instrText xml:space="preserve"> XE "puntbron" </w:instrText>
      </w:r>
      <w:r w:rsidRPr="00AD2CF5">
        <w:fldChar w:fldCharType="end"/>
      </w:r>
      <w:r w:rsidRPr="00AD2CF5">
        <w:t xml:space="preserve"> gemodelleerd. Deze beschrijving is pas geldig op enige afstand van deze baan. In § 4.5.1 wordt hier nader op ingegaan.</w:t>
      </w:r>
    </w:p>
    <w:p w:rsidR="00F43C9B" w:rsidRPr="00AD2CF5" w:rsidRDefault="00F43C9B" w:rsidP="00F43C9B">
      <w:pPr>
        <w:shd w:val="clear" w:color="auto" w:fill="D9D9D9" w:themeFill="background1" w:themeFillShade="D9"/>
      </w:pPr>
      <w:r w:rsidRPr="00AD2CF5">
        <w:rPr>
          <w:i/>
        </w:rPr>
        <w:t>Schermenbanen</w:t>
      </w:r>
      <w:r w:rsidRPr="00AD2CF5">
        <w:br/>
        <w:t>Dit zijn schietbanen waarbij door middel van schermen, zijwallen of zijwanden en een over</w:t>
      </w:r>
      <w:r w:rsidRPr="00AD2CF5">
        <w:softHyphen/>
        <w:t>kap</w:t>
      </w:r>
      <w:r w:rsidRPr="00AD2CF5">
        <w:softHyphen/>
        <w:t>ping boven de kogelvanger wordt voorkomen dat - bij normaal gebruik van de baan - een direct schot en/of een ricochet de baan kan verlaten, waardoor geen onveilige zone in acht genomen behoeft te worden. De schermenbanen zijn onder te verdelen in schermenbanen voor geweer en schermenbanen voor pistool.</w:t>
      </w:r>
    </w:p>
    <w:p w:rsidR="00F43C9B" w:rsidRPr="00AD2CF5" w:rsidRDefault="00F43C9B" w:rsidP="00F43C9B">
      <w:pPr>
        <w:shd w:val="clear" w:color="auto" w:fill="D9D9D9" w:themeFill="background1" w:themeFillShade="D9"/>
      </w:pPr>
      <w:r w:rsidRPr="00AD2CF5">
        <w:t>Een schermenbaan</w:t>
      </w:r>
      <w:r w:rsidRPr="00AD2CF5">
        <w:fldChar w:fldCharType="begin"/>
      </w:r>
      <w:r w:rsidRPr="00AD2CF5">
        <w:instrText xml:space="preserve"> XE "schietinrichtingen:schermenbaan" </w:instrText>
      </w:r>
      <w:r w:rsidRPr="00AD2CF5">
        <w:fldChar w:fldCharType="end"/>
      </w:r>
      <w:r w:rsidRPr="00AD2CF5">
        <w:t xml:space="preserve"> voor geweer heeft een lengte van bijvoorbeeld 100 m, 200 m of 300 m. Een schermenbaan voor pistool is 25 m lang. Er zijn op schermenbanen meestal zes schietpunten. Het schuttersgedeelte van de baan is meestal overkapt. Ook zijn er voorbeelden waarbij de schut</w:t>
      </w:r>
      <w:r w:rsidRPr="00AD2CF5">
        <w:softHyphen/>
        <w:t>ter, gelegen op een brits, vanuit een omsloten ruimte door een klein venster schiet. Een 100 m baan kan ook voor het schieten met vuist-vuur</w:t>
      </w:r>
      <w:r w:rsidRPr="00AD2CF5">
        <w:softHyphen/>
        <w:t>wapens worden gebruikt. De schutter gaat hiertoe naar voren op een afstand van 25 m of minder van de kogelvanger. Deze schietpositie is meestal niet overkapt.</w:t>
      </w:r>
    </w:p>
    <w:p w:rsidR="00F43C9B" w:rsidRPr="00AD2CF5" w:rsidRDefault="00F43C9B" w:rsidP="00F43C9B">
      <w:pPr>
        <w:shd w:val="clear" w:color="auto" w:fill="D9D9D9" w:themeFill="background1" w:themeFillShade="D9"/>
      </w:pPr>
      <w:r w:rsidRPr="00AD2CF5">
        <w:t>De schermen zijn van beton en bekleed met hout. Akoestisch kunnen deze scher</w:t>
      </w:r>
      <w:r w:rsidRPr="00AD2CF5">
        <w:softHyphen/>
        <w:t>men de geluid</w:t>
      </w:r>
      <w:r w:rsidRPr="00AD2CF5">
        <w:softHyphen/>
        <w:t>uitstraling naar de omgeving sterk beïnvloeden. Naast een geluid</w:t>
      </w:r>
      <w:r w:rsidRPr="00AD2CF5">
        <w:softHyphen/>
        <w:t>reducerende invloed kunnen ze in bepaalde richtingen ook een geluid</w:t>
      </w:r>
      <w:r w:rsidRPr="00AD2CF5">
        <w:softHyphen/>
        <w:t>ver</w:t>
      </w:r>
      <w:r w:rsidRPr="00AD2CF5">
        <w:softHyphen/>
        <w:t>sterkende in</w:t>
      </w:r>
      <w:r w:rsidRPr="00AD2CF5">
        <w:softHyphen/>
        <w:t>vloed hebben door reflectie</w:t>
      </w:r>
      <w:r w:rsidRPr="00AD2CF5">
        <w:fldChar w:fldCharType="begin"/>
      </w:r>
      <w:r w:rsidRPr="00AD2CF5">
        <w:instrText xml:space="preserve"> XE "reflectie" </w:instrText>
      </w:r>
      <w:r w:rsidRPr="00AD2CF5">
        <w:fldChar w:fldCharType="end"/>
      </w:r>
      <w:r w:rsidRPr="00AD2CF5">
        <w:t xml:space="preserve"> van het geluid tegen deze schermen. Op schermen</w:t>
      </w:r>
      <w:r w:rsidRPr="00AD2CF5">
        <w:softHyphen/>
        <w:t>banen waar voldoende aanvullende akoestische maat</w:t>
      </w:r>
      <w:r w:rsidRPr="00AD2CF5">
        <w:softHyphen/>
        <w:t>regelen zijn getroffen, zal buiten de baan alleen kogelgeluid</w:t>
      </w:r>
      <w:r w:rsidRPr="00AD2CF5">
        <w:fldChar w:fldCharType="begin"/>
      </w:r>
      <w:r w:rsidRPr="00AD2CF5">
        <w:instrText xml:space="preserve"> XE "kogelgeluid" </w:instrText>
      </w:r>
      <w:r w:rsidRPr="00AD2CF5">
        <w:fldChar w:fldCharType="end"/>
      </w:r>
      <w:r w:rsidRPr="00AD2CF5">
        <w:t xml:space="preserve"> een rol van betekenis spelen.</w:t>
      </w:r>
    </w:p>
    <w:p w:rsidR="00F43C9B" w:rsidRPr="00AD2CF5" w:rsidRDefault="00F43C9B" w:rsidP="00F43C9B">
      <w:pPr>
        <w:shd w:val="clear" w:color="auto" w:fill="D9D9D9" w:themeFill="background1" w:themeFillShade="D9"/>
      </w:pPr>
      <w:r w:rsidRPr="00AD2CF5">
        <w:t>Het geluiduitstralingspatroon van een schermenbaan</w:t>
      </w:r>
      <w:r w:rsidRPr="00AD2CF5">
        <w:fldChar w:fldCharType="begin"/>
      </w:r>
      <w:r w:rsidRPr="00AD2CF5">
        <w:instrText xml:space="preserve"> XE "schietinrichtingen:schermenbaan" </w:instrText>
      </w:r>
      <w:r w:rsidRPr="00AD2CF5">
        <w:fldChar w:fldCharType="end"/>
      </w:r>
      <w:r w:rsidRPr="00AD2CF5">
        <w:t xml:space="preserve"> is, door de vele reflecties die mogelijk zijn, zeer complex. Voor de berekening van de geluidbelasting wordt in de rekenmethode de schermen</w:t>
      </w:r>
      <w:r w:rsidRPr="00AD2CF5">
        <w:softHyphen/>
        <w:t>baan gemodelleerd door één of meer puntbronnen. Deze beschrij</w:t>
      </w:r>
      <w:r w:rsidRPr="00AD2CF5">
        <w:softHyphen/>
        <w:t>ving is pas geldig op enige afstand van de schermenbaan. In § 4.5.1 wordt hierop nader op ingegaan.</w:t>
      </w:r>
    </w:p>
    <w:p w:rsidR="00F43C9B" w:rsidRPr="00AD2CF5" w:rsidRDefault="00F43C9B" w:rsidP="00F43C9B">
      <w:pPr>
        <w:shd w:val="clear" w:color="auto" w:fill="D9D9D9" w:themeFill="background1" w:themeFillShade="D9"/>
      </w:pPr>
      <w:r w:rsidRPr="00AD2CF5">
        <w:rPr>
          <w:i/>
        </w:rPr>
        <w:t>Poortkokerbanen</w:t>
      </w:r>
      <w:r w:rsidRPr="00AD2CF5">
        <w:rPr>
          <w:i/>
        </w:rPr>
        <w:br/>
      </w:r>
      <w:r w:rsidRPr="00AD2CF5">
        <w:t>Dit zijn schietbanen waarbij door middel van een poort en een koker wordt voorkomen dat - bij normaal gebruik van de baan - een direct schot en/of een ricochet de baan kan verlaten, waardoor geen onveilige zone in acht genomen behoeft te worden.</w:t>
      </w:r>
    </w:p>
    <w:p w:rsidR="00F43C9B" w:rsidRPr="00AD2CF5" w:rsidRDefault="00F43C9B" w:rsidP="00F43C9B">
      <w:pPr>
        <w:shd w:val="clear" w:color="auto" w:fill="D9D9D9" w:themeFill="background1" w:themeFillShade="D9"/>
      </w:pPr>
      <w:r w:rsidRPr="00AD2CF5">
        <w:t>Een poortkokerbaan heeft meestal een lengte van 25 m. Het aantal schietpunten bedraagt doorgaans vijf of zes. De schietposities bevinden zich net buiten het gebouw</w:t>
      </w:r>
      <w:r w:rsidRPr="00AD2CF5">
        <w:fldChar w:fldCharType="begin"/>
      </w:r>
      <w:r w:rsidRPr="00AD2CF5">
        <w:instrText xml:space="preserve"> XE "afschermende objecten:gebouw" </w:instrText>
      </w:r>
      <w:r w:rsidRPr="00AD2CF5">
        <w:fldChar w:fldCharType="end"/>
      </w:r>
      <w:r w:rsidRPr="00AD2CF5">
        <w:t xml:space="preserve"> (aan de open zijde) of voor kortere doelafstanden in het gebouw (de kokers zijn groot genoeg om in te staan). De bodem van de schietposities net buiten het gebouw is verlaagd uitgevoerd. Het gebouw is voorzien van een sheddak dat aan dezelfde kant als waar de opening van het gebouw ligt kleine ramen heeft.</w:t>
      </w:r>
    </w:p>
    <w:p w:rsidR="00F43C9B" w:rsidRPr="00AD2CF5" w:rsidRDefault="00F43C9B" w:rsidP="00F43C9B">
      <w:pPr>
        <w:shd w:val="clear" w:color="auto" w:fill="D9D9D9" w:themeFill="background1" w:themeFillShade="D9"/>
      </w:pPr>
      <w:r w:rsidRPr="00AD2CF5">
        <w:t>Ook een poortkokerbaan wordt in de rekenmethode gemodelleerd door een punt</w:t>
      </w:r>
      <w:r w:rsidRPr="00AD2CF5">
        <w:softHyphen/>
        <w:t>bron.</w:t>
      </w:r>
      <w:r w:rsidRPr="00AD2CF5">
        <w:fldChar w:fldCharType="begin"/>
      </w:r>
      <w:r w:rsidRPr="00AD2CF5">
        <w:instrText xml:space="preserve"> XE "puntbron" </w:instrText>
      </w:r>
      <w:r w:rsidRPr="00AD2CF5">
        <w:fldChar w:fldCharType="end"/>
      </w:r>
      <w:r w:rsidRPr="00AD2CF5">
        <w:t xml:space="preserve"> De geluiduitstraling is sterk richtingsafhankelijk. Met name naar achteren toe straalt een poort</w:t>
      </w:r>
      <w:r w:rsidRPr="00AD2CF5">
        <w:softHyphen/>
        <w:t>kokerbaan het meeste geluid uit. Door de afschermende werking van wanden en plafond is de geluiduitstraling lager naarmate het schietpunt dieper in het gebouw</w:t>
      </w:r>
      <w:r w:rsidRPr="00AD2CF5">
        <w:fldChar w:fldCharType="begin"/>
      </w:r>
      <w:r w:rsidRPr="00AD2CF5">
        <w:instrText xml:space="preserve"> XE "afschermende objecten:gebouw" </w:instrText>
      </w:r>
      <w:r w:rsidRPr="00AD2CF5">
        <w:fldChar w:fldCharType="end"/>
      </w:r>
      <w:r w:rsidRPr="00AD2CF5">
        <w:t xml:space="preserve"> ligt.</w:t>
      </w:r>
    </w:p>
    <w:p w:rsidR="00F43C9B" w:rsidRPr="00AD2CF5" w:rsidRDefault="00F43C9B" w:rsidP="00F43C9B">
      <w:pPr>
        <w:shd w:val="clear" w:color="auto" w:fill="D9D9D9" w:themeFill="background1" w:themeFillShade="D9"/>
      </w:pPr>
      <w:r w:rsidRPr="00AD2CF5">
        <w:rPr>
          <w:i/>
        </w:rPr>
        <w:t>Kokerbanen</w:t>
      </w:r>
      <w:r w:rsidRPr="00AD2CF5">
        <w:br/>
        <w:t>Dit zijn schietbanen waarbij door middel van een koker wordt voorkomen dat - bij normaal gebruik van de baan - een direct schot en/of een ricochet de baan kan ver</w:t>
      </w:r>
      <w:r w:rsidRPr="00AD2CF5">
        <w:softHyphen/>
        <w:t>laten, waardoor geen onveilige zone in acht genomen behoeft te worden.</w:t>
      </w:r>
    </w:p>
    <w:p w:rsidR="00F43C9B" w:rsidRPr="00AD2CF5" w:rsidRDefault="00F43C9B" w:rsidP="00F43C9B">
      <w:pPr>
        <w:shd w:val="clear" w:color="auto" w:fill="D9D9D9" w:themeFill="background1" w:themeFillShade="D9"/>
      </w:pPr>
      <w:r w:rsidRPr="00AD2CF5">
        <w:t xml:space="preserve">Een kokerbaan heeft slechts één open zijde achter de standplaats van de schutters. Een </w:t>
      </w:r>
      <w:r w:rsidRPr="00AD2CF5">
        <w:softHyphen/>
        <w:t>koker</w:t>
      </w:r>
      <w:r w:rsidRPr="00AD2CF5">
        <w:softHyphen/>
        <w:t>baan heeft doorgaans een lengte van 25 m. De schietposities bevinden zich bij de open zijde of (voor kortere doelafstanden) in het gebouw.</w:t>
      </w:r>
      <w:r w:rsidRPr="00AD2CF5">
        <w:fldChar w:fldCharType="begin"/>
      </w:r>
      <w:r w:rsidRPr="00AD2CF5">
        <w:instrText xml:space="preserve"> XE "afschermende objecten:gebouw" </w:instrText>
      </w:r>
      <w:r w:rsidRPr="00AD2CF5">
        <w:fldChar w:fldCharType="end"/>
      </w:r>
      <w:r w:rsidRPr="00AD2CF5">
        <w:t xml:space="preserve"> Op een afstand van ca 2 m van de kogelbaan</w:t>
      </w:r>
      <w:r w:rsidRPr="00AD2CF5">
        <w:fldChar w:fldCharType="begin"/>
      </w:r>
      <w:r w:rsidRPr="00AD2CF5">
        <w:instrText xml:space="preserve"> XE "kogelbaan" </w:instrText>
      </w:r>
      <w:r w:rsidRPr="00AD2CF5">
        <w:fldChar w:fldCharType="end"/>
      </w:r>
      <w:r w:rsidRPr="00AD2CF5">
        <w:t xml:space="preserve"> is meestal aan beide kanten een verbreding van ca 0,55 m in de koker aangebracht waarin zich een (niet aan</w:t>
      </w:r>
      <w:r w:rsidRPr="00AD2CF5">
        <w:softHyphen/>
        <w:t>schietbare) deur bevindt. De bodem van de schietposities net buiten het gebouw is meestal verlaagd uitgevoerd. Het gebouw is voorzien van een sheddak dat aan dezelfde kant als waar de opening van het gebouw ligt kleine ramen heeft.</w:t>
      </w:r>
    </w:p>
    <w:p w:rsidR="00F43C9B" w:rsidRPr="00AD2CF5" w:rsidRDefault="00F43C9B" w:rsidP="00F43C9B">
      <w:pPr>
        <w:shd w:val="clear" w:color="auto" w:fill="D9D9D9" w:themeFill="background1" w:themeFillShade="D9"/>
      </w:pPr>
      <w:r w:rsidRPr="00AD2CF5">
        <w:t>Ook een kokerbaan wordt in de rekenmethode gemodelleerd door een punt</w:t>
      </w:r>
      <w:r w:rsidRPr="00AD2CF5">
        <w:softHyphen/>
        <w:t>bron.</w:t>
      </w:r>
      <w:r w:rsidRPr="00AD2CF5">
        <w:fldChar w:fldCharType="begin"/>
      </w:r>
      <w:r w:rsidRPr="00AD2CF5">
        <w:instrText xml:space="preserve"> XE "puntbron" </w:instrText>
      </w:r>
      <w:r w:rsidRPr="00AD2CF5">
        <w:fldChar w:fldCharType="end"/>
      </w:r>
      <w:r w:rsidRPr="00AD2CF5">
        <w:t xml:space="preserve"> De geluid</w:t>
      </w:r>
      <w:r w:rsidRPr="00AD2CF5">
        <w:softHyphen/>
        <w:t xml:space="preserve">uitstraling is sterk richtingsafhankelijk. Met name naar achteren toe straalt een </w:t>
      </w:r>
      <w:r w:rsidRPr="00AD2CF5">
        <w:softHyphen/>
        <w:t>koker</w:t>
      </w:r>
      <w:r w:rsidRPr="00AD2CF5">
        <w:softHyphen/>
        <w:t>baan het meeste geluid uit. Door de afschermende werking van wanden en plafond neemt het bronniveau</w:t>
      </w:r>
      <w:r w:rsidRPr="00AD2CF5">
        <w:fldChar w:fldCharType="begin"/>
      </w:r>
      <w:r w:rsidRPr="00AD2CF5">
        <w:instrText xml:space="preserve"> XE "bronniveau" </w:instrText>
      </w:r>
      <w:r w:rsidRPr="00AD2CF5">
        <w:fldChar w:fldCharType="end"/>
      </w:r>
      <w:r w:rsidRPr="00AD2CF5">
        <w:t xml:space="preserve"> af als het schietpunt zich meer in het gebouw</w:t>
      </w:r>
      <w:r w:rsidRPr="00AD2CF5">
        <w:fldChar w:fldCharType="begin"/>
      </w:r>
      <w:r w:rsidRPr="00AD2CF5">
        <w:instrText xml:space="preserve"> XE "afschermende objecten:gebouw" </w:instrText>
      </w:r>
      <w:r w:rsidRPr="00AD2CF5">
        <w:fldChar w:fldCharType="end"/>
      </w:r>
      <w:r w:rsidRPr="00AD2CF5">
        <w:t xml:space="preserve"> bevindt.</w:t>
      </w:r>
    </w:p>
    <w:p w:rsidR="00F43C9B" w:rsidRPr="00AD2CF5" w:rsidRDefault="00F43C9B" w:rsidP="00F43C9B">
      <w:pPr>
        <w:shd w:val="clear" w:color="auto" w:fill="D9D9D9" w:themeFill="background1" w:themeFillShade="D9"/>
      </w:pPr>
      <w:r w:rsidRPr="00AD2CF5">
        <w:rPr>
          <w:i/>
        </w:rPr>
        <w:t>Handgranatenbanen</w:t>
      </w:r>
      <w:r w:rsidRPr="00AD2CF5">
        <w:br/>
        <w:t>Dit zijn banen waar met scherpe handgranaten</w:t>
      </w:r>
      <w:r w:rsidRPr="00AD2CF5">
        <w:fldChar w:fldCharType="begin"/>
      </w:r>
      <w:r w:rsidRPr="00AD2CF5">
        <w:instrText xml:space="preserve"> XE "handgranaten" </w:instrText>
      </w:r>
      <w:r w:rsidRPr="00AD2CF5">
        <w:fldChar w:fldCharType="end"/>
      </w:r>
      <w:r w:rsidRPr="00AD2CF5">
        <w:t xml:space="preserve"> kan worden geworpen. Een handgranaten</w:t>
      </w:r>
      <w:r w:rsidRPr="00AD2CF5">
        <w:softHyphen/>
        <w:t>baan bestaat uit een schuilplaats voor de oefenende eenheid, een munitie opslag- en verstrekkingspunt, een werppunt, een waarnemingspunt voor de officier belast met de leiding en een dekkingswal. Voorts behoort tot de baan een geëgaliseerde terreinstrook, breed ten minste 50 m en diep ten minste 75 m, waar de geworpen granaat terecht dient te komen.</w:t>
      </w:r>
    </w:p>
    <w:p w:rsidR="00F43C9B" w:rsidRPr="00AD2CF5" w:rsidRDefault="00F43C9B" w:rsidP="00F43C9B">
      <w:pPr>
        <w:shd w:val="clear" w:color="auto" w:fill="D9D9D9" w:themeFill="background1" w:themeFillShade="D9"/>
      </w:pPr>
      <w:r w:rsidRPr="00AD2CF5">
        <w:rPr>
          <w:i/>
        </w:rPr>
        <w:t>Miniatuurschietbanen</w:t>
      </w:r>
      <w:r w:rsidRPr="00AD2CF5">
        <w:br/>
        <w:t>Dit zijn schietbanen waarbij geschoten wordt met geweren, kaliber .22 inch, beves</w:t>
      </w:r>
      <w:r w:rsidRPr="00AD2CF5">
        <w:softHyphen/>
        <w:t>tigd in of aan boordkanonnen van voertuigen. Een miniatuurschietbaan bestaat meestal uit een verhard opstelplateau voor de voertuigen, een doelengebied van relatief grote omvang, doorgaans aangeduid als "zandbak", en een kogel</w:t>
      </w:r>
      <w:r w:rsidRPr="00AD2CF5">
        <w:softHyphen/>
        <w:t>vanger, al dan niet voorzien van een overkapping.</w:t>
      </w:r>
    </w:p>
    <w:p w:rsidR="00F43C9B" w:rsidRPr="00AD2CF5" w:rsidRDefault="00F43C9B" w:rsidP="00F43C9B">
      <w:pPr>
        <w:shd w:val="clear" w:color="auto" w:fill="D9D9D9" w:themeFill="background1" w:themeFillShade="D9"/>
      </w:pPr>
      <w:r w:rsidRPr="00AD2CF5">
        <w:rPr>
          <w:i/>
          <w:iCs/>
        </w:rPr>
        <w:t>Banen met schietbomen</w:t>
      </w:r>
      <w:r w:rsidRPr="00AD2CF5">
        <w:br/>
        <w:t>Op deze banen wordt er vanaf een vaste standplaats op een schietboom geschoten waarop een doel is aangebracht. Er wordt geschoten met geweren, lucht- en/of CO</w:t>
      </w:r>
      <w:r w:rsidRPr="00AD2CF5">
        <w:rPr>
          <w:vertAlign w:val="subscript"/>
        </w:rPr>
        <w:t>2</w:t>
      </w:r>
      <w:r w:rsidRPr="00AD2CF5">
        <w:t>-wapens of kruis- of handbogen. Behalve bij de kruis- en handbogen wordt gebruik gemaakt van een oplegsteun voor het wapen. In enkele gevallen is  er ook een kogelvanger aanwezig.</w:t>
      </w:r>
    </w:p>
    <w:p w:rsidR="00F43C9B" w:rsidRPr="00AD2CF5" w:rsidRDefault="00F43C9B" w:rsidP="00F43C9B">
      <w:pPr>
        <w:shd w:val="clear" w:color="auto" w:fill="D9D9D9" w:themeFill="background1" w:themeFillShade="D9"/>
      </w:pPr>
      <w:r w:rsidRPr="00AD2CF5">
        <w:t>Afhankelijk van het type doel wordt het  aangeduid als Oud Limburgs schieten, Brabants schieten of Gelders schieten. Bij Oud Limburgs schieten wordt de hark of de vogel als doel gebruikt. De hark is een houten raamwerk waarop een groot aantal blokjes hout is bevestigd. De vogel is een blok hout in de vorm van een vogel. Bij Brabants schieten wordt op de wip (een stalen schijfje) of op de gaai (vogel) geschoten. Bij Gelders schieten wordt geschoten op de vogel, de schijf of de lepel. Bij het schieten op de schijf wordt een papieren roos gebruikt. Bij het lepelschieten bestaat het doel uit een aantal lepels die kunnen scharnieren en die na een treffer weer overeind gehaald kunnen worden.</w:t>
      </w:r>
    </w:p>
    <w:p w:rsidR="00F43C9B" w:rsidRPr="00AD2CF5" w:rsidRDefault="00F43C9B" w:rsidP="00F43C9B">
      <w:pPr>
        <w:shd w:val="clear" w:color="auto" w:fill="D9D9D9" w:themeFill="background1" w:themeFillShade="D9"/>
      </w:pPr>
      <w:r w:rsidRPr="00AD2CF5">
        <w:rPr>
          <w:i/>
          <w:iCs/>
        </w:rPr>
        <w:t>Miniatuur kanonbanen</w:t>
      </w:r>
      <w:r w:rsidRPr="00AD2CF5">
        <w:br/>
        <w:t>Dit zijn schietbanen waar met miniatuur kanonnen wordt geschoten onder een zeer kleine elevatie</w:t>
      </w:r>
      <w:r w:rsidRPr="00AD2CF5">
        <w:fldChar w:fldCharType="begin"/>
      </w:r>
      <w:r w:rsidRPr="00AD2CF5">
        <w:instrText xml:space="preserve"> XE "elevatie" </w:instrText>
      </w:r>
      <w:r w:rsidRPr="00AD2CF5">
        <w:fldChar w:fldCharType="end"/>
      </w:r>
      <w:r w:rsidRPr="00AD2CF5">
        <w:t xml:space="preserve"> (5 graden) op doelen op een afstand van 25 tot 50 m.</w:t>
      </w:r>
    </w:p>
    <w:p w:rsidR="00F43C9B" w:rsidRPr="00AD2CF5" w:rsidRDefault="00F43C9B" w:rsidP="00F43C9B">
      <w:pPr>
        <w:shd w:val="clear" w:color="auto" w:fill="D9D9D9" w:themeFill="background1" w:themeFillShade="D9"/>
      </w:pPr>
      <w:r w:rsidRPr="00AD2CF5">
        <w:rPr>
          <w:i/>
          <w:iCs/>
        </w:rPr>
        <w:t>Boogbanen</w:t>
      </w:r>
      <w:r w:rsidRPr="00AD2CF5">
        <w:br/>
        <w:t>Boogbanen worden gebruikt voor schieten met kruis- en handbogen. Dit type baan is in dit voorschrift buiten beschouwing gelaten, omdat de geluidbelasting op de omgeving veroorzaakt door schieten met kruis- en handbogen verwaarloosbaar is.</w:t>
      </w:r>
    </w:p>
    <w:p w:rsidR="00F43C9B" w:rsidRPr="00AD2CF5" w:rsidRDefault="00F43C9B" w:rsidP="00F43C9B">
      <w:pPr>
        <w:shd w:val="clear" w:color="auto" w:fill="D9D9D9" w:themeFill="background1" w:themeFillShade="D9"/>
      </w:pPr>
      <w:r w:rsidRPr="00AD2CF5">
        <w:rPr>
          <w:i/>
          <w:iCs/>
        </w:rPr>
        <w:t>Kleiduivenschietbanen</w:t>
      </w:r>
      <w:r w:rsidRPr="00AD2CF5">
        <w:br/>
        <w:t>Op kleiduivenschietbanen</w:t>
      </w:r>
      <w:r w:rsidRPr="00AD2CF5">
        <w:fldChar w:fldCharType="begin"/>
      </w:r>
      <w:r w:rsidRPr="00AD2CF5">
        <w:instrText xml:space="preserve"> XE "schietinrichtingen:civiele schietbanen" </w:instrText>
      </w:r>
      <w:r w:rsidRPr="00AD2CF5">
        <w:fldChar w:fldCharType="end"/>
      </w:r>
      <w:r w:rsidRPr="00AD2CF5">
        <w:t xml:space="preserve"> wordt geschoten met hageljachtgeweren. Het doel is een kleiduif (schijf gebakken klei) die door middel van een hand- of mechanisch gedreven kleiduiven-werpmachine wordt weggeworpen over een afstand van maximaal 80 m.</w:t>
      </w:r>
    </w:p>
    <w:p w:rsidR="00F43C9B" w:rsidRPr="00AD2CF5" w:rsidRDefault="00F43C9B" w:rsidP="00F43C9B">
      <w:pPr>
        <w:shd w:val="clear" w:color="auto" w:fill="D9D9D9" w:themeFill="background1" w:themeFillShade="D9"/>
      </w:pPr>
      <w:r w:rsidRPr="00AD2CF5">
        <w:t>Kleiduivenschietbanen kunnen in verschillende variaties voorkomen:</w:t>
      </w:r>
    </w:p>
    <w:p w:rsidR="00F43C9B" w:rsidRPr="00AD2CF5" w:rsidRDefault="00F43C9B" w:rsidP="00EB7F6B">
      <w:pPr>
        <w:numPr>
          <w:ilvl w:val="0"/>
          <w:numId w:val="16"/>
        </w:numPr>
        <w:shd w:val="clear" w:color="auto" w:fill="D9D9D9" w:themeFill="background1" w:themeFillShade="D9"/>
        <w:spacing w:line="280" w:lineRule="exact"/>
      </w:pPr>
      <w:r w:rsidRPr="00AD2CF5">
        <w:t>Op een skeetbaan werpen twee tegenover elkaar staande machines, die zijn opgesteld in een hoge en een lage toren, de kleiduiven elk in een bepaalde richting. De schutter moet voortdurend langs een halve cirkel, met de twee werpmachines op de hoekpunten, van standplaats wisselen. Er zijn acht verschillende standplaatsen.</w:t>
      </w:r>
    </w:p>
    <w:p w:rsidR="00F43C9B" w:rsidRPr="00AD2CF5" w:rsidRDefault="00F43C9B" w:rsidP="00EB7F6B">
      <w:pPr>
        <w:numPr>
          <w:ilvl w:val="0"/>
          <w:numId w:val="16"/>
        </w:numPr>
        <w:shd w:val="clear" w:color="auto" w:fill="D9D9D9" w:themeFill="background1" w:themeFillShade="D9"/>
        <w:spacing w:line="280" w:lineRule="exact"/>
      </w:pPr>
      <w:r w:rsidRPr="00AD2CF5">
        <w:t>Bij een trapbaan staat de werpmachine op een vaste plaats opgesteld en zijn er meestal tien standplaatsen voor de schutter. De afstand van de schietpunten tot de werpmachine is 10 tot 15 m.</w:t>
      </w:r>
    </w:p>
    <w:p w:rsidR="00F43C9B" w:rsidRPr="00AD2CF5" w:rsidRDefault="00F43C9B" w:rsidP="00EB7F6B">
      <w:pPr>
        <w:numPr>
          <w:ilvl w:val="0"/>
          <w:numId w:val="16"/>
        </w:numPr>
        <w:shd w:val="clear" w:color="auto" w:fill="D9D9D9" w:themeFill="background1" w:themeFillShade="D9"/>
        <w:spacing w:line="280" w:lineRule="exact"/>
      </w:pPr>
      <w:r w:rsidRPr="00AD2CF5">
        <w:t>Bij een enkelvoudige oefenbaan is er slechts één vaste standplaats voor de schutter. De werpmachine is verplaatsbaar.</w:t>
      </w:r>
    </w:p>
    <w:p w:rsidR="00F43C9B" w:rsidRPr="00AD2CF5" w:rsidRDefault="00F43C9B" w:rsidP="00EB7F6B">
      <w:pPr>
        <w:numPr>
          <w:ilvl w:val="0"/>
          <w:numId w:val="16"/>
        </w:numPr>
        <w:shd w:val="clear" w:color="auto" w:fill="D9D9D9" w:themeFill="background1" w:themeFillShade="D9"/>
        <w:spacing w:line="280" w:lineRule="exact"/>
      </w:pPr>
      <w:r w:rsidRPr="00AD2CF5">
        <w:t>Bij een hazenbaan wordt meestal geschoten op een metalen schijf in de vorm van een haas waarop een kleiduif is aangebracht. De haas wordt voortbewogen langs draden of op rails met een snelheid van ongeveer 5 m/s. De  schutter staat op 15, 20 of 25 m afstand van het doel.</w:t>
      </w:r>
    </w:p>
    <w:p w:rsidR="00F43C9B" w:rsidRPr="00AD2CF5" w:rsidRDefault="00C428B8" w:rsidP="00F43C9B">
      <w:pPr>
        <w:pStyle w:val="Kop2"/>
        <w:shd w:val="clear" w:color="auto" w:fill="D9D9D9" w:themeFill="background1" w:themeFillShade="D9"/>
        <w:spacing w:line="240" w:lineRule="auto"/>
      </w:pPr>
      <w:r>
        <w:fldChar w:fldCharType="begin"/>
      </w:r>
      <w:r>
        <w:instrText xml:space="preserve"> SEQ numchaplev1 \c \* MERGEFORMAT </w:instrText>
      </w:r>
      <w:r>
        <w:fldChar w:fldCharType="separate"/>
      </w:r>
      <w:bookmarkStart w:id="513" w:name="_Toc413945818"/>
      <w:bookmarkStart w:id="514" w:name="_Toc431375831"/>
      <w:r w:rsidR="00F43C9B">
        <w:rPr>
          <w:noProof/>
        </w:rPr>
        <w:t>2</w:t>
      </w:r>
      <w:r>
        <w:rPr>
          <w:noProof/>
        </w:rPr>
        <w:fldChar w:fldCharType="end"/>
      </w:r>
      <w:r w:rsidR="00F43C9B" w:rsidRPr="00AD2CF5">
        <w:t>.</w:t>
      </w:r>
      <w:r>
        <w:fldChar w:fldCharType="begin"/>
      </w:r>
      <w:r>
        <w:instrText xml:space="preserve"> SEQ numchaplev2 \n \* MERGEF</w:instrText>
      </w:r>
      <w:r>
        <w:instrText xml:space="preserve">ORMAT </w:instrText>
      </w:r>
      <w:r>
        <w:fldChar w:fldCharType="separate"/>
      </w:r>
      <w:r w:rsidR="00F43C9B">
        <w:rPr>
          <w:noProof/>
        </w:rPr>
        <w:t>8</w:t>
      </w:r>
      <w:r>
        <w:rPr>
          <w:noProof/>
        </w:rPr>
        <w:fldChar w:fldCharType="end"/>
      </w:r>
      <w:r w:rsidR="00F43C9B" w:rsidRPr="00AD2CF5">
        <w:fldChar w:fldCharType="begin"/>
      </w:r>
      <w:r w:rsidR="00F43C9B" w:rsidRPr="00AD2CF5">
        <w:instrText xml:space="preserve"> SEQ numchaplev3 \r0\h \* MERGEFORMAT </w:instrText>
      </w:r>
      <w:r w:rsidR="00F43C9B" w:rsidRPr="00AD2CF5">
        <w:fldChar w:fldCharType="end"/>
      </w:r>
      <w:r w:rsidR="00F43C9B" w:rsidRPr="00AD2CF5">
        <w:tab/>
        <w:t>Militaire oefenterreinen</w:t>
      </w:r>
      <w:bookmarkEnd w:id="513"/>
      <w:bookmarkEnd w:id="514"/>
      <w:r w:rsidR="00F43C9B" w:rsidRPr="00AD2CF5">
        <w:fldChar w:fldCharType="begin"/>
      </w:r>
      <w:r w:rsidR="00F43C9B" w:rsidRPr="00AD2CF5">
        <w:instrText xml:space="preserve"> XE "</w:instrText>
      </w:r>
      <w:r w:rsidR="00F43C9B" w:rsidRPr="00AD2CF5">
        <w:rPr>
          <w:sz w:val="22"/>
        </w:rPr>
        <w:instrText>schietinrichtingen:oefenterreinen"</w:instrText>
      </w:r>
      <w:r w:rsidR="00F43C9B" w:rsidRPr="00AD2CF5">
        <w:instrText xml:space="preserve"> </w:instrText>
      </w:r>
      <w:r w:rsidR="00F43C9B" w:rsidRPr="00AD2CF5">
        <w:fldChar w:fldCharType="end"/>
      </w:r>
    </w:p>
    <w:p w:rsidR="00F43C9B" w:rsidRPr="00AD2CF5" w:rsidRDefault="00F43C9B" w:rsidP="00F43C9B">
      <w:pPr>
        <w:shd w:val="clear" w:color="auto" w:fill="D9D9D9" w:themeFill="background1" w:themeFillShade="D9"/>
      </w:pPr>
      <w:r w:rsidRPr="00AD2CF5">
        <w:t>Op militaire oefenterreinen</w:t>
      </w:r>
      <w:r w:rsidRPr="00AD2CF5">
        <w:fldChar w:fldCharType="begin"/>
      </w:r>
      <w:r w:rsidRPr="00AD2CF5">
        <w:instrText xml:space="preserve"> XE "schietinrichtingen:oefenterreinen" </w:instrText>
      </w:r>
      <w:r w:rsidRPr="00AD2CF5">
        <w:fldChar w:fldCharType="end"/>
      </w:r>
      <w:r w:rsidRPr="00AD2CF5">
        <w:t xml:space="preserve"> wordt niet met een scherpe patroon ("Ball") geschoten, maar wordt een losse patroon ("blank") toegepast, die over het algemeen minder geluid voortbrengt. Verder wordt soms ook gebruik gemaakt van knalsimulatie-middelen.</w:t>
      </w:r>
    </w:p>
    <w:p w:rsidR="00F43C9B" w:rsidRPr="00AD2CF5" w:rsidRDefault="00F43C9B" w:rsidP="00F43C9B">
      <w:pPr>
        <w:shd w:val="clear" w:color="auto" w:fill="D9D9D9" w:themeFill="background1" w:themeFillShade="D9"/>
      </w:pPr>
      <w:r w:rsidRPr="00AD2CF5">
        <w:t>Gevechtsituaties worden nagebootst waarbij er sprake is van een aanvallende en een verdedigende partij. Plaats en richting van schieten bij deze oefeningen zijn slechts bij benadering bekend. Het verdient daarom aanbeveling van een referen</w:t>
      </w:r>
      <w:r w:rsidRPr="00AD2CF5">
        <w:softHyphen/>
        <w:t>tie</w:t>
      </w:r>
      <w:r w:rsidRPr="00AD2CF5">
        <w:softHyphen/>
      </w:r>
      <w:r w:rsidRPr="00AD2CF5">
        <w:softHyphen/>
        <w:t>oefening uit te gaan. In § 4.5.1 wordt hier nader op ingegaan.</w:t>
      </w:r>
    </w:p>
    <w:bookmarkStart w:id="515" w:name="_Toc465131602"/>
    <w:p w:rsidR="00F43C9B" w:rsidRPr="00AD2CF5" w:rsidRDefault="00F43C9B" w:rsidP="00F43C9B">
      <w:pPr>
        <w:pStyle w:val="Kop2"/>
        <w:shd w:val="clear" w:color="auto" w:fill="D9D9D9" w:themeFill="background1" w:themeFillShade="D9"/>
      </w:pPr>
      <w:r w:rsidRPr="00AD2CF5">
        <w:fldChar w:fldCharType="begin"/>
      </w:r>
      <w:r w:rsidRPr="00AD2CF5">
        <w:instrText xml:space="preserve"> SEQ numchaplev1 \c \* MERGEFORMAT </w:instrText>
      </w:r>
      <w:r w:rsidRPr="00AD2CF5">
        <w:fldChar w:fldCharType="separate"/>
      </w:r>
      <w:bookmarkStart w:id="516" w:name="_Toc529692788"/>
      <w:bookmarkStart w:id="517" w:name="_Toc413945819"/>
      <w:bookmarkStart w:id="518" w:name="_Toc431375832"/>
      <w:r>
        <w:rPr>
          <w:noProof/>
        </w:rPr>
        <w:t>2</w:t>
      </w:r>
      <w:r w:rsidRPr="00AD2CF5">
        <w:fldChar w:fldCharType="end"/>
      </w:r>
      <w:r w:rsidRPr="00AD2CF5">
        <w:t>.</w:t>
      </w:r>
      <w:r w:rsidR="00C428B8">
        <w:fldChar w:fldCharType="begin"/>
      </w:r>
      <w:r w:rsidR="00C428B8">
        <w:instrText xml:space="preserve"> SEQ numchap</w:instrText>
      </w:r>
      <w:r w:rsidR="00C428B8">
        <w:instrText xml:space="preserve">lev2 \n \* MERGEFORMAT </w:instrText>
      </w:r>
      <w:r w:rsidR="00C428B8">
        <w:fldChar w:fldCharType="separate"/>
      </w:r>
      <w:r>
        <w:rPr>
          <w:noProof/>
        </w:rPr>
        <w:t>9</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Achtergronden bij de fysische modellering van schietgeluid</w:t>
      </w:r>
      <w:bookmarkEnd w:id="515"/>
      <w:bookmarkEnd w:id="516"/>
      <w:bookmarkEnd w:id="517"/>
      <w:bookmarkEnd w:id="518"/>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Bij het geluid dat ontstaat door het gebruik van een vuurwapen kunnen drie verschillende bijdragen worden onderscheide:</w:t>
      </w:r>
    </w:p>
    <w:p w:rsidR="00F43C9B" w:rsidRPr="00AD2CF5" w:rsidRDefault="00F43C9B" w:rsidP="00EB7F6B">
      <w:pPr>
        <w:numPr>
          <w:ilvl w:val="0"/>
          <w:numId w:val="6"/>
        </w:numPr>
        <w:shd w:val="clear" w:color="auto" w:fill="D9D9D9" w:themeFill="background1" w:themeFillShade="D9"/>
        <w:tabs>
          <w:tab w:val="clear" w:pos="360"/>
          <w:tab w:val="left" w:pos="-108"/>
          <w:tab w:val="num" w:pos="420"/>
          <w:tab w:val="left" w:pos="743"/>
          <w:tab w:val="left" w:pos="2160"/>
          <w:tab w:val="left" w:pos="2897"/>
          <w:tab w:val="left" w:pos="3180"/>
          <w:tab w:val="left" w:pos="4314"/>
        </w:tabs>
        <w:suppressAutoHyphens/>
        <w:spacing w:line="240" w:lineRule="auto"/>
        <w:ind w:left="420"/>
      </w:pPr>
      <w:r w:rsidRPr="00AD2CF5">
        <w:t>mondingsgeluid</w:t>
      </w:r>
      <w:r w:rsidRPr="00AD2CF5">
        <w:fldChar w:fldCharType="begin"/>
      </w:r>
      <w:r w:rsidRPr="00AD2CF5">
        <w:instrText xml:space="preserve"> XE "mondingsgeluid" </w:instrText>
      </w:r>
      <w:r w:rsidRPr="00AD2CF5">
        <w:fldChar w:fldCharType="end"/>
      </w:r>
    </w:p>
    <w:p w:rsidR="00F43C9B" w:rsidRPr="00AD2CF5" w:rsidRDefault="00F43C9B" w:rsidP="00EB7F6B">
      <w:pPr>
        <w:numPr>
          <w:ilvl w:val="0"/>
          <w:numId w:val="6"/>
        </w:numPr>
        <w:shd w:val="clear" w:color="auto" w:fill="D9D9D9" w:themeFill="background1" w:themeFillShade="D9"/>
        <w:tabs>
          <w:tab w:val="clear" w:pos="360"/>
          <w:tab w:val="left" w:pos="-108"/>
          <w:tab w:val="num" w:pos="420"/>
          <w:tab w:val="left" w:pos="743"/>
          <w:tab w:val="left" w:pos="2160"/>
          <w:tab w:val="left" w:pos="2897"/>
          <w:tab w:val="left" w:pos="3180"/>
          <w:tab w:val="left" w:pos="4314"/>
        </w:tabs>
        <w:suppressAutoHyphens/>
        <w:spacing w:line="240" w:lineRule="auto"/>
        <w:ind w:left="420"/>
      </w:pPr>
      <w:r w:rsidRPr="00AD2CF5">
        <w:t>detonatiegeluid</w:t>
      </w:r>
    </w:p>
    <w:p w:rsidR="00F43C9B" w:rsidRPr="00AD2CF5" w:rsidRDefault="00F43C9B" w:rsidP="00EB7F6B">
      <w:pPr>
        <w:numPr>
          <w:ilvl w:val="0"/>
          <w:numId w:val="6"/>
        </w:numPr>
        <w:shd w:val="clear" w:color="auto" w:fill="D9D9D9" w:themeFill="background1" w:themeFillShade="D9"/>
        <w:tabs>
          <w:tab w:val="clear" w:pos="360"/>
          <w:tab w:val="left" w:pos="-108"/>
          <w:tab w:val="num" w:pos="420"/>
          <w:tab w:val="left" w:pos="743"/>
          <w:tab w:val="left" w:pos="2160"/>
          <w:tab w:val="left" w:pos="2897"/>
          <w:tab w:val="left" w:pos="3180"/>
          <w:tab w:val="left" w:pos="4314"/>
        </w:tabs>
        <w:suppressAutoHyphens/>
        <w:spacing w:line="240" w:lineRule="auto"/>
        <w:ind w:left="420"/>
      </w:pPr>
      <w:r w:rsidRPr="00AD2CF5">
        <w:t>kogelgeluid</w:t>
      </w:r>
      <w:r w:rsidRPr="00AD2CF5">
        <w:fldChar w:fldCharType="begin"/>
      </w:r>
      <w:r w:rsidRPr="00AD2CF5">
        <w:instrText xml:space="preserve"> XE "kogelgeluid" </w:instrText>
      </w:r>
      <w:r w:rsidRPr="00AD2CF5">
        <w:fldChar w:fldCharType="end"/>
      </w:r>
    </w:p>
    <w:p w:rsidR="00F43C9B" w:rsidRPr="00AD2CF5" w:rsidRDefault="00F43C9B" w:rsidP="00F43C9B">
      <w:pPr>
        <w:pStyle w:val="Inhopg1"/>
        <w:shd w:val="clear" w:color="auto" w:fill="D9D9D9" w:themeFill="background1" w:themeFillShade="D9"/>
        <w:tabs>
          <w:tab w:val="left" w:pos="-108"/>
          <w:tab w:val="left" w:pos="743"/>
          <w:tab w:val="left" w:pos="2160"/>
          <w:tab w:val="left" w:pos="2897"/>
          <w:tab w:val="left" w:pos="3180"/>
          <w:tab w:val="left" w:pos="4314"/>
        </w:tabs>
        <w:suppressAutoHyphens/>
        <w:spacing w:after="0" w:line="240" w:lineRule="auto"/>
      </w:pP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In deze paragraaf zullen we de specifieke fysische eigenschappen van schietgeluid nader toelichten om inzicht te geven in de modellering van schietgeluid.</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rPr>
          <w:i/>
        </w:rPr>
        <w:t>Mondingsgeluid en detonatiegeluid</w:t>
      </w:r>
      <w:r w:rsidRPr="00AD2CF5">
        <w:br/>
        <w:t>Door de explosie van de voortdrijvende lading in een projectiel ontstaat er een grote drukpuls. Het hier</w:t>
      </w:r>
      <w:r w:rsidRPr="00AD2CF5">
        <w:softHyphen/>
        <w:t>door opgewekte geluidveld laat zich goed beschrijven door een akoestische punt</w:t>
      </w:r>
      <w:r w:rsidRPr="00AD2CF5">
        <w:softHyphen/>
        <w:t>bron</w:t>
      </w:r>
      <w:r w:rsidRPr="00AD2CF5">
        <w:fldChar w:fldCharType="begin"/>
      </w:r>
      <w:r w:rsidRPr="00AD2CF5">
        <w:instrText xml:space="preserve"> XE "puntbron" </w:instrText>
      </w:r>
      <w:r w:rsidRPr="00AD2CF5">
        <w:fldChar w:fldCharType="end"/>
      </w:r>
      <w:r w:rsidRPr="00AD2CF5">
        <w:t xml:space="preserve"> met een richtingsafhankelijke geluiduitstraling. Voor lichte vuurwapens is de richtingsafhan</w:t>
      </w:r>
      <w:r w:rsidRPr="00AD2CF5">
        <w:softHyphen/>
        <w:t>ke</w:t>
      </w:r>
      <w:r w:rsidRPr="00AD2CF5">
        <w:softHyphen/>
        <w:t>lijkheid over het algemeen groter dan bij de zwaardere wapen</w:t>
      </w:r>
      <w:r w:rsidRPr="00AD2CF5">
        <w:softHyphen/>
        <w:t>typen</w:t>
      </w:r>
      <w:r w:rsidRPr="00AD2CF5">
        <w:fldChar w:fldCharType="begin"/>
      </w:r>
      <w:r w:rsidRPr="00AD2CF5">
        <w:instrText xml:space="preserve"> XE "wapentypen" </w:instrText>
      </w:r>
      <w:r w:rsidRPr="00AD2CF5">
        <w:fldChar w:fldCharType="end"/>
      </w:r>
      <w:r w:rsidRPr="00AD2CF5">
        <w:t>. Het verschil tussen het niveau vóór en achter het wapen kan bij lichte handvuurwapens in de orde van 15 dB zijn.</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Het bronpunt voor lichte handvuurwapens ligt aan het einde van de loop. Voor zwaardere wapens ligt het broncentrum iets verder voor de loop (zie hiervoor ook § 4.5.1). Indien op korte afstand van een wapen afschermende objecten staan opgesteld moet hier terdege rekening mee gehouden worden.</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Terugstootloze vuurwapens hebben in principe twee bronpunten, één aan de voor</w:t>
      </w:r>
      <w:r w:rsidRPr="00AD2CF5">
        <w:softHyphen/>
        <w:t>kant (in Engels: muzzle blast) en één aan de achterzijde van het wapen (in engels: breech blast). Het niveau van het bronpunt aan de achterzijde van het wapen is vele malen sterker dan het bronpunt aan de voorzijde van het wapen, zodat in goede benadering van één bronpunt aan de achterzijde van het wapen kan worden uitge</w:t>
      </w:r>
      <w:r w:rsidRPr="00AD2CF5">
        <w:softHyphen/>
        <w:t>gaan.</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Het akoestisch model dat in dit voorschrift wordt beschreven is een lineair model. Op korte afstand van het wapen zijn de geluiddrukniveaus echter dermate hoog dat de geluid</w:t>
      </w:r>
      <w:r w:rsidRPr="00AD2CF5">
        <w:softHyphen/>
        <w:t>overdracht</w:t>
      </w:r>
      <w:r w:rsidRPr="00AD2CF5">
        <w:fldChar w:fldCharType="begin"/>
      </w:r>
      <w:r w:rsidRPr="00AD2CF5">
        <w:instrText xml:space="preserve"> XE "geluidoverdracht" </w:instrText>
      </w:r>
      <w:r w:rsidRPr="00AD2CF5">
        <w:fldChar w:fldCharType="end"/>
      </w:r>
      <w:r w:rsidRPr="00AD2CF5">
        <w:t xml:space="preserve"> niet door een lineair model kan worden beschreven. Op enige afstand van de bron zijn de drukniveaus echter zover afgenomen dat een beschrij</w:t>
      </w:r>
      <w:r w:rsidRPr="00AD2CF5">
        <w:softHyphen/>
        <w:t>ving door een lineair model wel kan worden toegepast. Dit betekent dat het model niet op korte afstanden van de bron kan worden toegepast (zie ook § 4.2).</w:t>
      </w:r>
    </w:p>
    <w:p w:rsidR="00F43C9B"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rPr>
          <w:i/>
        </w:rPr>
        <w:t>Kogelgeluid</w:t>
      </w:r>
      <w:r w:rsidRPr="00AD2CF5">
        <w:rPr>
          <w:i/>
        </w:rPr>
        <w:br/>
      </w:r>
      <w:r w:rsidRPr="00AD2CF5">
        <w:t>Kogelgeluid heeft een principieel ander gedrag dan mondings- en detonatiegeluid. Het ontstaat door verstoring van de lucht door een supersone kogel. De lucht</w:t>
      </w:r>
      <w:r w:rsidRPr="00AD2CF5">
        <w:softHyphen/>
        <w:t>verstoring is geconcentreerd op een kegelvormig oppervlak, dat zich met de geluidsnelheid</w:t>
      </w:r>
      <w:r w:rsidRPr="00AD2CF5">
        <w:fldChar w:fldCharType="begin"/>
      </w:r>
      <w:r w:rsidRPr="00AD2CF5">
        <w:instrText xml:space="preserve"> XE "geluidsnelheid" </w:instrText>
      </w:r>
      <w:r w:rsidRPr="00AD2CF5">
        <w:fldChar w:fldCharType="end"/>
      </w:r>
      <w:r w:rsidRPr="00AD2CF5">
        <w:t xml:space="preserve"> vanaf de kogelbaan</w:t>
      </w:r>
      <w:r w:rsidRPr="00AD2CF5">
        <w:fldChar w:fldCharType="begin"/>
      </w:r>
      <w:r w:rsidRPr="00AD2CF5">
        <w:instrText xml:space="preserve"> XE "kogelbaan" </w:instrText>
      </w:r>
      <w:r w:rsidRPr="00AD2CF5">
        <w:fldChar w:fldCharType="end"/>
      </w:r>
      <w:r w:rsidRPr="00AD2CF5">
        <w:t xml:space="preserve"> uitbreidt. Dit oppervlak wordt de Mach</w:t>
      </w:r>
      <w:r w:rsidRPr="00AD2CF5">
        <w:noBreakHyphen/>
        <w:t>golf</w:t>
      </w:r>
      <w:r w:rsidRPr="00AD2CF5">
        <w:fldChar w:fldCharType="begin"/>
      </w:r>
      <w:r w:rsidRPr="00AD2CF5">
        <w:instrText xml:space="preserve"> XE "mach-golf" </w:instrText>
      </w:r>
      <w:r w:rsidRPr="00AD2CF5">
        <w:fldChar w:fldCharType="end"/>
      </w:r>
      <w:r w:rsidRPr="00AD2CF5">
        <w:t xml:space="preserve"> genoemd. Op het moment dat de Mach</w:t>
      </w:r>
      <w:r w:rsidRPr="00AD2CF5">
        <w:noBreakHyphen/>
        <w:t xml:space="preserve">golf een waarnemer passeert, wordt het als een knal waargenomen. De kogelknal wordt altijd eerder waargenomen dan de mondingsknal. De halve tophoek </w:t>
      </w:r>
      <w:r w:rsidRPr="00AD2CF5">
        <w:rPr>
          <w:i/>
        </w:rPr>
        <w:sym w:font="Symbol" w:char="F06D"/>
      </w:r>
      <w:r w:rsidRPr="00AD2CF5">
        <w:t xml:space="preserve"> van de kegelvormige Mach</w:t>
      </w:r>
      <w:r w:rsidRPr="00AD2CF5">
        <w:noBreakHyphen/>
        <w:t>golf wordt de Mach</w:t>
      </w:r>
      <w:r w:rsidRPr="00AD2CF5">
        <w:noBreakHyphen/>
        <w:t>hoek</w:t>
      </w:r>
      <w:r w:rsidRPr="00AD2CF5">
        <w:fldChar w:fldCharType="begin"/>
      </w:r>
      <w:r w:rsidRPr="00AD2CF5">
        <w:instrText xml:space="preserve"> XE "mach-hoek" </w:instrText>
      </w:r>
      <w:r w:rsidRPr="00AD2CF5">
        <w:fldChar w:fldCharType="end"/>
      </w:r>
      <w:r w:rsidRPr="00AD2CF5">
        <w:t xml:space="preserve"> genoemd. De Mach</w:t>
      </w:r>
      <w:r w:rsidRPr="00AD2CF5">
        <w:noBreakHyphen/>
        <w:t xml:space="preserve">hoek wordt bepaald door de geluidsnelheid </w:t>
      </w:r>
      <w:r w:rsidRPr="00AD2CF5">
        <w:rPr>
          <w:i/>
        </w:rPr>
        <w:t>c</w:t>
      </w:r>
      <w:r w:rsidRPr="00AD2CF5">
        <w:rPr>
          <w:vertAlign w:val="subscript"/>
        </w:rPr>
        <w:t>10</w:t>
      </w:r>
      <w:r w:rsidRPr="00AD2CF5">
        <w:t xml:space="preserve"> en de kogelsnelheid</w:t>
      </w:r>
      <w:r w:rsidRPr="00AD2CF5">
        <w:fldChar w:fldCharType="begin"/>
      </w:r>
      <w:r w:rsidRPr="00AD2CF5">
        <w:instrText xml:space="preserve"> XE "kogelsnelheid" </w:instrText>
      </w:r>
      <w:r w:rsidRPr="00AD2CF5">
        <w:fldChar w:fldCharType="end"/>
      </w:r>
      <w:r w:rsidRPr="00AD2CF5">
        <w:t xml:space="preserve"> </w:t>
      </w:r>
      <w:r w:rsidRPr="00AD2CF5">
        <w:rPr>
          <w:i/>
        </w:rPr>
        <w:t>v</w:t>
      </w:r>
      <w:r w:rsidRPr="00AD2CF5">
        <w:rPr>
          <w:i/>
          <w:vertAlign w:val="subscript"/>
        </w:rPr>
        <w:t>k</w:t>
      </w:r>
      <w:r w:rsidRPr="00AD2CF5">
        <w:t>, volgens de relatie:</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position w:val="-28"/>
        </w:rPr>
        <w:object w:dxaOrig="1120" w:dyaOrig="680">
          <v:shape id="_x0000_i1032" type="#_x0000_t75" style="width:55.5pt;height:34.5pt" o:ole="" fillcolor="window">
            <v:imagedata r:id="rId72" o:title=""/>
          </v:shape>
          <o:OLEObject Type="Embed" ProgID="Equation.3" ShapeID="_x0000_i1032" DrawAspect="Content" ObjectID="_1511255370" r:id="rId73"/>
        </w:object>
      </w:r>
      <w:r w:rsidRPr="00AD2CF5">
        <w:rPr>
          <w:lang w:val="nl-NL"/>
        </w:rPr>
        <w:tab/>
        <w:t>(2. 8)</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De kogelsnelheid</w:t>
      </w:r>
      <w:r w:rsidRPr="00AD2CF5">
        <w:fldChar w:fldCharType="begin"/>
      </w:r>
      <w:r w:rsidRPr="00AD2CF5">
        <w:instrText xml:space="preserve"> XE "kogelsnelheid" </w:instrText>
      </w:r>
      <w:r w:rsidRPr="00AD2CF5">
        <w:fldChar w:fldCharType="end"/>
      </w:r>
      <w:r w:rsidRPr="00AD2CF5">
        <w:t xml:space="preserve"> neemt in het algemeen af langs de kogelbaan,</w:t>
      </w:r>
      <w:r w:rsidRPr="00AD2CF5">
        <w:fldChar w:fldCharType="begin"/>
      </w:r>
      <w:r w:rsidRPr="00AD2CF5">
        <w:instrText xml:space="preserve"> XE "kogelbaan" </w:instrText>
      </w:r>
      <w:r w:rsidRPr="00AD2CF5">
        <w:fldChar w:fldCharType="end"/>
      </w:r>
      <w:r w:rsidRPr="00AD2CF5">
        <w:t xml:space="preserve"> waardoor de Mach</w:t>
      </w:r>
      <w:r w:rsidRPr="00AD2CF5">
        <w:noBreakHyphen/>
        <w:t>hoek</w:t>
      </w:r>
      <w:r w:rsidRPr="00AD2CF5">
        <w:fldChar w:fldCharType="begin"/>
      </w:r>
      <w:r w:rsidRPr="00AD2CF5">
        <w:instrText xml:space="preserve"> XE "mach-hoek" </w:instrText>
      </w:r>
      <w:r w:rsidRPr="00AD2CF5">
        <w:fldChar w:fldCharType="end"/>
      </w:r>
      <w:r w:rsidRPr="00AD2CF5">
        <w:t xml:space="preserve"> toeneemt (het complement van de Mach</w:t>
      </w:r>
      <w:r w:rsidRPr="00AD2CF5">
        <w:noBreakHyphen/>
        <w:t xml:space="preserve">hoek, </w:t>
      </w:r>
      <w:r w:rsidRPr="00AD2CF5">
        <w:rPr>
          <w:i/>
        </w:rPr>
        <w:sym w:font="Symbol" w:char="F078"/>
      </w:r>
      <w:r w:rsidRPr="00AD2CF5">
        <w:rPr>
          <w:i/>
        </w:rPr>
        <w:t> = </w:t>
      </w:r>
      <w:r w:rsidRPr="00AD2CF5">
        <w:t>90</w:t>
      </w:r>
      <w:r w:rsidRPr="00AD2CF5">
        <w:rPr>
          <w:vertAlign w:val="superscript"/>
        </w:rPr>
        <w:t>o</w:t>
      </w:r>
      <w:r w:rsidRPr="00AD2CF5">
        <w:t> </w:t>
      </w:r>
      <w:r w:rsidRPr="00AD2CF5">
        <w:noBreakHyphen/>
        <w:t> </w:t>
      </w:r>
      <w:r w:rsidRPr="00AD2CF5">
        <w:rPr>
          <w:i/>
        </w:rPr>
        <w:sym w:font="Symbol" w:char="F06D"/>
      </w:r>
      <w:r w:rsidRPr="00AD2CF5">
        <w:t xml:space="preserve"> neemt dus juist af langs de kogelbaan). Hierdoor is de Mach</w:t>
      </w:r>
      <w:r w:rsidRPr="00AD2CF5">
        <w:noBreakHyphen/>
        <w:t>golf</w:t>
      </w:r>
      <w:r w:rsidRPr="00AD2CF5">
        <w:fldChar w:fldCharType="begin"/>
      </w:r>
      <w:r w:rsidRPr="00AD2CF5">
        <w:instrText xml:space="preserve"> XE "mach-golf" </w:instrText>
      </w:r>
      <w:r w:rsidRPr="00AD2CF5">
        <w:fldChar w:fldCharType="end"/>
      </w:r>
      <w:r w:rsidRPr="00AD2CF5">
        <w:t xml:space="preserve"> geen perfect kegel</w:t>
      </w:r>
      <w:r w:rsidRPr="00AD2CF5">
        <w:softHyphen/>
        <w:t>opper</w:t>
      </w:r>
      <w:r w:rsidRPr="00AD2CF5">
        <w:softHyphen/>
        <w:t>vlak, maar een gekromd kegeloppervlak. Dit is geïllustreerd in figuur 2.2.</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r w:rsidRPr="00AD2CF5">
        <w:t>Bij de modellering van kogelgeluid</w:t>
      </w:r>
      <w:r w:rsidRPr="00AD2CF5">
        <w:fldChar w:fldCharType="begin"/>
      </w:r>
      <w:r w:rsidRPr="00AD2CF5">
        <w:instrText xml:space="preserve"> XE "kogelgeluid" </w:instrText>
      </w:r>
      <w:r w:rsidRPr="00AD2CF5">
        <w:fldChar w:fldCharType="end"/>
      </w:r>
      <w:r w:rsidRPr="00AD2CF5">
        <w:t xml:space="preserve"> worden drie gebieden onderscheiden, die aangegeven zijn in figuur 2.2. Het niveau van kogelgeluid is het hoogst in gebied II, het Mach</w:t>
      </w:r>
      <w:r w:rsidRPr="00AD2CF5">
        <w:noBreakHyphen/>
        <w:t>gebied</w:t>
      </w:r>
      <w:r w:rsidRPr="00AD2CF5">
        <w:fldChar w:fldCharType="begin"/>
      </w:r>
      <w:r w:rsidRPr="00AD2CF5">
        <w:instrText xml:space="preserve"> XE "mach-gebied" </w:instrText>
      </w:r>
      <w:r w:rsidRPr="00AD2CF5">
        <w:fldChar w:fldCharType="end"/>
      </w:r>
      <w:r w:rsidRPr="00AD2CF5">
        <w:t>. Het niveau is aanzienlijk lager in gebied III, maar niet verwaarloosbaar. Het niveau in gebied I is nog lager, en wordt verwaarloosd. In figuur 2.2 is aangenomen dat de kogel nog supersoon</w:t>
      </w:r>
      <w:r w:rsidRPr="00AD2CF5">
        <w:fldChar w:fldCharType="begin"/>
      </w:r>
      <w:r w:rsidRPr="00AD2CF5">
        <w:instrText xml:space="preserve"> XE "supersoon" </w:instrText>
      </w:r>
      <w:r w:rsidRPr="00AD2CF5">
        <w:fldChar w:fldCharType="end"/>
      </w:r>
      <w:r w:rsidRPr="00AD2CF5">
        <w:t xml:space="preserve"> is bij het doel, d.w.z. dat de kogelsnelheid</w:t>
      </w:r>
      <w:r w:rsidRPr="00AD2CF5">
        <w:fldChar w:fldCharType="begin"/>
      </w:r>
      <w:r w:rsidRPr="00AD2CF5">
        <w:instrText xml:space="preserve"> XE "kogelsnelheid" </w:instrText>
      </w:r>
      <w:r w:rsidRPr="00AD2CF5">
        <w:fldChar w:fldCharType="end"/>
      </w:r>
      <w:r w:rsidRPr="00AD2CF5">
        <w:t xml:space="preserve"> bij het doel groter is dan de geluidsnelheid</w:t>
      </w:r>
      <w:r w:rsidRPr="00AD2CF5">
        <w:fldChar w:fldCharType="begin"/>
      </w:r>
      <w:r w:rsidRPr="00AD2CF5">
        <w:instrText xml:space="preserve"> XE "geluidsnelheid" </w:instrText>
      </w:r>
      <w:r w:rsidRPr="00AD2CF5">
        <w:fldChar w:fldCharType="end"/>
      </w:r>
      <w:r w:rsidRPr="00AD2CF5">
        <w:t>. Het kan ook voorkomen dat de kogel subsoon</w:t>
      </w:r>
      <w:r w:rsidRPr="00AD2CF5">
        <w:fldChar w:fldCharType="begin"/>
      </w:r>
      <w:r w:rsidRPr="00AD2CF5">
        <w:instrText xml:space="preserve"> XE "subsoon" </w:instrText>
      </w:r>
      <w:r w:rsidRPr="00AD2CF5">
        <w:fldChar w:fldCharType="end"/>
      </w:r>
      <w:r w:rsidRPr="00AD2CF5">
        <w:t xml:space="preserve"> wordt vóór het bereiken van het doel. De hoek </w:t>
      </w:r>
      <w:r w:rsidRPr="00AD2CF5">
        <w:rPr>
          <w:i/>
        </w:rPr>
        <w:sym w:font="Symbol" w:char="F078"/>
      </w:r>
      <w:r w:rsidRPr="00AD2CF5">
        <w:t xml:space="preserve"> is dan, op het punt waar de kogel subsoon wordt, gelijk aan nul. Gebied II bestrijkt dan het volledige gebied achter het doel; er is dan geen gebied III.</w:t>
      </w:r>
    </w:p>
    <w:p w:rsidR="00F43C9B" w:rsidRPr="00AD2CF5" w:rsidRDefault="00F43C9B" w:rsidP="00F43C9B">
      <w:pPr>
        <w:shd w:val="clear" w:color="auto" w:fill="D9D9D9" w:themeFill="background1" w:themeFillShade="D9"/>
        <w:tabs>
          <w:tab w:val="left" w:pos="-108"/>
          <w:tab w:val="left" w:pos="743"/>
          <w:tab w:val="left" w:pos="2160"/>
          <w:tab w:val="left" w:pos="2897"/>
          <w:tab w:val="left" w:pos="3180"/>
          <w:tab w:val="left" w:pos="4314"/>
        </w:tabs>
        <w:suppressAutoHyphens/>
        <w:spacing w:line="240" w:lineRule="auto"/>
      </w:pPr>
    </w:p>
    <w:tbl>
      <w:tblPr>
        <w:tblW w:w="0" w:type="auto"/>
        <w:tblLayout w:type="fixed"/>
        <w:tblCellMar>
          <w:left w:w="70" w:type="dxa"/>
          <w:right w:w="70" w:type="dxa"/>
        </w:tblCellMar>
        <w:tblLook w:val="0000" w:firstRow="0" w:lastRow="0" w:firstColumn="0" w:lastColumn="0" w:noHBand="0" w:noVBand="0"/>
      </w:tblPr>
      <w:tblGrid>
        <w:gridCol w:w="7281"/>
        <w:gridCol w:w="160"/>
      </w:tblGrid>
      <w:tr w:rsidR="00F43C9B" w:rsidRPr="00AD2CF5" w:rsidTr="00F43C9B">
        <w:trPr>
          <w:trHeight w:val="4727"/>
        </w:trPr>
        <w:tc>
          <w:tcPr>
            <w:tcW w:w="7281" w:type="dxa"/>
          </w:tcPr>
          <w:p w:rsidR="00F43C9B" w:rsidRPr="00AD2CF5" w:rsidRDefault="00F43C9B" w:rsidP="00F43C9B">
            <w:pPr>
              <w:pStyle w:val="Bijschrift"/>
              <w:shd w:val="clear" w:color="auto" w:fill="D9D9D9" w:themeFill="background1" w:themeFillShade="D9"/>
              <w:ind w:left="142"/>
              <w:rPr>
                <w:b w:val="0"/>
              </w:rPr>
            </w:pPr>
            <w:r w:rsidRPr="00AD2CF5">
              <w:rPr>
                <w:b w:val="0"/>
                <w:noProof/>
                <w:lang w:val="nl-NL" w:eastAsia="nl-NL" w:bidi="ar-SA"/>
              </w:rPr>
              <w:drawing>
                <wp:inline distT="0" distB="0" distL="0" distR="0" wp14:anchorId="4636DBE6" wp14:editId="419EE7E3">
                  <wp:extent cx="3419475" cy="1819275"/>
                  <wp:effectExtent l="19050" t="0" r="9525" b="0"/>
                  <wp:docPr id="47" name="Afbeelding 11" descr="mach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golf"/>
                          <pic:cNvPicPr>
                            <a:picLocks noChangeAspect="1" noChangeArrowheads="1"/>
                          </pic:cNvPicPr>
                        </pic:nvPicPr>
                        <pic:blipFill>
                          <a:blip r:embed="rId74" cstate="print"/>
                          <a:srcRect/>
                          <a:stretch>
                            <a:fillRect/>
                          </a:stretch>
                        </pic:blipFill>
                        <pic:spPr bwMode="auto">
                          <a:xfrm>
                            <a:off x="0" y="0"/>
                            <a:ext cx="3419475" cy="1819275"/>
                          </a:xfrm>
                          <a:prstGeom prst="rect">
                            <a:avLst/>
                          </a:prstGeom>
                          <a:noFill/>
                          <a:ln w="9525">
                            <a:noFill/>
                            <a:miter lim="800000"/>
                            <a:headEnd/>
                            <a:tailEnd/>
                          </a:ln>
                        </pic:spPr>
                      </pic:pic>
                    </a:graphicData>
                  </a:graphic>
                </wp:inline>
              </w:drawing>
            </w:r>
          </w:p>
          <w:p w:rsidR="00F43C9B" w:rsidRPr="00AD2CF5" w:rsidRDefault="00F43C9B" w:rsidP="00F43C9B">
            <w:pPr>
              <w:pStyle w:val="Bijschrift"/>
              <w:shd w:val="clear" w:color="auto" w:fill="D9D9D9" w:themeFill="background1" w:themeFillShade="D9"/>
              <w:rPr>
                <w:lang w:val="nl-NL"/>
              </w:rPr>
            </w:pPr>
            <w:r w:rsidRPr="00AD2CF5">
              <w:rPr>
                <w:lang w:val="nl-NL"/>
              </w:rPr>
              <w:t>Figuur 2. 2</w:t>
            </w:r>
            <w:r w:rsidRPr="00AD2CF5">
              <w:rPr>
                <w:b w:val="0"/>
                <w:lang w:val="nl-NL"/>
              </w:rPr>
              <w:t>:</w:t>
            </w:r>
            <w:r w:rsidRPr="00AD2CF5">
              <w:rPr>
                <w:lang w:val="nl-NL"/>
              </w:rPr>
              <w:t xml:space="preserve"> </w:t>
            </w:r>
            <w:r w:rsidRPr="00AD2CF5">
              <w:rPr>
                <w:b w:val="0"/>
                <w:lang w:val="nl-NL"/>
              </w:rPr>
              <w:t>Illustratie van de gebieden I, II en III die gebruikt worden bij de modellering van kogelgeluid</w:t>
            </w:r>
            <w:r w:rsidRPr="00AD2CF5">
              <w:rPr>
                <w:b w:val="0"/>
              </w:rPr>
              <w:fldChar w:fldCharType="begin"/>
            </w:r>
            <w:r w:rsidRPr="00AD2CF5">
              <w:rPr>
                <w:b w:val="0"/>
                <w:lang w:val="nl-NL"/>
              </w:rPr>
              <w:instrText xml:space="preserve"> XE "</w:instrText>
            </w:r>
            <w:r w:rsidRPr="00AD2CF5">
              <w:rPr>
                <w:lang w:val="nl-NL"/>
              </w:rPr>
              <w:instrText>kogelgeluid"</w:instrText>
            </w:r>
            <w:r w:rsidRPr="00AD2CF5">
              <w:rPr>
                <w:b w:val="0"/>
                <w:lang w:val="nl-NL"/>
              </w:rPr>
              <w:instrText xml:space="preserve"> </w:instrText>
            </w:r>
            <w:r w:rsidRPr="00AD2CF5">
              <w:rPr>
                <w:b w:val="0"/>
              </w:rPr>
              <w:fldChar w:fldCharType="end"/>
            </w:r>
            <w:r w:rsidRPr="00AD2CF5">
              <w:rPr>
                <w:b w:val="0"/>
                <w:lang w:val="nl-NL"/>
              </w:rPr>
              <w:t>. Gebied II wordt het Mach-gebied</w:t>
            </w:r>
            <w:r w:rsidRPr="00AD2CF5">
              <w:rPr>
                <w:b w:val="0"/>
              </w:rPr>
              <w:fldChar w:fldCharType="begin"/>
            </w:r>
            <w:r w:rsidRPr="00AD2CF5">
              <w:rPr>
                <w:b w:val="0"/>
                <w:lang w:val="nl-NL"/>
              </w:rPr>
              <w:instrText xml:space="preserve"> XE "</w:instrText>
            </w:r>
            <w:r w:rsidRPr="00AD2CF5">
              <w:rPr>
                <w:lang w:val="nl-NL"/>
              </w:rPr>
              <w:instrText>mach-gebied"</w:instrText>
            </w:r>
            <w:r w:rsidRPr="00AD2CF5">
              <w:rPr>
                <w:b w:val="0"/>
                <w:lang w:val="nl-NL"/>
              </w:rPr>
              <w:instrText xml:space="preserve"> </w:instrText>
            </w:r>
            <w:r w:rsidRPr="00AD2CF5">
              <w:rPr>
                <w:b w:val="0"/>
              </w:rPr>
              <w:fldChar w:fldCharType="end"/>
            </w:r>
            <w:r w:rsidRPr="00AD2CF5">
              <w:rPr>
                <w:b w:val="0"/>
                <w:lang w:val="nl-NL"/>
              </w:rPr>
              <w:t xml:space="preserve"> genoemd. De gekromde lijnen representeren de doorsnede van de (kegelvormige) Mach-golf</w:t>
            </w:r>
            <w:r w:rsidRPr="00AD2CF5">
              <w:rPr>
                <w:b w:val="0"/>
              </w:rPr>
              <w:fldChar w:fldCharType="begin"/>
            </w:r>
            <w:r w:rsidRPr="00AD2CF5">
              <w:rPr>
                <w:b w:val="0"/>
                <w:lang w:val="nl-NL"/>
              </w:rPr>
              <w:instrText xml:space="preserve"> XE "</w:instrText>
            </w:r>
            <w:r w:rsidRPr="00AD2CF5">
              <w:rPr>
                <w:lang w:val="nl-NL"/>
              </w:rPr>
              <w:instrText>mach-golf"</w:instrText>
            </w:r>
            <w:r w:rsidRPr="00AD2CF5">
              <w:rPr>
                <w:b w:val="0"/>
                <w:lang w:val="nl-NL"/>
              </w:rPr>
              <w:instrText xml:space="preserve"> </w:instrText>
            </w:r>
            <w:r w:rsidRPr="00AD2CF5">
              <w:rPr>
                <w:b w:val="0"/>
              </w:rPr>
              <w:fldChar w:fldCharType="end"/>
            </w:r>
            <w:r w:rsidRPr="00AD2CF5">
              <w:rPr>
                <w:b w:val="0"/>
                <w:lang w:val="nl-NL"/>
              </w:rPr>
              <w:t xml:space="preserve"> op het moment dat de kogel het doel bereikt. De Mach-hoek</w:t>
            </w:r>
            <w:r w:rsidRPr="00AD2CF5">
              <w:rPr>
                <w:b w:val="0"/>
              </w:rPr>
              <w:fldChar w:fldCharType="begin"/>
            </w:r>
            <w:r w:rsidRPr="00AD2CF5">
              <w:rPr>
                <w:b w:val="0"/>
                <w:lang w:val="nl-NL"/>
              </w:rPr>
              <w:instrText xml:space="preserve"> XE "</w:instrText>
            </w:r>
            <w:r w:rsidRPr="00AD2CF5">
              <w:rPr>
                <w:lang w:val="nl-NL"/>
              </w:rPr>
              <w:instrText>mach-hoek"</w:instrText>
            </w:r>
            <w:r w:rsidRPr="00AD2CF5">
              <w:rPr>
                <w:b w:val="0"/>
                <w:lang w:val="nl-NL"/>
              </w:rPr>
              <w:instrText xml:space="preserve"> </w:instrText>
            </w:r>
            <w:r w:rsidRPr="00AD2CF5">
              <w:rPr>
                <w:b w:val="0"/>
              </w:rPr>
              <w:fldChar w:fldCharType="end"/>
            </w:r>
            <w:r w:rsidRPr="00AD2CF5">
              <w:rPr>
                <w:b w:val="0"/>
                <w:lang w:val="nl-NL"/>
              </w:rPr>
              <w:t xml:space="preserve"> bij het doel is aangegeven als </w:t>
            </w:r>
            <w:r w:rsidRPr="00AD2CF5">
              <w:rPr>
                <w:b w:val="0"/>
              </w:rPr>
              <w:sym w:font="Symbol" w:char="F06D"/>
            </w:r>
            <w:r w:rsidRPr="00AD2CF5">
              <w:rPr>
                <w:b w:val="0"/>
                <w:vertAlign w:val="subscript"/>
                <w:lang w:val="nl-NL"/>
              </w:rPr>
              <w:t>e</w:t>
            </w:r>
            <w:r w:rsidRPr="00AD2CF5">
              <w:rPr>
                <w:b w:val="0"/>
                <w:lang w:val="nl-NL"/>
              </w:rPr>
              <w:t>.</w:t>
            </w:r>
          </w:p>
          <w:p w:rsidR="00F43C9B" w:rsidRPr="00AD2CF5" w:rsidRDefault="00F43C9B" w:rsidP="00F43C9B">
            <w:pPr>
              <w:keepNext/>
              <w:shd w:val="clear" w:color="auto" w:fill="D9D9D9" w:themeFill="background1" w:themeFillShade="D9"/>
              <w:spacing w:line="240" w:lineRule="auto"/>
            </w:pPr>
          </w:p>
        </w:tc>
        <w:tc>
          <w:tcPr>
            <w:tcW w:w="160" w:type="dxa"/>
          </w:tcPr>
          <w:p w:rsidR="00F43C9B" w:rsidRPr="00AD2CF5" w:rsidRDefault="00F43C9B" w:rsidP="00F43C9B">
            <w:pPr>
              <w:keepNext/>
              <w:shd w:val="clear" w:color="auto" w:fill="D9D9D9" w:themeFill="background1" w:themeFillShade="D9"/>
              <w:spacing w:line="240" w:lineRule="auto"/>
            </w:pPr>
          </w:p>
        </w:tc>
      </w:tr>
    </w:tbl>
    <w:p w:rsidR="00F43C9B" w:rsidRPr="00AD2CF5" w:rsidRDefault="00F43C9B" w:rsidP="00F43C9B">
      <w:pPr>
        <w:pStyle w:val="Kop2"/>
        <w:shd w:val="clear" w:color="auto" w:fill="D9D9D9" w:themeFill="background1" w:themeFillShade="D9"/>
        <w:sectPr w:rsidR="00F43C9B" w:rsidRPr="00AD2CF5" w:rsidSect="007325DB">
          <w:headerReference w:type="even" r:id="rId75"/>
          <w:footerReference w:type="even" r:id="rId76"/>
          <w:footerReference w:type="default" r:id="rId77"/>
          <w:footnotePr>
            <w:numFmt w:val="chicago"/>
            <w:numRestart w:val="eachPage"/>
          </w:footnotePr>
          <w:pgSz w:w="11907" w:h="16840" w:code="9"/>
          <w:pgMar w:top="1418" w:right="1418" w:bottom="1418" w:left="1418" w:header="454" w:footer="170" w:gutter="0"/>
          <w:cols w:space="720"/>
          <w:docGrid w:linePitch="272"/>
        </w:sectPr>
      </w:pPr>
      <w:bookmarkStart w:id="519" w:name="_Toc428341392"/>
      <w:bookmarkStart w:id="520" w:name="_Toc428595729"/>
      <w:bookmarkStart w:id="521" w:name="_Toc428596304"/>
      <w:bookmarkStart w:id="522" w:name="_Toc431793354"/>
    </w:p>
    <w:p w:rsidR="00F43C9B" w:rsidRPr="00AD2CF5" w:rsidRDefault="00C428B8" w:rsidP="00F43C9B">
      <w:pPr>
        <w:pStyle w:val="Kop2"/>
        <w:shd w:val="clear" w:color="auto" w:fill="D9D9D9" w:themeFill="background1" w:themeFillShade="D9"/>
      </w:pPr>
      <w:r>
        <w:fldChar w:fldCharType="begin"/>
      </w:r>
      <w:r>
        <w:instrText xml:space="preserve"> SEQ numchaplev1 \c \* MERGEFORMAT </w:instrText>
      </w:r>
      <w:r>
        <w:fldChar w:fldCharType="separate"/>
      </w:r>
      <w:bookmarkStart w:id="523" w:name="_Toc529692789"/>
      <w:bookmarkStart w:id="524" w:name="_Toc413945820"/>
      <w:bookmarkStart w:id="525" w:name="_Toc431375833"/>
      <w:r w:rsidR="00F43C9B">
        <w:rPr>
          <w:noProof/>
        </w:rPr>
        <w:t>2</w:t>
      </w:r>
      <w:r>
        <w:rPr>
          <w:noProof/>
        </w:rPr>
        <w:fldChar w:fldCharType="end"/>
      </w:r>
      <w:r w:rsidR="00F43C9B" w:rsidRPr="00AD2CF5">
        <w:t>.</w:t>
      </w:r>
      <w:r>
        <w:fldChar w:fldCharType="begin"/>
      </w:r>
      <w:r>
        <w:instrText xml:space="preserve"> SEQ numchaplev2 \n \* MERGEFORMAT </w:instrText>
      </w:r>
      <w:r>
        <w:fldChar w:fldCharType="separate"/>
      </w:r>
      <w:r w:rsidR="00F43C9B">
        <w:rPr>
          <w:noProof/>
        </w:rPr>
        <w:t>10</w:t>
      </w:r>
      <w:r>
        <w:rPr>
          <w:noProof/>
        </w:rPr>
        <w:fldChar w:fldCharType="end"/>
      </w:r>
      <w:r w:rsidR="00F43C9B" w:rsidRPr="00AD2CF5">
        <w:fldChar w:fldCharType="begin"/>
      </w:r>
      <w:r w:rsidR="00F43C9B" w:rsidRPr="00AD2CF5">
        <w:instrText xml:space="preserve"> SEQ numchaplev3 \r0\h \* MERGEFORMAT </w:instrText>
      </w:r>
      <w:r w:rsidR="00F43C9B" w:rsidRPr="00AD2CF5">
        <w:fldChar w:fldCharType="end"/>
      </w:r>
      <w:r w:rsidR="00F43C9B" w:rsidRPr="00AD2CF5">
        <w:tab/>
        <w:t>Symbolen</w:t>
      </w:r>
      <w:bookmarkEnd w:id="519"/>
      <w:bookmarkEnd w:id="520"/>
      <w:bookmarkEnd w:id="521"/>
      <w:bookmarkEnd w:id="522"/>
      <w:bookmarkEnd w:id="523"/>
      <w:bookmarkEnd w:id="524"/>
      <w:bookmarkEnd w:id="525"/>
    </w:p>
    <w:tbl>
      <w:tblPr>
        <w:tblW w:w="0" w:type="auto"/>
        <w:tblInd w:w="71" w:type="dxa"/>
        <w:tblLayout w:type="fixed"/>
        <w:tblCellMar>
          <w:left w:w="71" w:type="dxa"/>
          <w:right w:w="71" w:type="dxa"/>
        </w:tblCellMar>
        <w:tblLook w:val="0000" w:firstRow="0" w:lastRow="0" w:firstColumn="0" w:lastColumn="0" w:noHBand="0" w:noVBand="0"/>
      </w:tblPr>
      <w:tblGrid>
        <w:gridCol w:w="1440"/>
        <w:gridCol w:w="970"/>
        <w:gridCol w:w="5528"/>
        <w:gridCol w:w="1440"/>
      </w:tblGrid>
      <w:tr w:rsidR="00F43C9B" w:rsidRPr="00AD2CF5" w:rsidTr="00F43C9B">
        <w:trPr>
          <w:tblHeader/>
        </w:trPr>
        <w:tc>
          <w:tcPr>
            <w:tcW w:w="1440" w:type="dxa"/>
            <w:tcBorders>
              <w:top w:val="single" w:sz="6" w:space="0" w:color="auto"/>
              <w:bottom w:val="single" w:sz="6" w:space="0" w:color="auto"/>
            </w:tcBorders>
          </w:tcPr>
          <w:p w:rsidR="00F43C9B" w:rsidRPr="00AD2CF5" w:rsidRDefault="00F43C9B" w:rsidP="00F43C9B">
            <w:pPr>
              <w:shd w:val="clear" w:color="auto" w:fill="D9D9D9" w:themeFill="background1" w:themeFillShade="D9"/>
              <w:spacing w:line="240" w:lineRule="auto"/>
            </w:pPr>
            <w:r w:rsidRPr="00AD2CF5">
              <w:t>Symbool</w:t>
            </w:r>
          </w:p>
        </w:tc>
        <w:tc>
          <w:tcPr>
            <w:tcW w:w="970" w:type="dxa"/>
            <w:tcBorders>
              <w:top w:val="single" w:sz="6" w:space="0" w:color="auto"/>
              <w:bottom w:val="single" w:sz="6" w:space="0" w:color="auto"/>
            </w:tcBorders>
          </w:tcPr>
          <w:p w:rsidR="00F43C9B" w:rsidRPr="00AD2CF5" w:rsidRDefault="00F43C9B" w:rsidP="00F43C9B">
            <w:pPr>
              <w:shd w:val="clear" w:color="auto" w:fill="D9D9D9" w:themeFill="background1" w:themeFillShade="D9"/>
              <w:spacing w:line="240" w:lineRule="auto"/>
            </w:pPr>
            <w:r w:rsidRPr="00AD2CF5">
              <w:t>Eenheid</w:t>
            </w:r>
          </w:p>
        </w:tc>
        <w:tc>
          <w:tcPr>
            <w:tcW w:w="5528" w:type="dxa"/>
            <w:tcBorders>
              <w:top w:val="single" w:sz="6" w:space="0" w:color="auto"/>
              <w:bottom w:val="single" w:sz="6" w:space="0" w:color="auto"/>
            </w:tcBorders>
          </w:tcPr>
          <w:p w:rsidR="00F43C9B" w:rsidRPr="00AD2CF5" w:rsidRDefault="00F43C9B" w:rsidP="00F43C9B">
            <w:pPr>
              <w:shd w:val="clear" w:color="auto" w:fill="D9D9D9" w:themeFill="background1" w:themeFillShade="D9"/>
              <w:spacing w:line="240" w:lineRule="auto"/>
            </w:pPr>
            <w:r w:rsidRPr="00AD2CF5">
              <w:t>Omschrijving</w:t>
            </w:r>
          </w:p>
        </w:tc>
        <w:tc>
          <w:tcPr>
            <w:tcW w:w="1440" w:type="dxa"/>
            <w:tcBorders>
              <w:top w:val="single" w:sz="6" w:space="0" w:color="auto"/>
              <w:bottom w:val="single" w:sz="6" w:space="0" w:color="auto"/>
            </w:tcBorders>
          </w:tcPr>
          <w:p w:rsidR="00F43C9B" w:rsidRPr="00AD2CF5" w:rsidRDefault="00F43C9B" w:rsidP="00F43C9B">
            <w:pPr>
              <w:shd w:val="clear" w:color="auto" w:fill="D9D9D9" w:themeFill="background1" w:themeFillShade="D9"/>
              <w:spacing w:line="240" w:lineRule="auto"/>
            </w:pPr>
            <w:r w:rsidRPr="00AD2CF5">
              <w:t>behandeld in</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61"/>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constante voor bepalen hinderrelevante geluidbelasting (47 dB)</w:t>
            </w:r>
          </w:p>
        </w:tc>
        <w:tc>
          <w:tcPr>
            <w:tcW w:w="1440" w:type="dxa"/>
          </w:tcPr>
          <w:p w:rsidR="00F43C9B" w:rsidRPr="00AD2CF5" w:rsidRDefault="00F43C9B" w:rsidP="00F43C9B">
            <w:pPr>
              <w:shd w:val="clear" w:color="auto" w:fill="D9D9D9" w:themeFill="background1" w:themeFillShade="D9"/>
              <w:spacing w:line="240" w:lineRule="auto"/>
              <w:ind w:left="256"/>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61"/>
            </w:r>
            <w:r w:rsidRPr="00AD2CF5">
              <w:rPr>
                <w:i/>
                <w:vertAlign w:val="subscript"/>
              </w:rPr>
              <w:t>abs</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absorbtiecoëfficient van materialen</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61"/>
            </w:r>
            <w:r w:rsidRPr="00AD2CF5">
              <w:rPr>
                <w:i/>
                <w:vertAlign w:val="subscript"/>
              </w:rPr>
              <w:t>e</w:t>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elevatiehoek van de loop van het wapen</w:t>
            </w:r>
          </w:p>
        </w:tc>
        <w:tc>
          <w:tcPr>
            <w:tcW w:w="1440" w:type="dxa"/>
          </w:tcPr>
          <w:p w:rsidR="00F43C9B" w:rsidRPr="00AD2CF5" w:rsidRDefault="00F43C9B" w:rsidP="00F43C9B">
            <w:pPr>
              <w:shd w:val="clear" w:color="auto" w:fill="D9D9D9" w:themeFill="background1" w:themeFillShade="D9"/>
              <w:spacing w:line="240" w:lineRule="auto"/>
              <w:ind w:left="256"/>
            </w:pPr>
            <w:r w:rsidRPr="00AD2CF5">
              <w:t>4.4.1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62"/>
            </w:r>
          </w:p>
        </w:tc>
        <w:tc>
          <w:tcPr>
            <w:tcW w:w="970" w:type="dxa"/>
          </w:tcPr>
          <w:p w:rsidR="00F43C9B" w:rsidRPr="00AD2CF5" w:rsidRDefault="00F43C9B" w:rsidP="00F43C9B">
            <w:pPr>
              <w:shd w:val="clear" w:color="auto" w:fill="D9D9D9" w:themeFill="background1" w:themeFillShade="D9"/>
              <w:spacing w:line="240" w:lineRule="auto"/>
            </w:pPr>
            <w:r w:rsidRPr="00AD2CF5">
              <w:t>dB</w:t>
            </w:r>
            <w:r w:rsidRPr="00AD2CF5">
              <w:rPr>
                <w:vertAlign w:val="superscript"/>
              </w:rPr>
              <w:t>-1</w:t>
            </w:r>
          </w:p>
        </w:tc>
        <w:tc>
          <w:tcPr>
            <w:tcW w:w="5528" w:type="dxa"/>
          </w:tcPr>
          <w:p w:rsidR="00F43C9B" w:rsidRPr="00AD2CF5" w:rsidRDefault="00F43C9B" w:rsidP="00F43C9B">
            <w:pPr>
              <w:shd w:val="clear" w:color="auto" w:fill="D9D9D9" w:themeFill="background1" w:themeFillShade="D9"/>
              <w:spacing w:line="240" w:lineRule="auto"/>
            </w:pPr>
            <w:r w:rsidRPr="00AD2CF5">
              <w:t>constante voor bepalen hinderrelevante geluidbelasting (0.015 dB</w:t>
            </w:r>
            <w:r w:rsidRPr="00AD2CF5">
              <w:rPr>
                <w:vertAlign w:val="superscript"/>
              </w:rPr>
              <w:t>-1</w:t>
            </w:r>
            <w:r w:rsidRPr="00AD2CF5">
              <w:t>)</w:t>
            </w:r>
          </w:p>
        </w:tc>
        <w:tc>
          <w:tcPr>
            <w:tcW w:w="1440" w:type="dxa"/>
          </w:tcPr>
          <w:p w:rsidR="00F43C9B" w:rsidRPr="00AD2CF5" w:rsidRDefault="00F43C9B" w:rsidP="00F43C9B">
            <w:pPr>
              <w:shd w:val="clear" w:color="auto" w:fill="D9D9D9" w:themeFill="background1" w:themeFillShade="D9"/>
              <w:spacing w:line="240" w:lineRule="auto"/>
              <w:ind w:left="256"/>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67"/>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tophoek van wal</w:t>
            </w:r>
            <w:r w:rsidRPr="00AD2CF5">
              <w:fldChar w:fldCharType="begin"/>
            </w:r>
            <w:r w:rsidRPr="00AD2CF5">
              <w:instrText xml:space="preserve"> XE "afschermende objecten:wal"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4.5.3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sym w:font="Symbol" w:char="F065"/>
            </w:r>
            <w:r w:rsidRPr="00AD2CF5">
              <w:rPr>
                <w:i/>
                <w:vertAlign w:val="subscript"/>
              </w:rPr>
              <w:t>hor</w:t>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effectiviteit van de reflectie</w:t>
            </w:r>
            <w:r w:rsidRPr="00AD2CF5">
              <w:fldChar w:fldCharType="begin"/>
            </w:r>
            <w:r w:rsidRPr="00AD2CF5">
              <w:instrText xml:space="preserve"> XE "reflectie" </w:instrText>
            </w:r>
            <w:r w:rsidRPr="00AD2CF5">
              <w:fldChar w:fldCharType="end"/>
            </w:r>
            <w:r w:rsidRPr="00AD2CF5">
              <w:t xml:space="preserve"> in het horizontale vlak</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4.6.7</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sym w:font="Symbol" w:char="F065"/>
            </w:r>
            <w:r w:rsidRPr="00AD2CF5">
              <w:rPr>
                <w:i/>
                <w:vertAlign w:val="subscript"/>
              </w:rPr>
              <w:t>ver</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effectiviteit van de reflectie</w:t>
            </w:r>
            <w:r w:rsidRPr="00AD2CF5">
              <w:fldChar w:fldCharType="begin"/>
            </w:r>
            <w:r w:rsidRPr="00AD2CF5">
              <w:instrText xml:space="preserve"> XE "reflectie" </w:instrText>
            </w:r>
            <w:r w:rsidRPr="00AD2CF5">
              <w:fldChar w:fldCharType="end"/>
            </w:r>
            <w:r w:rsidRPr="00AD2CF5">
              <w:t xml:space="preserve"> in het verticale vlak</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4.6.7</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iCs/>
              </w:rPr>
            </w:pPr>
            <w:r w:rsidRPr="00AD2CF5">
              <w:rPr>
                <w:i/>
                <w:iCs/>
              </w:rPr>
              <w:sym w:font="Symbol" w:char="F07A"/>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midden van windroossector,</w:t>
            </w:r>
            <w:r w:rsidRPr="00AD2CF5">
              <w:fldChar w:fldCharType="begin"/>
            </w:r>
            <w:r w:rsidRPr="00AD2CF5">
              <w:instrText xml:space="preserve"> XE "windroossector" </w:instrText>
            </w:r>
            <w:r w:rsidRPr="00AD2CF5">
              <w:fldChar w:fldCharType="end"/>
            </w:r>
            <w:r w:rsidRPr="00AD2CF5">
              <w:t xml:space="preserve"> die voor het gebruik van de schietinrichting relevant is</w:t>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71"/>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 xml:space="preserve">geluidvoortplantingsrichting t.o.v. het noorden (bijv </w:t>
            </w:r>
            <w:r w:rsidRPr="00AD2CF5">
              <w:sym w:font="Symbol" w:char="F071"/>
            </w:r>
            <w:r w:rsidRPr="00AD2CF5">
              <w:t xml:space="preserve"> = 90</w:t>
            </w:r>
            <w:r w:rsidRPr="00AD2CF5">
              <w:sym w:font="Symbol" w:char="F0B0"/>
            </w:r>
            <w:r w:rsidRPr="00AD2CF5">
              <w:t xml:space="preserve"> voor geluidvoortplanting van west naar oost)</w:t>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6C"/>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golflengte</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4.6.7</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rFonts w:ascii="Symbol" w:hAnsi="Symbol"/>
                <w:i/>
              </w:rPr>
            </w:pPr>
            <w:r w:rsidRPr="00AD2CF5">
              <w:rPr>
                <w:rFonts w:ascii="Symbol" w:hAnsi="Symbol"/>
                <w:i/>
              </w:rPr>
              <w:t></w:t>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Mach-hoek,</w:t>
            </w:r>
            <w:r w:rsidRPr="00AD2CF5">
              <w:fldChar w:fldCharType="begin"/>
            </w:r>
            <w:r w:rsidRPr="00AD2CF5">
              <w:instrText xml:space="preserve"> XE "mach-hoek" </w:instrText>
            </w:r>
            <w:r w:rsidRPr="00AD2CF5">
              <w:fldChar w:fldCharType="end"/>
            </w:r>
            <w:r w:rsidRPr="00AD2CF5">
              <w:t xml:space="preserve"> halve tophoek van de kegel gevormd door het golffront van de Mach-golf</w:t>
            </w:r>
            <w:r w:rsidRPr="00AD2CF5">
              <w:fldChar w:fldCharType="begin"/>
            </w:r>
            <w:r w:rsidRPr="00AD2CF5">
              <w:instrText xml:space="preserve"> XE "mach-golf"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2.9</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78"/>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complement van de Mach-hoek</w:t>
            </w:r>
            <w:r w:rsidRPr="00AD2CF5">
              <w:fldChar w:fldCharType="begin"/>
            </w:r>
            <w:r w:rsidRPr="00AD2CF5">
              <w:instrText xml:space="preserve"> XE "mach-hoek"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right="-495"/>
            </w:pPr>
            <w:r w:rsidRPr="00AD2CF5">
              <w:t>2.9</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78"/>
            </w:r>
            <w:r w:rsidRPr="00AD2CF5">
              <w:rPr>
                <w:i/>
                <w:vertAlign w:val="subscript"/>
              </w:rPr>
              <w:t>b</w:t>
            </w:r>
            <w:r w:rsidRPr="00AD2CF5">
              <w:rPr>
                <w:i/>
              </w:rPr>
              <w:t>,</w:t>
            </w:r>
            <w:r w:rsidRPr="00AD2CF5">
              <w:rPr>
                <w:i/>
              </w:rPr>
              <w:sym w:font="Symbol" w:char="F078"/>
            </w:r>
            <w:r w:rsidRPr="00AD2CF5">
              <w:rPr>
                <w:i/>
                <w:vertAlign w:val="subscript"/>
              </w:rPr>
              <w:t>e</w:t>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grenshoeken van het Mach-gebied</w:t>
            </w:r>
            <w:r w:rsidRPr="00AD2CF5">
              <w:fldChar w:fldCharType="begin"/>
            </w:r>
            <w:r w:rsidRPr="00AD2CF5">
              <w:instrText xml:space="preserve"> XE "mach-gebied"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right="-495"/>
            </w:pPr>
            <w:r w:rsidRPr="00AD2CF5">
              <w:t>2.9 en</w:t>
            </w:r>
          </w:p>
          <w:p w:rsidR="00F43C9B" w:rsidRPr="00AD2CF5" w:rsidRDefault="00F43C9B" w:rsidP="00F43C9B">
            <w:pPr>
              <w:shd w:val="clear" w:color="auto" w:fill="D9D9D9" w:themeFill="background1" w:themeFillShade="D9"/>
              <w:spacing w:line="240" w:lineRule="auto"/>
              <w:ind w:left="256" w:right="-495"/>
            </w:pPr>
            <w:r w:rsidRPr="00AD2CF5">
              <w:t>4.6.2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72"/>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reflectiviteit</w:t>
            </w:r>
            <w:r w:rsidRPr="00AD2CF5">
              <w:fldChar w:fldCharType="begin"/>
            </w:r>
            <w:r w:rsidRPr="00AD2CF5">
              <w:instrText xml:space="preserve"> XE "reflectiviteit" </w:instrText>
            </w:r>
            <w:r w:rsidRPr="00AD2CF5">
              <w:fldChar w:fldCharType="end"/>
            </w:r>
            <w:r w:rsidRPr="00AD2CF5">
              <w:t xml:space="preserve"> {reflectiecoëfficiënt</w:t>
            </w:r>
            <w:r w:rsidRPr="00AD2CF5">
              <w:fldChar w:fldCharType="begin"/>
            </w:r>
            <w:r w:rsidRPr="00AD2CF5">
              <w:instrText xml:space="preserve"> XE "reflectiecoëfficiënt" </w:instrText>
            </w:r>
            <w:r w:rsidRPr="00AD2CF5">
              <w:fldChar w:fldCharType="end"/>
            </w:r>
            <w:r w:rsidRPr="00AD2CF5">
              <w:t xml:space="preserve"> voor de geluidenergie (1-</w:t>
            </w:r>
            <w:r w:rsidRPr="00AD2CF5">
              <w:sym w:font="Symbol" w:char="F061"/>
            </w:r>
            <w:r w:rsidRPr="00AD2CF5">
              <w:rPr>
                <w:vertAlign w:val="subscript"/>
              </w:rPr>
              <w:t>abs</w:t>
            </w:r>
            <w:r w:rsidRPr="00AD2CF5">
              <w: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4.5.4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rFonts w:ascii="Symbol" w:hAnsi="Symbol"/>
                <w:i/>
              </w:rPr>
              <w:t></w:t>
            </w:r>
          </w:p>
        </w:tc>
        <w:tc>
          <w:tcPr>
            <w:tcW w:w="970" w:type="dxa"/>
          </w:tcPr>
          <w:p w:rsidR="00F43C9B" w:rsidRPr="00AD2CF5" w:rsidRDefault="00F43C9B" w:rsidP="00F43C9B">
            <w:pPr>
              <w:shd w:val="clear" w:color="auto" w:fill="D9D9D9" w:themeFill="background1" w:themeFillShade="D9"/>
              <w:spacing w:line="240" w:lineRule="auto"/>
            </w:pPr>
            <w:r w:rsidRPr="00AD2CF5">
              <w:t>kPa s m</w:t>
            </w:r>
            <w:r w:rsidRPr="00AD2CF5">
              <w:rPr>
                <w:vertAlign w:val="superscript"/>
              </w:rPr>
              <w:t>-2</w:t>
            </w:r>
          </w:p>
        </w:tc>
        <w:tc>
          <w:tcPr>
            <w:tcW w:w="5528" w:type="dxa"/>
          </w:tcPr>
          <w:p w:rsidR="00F43C9B" w:rsidRPr="00AD2CF5" w:rsidRDefault="00F43C9B" w:rsidP="00F43C9B">
            <w:pPr>
              <w:shd w:val="clear" w:color="auto" w:fill="D9D9D9" w:themeFill="background1" w:themeFillShade="D9"/>
              <w:spacing w:line="240" w:lineRule="auto"/>
            </w:pPr>
            <w:r w:rsidRPr="00AD2CF5">
              <w:t>stromingsweerstand</w:t>
            </w:r>
            <w:r w:rsidRPr="00AD2CF5">
              <w:fldChar w:fldCharType="begin"/>
            </w:r>
            <w:r w:rsidRPr="00AD2CF5">
              <w:instrText xml:space="preserve"> XE "stromingsweerstand"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2.6 en 4.5.2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66"/>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windrichting</w:t>
            </w:r>
            <w:r w:rsidRPr="00AD2CF5">
              <w:fldChar w:fldCharType="begin"/>
            </w:r>
            <w:r w:rsidRPr="00AD2CF5">
              <w:instrText xml:space="preserve"> XE "windrichting" </w:instrText>
            </w:r>
            <w:r w:rsidRPr="00AD2CF5">
              <w:fldChar w:fldCharType="end"/>
            </w:r>
            <w:r w:rsidRPr="00AD2CF5">
              <w:t xml:space="preserve"> (hoek t.o.v. het noorden, bijv. </w:t>
            </w:r>
            <w:r w:rsidRPr="00AD2CF5">
              <w:rPr>
                <w:i/>
                <w:iCs/>
              </w:rPr>
              <w:sym w:font="Symbol" w:char="F066"/>
            </w:r>
            <w:r w:rsidRPr="00AD2CF5">
              <w:rPr>
                <w:i/>
                <w:iCs/>
              </w:rPr>
              <w:t xml:space="preserve"> </w:t>
            </w:r>
            <w:r w:rsidRPr="00AD2CF5">
              <w:t>= 90</w:t>
            </w:r>
            <w:r w:rsidRPr="00AD2CF5">
              <w:sym w:font="Symbol" w:char="F0B0"/>
            </w:r>
            <w:r w:rsidRPr="00AD2CF5">
              <w:t xml:space="preserve"> komt overeen met oostenwind)</w:t>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6A"/>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hoek tussen de lijn van bron naar rekenpunt en de vuurlijn (in bovenaanzicht vanuit de bron met de klok mee gemeten)</w:t>
            </w:r>
          </w:p>
        </w:tc>
        <w:tc>
          <w:tcPr>
            <w:tcW w:w="1440" w:type="dxa"/>
          </w:tcPr>
          <w:p w:rsidR="00F43C9B" w:rsidRPr="00AD2CF5" w:rsidRDefault="00F43C9B" w:rsidP="00F43C9B">
            <w:pPr>
              <w:shd w:val="clear" w:color="auto" w:fill="D9D9D9" w:themeFill="background1" w:themeFillShade="D9"/>
              <w:spacing w:line="240" w:lineRule="auto"/>
              <w:ind w:left="256"/>
            </w:pPr>
            <w:r w:rsidRPr="00AD2CF5">
              <w:t>4.4.1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6A"/>
            </w:r>
            <w:r w:rsidRPr="00AD2CF5">
              <w:rPr>
                <w:i/>
                <w:vertAlign w:val="subscript"/>
              </w:rPr>
              <w:t>r</w:t>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diffractiehoek</w:t>
            </w:r>
            <w:r w:rsidRPr="00AD2CF5">
              <w:fldChar w:fldCharType="begin"/>
            </w:r>
            <w:r w:rsidRPr="00AD2CF5">
              <w:instrText xml:space="preserve"> XE "diffractiehoek" </w:instrText>
            </w:r>
            <w:r w:rsidRPr="00AD2CF5">
              <w:fldChar w:fldCharType="end"/>
            </w:r>
            <w:r w:rsidRPr="00AD2CF5">
              <w:t xml:space="preserve"> van rekenpunt op top van scherm</w:t>
            </w:r>
            <w:r w:rsidRPr="00AD2CF5">
              <w:fldChar w:fldCharType="begin"/>
            </w:r>
            <w:r w:rsidRPr="00AD2CF5">
              <w:instrText xml:space="preserve"> XE "afschermende objecten:scherm"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6A"/>
            </w:r>
            <w:r w:rsidRPr="00AD2CF5">
              <w:rPr>
                <w:i/>
                <w:vertAlign w:val="subscript"/>
              </w:rPr>
              <w:t>s</w:t>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diffractiehoek</w:t>
            </w:r>
            <w:r w:rsidRPr="00AD2CF5">
              <w:fldChar w:fldCharType="begin"/>
            </w:r>
            <w:r w:rsidRPr="00AD2CF5">
              <w:instrText xml:space="preserve"> XE "diffractiehoek" </w:instrText>
            </w:r>
            <w:r w:rsidRPr="00AD2CF5">
              <w:fldChar w:fldCharType="end"/>
            </w:r>
            <w:r w:rsidRPr="00AD2CF5">
              <w:t xml:space="preserve"> van bron op top van scherm</w:t>
            </w:r>
            <w:r w:rsidRPr="00AD2CF5">
              <w:fldChar w:fldCharType="begin"/>
            </w:r>
            <w:r w:rsidRPr="00AD2CF5">
              <w:instrText xml:space="preserve"> XE "afschermende objecten:scherm"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44"/>
            </w:r>
            <w:r w:rsidRPr="00AD2CF5">
              <w:rPr>
                <w:i/>
              </w:rPr>
              <w:sym w:font="Symbol" w:char="F06A"/>
            </w:r>
            <w:r w:rsidRPr="00AD2CF5">
              <w:rPr>
                <w:i/>
                <w:vertAlign w:val="subscript"/>
              </w:rPr>
              <w:t>r</w:t>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 xml:space="preserve">correctie op </w:t>
            </w:r>
            <w:r w:rsidRPr="00AD2CF5">
              <w:rPr>
                <w:i/>
                <w:iCs/>
              </w:rPr>
              <w:sym w:font="Symbol" w:char="F06A"/>
            </w:r>
            <w:r w:rsidRPr="00AD2CF5">
              <w:rPr>
                <w:i/>
                <w:iCs/>
                <w:vertAlign w:val="subscript"/>
              </w:rPr>
              <w:t>r</w:t>
            </w:r>
            <w:r w:rsidRPr="00AD2CF5">
              <w:rPr>
                <w:vertAlign w:val="subscript"/>
              </w:rPr>
              <w:t xml:space="preserve"> </w:t>
            </w:r>
            <w:r w:rsidRPr="00AD2CF5">
              <w:t>als gevolg van straalkromming</w:t>
            </w:r>
            <w:r w:rsidRPr="00AD2CF5">
              <w:fldChar w:fldCharType="begin"/>
            </w:r>
            <w:r w:rsidRPr="00AD2CF5">
              <w:instrText xml:space="preserve"> XE "straalkromming"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44"/>
            </w:r>
            <w:r w:rsidRPr="00AD2CF5">
              <w:rPr>
                <w:i/>
              </w:rPr>
              <w:sym w:font="Symbol" w:char="F06A"/>
            </w:r>
            <w:r w:rsidRPr="00AD2CF5">
              <w:rPr>
                <w:i/>
                <w:vertAlign w:val="subscript"/>
              </w:rPr>
              <w:t>s</w:t>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 xml:space="preserve">correctie op </w:t>
            </w:r>
            <w:r w:rsidRPr="00AD2CF5">
              <w:rPr>
                <w:i/>
                <w:iCs/>
              </w:rPr>
              <w:sym w:font="Symbol" w:char="F06A"/>
            </w:r>
            <w:r w:rsidRPr="00AD2CF5">
              <w:rPr>
                <w:i/>
                <w:iCs/>
                <w:vertAlign w:val="subscript"/>
              </w:rPr>
              <w:t>s</w:t>
            </w:r>
            <w:r w:rsidRPr="00AD2CF5">
              <w:t xml:space="preserve"> als gevolg van straalkromming</w:t>
            </w:r>
            <w:r w:rsidRPr="00AD2CF5">
              <w:fldChar w:fldCharType="begin"/>
            </w:r>
            <w:r w:rsidRPr="00AD2CF5">
              <w:instrText xml:space="preserve"> XE "straalkromming"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iCs/>
              </w:rPr>
            </w:pPr>
            <w:r w:rsidRPr="00AD2CF5">
              <w:rPr>
                <w:i/>
                <w:iCs/>
              </w:rPr>
              <w:sym w:font="Symbol" w:char="F063"/>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sectorhoek</w:t>
            </w:r>
            <w:r w:rsidRPr="00AD2CF5">
              <w:fldChar w:fldCharType="begin"/>
            </w:r>
            <w:r w:rsidRPr="00AD2CF5">
              <w:instrText xml:space="preserve"> XE "sectorhoek" </w:instrText>
            </w:r>
            <w:r w:rsidRPr="00AD2CF5">
              <w:fldChar w:fldCharType="end"/>
            </w:r>
            <w:r w:rsidRPr="00AD2CF5">
              <w:t xml:space="preserve"> van windroossector,</w:t>
            </w:r>
            <w:r w:rsidRPr="00AD2CF5">
              <w:fldChar w:fldCharType="begin"/>
            </w:r>
            <w:r w:rsidRPr="00AD2CF5">
              <w:instrText xml:space="preserve"> XE "windroossector" </w:instrText>
            </w:r>
            <w:r w:rsidRPr="00AD2CF5">
              <w:fldChar w:fldCharType="end"/>
            </w:r>
            <w:r w:rsidRPr="00AD2CF5">
              <w:t xml:space="preserve"> die voor het gebruik van de schietinrichting relevant is</w:t>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rFonts w:ascii="Symbol" w:hAnsi="Symbol"/>
                <w:i/>
              </w:rPr>
              <w:t></w:t>
            </w:r>
          </w:p>
        </w:tc>
        <w:tc>
          <w:tcPr>
            <w:tcW w:w="970" w:type="dxa"/>
          </w:tcPr>
          <w:p w:rsidR="00F43C9B" w:rsidRPr="00AD2CF5" w:rsidRDefault="00F43C9B" w:rsidP="00F43C9B">
            <w:pPr>
              <w:shd w:val="clear" w:color="auto" w:fill="D9D9D9" w:themeFill="background1" w:themeFillShade="D9"/>
              <w:spacing w:line="240" w:lineRule="auto"/>
            </w:pPr>
            <w:r w:rsidRPr="00AD2CF5">
              <w:t>º</w:t>
            </w:r>
          </w:p>
        </w:tc>
        <w:tc>
          <w:tcPr>
            <w:tcW w:w="5528" w:type="dxa"/>
          </w:tcPr>
          <w:p w:rsidR="00F43C9B" w:rsidRPr="00AD2CF5" w:rsidRDefault="00F43C9B" w:rsidP="00F43C9B">
            <w:pPr>
              <w:shd w:val="clear" w:color="auto" w:fill="D9D9D9" w:themeFill="background1" w:themeFillShade="D9"/>
              <w:spacing w:line="240" w:lineRule="auto"/>
            </w:pPr>
            <w:r w:rsidRPr="00AD2CF5">
              <w:t>schietrichting</w:t>
            </w:r>
            <w:r w:rsidRPr="00AD2CF5">
              <w:fldChar w:fldCharType="begin"/>
            </w:r>
            <w:r w:rsidRPr="00AD2CF5">
              <w:instrText xml:space="preserve"> XE "schietrichting" </w:instrText>
            </w:r>
            <w:r w:rsidRPr="00AD2CF5">
              <w:fldChar w:fldCharType="end"/>
            </w:r>
            <w:r w:rsidRPr="00AD2CF5">
              <w:t xml:space="preserve"> t.o.v. het noorden in het horizontale vlak</w:t>
            </w:r>
          </w:p>
        </w:tc>
        <w:tc>
          <w:tcPr>
            <w:tcW w:w="1440" w:type="dxa"/>
          </w:tcPr>
          <w:p w:rsidR="00F43C9B" w:rsidRPr="00AD2CF5" w:rsidRDefault="00F43C9B" w:rsidP="00F43C9B">
            <w:pPr>
              <w:shd w:val="clear" w:color="auto" w:fill="D9D9D9" w:themeFill="background1" w:themeFillShade="D9"/>
              <w:spacing w:line="240" w:lineRule="auto"/>
              <w:ind w:left="256"/>
            </w:pPr>
            <w:r w:rsidRPr="00AD2CF5">
              <w:t>4.5.1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b</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geluidbron</w:t>
            </w:r>
          </w:p>
        </w:tc>
        <w:tc>
          <w:tcPr>
            <w:tcW w:w="1440" w:type="dxa"/>
          </w:tcPr>
          <w:p w:rsidR="00F43C9B" w:rsidRPr="00AD2CF5" w:rsidRDefault="00F43C9B" w:rsidP="00F43C9B">
            <w:pPr>
              <w:shd w:val="clear" w:color="auto" w:fill="D9D9D9" w:themeFill="background1" w:themeFillShade="D9"/>
              <w:spacing w:line="240" w:lineRule="auto"/>
              <w:ind w:left="256"/>
            </w:pPr>
            <w:r w:rsidRPr="00AD2CF5">
              <w:t>3.2 en 4.3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b</w:t>
            </w:r>
            <w:r w:rsidRPr="00AD2CF5">
              <w:rPr>
                <w:i/>
                <w:vertAlign w:val="subscript"/>
              </w:rPr>
              <w:t>n</w:t>
            </w:r>
          </w:p>
        </w:tc>
        <w:tc>
          <w:tcPr>
            <w:tcW w:w="970" w:type="dxa"/>
          </w:tcPr>
          <w:p w:rsidR="00F43C9B" w:rsidRPr="00AD2CF5" w:rsidRDefault="00F43C9B" w:rsidP="00F43C9B">
            <w:pPr>
              <w:shd w:val="clear" w:color="auto" w:fill="D9D9D9" w:themeFill="background1" w:themeFillShade="D9"/>
              <w:spacing w:line="240" w:lineRule="auto"/>
            </w:pPr>
            <w:r w:rsidRPr="00AD2CF5">
              <w:t>m/s</w:t>
            </w:r>
          </w:p>
        </w:tc>
        <w:tc>
          <w:tcPr>
            <w:tcW w:w="5528" w:type="dxa"/>
          </w:tcPr>
          <w:p w:rsidR="00F43C9B" w:rsidRPr="00AD2CF5" w:rsidRDefault="00F43C9B" w:rsidP="00F43C9B">
            <w:pPr>
              <w:shd w:val="clear" w:color="auto" w:fill="D9D9D9" w:themeFill="background1" w:themeFillShade="D9"/>
              <w:spacing w:line="240" w:lineRule="auto"/>
            </w:pPr>
            <w:r w:rsidRPr="00AD2CF5">
              <w:t>coëfficiënt in formule voor geluidsnelheidprofielen</w:t>
            </w:r>
          </w:p>
        </w:tc>
        <w:tc>
          <w:tcPr>
            <w:tcW w:w="1440" w:type="dxa"/>
          </w:tcPr>
          <w:p w:rsidR="00F43C9B" w:rsidRPr="00AD2CF5" w:rsidRDefault="00F43C9B" w:rsidP="00F43C9B">
            <w:pPr>
              <w:shd w:val="clear" w:color="auto" w:fill="D9D9D9" w:themeFill="background1" w:themeFillShade="D9"/>
              <w:spacing w:line="240" w:lineRule="auto"/>
              <w:ind w:left="256"/>
            </w:pPr>
            <w:r w:rsidRPr="00AD2CF5">
              <w:t>4.4.2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B</w:t>
            </w:r>
            <w:r w:rsidRPr="00AD2CF5">
              <w:rPr>
                <w:i/>
                <w:vertAlign w:val="subscript"/>
              </w:rPr>
              <w:t>s</w: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geluidbelasting ten gevolge van schietgeluid</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2.5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B</w:t>
            </w:r>
            <w:r w:rsidRPr="00AD2CF5">
              <w:rPr>
                <w:i/>
                <w:vertAlign w:val="subscript"/>
              </w:rPr>
              <w:t>s,avond</w: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geluidbelasting in de juridische avondperiode</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2.5 en 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B</w:t>
            </w:r>
            <w:r w:rsidRPr="00AD2CF5">
              <w:rPr>
                <w:i/>
                <w:vertAlign w:val="subscript"/>
              </w:rPr>
              <w:t>s,dag</w: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geluidbelasting in de juridische dagperiode</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2.5 en 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B</w:t>
            </w:r>
            <w:r w:rsidRPr="00AD2CF5">
              <w:rPr>
                <w:i/>
                <w:vertAlign w:val="subscript"/>
              </w:rPr>
              <w:t>s,dan</w: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geluidbelasting uitgedrukt als dag-avond-nachtwaarde</w:t>
            </w:r>
            <w:r w:rsidRPr="00AD2CF5">
              <w:fldChar w:fldCharType="begin"/>
            </w:r>
            <w:r w:rsidRPr="00AD2CF5">
              <w:instrText xml:space="preserve"> XE "dag-avond-nachtwaarde"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2.5 en 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B</w:t>
            </w:r>
            <w:r w:rsidRPr="00AD2CF5">
              <w:rPr>
                <w:i/>
                <w:vertAlign w:val="subscript"/>
              </w:rPr>
              <w:t>s,nacht</w: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geluidbelasting in de juridische nachtperiode</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2.5 en 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B</w:t>
            </w:r>
            <w:r w:rsidRPr="00AD2CF5">
              <w:rPr>
                <w:i/>
                <w:vertAlign w:val="subscript"/>
              </w:rPr>
              <w:t>s,periode</w: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geluidbelasting in een bepaalde juridische beoordelingsperiode</w:t>
            </w:r>
            <w:r w:rsidRPr="00AD2CF5">
              <w:fldChar w:fldCharType="begin"/>
            </w:r>
            <w:r w:rsidRPr="00AD2CF5">
              <w:instrText xml:space="preserve"> XE "beoordelingsperiode" </w:instrText>
            </w:r>
            <w:r w:rsidRPr="00AD2CF5">
              <w:fldChar w:fldCharType="end"/>
            </w:r>
            <w:r w:rsidRPr="00AD2CF5">
              <w:t xml:space="preserve"> (dag, avond of nacht)</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3.4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c</w:t>
            </w:r>
          </w:p>
        </w:tc>
        <w:tc>
          <w:tcPr>
            <w:tcW w:w="970" w:type="dxa"/>
          </w:tcPr>
          <w:p w:rsidR="00F43C9B" w:rsidRPr="00AD2CF5" w:rsidRDefault="00F43C9B" w:rsidP="00F43C9B">
            <w:pPr>
              <w:pStyle w:val="Inhopg1"/>
              <w:shd w:val="clear" w:color="auto" w:fill="D9D9D9" w:themeFill="background1" w:themeFillShade="D9"/>
              <w:spacing w:after="0" w:line="240" w:lineRule="auto"/>
            </w:pPr>
            <w:r w:rsidRPr="00AD2CF5">
              <w:t>m/s</w:t>
            </w:r>
          </w:p>
        </w:tc>
        <w:tc>
          <w:tcPr>
            <w:tcW w:w="5528" w:type="dxa"/>
          </w:tcPr>
          <w:p w:rsidR="00F43C9B" w:rsidRPr="00AD2CF5" w:rsidRDefault="00F43C9B" w:rsidP="00F43C9B">
            <w:pPr>
              <w:shd w:val="clear" w:color="auto" w:fill="D9D9D9" w:themeFill="background1" w:themeFillShade="D9"/>
              <w:spacing w:line="240" w:lineRule="auto"/>
            </w:pPr>
            <w:r w:rsidRPr="00AD2CF5">
              <w:t>geluidsnelheid</w:t>
            </w:r>
            <w:r w:rsidRPr="00AD2CF5">
              <w:fldChar w:fldCharType="begin"/>
            </w:r>
            <w:r w:rsidRPr="00AD2CF5">
              <w:instrText xml:space="preserve"> XE "geluidsnelheid"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c(h)</w:t>
            </w:r>
          </w:p>
        </w:tc>
        <w:tc>
          <w:tcPr>
            <w:tcW w:w="970" w:type="dxa"/>
          </w:tcPr>
          <w:p w:rsidR="00F43C9B" w:rsidRPr="00AD2CF5" w:rsidRDefault="00F43C9B" w:rsidP="00F43C9B">
            <w:pPr>
              <w:pStyle w:val="Inhopg1"/>
              <w:shd w:val="clear" w:color="auto" w:fill="D9D9D9" w:themeFill="background1" w:themeFillShade="D9"/>
              <w:spacing w:after="0" w:line="240" w:lineRule="auto"/>
            </w:pPr>
            <w:r w:rsidRPr="00AD2CF5">
              <w:t>m/s</w:t>
            </w:r>
          </w:p>
        </w:tc>
        <w:tc>
          <w:tcPr>
            <w:tcW w:w="5528" w:type="dxa"/>
          </w:tcPr>
          <w:p w:rsidR="00F43C9B" w:rsidRPr="00AD2CF5" w:rsidRDefault="00F43C9B" w:rsidP="00F43C9B">
            <w:pPr>
              <w:shd w:val="clear" w:color="auto" w:fill="D9D9D9" w:themeFill="background1" w:themeFillShade="D9"/>
              <w:spacing w:line="240" w:lineRule="auto"/>
            </w:pPr>
            <w:r w:rsidRPr="00AD2CF5">
              <w:t>geluidsnelheidsprofiel</w:t>
            </w:r>
            <w:r w:rsidRPr="00AD2CF5">
              <w:fldChar w:fldCharType="begin"/>
            </w:r>
            <w:r w:rsidRPr="00AD2CF5">
              <w:instrText xml:space="preserve"> XE "geluidsnelheidsprofiel"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t>c</w:t>
            </w:r>
            <w:r w:rsidRPr="00AD2CF5">
              <w:rPr>
                <w:i/>
                <w:vertAlign w:val="subscript"/>
              </w:rPr>
              <w:t>10</w:t>
            </w:r>
          </w:p>
        </w:tc>
        <w:tc>
          <w:tcPr>
            <w:tcW w:w="970" w:type="dxa"/>
          </w:tcPr>
          <w:p w:rsidR="00F43C9B" w:rsidRPr="00AD2CF5" w:rsidRDefault="00F43C9B" w:rsidP="00F43C9B">
            <w:pPr>
              <w:pStyle w:val="Inhopg1"/>
              <w:shd w:val="clear" w:color="auto" w:fill="D9D9D9" w:themeFill="background1" w:themeFillShade="D9"/>
              <w:spacing w:after="0" w:line="240" w:lineRule="auto"/>
            </w:pPr>
            <w:r w:rsidRPr="00AD2CF5">
              <w:t>m/s</w:t>
            </w:r>
          </w:p>
        </w:tc>
        <w:tc>
          <w:tcPr>
            <w:tcW w:w="5528" w:type="dxa"/>
          </w:tcPr>
          <w:p w:rsidR="00F43C9B" w:rsidRPr="00AD2CF5" w:rsidRDefault="00F43C9B" w:rsidP="00F43C9B">
            <w:pPr>
              <w:shd w:val="clear" w:color="auto" w:fill="D9D9D9" w:themeFill="background1" w:themeFillShade="D9"/>
              <w:spacing w:line="240" w:lineRule="auto"/>
            </w:pPr>
            <w:r w:rsidRPr="00AD2CF5">
              <w:t>geluidsnelheid</w:t>
            </w:r>
            <w:r w:rsidRPr="00AD2CF5">
              <w:fldChar w:fldCharType="begin"/>
            </w:r>
            <w:r w:rsidRPr="00AD2CF5">
              <w:instrText xml:space="preserve"> XE "geluidsnelheid" </w:instrText>
            </w:r>
            <w:r w:rsidRPr="00AD2CF5">
              <w:fldChar w:fldCharType="end"/>
            </w:r>
            <w:r w:rsidRPr="00AD2CF5">
              <w:t xml:space="preserve"> bij 10</w:t>
            </w:r>
            <w:r w:rsidRPr="00AD2CF5">
              <w:rPr>
                <w:vertAlign w:val="superscript"/>
              </w:rPr>
              <w:t>°</w:t>
            </w:r>
            <w:r w:rsidRPr="00AD2CF5">
              <w:t>C en 1 atmosfeer</w:t>
            </w:r>
            <w:r w:rsidRPr="00AD2CF5">
              <w:fldChar w:fldCharType="begin"/>
            </w:r>
            <w:r w:rsidRPr="00AD2CF5">
              <w:instrText xml:space="preserve"> XE "atmosfeer" </w:instrText>
            </w:r>
            <w:r w:rsidRPr="00AD2CF5">
              <w:fldChar w:fldCharType="end"/>
            </w:r>
            <w:r w:rsidRPr="00AD2CF5">
              <w:t xml:space="preserve"> (337.6 m/s)</w:t>
            </w:r>
          </w:p>
        </w:tc>
        <w:tc>
          <w:tcPr>
            <w:tcW w:w="1440" w:type="dxa"/>
          </w:tcPr>
          <w:p w:rsidR="00F43C9B" w:rsidRPr="00AD2CF5" w:rsidRDefault="00F43C9B" w:rsidP="00F43C9B">
            <w:pPr>
              <w:shd w:val="clear" w:color="auto" w:fill="D9D9D9" w:themeFill="background1" w:themeFillShade="D9"/>
              <w:spacing w:line="240" w:lineRule="auto"/>
              <w:ind w:left="256"/>
              <w:rPr>
                <w:lang w:val="en-US"/>
              </w:rPr>
            </w:pPr>
            <w:r w:rsidRPr="00AD2CF5">
              <w:rPr>
                <w:lang w:val="en-US"/>
              </w:rPr>
              <w:t>2.6.2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lang w:val="en-US"/>
              </w:rPr>
            </w:pPr>
            <w:r w:rsidRPr="00AD2CF5">
              <w:rPr>
                <w:i/>
                <w:lang w:val="en-US"/>
              </w:rPr>
              <w:t>c</w:t>
            </w:r>
            <w:r w:rsidRPr="00AD2CF5">
              <w:rPr>
                <w:i/>
                <w:vertAlign w:val="subscript"/>
                <w:lang w:val="en-US"/>
              </w:rPr>
              <w:t>eff</w:t>
            </w:r>
          </w:p>
        </w:tc>
        <w:tc>
          <w:tcPr>
            <w:tcW w:w="970" w:type="dxa"/>
          </w:tcPr>
          <w:p w:rsidR="00F43C9B" w:rsidRPr="00AD2CF5" w:rsidRDefault="00F43C9B" w:rsidP="00F43C9B">
            <w:pPr>
              <w:pStyle w:val="Inhopg1"/>
              <w:shd w:val="clear" w:color="auto" w:fill="D9D9D9" w:themeFill="background1" w:themeFillShade="D9"/>
              <w:spacing w:after="0" w:line="240" w:lineRule="auto"/>
              <w:rPr>
                <w:lang w:val="en-US"/>
              </w:rPr>
            </w:pPr>
            <w:r w:rsidRPr="00AD2CF5">
              <w:rPr>
                <w:lang w:val="en-US"/>
              </w:rPr>
              <w:t>m/s</w:t>
            </w:r>
          </w:p>
        </w:tc>
        <w:tc>
          <w:tcPr>
            <w:tcW w:w="5528" w:type="dxa"/>
          </w:tcPr>
          <w:p w:rsidR="00F43C9B" w:rsidRPr="00AD2CF5" w:rsidRDefault="00F43C9B" w:rsidP="00F43C9B">
            <w:pPr>
              <w:shd w:val="clear" w:color="auto" w:fill="D9D9D9" w:themeFill="background1" w:themeFillShade="D9"/>
              <w:spacing w:line="240" w:lineRule="auto"/>
            </w:pPr>
            <w:r w:rsidRPr="00AD2CF5">
              <w:t>effectieve geluidsnelheid</w:t>
            </w:r>
            <w:r w:rsidRPr="00AD2CF5">
              <w:fldChar w:fldCharType="begin"/>
            </w:r>
            <w:r w:rsidRPr="00AD2CF5">
              <w:instrText xml:space="preserve"> XE "geluidsnelheid"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t>d</w:t>
            </w:r>
            <w:r w:rsidRPr="00AD2CF5">
              <w:rPr>
                <w:i/>
                <w:vertAlign w:val="subscript"/>
              </w:rPr>
              <w:t>eff</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afstand tussen naburige cilinders bij modellering diffuse reflecties</w:t>
            </w:r>
            <w:r w:rsidRPr="00AD2CF5">
              <w:fldChar w:fldCharType="begin"/>
            </w:r>
            <w:r w:rsidRPr="00AD2CF5">
              <w:instrText xml:space="preserve"> XE "reflectie:diffuse reflectie"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4.5.4 en 4.6.8</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d</w:t>
            </w:r>
            <w:r w:rsidRPr="00AD2CF5">
              <w:rPr>
                <w:i/>
                <w:vertAlign w:val="subscript"/>
              </w:rPr>
              <w:t>kogel</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maximale diameter van kogel</w:t>
            </w:r>
          </w:p>
        </w:tc>
        <w:tc>
          <w:tcPr>
            <w:tcW w:w="1440" w:type="dxa"/>
          </w:tcPr>
          <w:p w:rsidR="00F43C9B" w:rsidRPr="00AD2CF5" w:rsidRDefault="00F43C9B" w:rsidP="00F43C9B">
            <w:pPr>
              <w:shd w:val="clear" w:color="auto" w:fill="D9D9D9" w:themeFill="background1" w:themeFillShade="D9"/>
              <w:spacing w:line="240" w:lineRule="auto"/>
              <w:ind w:left="256"/>
            </w:pPr>
            <w:r w:rsidRPr="00AD2CF5">
              <w:t>2.6.2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d</w:t>
            </w:r>
            <w:r w:rsidRPr="00AD2CF5">
              <w:rPr>
                <w:i/>
                <w:vertAlign w:val="subscript"/>
              </w:rPr>
              <w:t>max</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maximale afstand van rekenpunt naar rand van brongebied</w:t>
            </w:r>
            <w:r w:rsidRPr="00AD2CF5">
              <w:fldChar w:fldCharType="begin"/>
            </w:r>
            <w:r w:rsidRPr="00AD2CF5">
              <w:instrText xml:space="preserve"> XE "brongebied"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d</w:t>
            </w:r>
            <w:r w:rsidRPr="00AD2CF5">
              <w:rPr>
                <w:i/>
                <w:vertAlign w:val="subscript"/>
              </w:rPr>
              <w:t>min</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minimum afstand van rekenpunt naar rand van brongebied</w:t>
            </w:r>
            <w:r w:rsidRPr="00AD2CF5">
              <w:fldChar w:fldCharType="begin"/>
            </w:r>
            <w:r w:rsidRPr="00AD2CF5">
              <w:instrText xml:space="preserve"> XE "brongebied"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t>D</w:t>
            </w:r>
            <w:r w:rsidRPr="00AD2CF5">
              <w:rPr>
                <w:i/>
                <w:vertAlign w:val="subscript"/>
              </w:rPr>
              <w:t>bodem</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demping t.g.v. de bodem</w:t>
            </w:r>
          </w:p>
        </w:tc>
        <w:tc>
          <w:tcPr>
            <w:tcW w:w="1440" w:type="dxa"/>
          </w:tcPr>
          <w:p w:rsidR="00F43C9B" w:rsidRPr="00AD2CF5" w:rsidRDefault="00F43C9B" w:rsidP="00F43C9B">
            <w:pPr>
              <w:shd w:val="clear" w:color="auto" w:fill="D9D9D9" w:themeFill="background1" w:themeFillShade="D9"/>
              <w:spacing w:line="240" w:lineRule="auto"/>
              <w:ind w:left="256"/>
            </w:pPr>
            <w:r w:rsidRPr="00AD2CF5">
              <w:t>4.4.2 en 4.6.4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D</w:t>
            </w:r>
            <w:r w:rsidRPr="00AD2CF5">
              <w:rPr>
                <w:i/>
                <w:vertAlign w:val="subscript"/>
              </w:rPr>
              <w:t>geo</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geometrische demping</w:t>
            </w:r>
            <w:r w:rsidRPr="00AD2CF5">
              <w:fldChar w:fldCharType="begin"/>
            </w:r>
            <w:r w:rsidRPr="00AD2CF5">
              <w:instrText xml:space="preserve"> XE "geometrische demping"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D</w:t>
            </w:r>
            <w:r w:rsidRPr="00AD2CF5">
              <w:rPr>
                <w:i/>
                <w:vertAlign w:val="subscript"/>
              </w:rPr>
              <w:t>lucht</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demping t.g.v. luchtabsorptie</w:t>
            </w:r>
            <w:r w:rsidRPr="00AD2CF5">
              <w:fldChar w:fldCharType="begin"/>
            </w:r>
            <w:r w:rsidRPr="00AD2CF5">
              <w:instrText xml:space="preserve"> XE "luchtabsorptie"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D</w:t>
            </w:r>
            <w:r w:rsidRPr="00AD2CF5">
              <w:rPr>
                <w:i/>
                <w:vertAlign w:val="subscript"/>
              </w:rPr>
              <w:t>nlin</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extra dempingsterm als gevolg van niet-lineaire</w:t>
            </w:r>
            <w:r w:rsidRPr="00AD2CF5">
              <w:fldChar w:fldCharType="begin"/>
            </w:r>
            <w:r w:rsidRPr="00AD2CF5">
              <w:instrText xml:space="preserve"> XE "niet-lineaire demping" </w:instrText>
            </w:r>
            <w:r w:rsidRPr="00AD2CF5">
              <w:fldChar w:fldCharType="end"/>
            </w:r>
            <w:r w:rsidRPr="00AD2CF5">
              <w:t xml:space="preserve"> geluidoverdracht</w:t>
            </w:r>
            <w:r w:rsidRPr="00AD2CF5">
              <w:fldChar w:fldCharType="begin"/>
            </w:r>
            <w:r w:rsidRPr="00AD2CF5">
              <w:instrText xml:space="preserve"> XE "geluidoverdracht" </w:instrText>
            </w:r>
            <w:r w:rsidRPr="00AD2CF5">
              <w:fldChar w:fldCharType="end"/>
            </w:r>
            <w:r w:rsidRPr="00AD2CF5">
              <w:t xml:space="preserve"> van kogelgeluid</w:t>
            </w:r>
            <w:r w:rsidRPr="00AD2CF5">
              <w:fldChar w:fldCharType="begin"/>
            </w:r>
            <w:r w:rsidRPr="00AD2CF5">
              <w:instrText xml:space="preserve"> XE "kogelgeluid"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4.6.6</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D</w:t>
            </w:r>
            <w:r w:rsidRPr="00AD2CF5">
              <w:rPr>
                <w:i/>
                <w:vertAlign w:val="subscript"/>
              </w:rPr>
              <w:t>refl</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reflectiedemping</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4.6.7 en 4.6.8</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D</w:t>
            </w:r>
            <w:r w:rsidRPr="00AD2CF5">
              <w:rPr>
                <w:i/>
                <w:vertAlign w:val="subscript"/>
              </w:rPr>
              <w:t>scherm</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demping door geluidwerende obstakels</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sym w:font="Symbol" w:char="F044"/>
            </w:r>
            <w:r w:rsidRPr="00AD2CF5">
              <w:rPr>
                <w:i/>
              </w:rPr>
              <w:t>D</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tophoekcorrectie</w:t>
            </w:r>
            <w:r w:rsidRPr="00AD2CF5">
              <w:fldChar w:fldCharType="begin"/>
            </w:r>
            <w:r w:rsidRPr="00AD2CF5">
              <w:instrText xml:space="preserve"> XE "tophoekcorrectie"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E</w:t>
            </w:r>
          </w:p>
        </w:tc>
        <w:tc>
          <w:tcPr>
            <w:tcW w:w="970" w:type="dxa"/>
          </w:tcPr>
          <w:p w:rsidR="00F43C9B" w:rsidRPr="00AD2CF5" w:rsidRDefault="00F43C9B" w:rsidP="00F43C9B">
            <w:pPr>
              <w:shd w:val="clear" w:color="auto" w:fill="D9D9D9" w:themeFill="background1" w:themeFillShade="D9"/>
              <w:spacing w:line="240" w:lineRule="auto"/>
            </w:pPr>
            <w:r w:rsidRPr="00AD2CF5">
              <w:t>Pa</w:t>
            </w:r>
            <w:r w:rsidRPr="00AD2CF5">
              <w:rPr>
                <w:vertAlign w:val="superscript"/>
              </w:rPr>
              <w:t>2</w:t>
            </w:r>
            <w:r w:rsidRPr="00AD2CF5">
              <w:t>s</w:t>
            </w:r>
          </w:p>
        </w:tc>
        <w:tc>
          <w:tcPr>
            <w:tcW w:w="5528" w:type="dxa"/>
          </w:tcPr>
          <w:p w:rsidR="00F43C9B" w:rsidRPr="00AD2CF5" w:rsidRDefault="00F43C9B" w:rsidP="00F43C9B">
            <w:pPr>
              <w:shd w:val="clear" w:color="auto" w:fill="D9D9D9" w:themeFill="background1" w:themeFillShade="D9"/>
              <w:spacing w:line="240" w:lineRule="auto"/>
            </w:pPr>
            <w:r w:rsidRPr="00AD2CF5">
              <w:t>geluidexpositie</w:t>
            </w:r>
            <w:r w:rsidRPr="00AD2CF5">
              <w:fldChar w:fldCharType="begin"/>
            </w:r>
            <w:r w:rsidRPr="00AD2CF5">
              <w:instrText xml:space="preserve"> XE "geluidexpositie"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t>E</w:t>
            </w:r>
            <w:r w:rsidRPr="00AD2CF5">
              <w:rPr>
                <w:i/>
                <w:vertAlign w:val="subscript"/>
              </w:rPr>
              <w:t>0</w:t>
            </w:r>
          </w:p>
        </w:tc>
        <w:tc>
          <w:tcPr>
            <w:tcW w:w="970" w:type="dxa"/>
          </w:tcPr>
          <w:p w:rsidR="00F43C9B" w:rsidRPr="00AD2CF5" w:rsidRDefault="00F43C9B" w:rsidP="00F43C9B">
            <w:pPr>
              <w:shd w:val="clear" w:color="auto" w:fill="D9D9D9" w:themeFill="background1" w:themeFillShade="D9"/>
              <w:spacing w:line="240" w:lineRule="auto"/>
            </w:pPr>
            <w:r w:rsidRPr="00AD2CF5">
              <w:t>Pa</w:t>
            </w:r>
            <w:r w:rsidRPr="00AD2CF5">
              <w:rPr>
                <w:vertAlign w:val="superscript"/>
              </w:rPr>
              <w:t>2</w:t>
            </w:r>
            <w:r w:rsidRPr="00AD2CF5">
              <w:t>s</w:t>
            </w:r>
          </w:p>
        </w:tc>
        <w:tc>
          <w:tcPr>
            <w:tcW w:w="5528" w:type="dxa"/>
          </w:tcPr>
          <w:p w:rsidR="00F43C9B" w:rsidRPr="00AD2CF5" w:rsidRDefault="00F43C9B" w:rsidP="00F43C9B">
            <w:pPr>
              <w:shd w:val="clear" w:color="auto" w:fill="D9D9D9" w:themeFill="background1" w:themeFillShade="D9"/>
              <w:spacing w:line="240" w:lineRule="auto"/>
            </w:pPr>
            <w:r w:rsidRPr="00AD2CF5">
              <w:t>referentiewaarde van de geluidexpositie</w:t>
            </w:r>
            <w:r w:rsidRPr="00AD2CF5">
              <w:fldChar w:fldCharType="begin"/>
            </w:r>
            <w:r w:rsidRPr="00AD2CF5">
              <w:instrText xml:space="preserve"> XE "geluidexpositie" </w:instrText>
            </w:r>
            <w:r w:rsidRPr="00AD2CF5">
              <w:fldChar w:fldCharType="end"/>
            </w:r>
            <w:r w:rsidRPr="00AD2CF5">
              <w:t xml:space="preserve"> ((20µPa)</w:t>
            </w:r>
            <w:r w:rsidRPr="00AD2CF5">
              <w:rPr>
                <w:vertAlign w:val="superscript"/>
              </w:rPr>
              <w:t>2</w:t>
            </w:r>
            <w:r w:rsidRPr="00AD2CF5">
              <w:t>s)</w:t>
            </w:r>
          </w:p>
        </w:tc>
        <w:tc>
          <w:tcPr>
            <w:tcW w:w="1440" w:type="dxa"/>
          </w:tcPr>
          <w:p w:rsidR="00F43C9B" w:rsidRPr="00AD2CF5" w:rsidRDefault="00F43C9B" w:rsidP="00F43C9B">
            <w:pPr>
              <w:shd w:val="clear" w:color="auto" w:fill="D9D9D9" w:themeFill="background1" w:themeFillShade="D9"/>
              <w:spacing w:line="240" w:lineRule="auto"/>
              <w:ind w:left="256"/>
            </w:pPr>
            <w:r w:rsidRPr="00AD2CF5">
              <w:t>2.3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f</w:t>
            </w:r>
            <w:r w:rsidRPr="00AD2CF5">
              <w:rPr>
                <w:i/>
                <w:vertAlign w:val="subscript"/>
              </w:rPr>
              <w:t>a</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fractie van het geluidpad waarvoor de bodem absorberend is</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f</w:t>
            </w:r>
            <w:r w:rsidRPr="00AD2CF5">
              <w:rPr>
                <w:i/>
                <w:vertAlign w:val="subscript"/>
              </w:rPr>
              <w:t>abs</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fractie van het geluidpad waarvoor de bodem absorberend of zeer absorberend is</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f</w:t>
            </w:r>
            <w:r w:rsidRPr="00AD2CF5">
              <w:rPr>
                <w:i/>
                <w:vertAlign w:val="subscript"/>
              </w:rPr>
              <w:t>h</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fractie van het geluidpad waarvoor de bodem hard is</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t>f</w:t>
            </w:r>
            <w:r w:rsidRPr="00AD2CF5">
              <w:rPr>
                <w:i/>
                <w:vertAlign w:val="subscript"/>
              </w:rPr>
              <w:t>k</w:t>
            </w:r>
          </w:p>
        </w:tc>
        <w:tc>
          <w:tcPr>
            <w:tcW w:w="970" w:type="dxa"/>
          </w:tcPr>
          <w:p w:rsidR="00F43C9B" w:rsidRPr="00AD2CF5" w:rsidRDefault="00F43C9B" w:rsidP="00F43C9B">
            <w:pPr>
              <w:shd w:val="clear" w:color="auto" w:fill="D9D9D9" w:themeFill="background1" w:themeFillShade="D9"/>
              <w:spacing w:line="240" w:lineRule="auto"/>
            </w:pPr>
            <w:r w:rsidRPr="00AD2CF5">
              <w:t>Hz</w:t>
            </w:r>
          </w:p>
        </w:tc>
        <w:tc>
          <w:tcPr>
            <w:tcW w:w="5528" w:type="dxa"/>
          </w:tcPr>
          <w:p w:rsidR="00F43C9B" w:rsidRPr="00AD2CF5" w:rsidRDefault="00F43C9B" w:rsidP="00F43C9B">
            <w:pPr>
              <w:shd w:val="clear" w:color="auto" w:fill="D9D9D9" w:themeFill="background1" w:themeFillShade="D9"/>
              <w:spacing w:line="240" w:lineRule="auto"/>
            </w:pPr>
            <w:r w:rsidRPr="00AD2CF5">
              <w:t>octaafbandmiddenfrequentie</w:t>
            </w:r>
          </w:p>
          <w:p w:rsidR="00F43C9B" w:rsidRPr="00AD2CF5" w:rsidRDefault="00F43C9B" w:rsidP="00F43C9B">
            <w:pPr>
              <w:shd w:val="clear" w:color="auto" w:fill="D9D9D9" w:themeFill="background1" w:themeFillShade="D9"/>
              <w:spacing w:line="240" w:lineRule="auto"/>
            </w:pPr>
            <w:r w:rsidRPr="00AD2CF5">
              <w:t>(</w:t>
            </w:r>
            <w:r w:rsidRPr="00AD2CF5">
              <w:rPr>
                <w:i/>
              </w:rPr>
              <w:t>f</w:t>
            </w:r>
            <w:r w:rsidRPr="00AD2CF5">
              <w:rPr>
                <w:i/>
                <w:vertAlign w:val="subscript"/>
              </w:rPr>
              <w:t>k</w:t>
            </w:r>
            <w:r w:rsidRPr="00AD2CF5">
              <w:t> = 16 Hz, 31,5 Hz, …, 4000 Hz)</w:t>
            </w:r>
          </w:p>
        </w:tc>
        <w:tc>
          <w:tcPr>
            <w:tcW w:w="1440" w:type="dxa"/>
          </w:tcPr>
          <w:p w:rsidR="00F43C9B" w:rsidRPr="00AD2CF5" w:rsidRDefault="00F43C9B" w:rsidP="00F43C9B">
            <w:pPr>
              <w:shd w:val="clear" w:color="auto" w:fill="D9D9D9" w:themeFill="background1" w:themeFillShade="D9"/>
              <w:spacing w:line="240" w:lineRule="auto"/>
              <w:ind w:left="256"/>
            </w:pPr>
            <w:r w:rsidRPr="00AD2CF5">
              <w:t>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f</w:t>
            </w:r>
            <w:r w:rsidRPr="00AD2CF5">
              <w:rPr>
                <w:i/>
                <w:vertAlign w:val="subscript"/>
              </w:rPr>
              <w:t>z</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fractie van het geluidpad waarvoor de bodem zeer absorberend is</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f</w:t>
            </w:r>
            <w:r w:rsidRPr="00AD2CF5">
              <w:rPr>
                <w:i/>
                <w:vertAlign w:val="subscript"/>
              </w:rPr>
              <w:t>kogel</w:t>
            </w:r>
          </w:p>
        </w:tc>
        <w:tc>
          <w:tcPr>
            <w:tcW w:w="970" w:type="dxa"/>
          </w:tcPr>
          <w:p w:rsidR="00F43C9B" w:rsidRPr="00AD2CF5" w:rsidRDefault="00F43C9B" w:rsidP="00F43C9B">
            <w:pPr>
              <w:shd w:val="clear" w:color="auto" w:fill="D9D9D9" w:themeFill="background1" w:themeFillShade="D9"/>
              <w:spacing w:line="240" w:lineRule="auto"/>
            </w:pPr>
            <w:r w:rsidRPr="00AD2CF5">
              <w:t>Hz</w:t>
            </w:r>
          </w:p>
        </w:tc>
        <w:tc>
          <w:tcPr>
            <w:tcW w:w="5528" w:type="dxa"/>
          </w:tcPr>
          <w:p w:rsidR="00F43C9B" w:rsidRPr="00AD2CF5" w:rsidRDefault="00F43C9B" w:rsidP="00F43C9B">
            <w:pPr>
              <w:shd w:val="clear" w:color="auto" w:fill="D9D9D9" w:themeFill="background1" w:themeFillShade="D9"/>
              <w:spacing w:line="240" w:lineRule="auto"/>
            </w:pPr>
            <w:r w:rsidRPr="00AD2CF5">
              <w:t>karakteristieke frequentie</w:t>
            </w:r>
            <w:r w:rsidRPr="00AD2CF5">
              <w:fldChar w:fldCharType="begin"/>
            </w:r>
            <w:r w:rsidRPr="00AD2CF5">
              <w:instrText xml:space="preserve"> XE "</w:instrText>
            </w:r>
            <w:r w:rsidRPr="00AD2CF5">
              <w:rPr>
                <w:lang w:val="en-US"/>
              </w:rPr>
              <w:instrText>frequentie"</w:instrText>
            </w:r>
            <w:r w:rsidRPr="00AD2CF5">
              <w:instrText xml:space="preserve"> </w:instrText>
            </w:r>
            <w:r w:rsidRPr="00AD2CF5">
              <w:fldChar w:fldCharType="end"/>
            </w:r>
            <w:r w:rsidRPr="00AD2CF5">
              <w:t xml:space="preserve"> van kogelgeluid</w:t>
            </w:r>
            <w:r w:rsidRPr="00AD2CF5">
              <w:fldChar w:fldCharType="begin"/>
            </w:r>
            <w:r w:rsidRPr="00AD2CF5">
              <w:instrText xml:space="preserve"> XE "kogelgeluid"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g</w:t>
            </w:r>
            <w:r w:rsidRPr="00AD2CF5">
              <w:rPr>
                <w:i/>
                <w:vertAlign w:val="subscript"/>
              </w:rPr>
              <w:t>d</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gewichtsfactoren</w:t>
            </w:r>
            <w:r w:rsidRPr="00AD2CF5">
              <w:fldChar w:fldCharType="begin"/>
            </w:r>
            <w:r w:rsidRPr="00AD2CF5">
              <w:instrText xml:space="preserve"> XE "gewichtsfactoren" </w:instrText>
            </w:r>
            <w:r w:rsidRPr="00AD2CF5">
              <w:fldChar w:fldCharType="end"/>
            </w:r>
            <w:r w:rsidRPr="00AD2CF5">
              <w:t xml:space="preserve"> voor de meteorologische dag.</w:t>
            </w:r>
            <w:r w:rsidRPr="00AD2CF5">
              <w:fldChar w:fldCharType="begin"/>
            </w:r>
            <w:r w:rsidRPr="00AD2CF5">
              <w:instrText xml:space="preserve"> XE "meteorologische dag" </w:instrText>
            </w:r>
            <w:r w:rsidRPr="00AD2CF5">
              <w:fldChar w:fldCharType="end"/>
            </w:r>
            <w:r w:rsidRPr="00AD2CF5">
              <w:t xml:space="preserve"> Dit</w:t>
            </w:r>
            <w:r w:rsidRPr="00AD2CF5">
              <w:rPr>
                <w:vertAlign w:val="subscript"/>
              </w:rPr>
              <w:t xml:space="preserve"> </w:t>
            </w:r>
            <w:r w:rsidRPr="00AD2CF5">
              <w:t>komt overeen met de kans dat een meteorologische situatie in een bepaalde meteorologische klasse</w:t>
            </w:r>
            <w:r w:rsidRPr="00AD2CF5">
              <w:fldChar w:fldCharType="begin"/>
            </w:r>
            <w:r w:rsidRPr="00AD2CF5">
              <w:instrText xml:space="preserve"> XE "meteorologische klasse" </w:instrText>
            </w:r>
            <w:r w:rsidRPr="00AD2CF5">
              <w:fldChar w:fldCharType="end"/>
            </w:r>
            <w:r w:rsidRPr="00AD2CF5">
              <w:t xml:space="preserve"> valt. Een meteorologische klasse wordt gekarakteriseerd door één van de 27 geluidsnelheidsprofielen.</w:t>
            </w:r>
          </w:p>
        </w:tc>
        <w:tc>
          <w:tcPr>
            <w:tcW w:w="1440" w:type="dxa"/>
          </w:tcPr>
          <w:p w:rsidR="00F43C9B" w:rsidRPr="00AD2CF5" w:rsidRDefault="00F43C9B" w:rsidP="00F43C9B">
            <w:pPr>
              <w:shd w:val="clear" w:color="auto" w:fill="D9D9D9" w:themeFill="background1" w:themeFillShade="D9"/>
              <w:spacing w:line="240" w:lineRule="auto"/>
              <w:ind w:left="256"/>
            </w:pPr>
            <w:r w:rsidRPr="00AD2CF5">
              <w:t>3.2 en 4.4.3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g</w:t>
            </w:r>
            <w:r w:rsidRPr="00AD2CF5">
              <w:rPr>
                <w:i/>
                <w:vertAlign w:val="subscript"/>
              </w:rPr>
              <w:t>n</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gewichtsfactoren</w:t>
            </w:r>
            <w:r w:rsidRPr="00AD2CF5">
              <w:fldChar w:fldCharType="begin"/>
            </w:r>
            <w:r w:rsidRPr="00AD2CF5">
              <w:instrText xml:space="preserve"> XE "gewichtsfactoren" </w:instrText>
            </w:r>
            <w:r w:rsidRPr="00AD2CF5">
              <w:fldChar w:fldCharType="end"/>
            </w:r>
            <w:r w:rsidRPr="00AD2CF5">
              <w:t xml:space="preserve"> voor de meteorologische nacht</w:t>
            </w:r>
            <w:r w:rsidRPr="00AD2CF5">
              <w:fldChar w:fldCharType="begin"/>
            </w:r>
            <w:r w:rsidRPr="00AD2CF5">
              <w:instrText xml:space="preserve"> XE "meteorologische nacht" </w:instrText>
            </w:r>
            <w:r w:rsidRPr="00AD2CF5">
              <w:fldChar w:fldCharType="end"/>
            </w:r>
            <w:r w:rsidRPr="00AD2CF5">
              <w:t xml:space="preserve"> (zie ook hierboven).</w:t>
            </w:r>
          </w:p>
        </w:tc>
        <w:tc>
          <w:tcPr>
            <w:tcW w:w="1440" w:type="dxa"/>
          </w:tcPr>
          <w:p w:rsidR="00F43C9B" w:rsidRPr="00AD2CF5" w:rsidRDefault="00F43C9B" w:rsidP="00F43C9B">
            <w:pPr>
              <w:shd w:val="clear" w:color="auto" w:fill="D9D9D9" w:themeFill="background1" w:themeFillShade="D9"/>
              <w:spacing w:line="240" w:lineRule="auto"/>
              <w:ind w:left="256"/>
            </w:pPr>
            <w:r w:rsidRPr="00AD2CF5">
              <w:t>3.2 en 4.4.3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h</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hoogte boven het plaatselijk maaiveld</w:t>
            </w:r>
          </w:p>
        </w:tc>
        <w:tc>
          <w:tcPr>
            <w:tcW w:w="1440" w:type="dxa"/>
          </w:tcPr>
          <w:p w:rsidR="00F43C9B" w:rsidRPr="00AD2CF5" w:rsidRDefault="00F43C9B" w:rsidP="00F43C9B">
            <w:pPr>
              <w:shd w:val="clear" w:color="auto" w:fill="D9D9D9" w:themeFill="background1" w:themeFillShade="D9"/>
              <w:spacing w:line="240" w:lineRule="auto"/>
              <w:ind w:left="256"/>
            </w:pP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t>h</w:t>
            </w:r>
            <w:r w:rsidRPr="00AD2CF5">
              <w:rPr>
                <w:i/>
                <w:vertAlign w:val="subscript"/>
              </w:rPr>
              <w:t>0</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referentiehoogte (0.1 m)</w:t>
            </w:r>
          </w:p>
        </w:tc>
        <w:tc>
          <w:tcPr>
            <w:tcW w:w="1440" w:type="dxa"/>
          </w:tcPr>
          <w:p w:rsidR="00F43C9B" w:rsidRPr="00AD2CF5" w:rsidRDefault="00F43C9B" w:rsidP="00F43C9B">
            <w:pPr>
              <w:shd w:val="clear" w:color="auto" w:fill="D9D9D9" w:themeFill="background1" w:themeFillShade="D9"/>
              <w:spacing w:line="240" w:lineRule="auto"/>
              <w:ind w:left="256"/>
            </w:pPr>
            <w:r w:rsidRPr="00AD2CF5">
              <w:t>4.4.2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h</w:t>
            </w:r>
            <w:r w:rsidRPr="00AD2CF5">
              <w:rPr>
                <w:i/>
                <w:vertAlign w:val="subscript"/>
              </w:rPr>
              <w:t>eff</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effectieve hoogte</w:t>
            </w:r>
            <w:r w:rsidRPr="00AD2CF5">
              <w:fldChar w:fldCharType="begin"/>
            </w:r>
            <w:r w:rsidRPr="00AD2CF5">
              <w:instrText xml:space="preserve"> XE "effectieve hoogte" </w:instrText>
            </w:r>
            <w:r w:rsidRPr="00AD2CF5">
              <w:fldChar w:fldCharType="end"/>
            </w:r>
            <w:r w:rsidRPr="00AD2CF5">
              <w:t xml:space="preserve"> van bronpunt of rekenpunt als gevolg van een scherm</w:t>
            </w:r>
            <w:r w:rsidRPr="00AD2CF5">
              <w:fldChar w:fldCharType="begin"/>
            </w:r>
            <w:r w:rsidRPr="00AD2CF5">
              <w:instrText xml:space="preserve"> XE "afschermende objecten:scherm"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h</w:t>
            </w:r>
            <w:r w:rsidRPr="00AD2CF5">
              <w:rPr>
                <w:i/>
                <w:vertAlign w:val="subscript"/>
              </w:rPr>
              <w:t>r</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hoogte van het rekenpunt boven het plaatselijke maaiveld</w:t>
            </w:r>
          </w:p>
        </w:tc>
        <w:tc>
          <w:tcPr>
            <w:tcW w:w="1440" w:type="dxa"/>
          </w:tcPr>
          <w:p w:rsidR="00F43C9B" w:rsidRPr="00AD2CF5" w:rsidRDefault="00F43C9B" w:rsidP="00F43C9B">
            <w:pPr>
              <w:shd w:val="clear" w:color="auto" w:fill="D9D9D9" w:themeFill="background1" w:themeFillShade="D9"/>
              <w:spacing w:line="240" w:lineRule="auto"/>
              <w:ind w:left="256"/>
            </w:pPr>
            <w:r w:rsidRPr="00AD2CF5">
              <w:t>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h</w:t>
            </w:r>
            <w:r w:rsidRPr="00AD2CF5">
              <w:rPr>
                <w:i/>
                <w:vertAlign w:val="subscript"/>
              </w:rPr>
              <w:t>s</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hoogte van het bronpunt boven het plaatselijke maaiveld</w:t>
            </w:r>
          </w:p>
        </w:tc>
        <w:tc>
          <w:tcPr>
            <w:tcW w:w="1440" w:type="dxa"/>
          </w:tcPr>
          <w:p w:rsidR="00F43C9B" w:rsidRPr="00AD2CF5" w:rsidRDefault="00F43C9B" w:rsidP="00F43C9B">
            <w:pPr>
              <w:shd w:val="clear" w:color="auto" w:fill="D9D9D9" w:themeFill="background1" w:themeFillShade="D9"/>
              <w:spacing w:line="240" w:lineRule="auto"/>
              <w:ind w:left="256"/>
            </w:pPr>
            <w:r w:rsidRPr="00AD2CF5">
              <w:t>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h</w:t>
            </w:r>
            <w:r w:rsidRPr="00AD2CF5">
              <w:rPr>
                <w:i/>
                <w:vertAlign w:val="subscript"/>
              </w:rPr>
              <w:t>wapen</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hoogte van het draaipunt van de loop van een wapen</w:t>
            </w:r>
          </w:p>
        </w:tc>
        <w:tc>
          <w:tcPr>
            <w:tcW w:w="1440" w:type="dxa"/>
          </w:tcPr>
          <w:p w:rsidR="00F43C9B" w:rsidRPr="00AD2CF5" w:rsidRDefault="00F43C9B" w:rsidP="00F43C9B">
            <w:pPr>
              <w:shd w:val="clear" w:color="auto" w:fill="D9D9D9" w:themeFill="background1" w:themeFillShade="D9"/>
              <w:spacing w:line="240" w:lineRule="auto"/>
              <w:ind w:left="256"/>
            </w:pPr>
            <w:r w:rsidRPr="00AD2CF5">
              <w:t>4.4.1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H</w:t>
            </w:r>
            <w:r w:rsidRPr="00AD2CF5">
              <w:rPr>
                <w:i/>
                <w:vertAlign w:val="subscript"/>
              </w:rPr>
              <w:t>p</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factor waarmee de eindige hoogte en breedte van een scherm</w:t>
            </w:r>
            <w:r w:rsidRPr="00AD2CF5">
              <w:fldChar w:fldCharType="begin"/>
            </w:r>
            <w:r w:rsidRPr="00AD2CF5">
              <w:instrText xml:space="preserve"> XE "afschermende objecten:scherm" </w:instrText>
            </w:r>
            <w:r w:rsidRPr="00AD2CF5">
              <w:fldChar w:fldCharType="end"/>
            </w:r>
            <w:r w:rsidRPr="00AD2CF5">
              <w:t xml:space="preserve"> in rekening wordt gebracht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t>k</w:t>
            </w:r>
            <w:r w:rsidRPr="00AD2CF5">
              <w:rPr>
                <w:i/>
                <w:vertAlign w:val="subscript"/>
              </w:rPr>
              <w:t>periode</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kans dat schietgeluid in een bepaalde juridische beoordelings</w:t>
            </w:r>
            <w:r w:rsidRPr="00AD2CF5">
              <w:softHyphen/>
              <w:t>periode</w:t>
            </w:r>
            <w:r w:rsidRPr="00AD2CF5">
              <w:fldChar w:fldCharType="begin"/>
            </w:r>
            <w:r w:rsidRPr="00AD2CF5">
              <w:fldChar w:fldCharType="begin"/>
            </w:r>
            <w:r w:rsidRPr="00AD2CF5">
              <w:instrText xml:space="preserve"> XE "beoordelingsperiode" </w:instrText>
            </w:r>
            <w:r w:rsidRPr="00AD2CF5">
              <w:fldChar w:fldCharType="end"/>
            </w:r>
            <w:r w:rsidRPr="00AD2CF5">
              <w:instrText xml:space="preserve"> XE "juridische beoordelingsperiode" </w:instrText>
            </w:r>
            <w:r w:rsidRPr="00AD2CF5">
              <w:fldChar w:fldCharType="end"/>
            </w:r>
            <w:r w:rsidRPr="00AD2CF5">
              <w:t xml:space="preserve"> gehoord wordt</w:t>
            </w:r>
          </w:p>
        </w:tc>
        <w:tc>
          <w:tcPr>
            <w:tcW w:w="1440" w:type="dxa"/>
          </w:tcPr>
          <w:p w:rsidR="00F43C9B" w:rsidRPr="00AD2CF5" w:rsidRDefault="00F43C9B" w:rsidP="00F43C9B">
            <w:pPr>
              <w:shd w:val="clear" w:color="auto" w:fill="D9D9D9" w:themeFill="background1" w:themeFillShade="D9"/>
              <w:spacing w:line="240" w:lineRule="auto"/>
              <w:ind w:left="256"/>
            </w:pPr>
            <w:r w:rsidRPr="00AD2CF5">
              <w:t>bijlage A</w:t>
            </w:r>
          </w:p>
        </w:tc>
      </w:tr>
      <w:tr w:rsidR="00F43C9B" w:rsidRPr="00AD2CF5" w:rsidTr="00F43C9B">
        <w:trPr>
          <w:cantSplit/>
        </w:trPr>
        <w:tc>
          <w:tcPr>
            <w:tcW w:w="1440" w:type="dxa"/>
          </w:tcPr>
          <w:p w:rsidR="00F43C9B" w:rsidRPr="00AD2CF5" w:rsidRDefault="00F43C9B" w:rsidP="00F43C9B">
            <w:pPr>
              <w:shd w:val="clear" w:color="auto" w:fill="D9D9D9" w:themeFill="background1" w:themeFillShade="D9"/>
              <w:spacing w:line="240" w:lineRule="auto"/>
              <w:rPr>
                <w:i/>
              </w:rPr>
            </w:pPr>
            <w:r w:rsidRPr="00AD2CF5">
              <w:rPr>
                <w:i/>
              </w:rPr>
              <w:t>l</w:t>
            </w:r>
            <w:r w:rsidRPr="00AD2CF5">
              <w:rPr>
                <w:i/>
                <w:vertAlign w:val="subscript"/>
              </w:rPr>
              <w:t>kogel</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afstand van de punt van de kogel tot aan het punt waar de kogel de grootste diameter heeft</w:t>
            </w:r>
          </w:p>
        </w:tc>
        <w:tc>
          <w:tcPr>
            <w:tcW w:w="1440" w:type="dxa"/>
          </w:tcPr>
          <w:p w:rsidR="00F43C9B" w:rsidRPr="00AD2CF5" w:rsidRDefault="00F43C9B" w:rsidP="00F43C9B">
            <w:pPr>
              <w:shd w:val="clear" w:color="auto" w:fill="D9D9D9" w:themeFill="background1" w:themeFillShade="D9"/>
              <w:spacing w:line="240" w:lineRule="auto"/>
              <w:ind w:left="256"/>
            </w:pPr>
            <w:r w:rsidRPr="00AD2CF5">
              <w:t>2.6.2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iCs/>
              </w:rPr>
            </w:pPr>
            <w:r w:rsidRPr="00AD2CF5">
              <w:rPr>
                <w:i/>
                <w:iCs/>
              </w:rPr>
              <w:t>L</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correlatielengte (1.1 m)</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position w:val="-14"/>
              </w:rPr>
              <w:object w:dxaOrig="940" w:dyaOrig="380">
                <v:shape id="_x0000_i1033" type="#_x0000_t75" style="width:45.75pt;height:19.5pt" o:ole="">
                  <v:imagedata r:id="rId78" o:title=""/>
                </v:shape>
                <o:OLEObject Type="Embed" ProgID="Equation.3" ShapeID="_x0000_i1033" DrawAspect="Content" ObjectID="_1511255371" r:id="rId79"/>
              </w:objec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equivalente geluidniveau vanwege schietgeluid voor een gemiddelde dag voor een bepaalde juridische beoordelingsperiode</w:t>
            </w:r>
            <w:r w:rsidRPr="00AD2CF5">
              <w:fldChar w:fldCharType="begin"/>
            </w:r>
            <w:r w:rsidRPr="00AD2CF5">
              <w:instrText xml:space="preserve"> XE "juridische beoordelingsperiode"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3.3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L</w:t>
            </w:r>
            <w:r w:rsidRPr="00AD2CF5">
              <w:rPr>
                <w:i/>
                <w:vertAlign w:val="subscript"/>
              </w:rPr>
              <w:t>E</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Geluidexpositieniveau, immissieniveau</w:t>
            </w:r>
          </w:p>
        </w:tc>
        <w:tc>
          <w:tcPr>
            <w:tcW w:w="1440" w:type="dxa"/>
          </w:tcPr>
          <w:p w:rsidR="00F43C9B" w:rsidRPr="00AD2CF5" w:rsidRDefault="00F43C9B" w:rsidP="00F43C9B">
            <w:pPr>
              <w:shd w:val="clear" w:color="auto" w:fill="D9D9D9" w:themeFill="background1" w:themeFillShade="D9"/>
              <w:spacing w:line="240" w:lineRule="auto"/>
              <w:ind w:left="256"/>
            </w:pPr>
            <w:r w:rsidRPr="00AD2CF5">
              <w:t>2.3 en 4.3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t>L</w:t>
            </w:r>
            <w:r w:rsidRPr="00AD2CF5">
              <w:rPr>
                <w:i/>
                <w:vertAlign w:val="subscript"/>
              </w:rPr>
              <w:t>AE</w: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A-gewogen geluidexpositieniveau</w:t>
            </w:r>
            <w:r w:rsidRPr="00AD2CF5">
              <w:fldChar w:fldCharType="begin"/>
            </w:r>
            <w:r w:rsidRPr="00AD2CF5">
              <w:instrText xml:space="preserve"> XE "geluidexpositieniveau"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rPr>
                <w:lang w:val="en-US"/>
              </w:rPr>
            </w:pPr>
            <w:r w:rsidRPr="00AD2CF5">
              <w:rPr>
                <w:lang w:val="en-US"/>
              </w:rPr>
              <w:t>2.3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lang w:val="en-US"/>
              </w:rPr>
            </w:pPr>
            <w:r w:rsidRPr="00AD2CF5">
              <w:rPr>
                <w:i/>
                <w:lang w:val="en-US"/>
              </w:rPr>
              <w:t>L</w:t>
            </w:r>
            <w:r w:rsidRPr="00AD2CF5">
              <w:rPr>
                <w:i/>
                <w:vertAlign w:val="subscript"/>
                <w:lang w:val="en-US"/>
              </w:rPr>
              <w:t>CE</w:t>
            </w:r>
          </w:p>
        </w:tc>
        <w:tc>
          <w:tcPr>
            <w:tcW w:w="970" w:type="dxa"/>
          </w:tcPr>
          <w:p w:rsidR="00F43C9B" w:rsidRPr="00AD2CF5" w:rsidRDefault="00F43C9B" w:rsidP="00F43C9B">
            <w:pPr>
              <w:shd w:val="clear" w:color="auto" w:fill="D9D9D9" w:themeFill="background1" w:themeFillShade="D9"/>
              <w:spacing w:line="240" w:lineRule="auto"/>
              <w:rPr>
                <w:lang w:val="en-US"/>
              </w:rPr>
            </w:pPr>
            <w:r w:rsidRPr="00AD2CF5">
              <w:rPr>
                <w:lang w:val="en-US"/>
              </w:rPr>
              <w:t>dB(C)</w:t>
            </w:r>
          </w:p>
        </w:tc>
        <w:tc>
          <w:tcPr>
            <w:tcW w:w="5528" w:type="dxa"/>
          </w:tcPr>
          <w:p w:rsidR="00F43C9B" w:rsidRPr="00AD2CF5" w:rsidRDefault="00F43C9B" w:rsidP="00F43C9B">
            <w:pPr>
              <w:shd w:val="clear" w:color="auto" w:fill="D9D9D9" w:themeFill="background1" w:themeFillShade="D9"/>
              <w:spacing w:line="240" w:lineRule="auto"/>
            </w:pPr>
            <w:r w:rsidRPr="00AD2CF5">
              <w:t>C-gewogen geluidexpositieniveau</w:t>
            </w:r>
            <w:r w:rsidRPr="00AD2CF5">
              <w:fldChar w:fldCharType="begin"/>
            </w:r>
            <w:r w:rsidRPr="00AD2CF5">
              <w:instrText xml:space="preserve"> XE "geluidexpositieniveau"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L</w:t>
            </w:r>
            <w:r w:rsidRPr="00AD2CF5">
              <w:rPr>
                <w:i/>
                <w:vertAlign w:val="subscript"/>
              </w:rPr>
              <w:t>Eb</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bronniveau</w:t>
            </w:r>
            <w:r w:rsidRPr="00AD2CF5">
              <w:fldChar w:fldCharType="begin"/>
            </w:r>
            <w:r w:rsidRPr="00AD2CF5">
              <w:instrText xml:space="preserve"> XE "bronniveau"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2.3 en 4.3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position w:val="-10"/>
              </w:rPr>
              <w:object w:dxaOrig="380" w:dyaOrig="340">
                <v:shape id="_x0000_i1034" type="#_x0000_t75" style="width:19.5pt;height:17.25pt" o:ole="">
                  <v:imagedata r:id="rId80" o:title=""/>
                </v:shape>
                <o:OLEObject Type="Embed" ProgID="Equation.2" ShapeID="_x0000_i1034" DrawAspect="Content" ObjectID="_1511255372" r:id="rId81"/>
              </w:objec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bronniveau</w:t>
            </w:r>
            <w:r w:rsidRPr="00AD2CF5">
              <w:fldChar w:fldCharType="begin"/>
            </w:r>
            <w:r w:rsidRPr="00AD2CF5">
              <w:instrText xml:space="preserve"> XE "bronniveau" </w:instrText>
            </w:r>
            <w:r w:rsidRPr="00AD2CF5">
              <w:fldChar w:fldCharType="end"/>
            </w:r>
            <w:r w:rsidRPr="00AD2CF5">
              <w:t xml:space="preserve"> van een spiegelbron</w:t>
            </w:r>
          </w:p>
        </w:tc>
        <w:tc>
          <w:tcPr>
            <w:tcW w:w="1440" w:type="dxa"/>
          </w:tcPr>
          <w:p w:rsidR="00F43C9B" w:rsidRPr="00AD2CF5" w:rsidRDefault="00F43C9B" w:rsidP="00F43C9B">
            <w:pPr>
              <w:shd w:val="clear" w:color="auto" w:fill="D9D9D9" w:themeFill="background1" w:themeFillShade="D9"/>
              <w:spacing w:line="240" w:lineRule="auto"/>
              <w:ind w:left="256"/>
            </w:pPr>
            <w:r w:rsidRPr="00AD2CF5">
              <w:t>4.3 en 4.6.7</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L</w:t>
            </w:r>
            <w:r w:rsidRPr="00AD2CF5">
              <w:rPr>
                <w:i/>
                <w:vertAlign w:val="subscript"/>
              </w:rPr>
              <w:t xml:space="preserve">Es,periode </w:t>
            </w:r>
            <w:r w:rsidRPr="00AD2CF5">
              <w:rPr>
                <w:i/>
              </w:rPr>
              <w:t>(b,m)</w: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 xml:space="preserve">deelbijdrage aan de geluidbelasting van een enkel schot van een bron </w:t>
            </w:r>
            <w:r w:rsidRPr="00AD2CF5">
              <w:rPr>
                <w:i/>
                <w:iCs/>
              </w:rPr>
              <w:t>b</w:t>
            </w:r>
            <w:r w:rsidRPr="00AD2CF5">
              <w:t xml:space="preserve"> bij een meteorologische klasse</w:t>
            </w:r>
            <w:r w:rsidRPr="00AD2CF5">
              <w:fldChar w:fldCharType="begin"/>
            </w:r>
            <w:r w:rsidRPr="00AD2CF5">
              <w:instrText xml:space="preserve"> XE "meteorologische klasse" </w:instrText>
            </w:r>
            <w:r w:rsidRPr="00AD2CF5">
              <w:fldChar w:fldCharType="end"/>
            </w:r>
            <w:r w:rsidRPr="00AD2CF5">
              <w:t xml:space="preserve"> </w:t>
            </w:r>
            <w:r w:rsidRPr="00AD2CF5">
              <w:rPr>
                <w:i/>
                <w:iCs/>
              </w:rPr>
              <w:t>m.</w:t>
            </w:r>
            <w:r w:rsidRPr="00AD2CF5">
              <w:t xml:space="preserve"> De juridische beoordelingsperiode</w:t>
            </w:r>
            <w:r w:rsidRPr="00AD2CF5">
              <w:fldChar w:fldCharType="begin"/>
            </w:r>
            <w:r w:rsidRPr="00AD2CF5">
              <w:instrText xml:space="preserve"> XE "juridische beoordelingsperiode" </w:instrText>
            </w:r>
            <w:r w:rsidRPr="00AD2CF5">
              <w:fldChar w:fldCharType="end"/>
            </w:r>
            <w:r w:rsidRPr="00AD2CF5">
              <w:t xml:space="preserve"> (dag, avond of nacht) is alleen relevant als een geluidbelasting &lt; 50 dB(A) wordt berekend (zie bijlage A).</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position w:val="-14"/>
              </w:rPr>
              <w:object w:dxaOrig="1300" w:dyaOrig="420">
                <v:shape id="_x0000_i1035" type="#_x0000_t75" style="width:64.5pt;height:22.5pt" o:ole="">
                  <v:imagedata r:id="rId82" o:title=""/>
                </v:shape>
                <o:OLEObject Type="Embed" ProgID="Equation.3" ShapeID="_x0000_i1035" DrawAspect="Content" ObjectID="_1511255373" r:id="rId83"/>
              </w:objec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deelbijdrage aan de geluidbelasting voor de meteorologische dag</w:t>
            </w:r>
            <w:r w:rsidRPr="00AD2CF5">
              <w:fldChar w:fldCharType="begin"/>
            </w:r>
            <w:r w:rsidRPr="00AD2CF5">
              <w:instrText xml:space="preserve"> XE "meteorologische dag" </w:instrText>
            </w:r>
            <w:r w:rsidRPr="00AD2CF5">
              <w:fldChar w:fldCharType="end"/>
            </w:r>
            <w:r w:rsidRPr="00AD2CF5">
              <w:t xml:space="preserve"> van een enkel schot van een bron </w:t>
            </w:r>
            <w:r w:rsidRPr="00AD2CF5">
              <w:rPr>
                <w:i/>
                <w:iCs/>
              </w:rPr>
              <w:t xml:space="preserve">b </w:t>
            </w:r>
            <w:r w:rsidRPr="00AD2CF5">
              <w:rPr>
                <w:iCs/>
              </w:rPr>
              <w:t>als gewogen</w:t>
            </w:r>
            <w:r w:rsidRPr="00AD2CF5">
              <w:t xml:space="preserve"> gemiddelde over 27 meteorologische klassen</w:t>
            </w:r>
            <w:r w:rsidRPr="00AD2CF5">
              <w:fldChar w:fldCharType="begin"/>
            </w:r>
            <w:r w:rsidRPr="00AD2CF5">
              <w:instrText xml:space="preserve"> XE "meteorologische klasse" </w:instrText>
            </w:r>
            <w:r w:rsidRPr="00AD2CF5">
              <w:fldChar w:fldCharType="end"/>
            </w:r>
            <w:r w:rsidRPr="00AD2CF5">
              <w:t>. De juridische beoordelingsperiode</w:t>
            </w:r>
            <w:r w:rsidRPr="00AD2CF5">
              <w:fldChar w:fldCharType="begin"/>
            </w:r>
            <w:r w:rsidRPr="00AD2CF5">
              <w:instrText xml:space="preserve"> XE "beoordelingsperiode" </w:instrText>
            </w:r>
            <w:r w:rsidRPr="00AD2CF5">
              <w:fldChar w:fldCharType="end"/>
            </w:r>
            <w:r w:rsidRPr="00AD2CF5">
              <w:t xml:space="preserve"> (dag, avond of nacht) is alleen relevant als een geluidbelasting &lt; 50 dB(A) wordt berekend (zie bijlage A).</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position w:val="-14"/>
              </w:rPr>
              <w:object w:dxaOrig="1300" w:dyaOrig="420">
                <v:shape id="_x0000_i1036" type="#_x0000_t75" style="width:64.5pt;height:22.5pt" o:ole="">
                  <v:imagedata r:id="rId84" o:title=""/>
                </v:shape>
                <o:OLEObject Type="Embed" ProgID="Equation.3" ShapeID="_x0000_i1036" DrawAspect="Content" ObjectID="_1511255374" r:id="rId85"/>
              </w:object>
            </w:r>
          </w:p>
        </w:tc>
        <w:tc>
          <w:tcPr>
            <w:tcW w:w="970" w:type="dxa"/>
          </w:tcPr>
          <w:p w:rsidR="00F43C9B" w:rsidRPr="00AD2CF5" w:rsidRDefault="00F43C9B" w:rsidP="00F43C9B">
            <w:pPr>
              <w:shd w:val="clear" w:color="auto" w:fill="D9D9D9" w:themeFill="background1" w:themeFillShade="D9"/>
              <w:spacing w:line="240" w:lineRule="auto"/>
            </w:pPr>
            <w:r w:rsidRPr="00AD2CF5">
              <w:t>dB(A)</w:t>
            </w:r>
          </w:p>
        </w:tc>
        <w:tc>
          <w:tcPr>
            <w:tcW w:w="5528" w:type="dxa"/>
          </w:tcPr>
          <w:p w:rsidR="00F43C9B" w:rsidRPr="00AD2CF5" w:rsidRDefault="00F43C9B" w:rsidP="00F43C9B">
            <w:pPr>
              <w:shd w:val="clear" w:color="auto" w:fill="D9D9D9" w:themeFill="background1" w:themeFillShade="D9"/>
              <w:spacing w:line="240" w:lineRule="auto"/>
            </w:pPr>
            <w:r w:rsidRPr="00AD2CF5">
              <w:t>deelbijdrage aan de geluidbelasting voor de meteorologische nacht</w:t>
            </w:r>
            <w:r w:rsidRPr="00AD2CF5">
              <w:fldChar w:fldCharType="begin"/>
            </w:r>
            <w:r w:rsidRPr="00AD2CF5">
              <w:instrText xml:space="preserve"> XE "meteorologische nacht" </w:instrText>
            </w:r>
            <w:r w:rsidRPr="00AD2CF5">
              <w:fldChar w:fldCharType="end"/>
            </w:r>
            <w:r w:rsidRPr="00AD2CF5">
              <w:t xml:space="preserve"> van een enkel schot van een bron </w:t>
            </w:r>
            <w:r w:rsidRPr="00AD2CF5">
              <w:rPr>
                <w:i/>
                <w:iCs/>
              </w:rPr>
              <w:t xml:space="preserve">b </w:t>
            </w:r>
            <w:r w:rsidRPr="00AD2CF5">
              <w:rPr>
                <w:iCs/>
              </w:rPr>
              <w:t>als gewogen</w:t>
            </w:r>
            <w:r w:rsidRPr="00AD2CF5">
              <w:t xml:space="preserve"> gemiddelde over 27 meteorologische klassen. De juridische beoordelingsperiode</w:t>
            </w:r>
            <w:r w:rsidRPr="00AD2CF5">
              <w:fldChar w:fldCharType="begin"/>
            </w:r>
            <w:r w:rsidRPr="00AD2CF5">
              <w:instrText xml:space="preserve"> XE "beoordelingsperiode" </w:instrText>
            </w:r>
            <w:r w:rsidRPr="00AD2CF5">
              <w:fldChar w:fldCharType="end"/>
            </w:r>
            <w:r w:rsidRPr="00AD2CF5">
              <w:t xml:space="preserve"> (dag, avond of nacht) is alleen relevant als een geluidbelasting &lt; 50 dB(A) wordt berekend (zie bijlage A).</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L</w:t>
            </w:r>
            <w:r w:rsidRPr="00AD2CF5">
              <w:rPr>
                <w:i/>
                <w:vertAlign w:val="subscript"/>
              </w:rPr>
              <w:t>loop</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lengte van de loop vanaf draaipunt tot bronpunt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4.4.1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L</w:t>
            </w:r>
            <w:r w:rsidRPr="00AD2CF5">
              <w:rPr>
                <w:i/>
                <w:vertAlign w:val="subscript"/>
              </w:rPr>
              <w:t>n</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breedte van deelgebied van brongebied</w:t>
            </w:r>
            <w:r w:rsidRPr="00AD2CF5">
              <w:fldChar w:fldCharType="begin"/>
            </w:r>
            <w:r w:rsidRPr="00AD2CF5">
              <w:instrText xml:space="preserve"> XE "brongebied"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m</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meteorologische klasse</w:t>
            </w:r>
            <w:r w:rsidRPr="00AD2CF5">
              <w:fldChar w:fldCharType="begin"/>
            </w:r>
            <w:r w:rsidRPr="00AD2CF5">
              <w:instrText xml:space="preserve"> XE "meteorologische klasse"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3.2, 4.3 en 4.4.2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M</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rPr>
                <w:vertAlign w:val="subscript"/>
              </w:rPr>
            </w:pPr>
            <w:r w:rsidRPr="00AD2CF5">
              <w:t>Mach-getal,</w:t>
            </w:r>
            <w:r w:rsidRPr="00AD2CF5">
              <w:fldChar w:fldCharType="begin"/>
            </w:r>
            <w:r w:rsidRPr="00AD2CF5">
              <w:instrText xml:space="preserve"> XE "mach-getal" </w:instrText>
            </w:r>
            <w:r w:rsidRPr="00AD2CF5">
              <w:fldChar w:fldCharType="end"/>
            </w:r>
            <w:r w:rsidRPr="00AD2CF5">
              <w:t xml:space="preserve"> relatieve kogelsnelheid</w:t>
            </w:r>
            <w:r w:rsidRPr="00AD2CF5">
              <w:fldChar w:fldCharType="begin"/>
            </w:r>
            <w:r w:rsidRPr="00AD2CF5">
              <w:instrText xml:space="preserve"> XE "kogelsnelheid" </w:instrText>
            </w:r>
            <w:r w:rsidRPr="00AD2CF5">
              <w:fldChar w:fldCharType="end"/>
            </w:r>
            <w:r w:rsidRPr="00AD2CF5">
              <w:t xml:space="preserve"> ten opzichte van de geluidsnelheid</w:t>
            </w:r>
            <w:r w:rsidRPr="00AD2CF5">
              <w:fldChar w:fldCharType="begin"/>
            </w:r>
            <w:r w:rsidRPr="00AD2CF5">
              <w:instrText xml:space="preserve"> XE "geluidsnelheid"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n</w:t>
            </w:r>
            <w:r w:rsidRPr="00AD2CF5">
              <w:rPr>
                <w:i/>
                <w:vertAlign w:val="subscript"/>
              </w:rPr>
              <w:t>2</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gemiddelde aantal bomen</w:t>
            </w:r>
            <w:r w:rsidRPr="00AD2CF5">
              <w:fldChar w:fldCharType="begin"/>
            </w:r>
            <w:r w:rsidRPr="00AD2CF5">
              <w:instrText xml:space="preserve"> XE "bomen" </w:instrText>
            </w:r>
            <w:r w:rsidRPr="00AD2CF5">
              <w:fldChar w:fldCharType="end"/>
            </w:r>
            <w:r w:rsidRPr="00AD2CF5">
              <w:t xml:space="preserve"> per oppervlakte-eenheid</w:t>
            </w:r>
          </w:p>
        </w:tc>
        <w:tc>
          <w:tcPr>
            <w:tcW w:w="1440" w:type="dxa"/>
          </w:tcPr>
          <w:p w:rsidR="00F43C9B" w:rsidRPr="00AD2CF5" w:rsidRDefault="00F43C9B" w:rsidP="00F43C9B">
            <w:pPr>
              <w:shd w:val="clear" w:color="auto" w:fill="D9D9D9" w:themeFill="background1" w:themeFillShade="D9"/>
              <w:spacing w:line="240" w:lineRule="auto"/>
              <w:ind w:left="256"/>
            </w:pPr>
            <w:r w:rsidRPr="00AD2CF5">
              <w:t>4.5.4 en 4.6.8</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N</w:t>
            </w:r>
            <w:r w:rsidRPr="00AD2CF5">
              <w:rPr>
                <w:i/>
                <w:vertAlign w:val="subscript"/>
              </w:rPr>
              <w:t>cil</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aantal cilinders in een segment bij modellering diffuse reflecties</w:t>
            </w:r>
            <w:r w:rsidRPr="00AD2CF5">
              <w:fldChar w:fldCharType="begin"/>
            </w:r>
            <w:r w:rsidRPr="00AD2CF5">
              <w:instrText xml:space="preserve"> XE "reflectie:diffuse reflectie"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4.6.8</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N</w:t>
            </w:r>
            <w:r w:rsidRPr="00AD2CF5">
              <w:rPr>
                <w:i/>
                <w:vertAlign w:val="subscript"/>
              </w:rPr>
              <w:t>avond</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aantal knallen per jaar in de avondperiode voor een bron</w:t>
            </w:r>
          </w:p>
        </w:tc>
        <w:tc>
          <w:tcPr>
            <w:tcW w:w="1440" w:type="dxa"/>
          </w:tcPr>
          <w:p w:rsidR="00F43C9B" w:rsidRPr="00AD2CF5" w:rsidRDefault="00F43C9B" w:rsidP="00F43C9B">
            <w:pPr>
              <w:shd w:val="clear" w:color="auto" w:fill="D9D9D9" w:themeFill="background1" w:themeFillShade="D9"/>
              <w:spacing w:line="240" w:lineRule="auto"/>
              <w:ind w:left="256"/>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N</w:t>
            </w:r>
            <w:r w:rsidRPr="00AD2CF5">
              <w:rPr>
                <w:i/>
                <w:vertAlign w:val="subscript"/>
              </w:rPr>
              <w:t>dag</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aantal knallen per jaar in de dagperiode (inclusief zon- en feestdagen)</w:t>
            </w:r>
          </w:p>
        </w:tc>
        <w:tc>
          <w:tcPr>
            <w:tcW w:w="1440" w:type="dxa"/>
          </w:tcPr>
          <w:p w:rsidR="00F43C9B" w:rsidRPr="00AD2CF5" w:rsidRDefault="00F43C9B" w:rsidP="00F43C9B">
            <w:pPr>
              <w:shd w:val="clear" w:color="auto" w:fill="D9D9D9" w:themeFill="background1" w:themeFillShade="D9"/>
              <w:spacing w:line="240" w:lineRule="auto"/>
              <w:ind w:left="256"/>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N</w:t>
            </w:r>
            <w:r w:rsidRPr="00AD2CF5">
              <w:rPr>
                <w:i/>
                <w:vertAlign w:val="subscript"/>
              </w:rPr>
              <w:t>nacht</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aantal knallen per jaar in de nachtperiode voor een bron</w:t>
            </w:r>
          </w:p>
        </w:tc>
        <w:tc>
          <w:tcPr>
            <w:tcW w:w="1440" w:type="dxa"/>
          </w:tcPr>
          <w:p w:rsidR="00F43C9B" w:rsidRPr="00AD2CF5" w:rsidRDefault="00F43C9B" w:rsidP="00F43C9B">
            <w:pPr>
              <w:shd w:val="clear" w:color="auto" w:fill="D9D9D9" w:themeFill="background1" w:themeFillShade="D9"/>
              <w:spacing w:line="240" w:lineRule="auto"/>
              <w:ind w:left="256"/>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N</w:t>
            </w:r>
            <w:r w:rsidRPr="00AD2CF5">
              <w:rPr>
                <w:i/>
                <w:vertAlign w:val="subscript"/>
              </w:rPr>
              <w:t>v</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tabs>
                <w:tab w:val="left" w:pos="-108"/>
                <w:tab w:val="left" w:pos="1134"/>
              </w:tabs>
              <w:suppressAutoHyphens/>
              <w:spacing w:line="240" w:lineRule="auto"/>
            </w:pPr>
            <w:r w:rsidRPr="00AD2CF5">
              <w:t>aantal gebieden dat door het geluidpad wordt doorkruist met bodemtype</w:t>
            </w:r>
            <w:r w:rsidRPr="00AD2CF5">
              <w:fldChar w:fldCharType="begin"/>
            </w:r>
            <w:r w:rsidRPr="00AD2CF5">
              <w:instrText xml:space="preserve"> XE "bodemtype" </w:instrText>
            </w:r>
            <w:r w:rsidRPr="00AD2CF5">
              <w:fldChar w:fldCharType="end"/>
            </w:r>
            <w:r w:rsidRPr="00AD2CF5">
              <w:t xml:space="preserve"> </w:t>
            </w:r>
            <w:r w:rsidRPr="00AD2CF5">
              <w:rPr>
                <w:i/>
              </w:rPr>
              <w:t>v=h</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4.6.4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N</w:t>
            </w:r>
            <w:r w:rsidRPr="00AD2CF5">
              <w:rPr>
                <w:i/>
                <w:vertAlign w:val="subscript"/>
              </w:rPr>
              <w:t>zondag,dag</w:t>
            </w:r>
          </w:p>
        </w:tc>
        <w:tc>
          <w:tcPr>
            <w:tcW w:w="970" w:type="dxa"/>
          </w:tcPr>
          <w:p w:rsidR="00F43C9B" w:rsidRPr="00AD2CF5" w:rsidRDefault="00F43C9B" w:rsidP="00F43C9B">
            <w:pPr>
              <w:shd w:val="clear" w:color="auto" w:fill="D9D9D9" w:themeFill="background1" w:themeFillShade="D9"/>
              <w:spacing w:line="240" w:lineRule="auto"/>
            </w:pPr>
          </w:p>
        </w:tc>
        <w:tc>
          <w:tcPr>
            <w:tcW w:w="5528" w:type="dxa"/>
          </w:tcPr>
          <w:p w:rsidR="00F43C9B" w:rsidRPr="00AD2CF5" w:rsidRDefault="00F43C9B" w:rsidP="00F43C9B">
            <w:pPr>
              <w:shd w:val="clear" w:color="auto" w:fill="D9D9D9" w:themeFill="background1" w:themeFillShade="D9"/>
              <w:spacing w:line="240" w:lineRule="auto"/>
            </w:pPr>
            <w:r w:rsidRPr="00AD2CF5">
              <w:t>aantal knallen per jaar in de dagperiode op zon- en feestdagen</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O</w:t>
            </w:r>
            <w:r w:rsidRPr="00AD2CF5">
              <w:rPr>
                <w:i/>
                <w:vertAlign w:val="subscript"/>
              </w:rPr>
              <w:t>i</w:t>
            </w:r>
          </w:p>
        </w:tc>
        <w:tc>
          <w:tcPr>
            <w:tcW w:w="970" w:type="dxa"/>
          </w:tcPr>
          <w:p w:rsidR="00F43C9B" w:rsidRPr="00AD2CF5" w:rsidRDefault="00F43C9B" w:rsidP="00F43C9B">
            <w:pPr>
              <w:shd w:val="clear" w:color="auto" w:fill="D9D9D9" w:themeFill="background1" w:themeFillShade="D9"/>
              <w:spacing w:line="240" w:lineRule="auto"/>
            </w:pPr>
          </w:p>
        </w:tc>
        <w:tc>
          <w:tcPr>
            <w:tcW w:w="5528" w:type="dxa"/>
          </w:tcPr>
          <w:p w:rsidR="00F43C9B" w:rsidRPr="00AD2CF5" w:rsidRDefault="00F43C9B" w:rsidP="00F43C9B">
            <w:pPr>
              <w:shd w:val="clear" w:color="auto" w:fill="D9D9D9" w:themeFill="background1" w:themeFillShade="D9"/>
              <w:spacing w:line="240" w:lineRule="auto"/>
            </w:pPr>
            <w:r w:rsidRPr="00AD2CF5">
              <w:t>deeloppervlak van het brongebied</w:t>
            </w:r>
            <w:r w:rsidRPr="00AD2CF5">
              <w:fldChar w:fldCharType="begin"/>
            </w:r>
            <w:r w:rsidRPr="00AD2CF5">
              <w:instrText xml:space="preserve"> XE "brongebied"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4.6.1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O</w:t>
            </w:r>
            <w:r w:rsidRPr="00AD2CF5">
              <w:rPr>
                <w:i/>
                <w:vertAlign w:val="subscript"/>
              </w:rPr>
              <w:t>tot</w:t>
            </w:r>
          </w:p>
        </w:tc>
        <w:tc>
          <w:tcPr>
            <w:tcW w:w="970" w:type="dxa"/>
          </w:tcPr>
          <w:p w:rsidR="00F43C9B" w:rsidRPr="00AD2CF5" w:rsidRDefault="00F43C9B" w:rsidP="00F43C9B">
            <w:pPr>
              <w:shd w:val="clear" w:color="auto" w:fill="D9D9D9" w:themeFill="background1" w:themeFillShade="D9"/>
              <w:spacing w:line="240" w:lineRule="auto"/>
            </w:pPr>
          </w:p>
        </w:tc>
        <w:tc>
          <w:tcPr>
            <w:tcW w:w="5528" w:type="dxa"/>
          </w:tcPr>
          <w:p w:rsidR="00F43C9B" w:rsidRPr="00AD2CF5" w:rsidRDefault="00F43C9B" w:rsidP="00F43C9B">
            <w:pPr>
              <w:shd w:val="clear" w:color="auto" w:fill="D9D9D9" w:themeFill="background1" w:themeFillShade="D9"/>
              <w:spacing w:line="240" w:lineRule="auto"/>
            </w:pPr>
            <w:r w:rsidRPr="00AD2CF5">
              <w:t>totale oppervlak van het brongebied</w:t>
            </w:r>
            <w:r w:rsidRPr="00AD2CF5">
              <w:fldChar w:fldCharType="begin"/>
            </w:r>
            <w:r w:rsidRPr="00AD2CF5">
              <w:instrText xml:space="preserve"> XE "brongebied"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4.6.1</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p</w:t>
            </w:r>
          </w:p>
        </w:tc>
        <w:tc>
          <w:tcPr>
            <w:tcW w:w="970" w:type="dxa"/>
          </w:tcPr>
          <w:p w:rsidR="00F43C9B" w:rsidRPr="00AD2CF5" w:rsidRDefault="00F43C9B" w:rsidP="00F43C9B">
            <w:pPr>
              <w:shd w:val="clear" w:color="auto" w:fill="D9D9D9" w:themeFill="background1" w:themeFillShade="D9"/>
              <w:spacing w:line="240" w:lineRule="auto"/>
            </w:pPr>
            <w:r w:rsidRPr="00AD2CF5">
              <w:t>Pa</w:t>
            </w:r>
          </w:p>
        </w:tc>
        <w:tc>
          <w:tcPr>
            <w:tcW w:w="5528" w:type="dxa"/>
          </w:tcPr>
          <w:p w:rsidR="00F43C9B" w:rsidRPr="00AD2CF5" w:rsidRDefault="00F43C9B" w:rsidP="00F43C9B">
            <w:pPr>
              <w:shd w:val="clear" w:color="auto" w:fill="D9D9D9" w:themeFill="background1" w:themeFillShade="D9"/>
              <w:spacing w:line="240" w:lineRule="auto"/>
            </w:pPr>
            <w:r w:rsidRPr="00AD2CF5">
              <w:t>momentane geluiddruk</w:t>
            </w:r>
            <w:r w:rsidRPr="00AD2CF5">
              <w:fldChar w:fldCharType="begin"/>
            </w:r>
            <w:r w:rsidRPr="00AD2CF5">
              <w:instrText xml:space="preserve"> XE "geluiddruk"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2.3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P</w:t>
            </w:r>
            <w:r w:rsidRPr="00AD2CF5">
              <w:rPr>
                <w:i/>
                <w:vertAlign w:val="subscript"/>
              </w:rPr>
              <w:t>imp</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toeslag voor het impulsmatig karakter van het schietgeluid</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3.3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P</w:t>
            </w:r>
            <w:r w:rsidRPr="00AD2CF5">
              <w:rPr>
                <w:i/>
                <w:vertAlign w:val="subscript"/>
              </w:rPr>
              <w:t>lf</w:t>
            </w:r>
          </w:p>
        </w:tc>
        <w:tc>
          <w:tcPr>
            <w:tcW w:w="970" w:type="dxa"/>
          </w:tcPr>
          <w:p w:rsidR="00F43C9B" w:rsidRPr="00AD2CF5" w:rsidRDefault="00F43C9B" w:rsidP="00F43C9B">
            <w:pPr>
              <w:shd w:val="clear" w:color="auto" w:fill="D9D9D9" w:themeFill="background1" w:themeFillShade="D9"/>
              <w:spacing w:line="240" w:lineRule="auto"/>
            </w:pPr>
            <w:r w:rsidRPr="00AD2CF5">
              <w:t>dB</w:t>
            </w:r>
          </w:p>
        </w:tc>
        <w:tc>
          <w:tcPr>
            <w:tcW w:w="5528" w:type="dxa"/>
          </w:tcPr>
          <w:p w:rsidR="00F43C9B" w:rsidRPr="00AD2CF5" w:rsidRDefault="00F43C9B" w:rsidP="00F43C9B">
            <w:pPr>
              <w:shd w:val="clear" w:color="auto" w:fill="D9D9D9" w:themeFill="background1" w:themeFillShade="D9"/>
              <w:spacing w:line="240" w:lineRule="auto"/>
            </w:pPr>
            <w:r w:rsidRPr="00AD2CF5">
              <w:t>toeslag voor laagfrequente componenten in het schietgeluid</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3.3</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P</w:t>
            </w:r>
            <w:r w:rsidRPr="00AD2CF5">
              <w:rPr>
                <w:i/>
                <w:vertAlign w:val="subscript"/>
              </w:rPr>
              <w:t>periode</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aantal dagen per jaar dat op de inrichting wordt geschoten in een bepaalde juridische beoordelingsperiode</w:t>
            </w:r>
            <w:r w:rsidRPr="00AD2CF5">
              <w:fldChar w:fldCharType="begin"/>
            </w:r>
            <w:r w:rsidRPr="00AD2CF5">
              <w:instrText xml:space="preserve"> XE "beoordelingsperiode" </w:instrText>
            </w:r>
            <w:r w:rsidRPr="00AD2CF5">
              <w:fldChar w:fldCharType="end"/>
            </w:r>
            <w:r w:rsidRPr="00AD2CF5">
              <w:t xml:space="preserve"> (dag, avond of nacht), onafhankelijk van het wapen</w:t>
            </w:r>
          </w:p>
        </w:tc>
        <w:tc>
          <w:tcPr>
            <w:tcW w:w="1440" w:type="dxa"/>
          </w:tcPr>
          <w:p w:rsidR="00F43C9B" w:rsidRPr="00AD2CF5" w:rsidRDefault="00F43C9B" w:rsidP="00F43C9B">
            <w:pPr>
              <w:shd w:val="clear" w:color="auto" w:fill="D9D9D9" w:themeFill="background1" w:themeFillShade="D9"/>
              <w:spacing w:line="240" w:lineRule="auto"/>
              <w:ind w:left="256" w:hanging="1"/>
            </w:pPr>
            <w:r w:rsidRPr="00AD2CF5">
              <w:t>3.4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r</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afstand</w:t>
            </w:r>
          </w:p>
        </w:tc>
        <w:tc>
          <w:tcPr>
            <w:tcW w:w="1440" w:type="dxa"/>
          </w:tcPr>
          <w:p w:rsidR="00F43C9B" w:rsidRPr="00AD2CF5" w:rsidRDefault="00F43C9B" w:rsidP="00F43C9B">
            <w:pPr>
              <w:shd w:val="clear" w:color="auto" w:fill="D9D9D9" w:themeFill="background1" w:themeFillShade="D9"/>
              <w:spacing w:line="240" w:lineRule="auto"/>
              <w:ind w:left="256"/>
            </w:pP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t>r</w:t>
            </w:r>
            <w:r w:rsidRPr="00AD2CF5">
              <w:rPr>
                <w:i/>
                <w:vertAlign w:val="subscript"/>
              </w:rPr>
              <w:t>b</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afstand van de bron tot het reflectiepunt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4.6.7</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vertAlign w:val="subscript"/>
              </w:rPr>
            </w:pPr>
            <w:r w:rsidRPr="00AD2CF5">
              <w:rPr>
                <w:i/>
              </w:rPr>
              <w:t>r</w:t>
            </w:r>
            <w:r w:rsidRPr="00AD2CF5">
              <w:rPr>
                <w:i/>
                <w:vertAlign w:val="subscript"/>
              </w:rPr>
              <w:t>cil</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straal van cilinders bij modellering diffuse reflecties</w:t>
            </w:r>
            <w:r w:rsidRPr="00AD2CF5">
              <w:fldChar w:fldCharType="begin"/>
            </w:r>
            <w:r w:rsidRPr="00AD2CF5">
              <w:instrText xml:space="preserve"> XE "reflectie:diffuse reflectie" </w:instrText>
            </w:r>
            <w:r w:rsidRPr="00AD2CF5">
              <w:fldChar w:fldCharType="end"/>
            </w:r>
            <w:r w:rsidRPr="00AD2CF5">
              <w: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4.5.4 en 4.6.8</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iCs/>
                <w:vertAlign w:val="subscript"/>
              </w:rPr>
            </w:pPr>
            <w:r w:rsidRPr="00AD2CF5">
              <w:rPr>
                <w:i/>
                <w:iCs/>
              </w:rPr>
              <w:t>r</w:t>
            </w:r>
            <w:r w:rsidRPr="00AD2CF5">
              <w:rPr>
                <w:i/>
                <w:iCs/>
                <w:vertAlign w:val="subscript"/>
              </w:rPr>
              <w:t>v</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relatieve vochtigheid</w:t>
            </w:r>
            <w:r w:rsidRPr="00AD2CF5">
              <w:fldChar w:fldCharType="begin"/>
            </w:r>
            <w:r w:rsidRPr="00AD2CF5">
              <w:instrText xml:space="preserve"> XE "relatieve vochtigheid"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R</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horizontale afstand van bronpunt naar rekenpunt gemeten langs geluidpad</w:t>
            </w:r>
          </w:p>
        </w:tc>
        <w:tc>
          <w:tcPr>
            <w:tcW w:w="1440" w:type="dxa"/>
          </w:tcPr>
          <w:p w:rsidR="00F43C9B" w:rsidRPr="00AD2CF5" w:rsidRDefault="00F43C9B" w:rsidP="00F43C9B">
            <w:pPr>
              <w:shd w:val="clear" w:color="auto" w:fill="D9D9D9" w:themeFill="background1" w:themeFillShade="D9"/>
              <w:spacing w:line="240" w:lineRule="auto"/>
              <w:ind w:left="256"/>
            </w:pPr>
            <w:r w:rsidRPr="00AD2CF5">
              <w:t>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R</w:t>
            </w:r>
            <w:r w:rsidRPr="00AD2CF5">
              <w:rPr>
                <w:i/>
                <w:vertAlign w:val="subscript"/>
              </w:rPr>
              <w:t>trans</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afstand van waaraf turbulentie</w:t>
            </w:r>
            <w:r w:rsidRPr="00AD2CF5">
              <w:fldChar w:fldCharType="begin"/>
            </w:r>
            <w:r w:rsidRPr="00AD2CF5">
              <w:instrText xml:space="preserve"> XE "turbulentie" </w:instrText>
            </w:r>
            <w:r w:rsidRPr="00AD2CF5">
              <w:fldChar w:fldCharType="end"/>
            </w:r>
            <w:r w:rsidRPr="00AD2CF5">
              <w:t xml:space="preserve"> significante invloed heeft op de coherentie van de als lijnbron te beschouwen kogelbaan</w:t>
            </w:r>
            <w:r w:rsidRPr="00AD2CF5">
              <w:fldChar w:fldCharType="begin"/>
            </w:r>
            <w:r w:rsidRPr="00AD2CF5">
              <w:instrText xml:space="preserve"> XE "kogelbaan"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4.6.2</w:t>
            </w:r>
          </w:p>
        </w:tc>
      </w:tr>
      <w:tr w:rsidR="00F43C9B" w:rsidRPr="00AD2CF5" w:rsidTr="00F43C9B">
        <w:tc>
          <w:tcPr>
            <w:tcW w:w="1440" w:type="dxa"/>
          </w:tcPr>
          <w:p w:rsidR="00F43C9B" w:rsidRPr="00AD2CF5" w:rsidRDefault="00F43C9B" w:rsidP="00F43C9B">
            <w:pPr>
              <w:shd w:val="clear" w:color="auto" w:fill="D9D9D9" w:themeFill="background1" w:themeFillShade="D9"/>
            </w:pPr>
            <w:r w:rsidRPr="00AD2CF5">
              <w:rPr>
                <w:i/>
              </w:rPr>
              <w:t>R</w:t>
            </w:r>
            <w:r w:rsidRPr="00AD2CF5">
              <w:rPr>
                <w:i/>
                <w:vertAlign w:val="subscript"/>
              </w:rPr>
              <w:t>1</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tabs>
                <w:tab w:val="left" w:pos="-108"/>
                <w:tab w:val="left" w:pos="573"/>
                <w:tab w:val="left" w:pos="1276"/>
              </w:tabs>
              <w:suppressAutoHyphens/>
              <w:spacing w:line="240" w:lineRule="auto"/>
            </w:pPr>
            <w:r w:rsidRPr="00AD2CF5">
              <w:t>afstand van de doelpositie naar een punt op de grens van het Mach-gebied</w:t>
            </w:r>
            <w:r w:rsidRPr="00AD2CF5">
              <w:fldChar w:fldCharType="begin"/>
            </w:r>
            <w:r w:rsidRPr="00AD2CF5">
              <w:instrText xml:space="preserve"> XE "mach-gebied" </w:instrText>
            </w:r>
            <w:r w:rsidRPr="00AD2CF5">
              <w:fldChar w:fldCharType="end"/>
            </w:r>
            <w:r w:rsidRPr="00AD2CF5">
              <w:t xml:space="preserve"> dat het dichtst bij het rekenpunt ligt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4.6.2</w:t>
            </w:r>
          </w:p>
        </w:tc>
      </w:tr>
      <w:tr w:rsidR="00F43C9B" w:rsidRPr="00AD2CF5" w:rsidTr="00F43C9B">
        <w:tc>
          <w:tcPr>
            <w:tcW w:w="1440" w:type="dxa"/>
          </w:tcPr>
          <w:p w:rsidR="00F43C9B" w:rsidRPr="00AD2CF5" w:rsidRDefault="00F43C9B" w:rsidP="00F43C9B">
            <w:pPr>
              <w:shd w:val="clear" w:color="auto" w:fill="D9D9D9" w:themeFill="background1" w:themeFillShade="D9"/>
            </w:pPr>
            <w:r w:rsidRPr="00AD2CF5">
              <w:rPr>
                <w:i/>
              </w:rPr>
              <w:t>R</w:t>
            </w:r>
            <w:r w:rsidRPr="00AD2CF5">
              <w:rPr>
                <w:i/>
                <w:vertAlign w:val="subscript"/>
              </w:rPr>
              <w:t>2</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afstand van het rekenpunt tot de grens van het Mach-gebied</w:t>
            </w:r>
            <w:r w:rsidRPr="00AD2CF5">
              <w:fldChar w:fldCharType="begin"/>
            </w:r>
            <w:r w:rsidRPr="00AD2CF5">
              <w:instrText xml:space="preserve"> XE "mach-gebied"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4.6.2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iCs/>
              </w:rPr>
            </w:pPr>
            <w:r w:rsidRPr="00AD2CF5">
              <w:rPr>
                <w:i/>
              </w:rPr>
              <w:t>s</w:t>
            </w:r>
            <w:r w:rsidRPr="00AD2CF5">
              <w:rPr>
                <w:i/>
                <w:vertAlign w:val="subscript"/>
              </w:rPr>
              <w:t>v</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totale horizontale afstand waarover het geluidpad door een bodemgebied met bodemtype</w:t>
            </w:r>
            <w:r w:rsidRPr="00AD2CF5">
              <w:fldChar w:fldCharType="begin"/>
            </w:r>
            <w:r w:rsidRPr="00AD2CF5">
              <w:instrText xml:space="preserve"> XE "bodemtype" </w:instrText>
            </w:r>
            <w:r w:rsidRPr="00AD2CF5">
              <w:fldChar w:fldCharType="end"/>
            </w:r>
            <w:r w:rsidRPr="00AD2CF5">
              <w:t xml:space="preserve"> </w:t>
            </w:r>
            <w:r w:rsidRPr="00AD2CF5">
              <w:rPr>
                <w:i/>
              </w:rPr>
              <w:t xml:space="preserve">v </w:t>
            </w:r>
            <w:r w:rsidRPr="00AD2CF5">
              <w:t>loopt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iCs/>
              </w:rPr>
            </w:pPr>
            <w:r w:rsidRPr="00AD2CF5">
              <w:rPr>
                <w:i/>
                <w:iCs/>
              </w:rPr>
              <w:t>t</w:t>
            </w:r>
          </w:p>
        </w:tc>
        <w:tc>
          <w:tcPr>
            <w:tcW w:w="970" w:type="dxa"/>
          </w:tcPr>
          <w:p w:rsidR="00F43C9B" w:rsidRPr="00AD2CF5" w:rsidRDefault="00F43C9B" w:rsidP="00F43C9B">
            <w:pPr>
              <w:shd w:val="clear" w:color="auto" w:fill="D9D9D9" w:themeFill="background1" w:themeFillShade="D9"/>
              <w:spacing w:line="240" w:lineRule="auto"/>
            </w:pPr>
            <w:r w:rsidRPr="00AD2CF5">
              <w:t>ºC</w:t>
            </w:r>
          </w:p>
        </w:tc>
        <w:tc>
          <w:tcPr>
            <w:tcW w:w="5528" w:type="dxa"/>
          </w:tcPr>
          <w:p w:rsidR="00F43C9B" w:rsidRPr="00AD2CF5" w:rsidRDefault="00F43C9B" w:rsidP="00F43C9B">
            <w:pPr>
              <w:shd w:val="clear" w:color="auto" w:fill="D9D9D9" w:themeFill="background1" w:themeFillShade="D9"/>
              <w:spacing w:line="240" w:lineRule="auto"/>
            </w:pPr>
            <w:r w:rsidRPr="00AD2CF5">
              <w:t>temperatuur</w:t>
            </w:r>
            <w:r w:rsidRPr="00AD2CF5">
              <w:fldChar w:fldCharType="begin"/>
            </w:r>
            <w:r w:rsidRPr="00AD2CF5">
              <w:instrText xml:space="preserve"> XE "temperatuur" </w:instrText>
            </w:r>
            <w:r w:rsidRPr="00AD2CF5">
              <w:fldChar w:fldCharType="end"/>
            </w:r>
            <w:r w:rsidRPr="00AD2CF5">
              <w:t xml:space="preserve"> in graden Celsius</w:t>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iCs/>
              </w:rPr>
            </w:pPr>
            <w:r w:rsidRPr="00AD2CF5">
              <w:rPr>
                <w:i/>
                <w:iCs/>
              </w:rPr>
              <w:t>T</w:t>
            </w:r>
          </w:p>
        </w:tc>
        <w:tc>
          <w:tcPr>
            <w:tcW w:w="970" w:type="dxa"/>
          </w:tcPr>
          <w:p w:rsidR="00F43C9B" w:rsidRPr="00AD2CF5" w:rsidRDefault="00F43C9B" w:rsidP="00F43C9B">
            <w:pPr>
              <w:shd w:val="clear" w:color="auto" w:fill="D9D9D9" w:themeFill="background1" w:themeFillShade="D9"/>
              <w:spacing w:line="240" w:lineRule="auto"/>
            </w:pPr>
            <w:r w:rsidRPr="00AD2CF5">
              <w:t>K</w:t>
            </w:r>
          </w:p>
        </w:tc>
        <w:tc>
          <w:tcPr>
            <w:tcW w:w="5528" w:type="dxa"/>
          </w:tcPr>
          <w:p w:rsidR="00F43C9B" w:rsidRPr="00AD2CF5" w:rsidRDefault="00F43C9B" w:rsidP="00F43C9B">
            <w:pPr>
              <w:shd w:val="clear" w:color="auto" w:fill="D9D9D9" w:themeFill="background1" w:themeFillShade="D9"/>
              <w:spacing w:line="240" w:lineRule="auto"/>
            </w:pPr>
            <w:r w:rsidRPr="00AD2CF5">
              <w:t>temperatuur</w:t>
            </w:r>
            <w:r w:rsidRPr="00AD2CF5">
              <w:fldChar w:fldCharType="begin"/>
            </w:r>
            <w:r w:rsidRPr="00AD2CF5">
              <w:instrText xml:space="preserve"> XE "temperatuur" </w:instrText>
            </w:r>
            <w:r w:rsidRPr="00AD2CF5">
              <w:fldChar w:fldCharType="end"/>
            </w:r>
            <w:r w:rsidRPr="00AD2CF5">
              <w:t xml:space="preserve"> in Kelvin</w:t>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iCs/>
              </w:rPr>
            </w:pPr>
            <w:r w:rsidRPr="00AD2CF5">
              <w:rPr>
                <w:i/>
                <w:iCs/>
              </w:rPr>
              <w:t>u</w:t>
            </w:r>
          </w:p>
        </w:tc>
        <w:tc>
          <w:tcPr>
            <w:tcW w:w="970" w:type="dxa"/>
          </w:tcPr>
          <w:p w:rsidR="00F43C9B" w:rsidRPr="00AD2CF5" w:rsidRDefault="00F43C9B" w:rsidP="00F43C9B">
            <w:pPr>
              <w:shd w:val="clear" w:color="auto" w:fill="D9D9D9" w:themeFill="background1" w:themeFillShade="D9"/>
              <w:spacing w:line="240" w:lineRule="auto"/>
            </w:pPr>
            <w:r w:rsidRPr="00AD2CF5">
              <w:t>m/s</w:t>
            </w:r>
          </w:p>
        </w:tc>
        <w:tc>
          <w:tcPr>
            <w:tcW w:w="5528" w:type="dxa"/>
          </w:tcPr>
          <w:p w:rsidR="00F43C9B" w:rsidRPr="00AD2CF5" w:rsidRDefault="00F43C9B" w:rsidP="00F43C9B">
            <w:pPr>
              <w:shd w:val="clear" w:color="auto" w:fill="D9D9D9" w:themeFill="background1" w:themeFillShade="D9"/>
              <w:spacing w:line="240" w:lineRule="auto"/>
            </w:pPr>
            <w:r w:rsidRPr="00AD2CF5">
              <w:t>horizontale windsnelheid</w:t>
            </w:r>
            <w:r w:rsidRPr="00AD2CF5">
              <w:fldChar w:fldCharType="begin"/>
            </w:r>
            <w:r w:rsidRPr="00AD2CF5">
              <w:instrText xml:space="preserve"> XE "windsnelheid" </w:instrText>
            </w:r>
            <w:r w:rsidRPr="00AD2CF5">
              <w:fldChar w:fldCharType="end"/>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v</w:t>
            </w:r>
            <w:r w:rsidRPr="00AD2CF5">
              <w:rPr>
                <w:i/>
                <w:vertAlign w:val="subscript"/>
              </w:rPr>
              <w:t>0</w:t>
            </w:r>
          </w:p>
        </w:tc>
        <w:tc>
          <w:tcPr>
            <w:tcW w:w="970" w:type="dxa"/>
          </w:tcPr>
          <w:p w:rsidR="00F43C9B" w:rsidRPr="00AD2CF5" w:rsidRDefault="00F43C9B" w:rsidP="00F43C9B">
            <w:pPr>
              <w:shd w:val="clear" w:color="auto" w:fill="D9D9D9" w:themeFill="background1" w:themeFillShade="D9"/>
              <w:spacing w:line="240" w:lineRule="auto"/>
            </w:pPr>
            <w:r w:rsidRPr="00AD2CF5">
              <w:t>m/s</w:t>
            </w:r>
          </w:p>
        </w:tc>
        <w:tc>
          <w:tcPr>
            <w:tcW w:w="5528" w:type="dxa"/>
          </w:tcPr>
          <w:p w:rsidR="00F43C9B" w:rsidRPr="00AD2CF5" w:rsidRDefault="00F43C9B" w:rsidP="00F43C9B">
            <w:pPr>
              <w:shd w:val="clear" w:color="auto" w:fill="D9D9D9" w:themeFill="background1" w:themeFillShade="D9"/>
              <w:spacing w:line="240" w:lineRule="auto"/>
            </w:pPr>
            <w:r w:rsidRPr="00AD2CF5">
              <w:t>beginsnelheid van de kogel</w:t>
            </w:r>
          </w:p>
        </w:tc>
        <w:tc>
          <w:tcPr>
            <w:tcW w:w="1440" w:type="dxa"/>
          </w:tcPr>
          <w:p w:rsidR="00F43C9B" w:rsidRPr="00AD2CF5" w:rsidRDefault="00F43C9B" w:rsidP="00F43C9B">
            <w:pPr>
              <w:shd w:val="clear" w:color="auto" w:fill="D9D9D9" w:themeFill="background1" w:themeFillShade="D9"/>
              <w:spacing w:line="240" w:lineRule="auto"/>
              <w:ind w:left="256"/>
            </w:pPr>
            <w:r w:rsidRPr="00AD2CF5">
              <w:t>2.6.2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v</w:t>
            </w:r>
            <w:r w:rsidRPr="00AD2CF5">
              <w:rPr>
                <w:i/>
                <w:vertAlign w:val="subscript"/>
              </w:rPr>
              <w:t>1</w:t>
            </w:r>
          </w:p>
        </w:tc>
        <w:tc>
          <w:tcPr>
            <w:tcW w:w="970" w:type="dxa"/>
          </w:tcPr>
          <w:p w:rsidR="00F43C9B" w:rsidRPr="00AD2CF5" w:rsidRDefault="00F43C9B" w:rsidP="00F43C9B">
            <w:pPr>
              <w:shd w:val="clear" w:color="auto" w:fill="D9D9D9" w:themeFill="background1" w:themeFillShade="D9"/>
              <w:spacing w:line="240" w:lineRule="auto"/>
            </w:pPr>
            <w:r w:rsidRPr="00AD2CF5">
              <w:t>s</w:t>
            </w:r>
            <w:r w:rsidRPr="00AD2CF5">
              <w:rPr>
                <w:vertAlign w:val="superscript"/>
              </w:rPr>
              <w:t>-s</w:t>
            </w:r>
          </w:p>
        </w:tc>
        <w:tc>
          <w:tcPr>
            <w:tcW w:w="5528" w:type="dxa"/>
          </w:tcPr>
          <w:p w:rsidR="00F43C9B" w:rsidRPr="00AD2CF5" w:rsidRDefault="00F43C9B" w:rsidP="00F43C9B">
            <w:pPr>
              <w:shd w:val="clear" w:color="auto" w:fill="D9D9D9" w:themeFill="background1" w:themeFillShade="D9"/>
              <w:spacing w:line="240" w:lineRule="auto"/>
            </w:pPr>
            <w:r w:rsidRPr="00AD2CF5">
              <w:t>verandering van de kogelsnelheid</w:t>
            </w:r>
            <w:r w:rsidRPr="00AD2CF5">
              <w:fldChar w:fldCharType="begin"/>
            </w:r>
            <w:r w:rsidRPr="00AD2CF5">
              <w:instrText xml:space="preserve"> XE "kogelsnelheid" </w:instrText>
            </w:r>
            <w:r w:rsidRPr="00AD2CF5">
              <w:fldChar w:fldCharType="end"/>
            </w:r>
            <w:r w:rsidRPr="00AD2CF5">
              <w:t xml:space="preserve"> per meter afgelegde kogelbaan:</w:t>
            </w:r>
            <w:r w:rsidRPr="00AD2CF5">
              <w:fldChar w:fldCharType="begin"/>
            </w:r>
            <w:r w:rsidRPr="00AD2CF5">
              <w:instrText xml:space="preserve"> XE "kogelbaan" </w:instrText>
            </w:r>
            <w:r w:rsidRPr="00AD2CF5">
              <w:fldChar w:fldCharType="end"/>
            </w:r>
            <w:r w:rsidRPr="00AD2CF5">
              <w:t xml:space="preserve"> </w:t>
            </w:r>
            <w:r w:rsidRPr="00AD2CF5">
              <w:rPr>
                <w:i/>
                <w:iCs/>
              </w:rPr>
              <w:t>v</w:t>
            </w:r>
            <w:r w:rsidRPr="00AD2CF5">
              <w:rPr>
                <w:i/>
                <w:iCs/>
                <w:vertAlign w:val="subscript"/>
              </w:rPr>
              <w:t xml:space="preserve">k </w:t>
            </w:r>
            <w:r w:rsidRPr="00AD2CF5">
              <w:rPr>
                <w:i/>
                <w:iCs/>
              </w:rPr>
              <w:t>= v</w:t>
            </w:r>
            <w:r w:rsidRPr="00AD2CF5">
              <w:rPr>
                <w:i/>
                <w:iCs/>
                <w:vertAlign w:val="subscript"/>
              </w:rPr>
              <w:t>0</w:t>
            </w:r>
            <w:r w:rsidRPr="00AD2CF5">
              <w:rPr>
                <w:i/>
                <w:iCs/>
              </w:rPr>
              <w:t xml:space="preserve"> + v</w:t>
            </w:r>
            <w:r w:rsidRPr="00AD2CF5">
              <w:rPr>
                <w:i/>
                <w:iCs/>
                <w:vertAlign w:val="subscript"/>
              </w:rPr>
              <w:t>1</w:t>
            </w:r>
            <w:r w:rsidRPr="00AD2CF5">
              <w:rPr>
                <w:i/>
                <w:iCs/>
              </w:rPr>
              <w:t xml:space="preserve"> x</w:t>
            </w:r>
          </w:p>
        </w:tc>
        <w:tc>
          <w:tcPr>
            <w:tcW w:w="1440" w:type="dxa"/>
          </w:tcPr>
          <w:p w:rsidR="00F43C9B" w:rsidRPr="00AD2CF5" w:rsidRDefault="00F43C9B" w:rsidP="00F43C9B">
            <w:pPr>
              <w:shd w:val="clear" w:color="auto" w:fill="D9D9D9" w:themeFill="background1" w:themeFillShade="D9"/>
              <w:spacing w:line="240" w:lineRule="auto"/>
              <w:ind w:left="256"/>
            </w:pPr>
            <w:r w:rsidRPr="00AD2CF5">
              <w:t>2.6.2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v</w:t>
            </w:r>
            <w:r w:rsidRPr="00AD2CF5">
              <w:rPr>
                <w:i/>
                <w:vertAlign w:val="subscript"/>
              </w:rPr>
              <w:t>e</w:t>
            </w:r>
          </w:p>
        </w:tc>
        <w:tc>
          <w:tcPr>
            <w:tcW w:w="970" w:type="dxa"/>
          </w:tcPr>
          <w:p w:rsidR="00F43C9B" w:rsidRPr="00AD2CF5" w:rsidRDefault="00F43C9B" w:rsidP="00F43C9B">
            <w:pPr>
              <w:shd w:val="clear" w:color="auto" w:fill="D9D9D9" w:themeFill="background1" w:themeFillShade="D9"/>
              <w:spacing w:line="240" w:lineRule="auto"/>
            </w:pPr>
            <w:r w:rsidRPr="00AD2CF5">
              <w:t>m/s</w:t>
            </w:r>
          </w:p>
        </w:tc>
        <w:tc>
          <w:tcPr>
            <w:tcW w:w="5528" w:type="dxa"/>
          </w:tcPr>
          <w:p w:rsidR="00F43C9B" w:rsidRPr="00AD2CF5" w:rsidRDefault="00F43C9B" w:rsidP="00F43C9B">
            <w:pPr>
              <w:shd w:val="clear" w:color="auto" w:fill="D9D9D9" w:themeFill="background1" w:themeFillShade="D9"/>
              <w:spacing w:line="240" w:lineRule="auto"/>
            </w:pPr>
            <w:r w:rsidRPr="00AD2CF5">
              <w:t>eindsnelheid van de kogel</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v</w:t>
            </w:r>
            <w:r w:rsidRPr="00AD2CF5">
              <w:rPr>
                <w:i/>
                <w:vertAlign w:val="subscript"/>
              </w:rPr>
              <w:t>k</w:t>
            </w:r>
          </w:p>
        </w:tc>
        <w:tc>
          <w:tcPr>
            <w:tcW w:w="970" w:type="dxa"/>
          </w:tcPr>
          <w:p w:rsidR="00F43C9B" w:rsidRPr="00AD2CF5" w:rsidRDefault="00F43C9B" w:rsidP="00F43C9B">
            <w:pPr>
              <w:shd w:val="clear" w:color="auto" w:fill="D9D9D9" w:themeFill="background1" w:themeFillShade="D9"/>
              <w:spacing w:line="240" w:lineRule="auto"/>
            </w:pPr>
            <w:r w:rsidRPr="00AD2CF5">
              <w:t>m/s</w:t>
            </w:r>
          </w:p>
        </w:tc>
        <w:tc>
          <w:tcPr>
            <w:tcW w:w="5528" w:type="dxa"/>
          </w:tcPr>
          <w:p w:rsidR="00F43C9B" w:rsidRPr="00AD2CF5" w:rsidRDefault="00F43C9B" w:rsidP="00F43C9B">
            <w:pPr>
              <w:shd w:val="clear" w:color="auto" w:fill="D9D9D9" w:themeFill="background1" w:themeFillShade="D9"/>
              <w:spacing w:line="240" w:lineRule="auto"/>
            </w:pPr>
            <w:r w:rsidRPr="00AD2CF5">
              <w:t>snelheid van de kogel</w:t>
            </w:r>
          </w:p>
        </w:tc>
        <w:tc>
          <w:tcPr>
            <w:tcW w:w="1440" w:type="dxa"/>
          </w:tcPr>
          <w:p w:rsidR="00F43C9B" w:rsidRPr="00AD2CF5" w:rsidRDefault="00F43C9B" w:rsidP="00F43C9B">
            <w:pPr>
              <w:shd w:val="clear" w:color="auto" w:fill="D9D9D9" w:themeFill="background1" w:themeFillShade="D9"/>
              <w:spacing w:line="240" w:lineRule="auto"/>
              <w:ind w:left="256"/>
            </w:pPr>
            <w:r w:rsidRPr="00AD2CF5">
              <w:t>2.6.2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w</w:t>
            </w:r>
            <w:r w:rsidRPr="00AD2CF5">
              <w:rPr>
                <w:i/>
                <w:vertAlign w:val="subscript"/>
              </w:rPr>
              <w:t>d,periode</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fractie van de tijd dat het in een bepaalde beoordelingsperiode</w:t>
            </w:r>
            <w:r w:rsidRPr="00AD2CF5">
              <w:fldChar w:fldCharType="begin"/>
            </w:r>
            <w:r w:rsidRPr="00AD2CF5">
              <w:instrText xml:space="preserve"> XE "beoordelingsperiode" </w:instrText>
            </w:r>
            <w:r w:rsidRPr="00AD2CF5">
              <w:fldChar w:fldCharType="end"/>
            </w:r>
            <w:r w:rsidRPr="00AD2CF5">
              <w:t xml:space="preserve"> een meteorologische dag</w:t>
            </w:r>
            <w:r w:rsidRPr="00AD2CF5">
              <w:fldChar w:fldCharType="begin"/>
            </w:r>
            <w:r w:rsidRPr="00AD2CF5">
              <w:instrText xml:space="preserve"> XE "meteorologische dag" </w:instrText>
            </w:r>
            <w:r w:rsidRPr="00AD2CF5">
              <w:fldChar w:fldCharType="end"/>
            </w:r>
            <w:r w:rsidRPr="00AD2CF5">
              <w:t xml:space="preserve"> is</w:t>
            </w:r>
          </w:p>
        </w:tc>
        <w:tc>
          <w:tcPr>
            <w:tcW w:w="1440" w:type="dxa"/>
          </w:tcPr>
          <w:p w:rsidR="00F43C9B" w:rsidRPr="00AD2CF5" w:rsidRDefault="00F43C9B" w:rsidP="00F43C9B">
            <w:pPr>
              <w:shd w:val="clear" w:color="auto" w:fill="D9D9D9" w:themeFill="background1" w:themeFillShade="D9"/>
              <w:spacing w:line="240" w:lineRule="auto"/>
              <w:ind w:left="256"/>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w</w:t>
            </w:r>
            <w:r w:rsidRPr="00AD2CF5">
              <w:rPr>
                <w:i/>
                <w:vertAlign w:val="subscript"/>
              </w:rPr>
              <w:t>n,periode</w:t>
            </w:r>
          </w:p>
        </w:tc>
        <w:tc>
          <w:tcPr>
            <w:tcW w:w="970" w:type="dxa"/>
          </w:tcPr>
          <w:p w:rsidR="00F43C9B" w:rsidRPr="00AD2CF5" w:rsidRDefault="00F43C9B" w:rsidP="00F43C9B">
            <w:pPr>
              <w:shd w:val="clear" w:color="auto" w:fill="D9D9D9" w:themeFill="background1" w:themeFillShade="D9"/>
              <w:spacing w:line="240" w:lineRule="auto"/>
            </w:pPr>
            <w:r w:rsidRPr="00AD2CF5">
              <w:t>-</w:t>
            </w:r>
          </w:p>
        </w:tc>
        <w:tc>
          <w:tcPr>
            <w:tcW w:w="5528" w:type="dxa"/>
          </w:tcPr>
          <w:p w:rsidR="00F43C9B" w:rsidRPr="00AD2CF5" w:rsidRDefault="00F43C9B" w:rsidP="00F43C9B">
            <w:pPr>
              <w:shd w:val="clear" w:color="auto" w:fill="D9D9D9" w:themeFill="background1" w:themeFillShade="D9"/>
              <w:spacing w:line="240" w:lineRule="auto"/>
            </w:pPr>
            <w:r w:rsidRPr="00AD2CF5">
              <w:t>fractie van de tijd dat het in een bepaalde beoordelingsperioden een meteorologische nacht</w:t>
            </w:r>
            <w:r w:rsidRPr="00AD2CF5">
              <w:fldChar w:fldCharType="begin"/>
            </w:r>
            <w:r w:rsidRPr="00AD2CF5">
              <w:instrText xml:space="preserve"> XE "meteorologische nacht" </w:instrText>
            </w:r>
            <w:r w:rsidRPr="00AD2CF5">
              <w:fldChar w:fldCharType="end"/>
            </w:r>
            <w:r w:rsidRPr="00AD2CF5">
              <w:t xml:space="preserve"> is</w:t>
            </w:r>
          </w:p>
        </w:tc>
        <w:tc>
          <w:tcPr>
            <w:tcW w:w="1440" w:type="dxa"/>
          </w:tcPr>
          <w:p w:rsidR="00F43C9B" w:rsidRPr="00AD2CF5" w:rsidRDefault="00F43C9B" w:rsidP="00F43C9B">
            <w:pPr>
              <w:shd w:val="clear" w:color="auto" w:fill="D9D9D9" w:themeFill="background1" w:themeFillShade="D9"/>
              <w:spacing w:line="240" w:lineRule="auto"/>
              <w:ind w:left="256"/>
            </w:pPr>
            <w:r w:rsidRPr="00AD2CF5">
              <w:t>3.2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x</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afstand langs de kogelbaan</w:t>
            </w:r>
            <w:r w:rsidRPr="00AD2CF5">
              <w:fldChar w:fldCharType="begin"/>
            </w:r>
            <w:r w:rsidRPr="00AD2CF5">
              <w:instrText xml:space="preserve"> XE "kogelbaan" </w:instrText>
            </w:r>
            <w:r w:rsidRPr="00AD2CF5">
              <w:fldChar w:fldCharType="end"/>
            </w:r>
            <w:r w:rsidRPr="00AD2CF5">
              <w:t xml:space="preserve"> tot de vuurmond</w:t>
            </w:r>
          </w:p>
        </w:tc>
        <w:tc>
          <w:tcPr>
            <w:tcW w:w="1440" w:type="dxa"/>
          </w:tcPr>
          <w:p w:rsidR="00F43C9B" w:rsidRPr="00AD2CF5" w:rsidRDefault="00F43C9B" w:rsidP="00F43C9B">
            <w:pPr>
              <w:shd w:val="clear" w:color="auto" w:fill="D9D9D9" w:themeFill="background1" w:themeFillShade="D9"/>
              <w:spacing w:line="240" w:lineRule="auto"/>
              <w:ind w:left="256"/>
            </w:pPr>
            <w:r w:rsidRPr="00AD2CF5">
              <w:t>2.6.2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x</w:t>
            </w:r>
            <w:r w:rsidRPr="00AD2CF5">
              <w:rPr>
                <w:i/>
                <w:vertAlign w:val="subscript"/>
              </w:rPr>
              <w:t>r</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x-coordinaat van het rekenpunt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x</w:t>
            </w:r>
            <w:r w:rsidRPr="00AD2CF5">
              <w:rPr>
                <w:i/>
                <w:vertAlign w:val="subscript"/>
              </w:rPr>
              <w:t>s</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x-coordinaat van het bronpunt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x</w:t>
            </w:r>
            <w:r w:rsidRPr="00AD2CF5">
              <w:rPr>
                <w:i/>
                <w:vertAlign w:val="subscript"/>
              </w:rPr>
              <w:t>t</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lengte van de kogelbaan</w:t>
            </w:r>
            <w:r w:rsidRPr="00AD2CF5">
              <w:fldChar w:fldCharType="begin"/>
            </w:r>
            <w:r w:rsidRPr="00AD2CF5">
              <w:instrText xml:space="preserve"> XE "kogelbaan" </w:instrText>
            </w:r>
            <w:r w:rsidRPr="00AD2CF5">
              <w:fldChar w:fldCharType="end"/>
            </w:r>
            <w:r w:rsidRPr="00AD2CF5">
              <w:t xml:space="preserve"> waar het projectiel een supersone snelheid heeft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4.6.2</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y</w:t>
            </w:r>
            <w:r w:rsidRPr="00AD2CF5">
              <w:rPr>
                <w:i/>
                <w:vertAlign w:val="subscript"/>
              </w:rPr>
              <w:t>r</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x-coordinaat van het rekenpunt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y</w:t>
            </w:r>
            <w:r w:rsidRPr="00AD2CF5">
              <w:rPr>
                <w:i/>
                <w:vertAlign w:val="subscript"/>
              </w:rPr>
              <w:t>s</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y-coordinaat van het bronpunt</w:t>
            </w:r>
          </w:p>
        </w:tc>
        <w:tc>
          <w:tcPr>
            <w:tcW w:w="1440" w:type="dxa"/>
          </w:tcPr>
          <w:p w:rsidR="00F43C9B" w:rsidRPr="00AD2CF5" w:rsidRDefault="00F43C9B" w:rsidP="00F43C9B">
            <w:pPr>
              <w:shd w:val="clear" w:color="auto" w:fill="D9D9D9" w:themeFill="background1" w:themeFillShade="D9"/>
              <w:spacing w:line="240" w:lineRule="auto"/>
              <w:ind w:left="256"/>
            </w:pPr>
            <w:r w:rsidRPr="00AD2CF5">
              <w:t>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z</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hoogte van een object t.o.v. een referentievlak</w:t>
            </w:r>
          </w:p>
        </w:tc>
        <w:tc>
          <w:tcPr>
            <w:tcW w:w="1440" w:type="dxa"/>
          </w:tcPr>
          <w:p w:rsidR="00F43C9B" w:rsidRPr="00AD2CF5" w:rsidRDefault="00F43C9B" w:rsidP="00F43C9B">
            <w:pPr>
              <w:shd w:val="clear" w:color="auto" w:fill="D9D9D9" w:themeFill="background1" w:themeFillShade="D9"/>
              <w:spacing w:line="240" w:lineRule="auto"/>
              <w:ind w:left="256"/>
            </w:pPr>
            <w:r w:rsidRPr="00AD2CF5">
              <w:t>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z</w:t>
            </w:r>
            <w:r w:rsidRPr="00AD2CF5">
              <w:rPr>
                <w:i/>
                <w:vertAlign w:val="subscript"/>
              </w:rPr>
              <w:t>0</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ruwheidslengte</w:t>
            </w:r>
            <w:r w:rsidRPr="00AD2CF5">
              <w:fldChar w:fldCharType="begin"/>
            </w:r>
            <w:r w:rsidRPr="00AD2CF5">
              <w:instrText xml:space="preserve"> XE "ruwheidslengte" </w:instrText>
            </w:r>
            <w:r w:rsidRPr="00AD2CF5">
              <w:fldChar w:fldCharType="end"/>
            </w:r>
            <w:r w:rsidRPr="00AD2CF5">
              <w:t xml:space="preserve"> van de bodem</w:t>
            </w:r>
          </w:p>
        </w:tc>
        <w:tc>
          <w:tcPr>
            <w:tcW w:w="1440" w:type="dxa"/>
          </w:tcPr>
          <w:p w:rsidR="00F43C9B" w:rsidRPr="00AD2CF5" w:rsidRDefault="00F43C9B" w:rsidP="00F43C9B">
            <w:pPr>
              <w:shd w:val="clear" w:color="auto" w:fill="D9D9D9" w:themeFill="background1" w:themeFillShade="D9"/>
              <w:spacing w:line="240" w:lineRule="auto"/>
              <w:ind w:left="256"/>
            </w:pPr>
            <w:r w:rsidRPr="00AD2CF5">
              <w:t>2.4</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z</w:t>
            </w:r>
            <w:r w:rsidRPr="00AD2CF5">
              <w:rPr>
                <w:i/>
                <w:vertAlign w:val="subscript"/>
              </w:rPr>
              <w:t>sch,1</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hoogte van het scherm</w:t>
            </w:r>
            <w:r w:rsidRPr="00AD2CF5">
              <w:fldChar w:fldCharType="begin"/>
            </w:r>
            <w:r w:rsidRPr="00AD2CF5">
              <w:instrText xml:space="preserve"> XE "afschermende objecten:scherm" </w:instrText>
            </w:r>
            <w:r w:rsidRPr="00AD2CF5">
              <w:fldChar w:fldCharType="end"/>
            </w:r>
            <w:r w:rsidRPr="00AD2CF5">
              <w:t xml:space="preserve"> t.o.v. het maaiveld</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r w:rsidR="00F43C9B" w:rsidRPr="00AD2CF5" w:rsidTr="00F43C9B">
        <w:tc>
          <w:tcPr>
            <w:tcW w:w="1440" w:type="dxa"/>
          </w:tcPr>
          <w:p w:rsidR="00F43C9B" w:rsidRPr="00AD2CF5" w:rsidRDefault="00F43C9B" w:rsidP="00F43C9B">
            <w:pPr>
              <w:shd w:val="clear" w:color="auto" w:fill="D9D9D9" w:themeFill="background1" w:themeFillShade="D9"/>
              <w:spacing w:line="240" w:lineRule="auto"/>
              <w:rPr>
                <w:i/>
              </w:rPr>
            </w:pPr>
            <w:r w:rsidRPr="00AD2CF5">
              <w:rPr>
                <w:i/>
              </w:rPr>
              <w:t>z</w:t>
            </w:r>
            <w:r w:rsidRPr="00AD2CF5">
              <w:rPr>
                <w:i/>
                <w:vertAlign w:val="subscript"/>
              </w:rPr>
              <w:t>max</w:t>
            </w:r>
          </w:p>
        </w:tc>
        <w:tc>
          <w:tcPr>
            <w:tcW w:w="970" w:type="dxa"/>
          </w:tcPr>
          <w:p w:rsidR="00F43C9B" w:rsidRPr="00AD2CF5" w:rsidRDefault="00F43C9B" w:rsidP="00F43C9B">
            <w:pPr>
              <w:shd w:val="clear" w:color="auto" w:fill="D9D9D9" w:themeFill="background1" w:themeFillShade="D9"/>
              <w:spacing w:line="240" w:lineRule="auto"/>
            </w:pPr>
            <w:r w:rsidRPr="00AD2CF5">
              <w:t>m</w:t>
            </w:r>
          </w:p>
        </w:tc>
        <w:tc>
          <w:tcPr>
            <w:tcW w:w="5528" w:type="dxa"/>
          </w:tcPr>
          <w:p w:rsidR="00F43C9B" w:rsidRPr="00AD2CF5" w:rsidRDefault="00F43C9B" w:rsidP="00F43C9B">
            <w:pPr>
              <w:shd w:val="clear" w:color="auto" w:fill="D9D9D9" w:themeFill="background1" w:themeFillShade="D9"/>
              <w:spacing w:line="240" w:lineRule="auto"/>
            </w:pPr>
            <w:r w:rsidRPr="00AD2CF5">
              <w:t>maximale hoogte van geluidstraal</w:t>
            </w:r>
          </w:p>
        </w:tc>
        <w:tc>
          <w:tcPr>
            <w:tcW w:w="1440" w:type="dxa"/>
          </w:tcPr>
          <w:p w:rsidR="00F43C9B" w:rsidRPr="00AD2CF5" w:rsidRDefault="00F43C9B" w:rsidP="00F43C9B">
            <w:pPr>
              <w:shd w:val="clear" w:color="auto" w:fill="D9D9D9" w:themeFill="background1" w:themeFillShade="D9"/>
              <w:spacing w:line="240" w:lineRule="auto"/>
              <w:ind w:left="256"/>
            </w:pPr>
            <w:r w:rsidRPr="00AD2CF5">
              <w:t>4.6.5</w:t>
            </w:r>
          </w:p>
        </w:tc>
      </w:tr>
    </w:tbl>
    <w:p w:rsidR="00F43C9B" w:rsidRPr="00AD2CF5" w:rsidRDefault="00F43C9B" w:rsidP="00F43C9B">
      <w:pPr>
        <w:shd w:val="clear" w:color="auto" w:fill="D9D9D9" w:themeFill="background1" w:themeFillShade="D9"/>
        <w:sectPr w:rsidR="00F43C9B" w:rsidRPr="00AD2CF5" w:rsidSect="00F43C9B">
          <w:headerReference w:type="even" r:id="rId86"/>
          <w:headerReference w:type="default" r:id="rId87"/>
          <w:footnotePr>
            <w:numFmt w:val="chicago"/>
            <w:numRestart w:val="eachPage"/>
          </w:footnotePr>
          <w:pgSz w:w="11907" w:h="16840" w:code="9"/>
          <w:pgMar w:top="2552" w:right="1134" w:bottom="1418" w:left="1418" w:header="454" w:footer="170" w:gutter="0"/>
          <w:cols w:space="720"/>
        </w:sectPr>
      </w:pPr>
    </w:p>
    <w:bookmarkEnd w:id="456"/>
    <w:bookmarkEnd w:id="457"/>
    <w:bookmarkEnd w:id="458"/>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 Beoordelingsgrootheid</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3.1. Toepassingsbereik</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rekenmethode die in dit voorschrift is beschreven, is van toepassing voor de berekening van geluidbelastingen met een ondergrens van 50 dB(A). Indien men voor de dag-, avond of nachtperiode een geluidbelasting kleiner dan 50 dB(A) wil bepalen, kan de deelbijdrage aan de geluidbelasting (</w:t>
      </w:r>
      <w:r>
        <w:rPr>
          <w:rFonts w:cs="Arial"/>
          <w:i/>
          <w:iCs/>
          <w:szCs w:val="20"/>
        </w:rPr>
        <w:t>L</w:t>
      </w:r>
      <w:r>
        <w:rPr>
          <w:rFonts w:cs="Arial"/>
          <w:i/>
          <w:iCs/>
          <w:szCs w:val="20"/>
          <w:vertAlign w:val="subscript"/>
        </w:rPr>
        <w:t>Es, periode</w:t>
      </w:r>
      <w:r>
        <w:rPr>
          <w:rFonts w:cs="Arial"/>
          <w:i/>
          <w:iCs/>
          <w:szCs w:val="20"/>
        </w:rPr>
        <w:t xml:space="preserve"> </w:t>
      </w:r>
      <w:r>
        <w:rPr>
          <w:rFonts w:cs="Arial"/>
          <w:szCs w:val="20"/>
        </w:rPr>
        <w:t>, zie formule 3.1) op een andere manier berekend worden. Dit is in bijlage A beschreven.</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3.2. Geluidbelasting</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 eerste instantie wordt per bron en per meteorologische klasse voor een enkel schot de deelbijdrage bepaald aan de geluidbelasting. Mondingsgeluid, kogelgeluid en detonatiegeluid worden, voor zover hier sprake van is, als bijdragen van afzonderlijke bronnen beschouwd. Voor een meteorologische klasse (</w:t>
      </w:r>
      <w:r>
        <w:rPr>
          <w:rFonts w:cs="Arial"/>
          <w:i/>
          <w:iCs/>
          <w:szCs w:val="20"/>
        </w:rPr>
        <w:t>m</w:t>
      </w:r>
      <w:r>
        <w:rPr>
          <w:rFonts w:cs="Arial"/>
          <w:szCs w:val="20"/>
        </w:rPr>
        <w:t xml:space="preserve"> = 1, ..., 27) en bron </w:t>
      </w:r>
      <w:r>
        <w:rPr>
          <w:rFonts w:cs="Arial"/>
          <w:i/>
          <w:iCs/>
          <w:szCs w:val="20"/>
        </w:rPr>
        <w:t>b</w:t>
      </w:r>
      <w:r>
        <w:rPr>
          <w:rFonts w:cs="Arial"/>
          <w:szCs w:val="20"/>
        </w:rPr>
        <w:t xml:space="preserve"> wordt deze bijdrage gegeven door:</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554AA181" wp14:editId="2B22B273">
            <wp:extent cx="4452620" cy="238760"/>
            <wp:effectExtent l="0" t="0" r="5080" b="889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2620" cy="238760"/>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In formule 3.1 is een afhankelijkheid aangegeven van de juridische periode (dag, avond en nacht) waarin een schot wordt afgevuurd. Deze afhankelijkheid is alleen van toepassing als men een geluidbelasting wil berekenen die kleiner is dan 50 dB(A) (zie hiervoor bijlage A)</w:t>
      </w:r>
      <w:r>
        <w:rPr>
          <w:rFonts w:cs="Arial"/>
          <w:szCs w:val="20"/>
        </w:rPr>
        <w:t xml:space="preserve"> </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 bovenstaande formule zijn de volgende toeslagen opgenomen:</w:t>
      </w:r>
    </w:p>
    <w:p w:rsidR="007D22CA" w:rsidRDefault="007D22CA" w:rsidP="007D22CA">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 xml:space="preserve">Toeslag </w:t>
      </w:r>
      <w:r>
        <w:rPr>
          <w:rFonts w:cs="Arial"/>
          <w:i/>
          <w:iCs/>
          <w:szCs w:val="20"/>
        </w:rPr>
        <w:t>P</w:t>
      </w:r>
      <w:r>
        <w:rPr>
          <w:rFonts w:cs="Arial"/>
          <w:i/>
          <w:iCs/>
          <w:szCs w:val="20"/>
          <w:vertAlign w:val="subscript"/>
        </w:rPr>
        <w:t>imp</w:t>
      </w:r>
      <w:r>
        <w:rPr>
          <w:rFonts w:cs="Arial"/>
          <w:i/>
          <w:iCs/>
          <w:szCs w:val="20"/>
        </w:rPr>
        <w:t xml:space="preserve"> </w:t>
      </w:r>
      <w:r>
        <w:rPr>
          <w:rFonts w:cs="Arial"/>
          <w:szCs w:val="20"/>
        </w:rPr>
        <w:t>voor het impulsmatig karakter van schietgeluid:</w:t>
      </w:r>
      <w:r>
        <w:rPr>
          <w:rFonts w:cs="Arial"/>
          <w:szCs w:val="20"/>
        </w:rPr>
        <w:br/>
        <w:t xml:space="preserve"> </w:t>
      </w:r>
      <w:r>
        <w:rPr>
          <w:rFonts w:cs="Arial"/>
          <w:i/>
          <w:iCs/>
          <w:szCs w:val="20"/>
        </w:rPr>
        <w:t>P</w:t>
      </w:r>
      <w:r>
        <w:rPr>
          <w:rFonts w:cs="Arial"/>
          <w:i/>
          <w:iCs/>
          <w:szCs w:val="20"/>
          <w:vertAlign w:val="subscript"/>
        </w:rPr>
        <w:t>imp</w:t>
      </w:r>
      <w:r>
        <w:rPr>
          <w:rFonts w:cs="Arial"/>
          <w:i/>
          <w:iCs/>
          <w:szCs w:val="20"/>
        </w:rPr>
        <w:t xml:space="preserve"> </w:t>
      </w:r>
      <w:r>
        <w:rPr>
          <w:rFonts w:cs="Arial"/>
          <w:szCs w:val="20"/>
        </w:rPr>
        <w:t>= 12 dB</w:t>
      </w:r>
    </w:p>
    <w:p w:rsidR="007D22CA" w:rsidRDefault="007D22CA" w:rsidP="007D22CA">
      <w:pPr>
        <w:widowControl w:val="0"/>
        <w:shd w:val="clear" w:color="auto" w:fill="D9D9D9" w:themeFill="background1" w:themeFillShade="D9"/>
        <w:autoSpaceDE w:val="0"/>
        <w:autoSpaceDN w:val="0"/>
        <w:adjustRightInd w:val="0"/>
        <w:spacing w:line="240" w:lineRule="auto"/>
        <w:ind w:left="640" w:hanging="320"/>
        <w:rPr>
          <w:rFonts w:cs="Arial"/>
          <w:szCs w:val="20"/>
        </w:rPr>
      </w:pPr>
      <w:r>
        <w:rPr>
          <w:rFonts w:cs="Arial"/>
          <w:szCs w:val="20"/>
        </w:rPr>
        <w:t>●.</w:t>
      </w:r>
      <w:r>
        <w:rPr>
          <w:rFonts w:cs="Arial"/>
          <w:szCs w:val="20"/>
        </w:rPr>
        <w:tab/>
        <w:t xml:space="preserve">Toeslag </w:t>
      </w:r>
      <w:r>
        <w:rPr>
          <w:rFonts w:cs="Arial"/>
          <w:i/>
          <w:iCs/>
          <w:szCs w:val="20"/>
        </w:rPr>
        <w:t>P</w:t>
      </w:r>
      <w:r>
        <w:rPr>
          <w:rFonts w:cs="Arial"/>
          <w:i/>
          <w:iCs/>
          <w:szCs w:val="20"/>
          <w:vertAlign w:val="subscript"/>
        </w:rPr>
        <w:t>lf</w:t>
      </w:r>
      <w:r>
        <w:rPr>
          <w:rFonts w:cs="Arial"/>
          <w:i/>
          <w:iCs/>
          <w:szCs w:val="20"/>
        </w:rPr>
        <w:t xml:space="preserve"> </w:t>
      </w:r>
      <w:r>
        <w:rPr>
          <w:rFonts w:cs="Arial"/>
          <w:szCs w:val="20"/>
        </w:rPr>
        <w:t xml:space="preserve"> voor laagfrequente componenten in het schietgeluid:</w:t>
      </w:r>
      <w:r>
        <w:rPr>
          <w:rFonts w:cs="Arial"/>
          <w:szCs w:val="20"/>
        </w:rPr>
        <w:br/>
        <w:t xml:space="preserve"> </w:t>
      </w:r>
      <w:r>
        <w:rPr>
          <w:rFonts w:cs="Arial"/>
          <w:i/>
          <w:iCs/>
          <w:szCs w:val="20"/>
        </w:rPr>
        <w:t>P</w:t>
      </w:r>
      <w:r>
        <w:rPr>
          <w:rFonts w:cs="Arial"/>
          <w:i/>
          <w:iCs/>
          <w:szCs w:val="20"/>
          <w:vertAlign w:val="subscript"/>
        </w:rPr>
        <w:t>lf</w:t>
      </w:r>
      <w:r>
        <w:rPr>
          <w:rFonts w:cs="Arial"/>
          <w:i/>
          <w:iCs/>
          <w:szCs w:val="20"/>
        </w:rPr>
        <w:t>(b,m)</w:t>
      </w:r>
      <w:r>
        <w:rPr>
          <w:rFonts w:cs="Arial"/>
          <w:szCs w:val="20"/>
        </w:rPr>
        <w:t xml:space="preserve"> = </w:t>
      </w:r>
      <w:r>
        <w:rPr>
          <w:rFonts w:cs="Arial"/>
          <w:i/>
          <w:iCs/>
          <w:szCs w:val="20"/>
        </w:rPr>
        <w:t>β</w:t>
      </w:r>
      <w:r>
        <w:rPr>
          <w:rFonts w:cs="Arial"/>
          <w:szCs w:val="20"/>
        </w:rPr>
        <w:t>Δ</w:t>
      </w:r>
      <w:r>
        <w:rPr>
          <w:rFonts w:cs="Arial"/>
          <w:i/>
          <w:iCs/>
          <w:szCs w:val="20"/>
        </w:rPr>
        <w:t>L’</w:t>
      </w:r>
      <w:r>
        <w:rPr>
          <w:rFonts w:cs="Arial"/>
          <w:szCs w:val="20"/>
        </w:rPr>
        <w:t>(</w:t>
      </w:r>
      <w:r>
        <w:rPr>
          <w:rFonts w:cs="Arial"/>
          <w:i/>
          <w:iCs/>
          <w:szCs w:val="20"/>
        </w:rPr>
        <w:t>L</w:t>
      </w:r>
      <w:r>
        <w:rPr>
          <w:rFonts w:cs="Arial"/>
          <w:i/>
          <w:iCs/>
          <w:szCs w:val="20"/>
          <w:vertAlign w:val="subscript"/>
        </w:rPr>
        <w:t>AE</w:t>
      </w:r>
      <w:r>
        <w:rPr>
          <w:rFonts w:cs="Arial"/>
          <w:i/>
          <w:iCs/>
          <w:szCs w:val="20"/>
        </w:rPr>
        <w:t xml:space="preserve"> </w:t>
      </w:r>
      <w:r>
        <w:rPr>
          <w:rFonts w:cs="Arial"/>
          <w:szCs w:val="20"/>
        </w:rPr>
        <w:t>(</w:t>
      </w:r>
      <w:r>
        <w:rPr>
          <w:rFonts w:cs="Arial"/>
          <w:i/>
          <w:iCs/>
          <w:szCs w:val="20"/>
        </w:rPr>
        <w:t>b,m</w:t>
      </w:r>
      <w:r>
        <w:rPr>
          <w:rFonts w:cs="Arial"/>
          <w:szCs w:val="20"/>
        </w:rPr>
        <w:t xml:space="preserve">) – </w:t>
      </w:r>
      <w:r>
        <w:rPr>
          <w:rFonts w:cs="Arial"/>
          <w:i/>
          <w:iCs/>
          <w:szCs w:val="20"/>
        </w:rPr>
        <w:t>α</w:t>
      </w:r>
      <w:r>
        <w:rPr>
          <w:rFonts w:cs="Arial"/>
          <w:szCs w:val="20"/>
        </w:rPr>
        <w:t>)</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waarin</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 </w:t>
      </w:r>
      <w:r>
        <w:rPr>
          <w:rFonts w:cs="Arial"/>
          <w:i/>
          <w:iCs/>
          <w:szCs w:val="20"/>
        </w:rPr>
        <w:t>α</w:t>
      </w:r>
      <w:r>
        <w:rPr>
          <w:rFonts w:cs="Arial"/>
          <w:szCs w:val="20"/>
        </w:rPr>
        <w:t xml:space="preserve"> = 47 dB </w:t>
      </w:r>
      <w:r>
        <w:rPr>
          <w:rFonts w:cs="Arial"/>
          <w:i/>
          <w:iCs/>
          <w:szCs w:val="20"/>
        </w:rPr>
        <w:t>β</w:t>
      </w:r>
      <w:r>
        <w:rPr>
          <w:rFonts w:cs="Arial"/>
          <w:szCs w:val="20"/>
        </w:rPr>
        <w:t xml:space="preserve"> = 0.015 dB</w:t>
      </w:r>
      <w:r>
        <w:rPr>
          <w:rFonts w:cs="Arial"/>
          <w:szCs w:val="20"/>
          <w:vertAlign w:val="superscript"/>
        </w:rPr>
        <w:t>-1</w:t>
      </w:r>
      <w:r>
        <w:rPr>
          <w:rFonts w:cs="Arial"/>
          <w:szCs w:val="20"/>
        </w:rPr>
        <w:t xml:space="preserve"> </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6D24B56C" wp14:editId="3450F3A9">
            <wp:extent cx="2131060" cy="691515"/>
            <wp:effectExtent l="0" t="0" r="254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31060" cy="691515"/>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en</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Δ</w:t>
      </w:r>
      <w:r>
        <w:rPr>
          <w:rFonts w:cs="Arial"/>
          <w:i/>
          <w:iCs/>
          <w:szCs w:val="20"/>
        </w:rPr>
        <w:t>L</w:t>
      </w:r>
      <w:r>
        <w:rPr>
          <w:rFonts w:cs="Arial"/>
          <w:szCs w:val="20"/>
        </w:rPr>
        <w:t xml:space="preserve"> = [</w:t>
      </w:r>
      <w:r>
        <w:rPr>
          <w:rFonts w:cs="Arial"/>
          <w:i/>
          <w:iCs/>
          <w:szCs w:val="20"/>
        </w:rPr>
        <w:t>L</w:t>
      </w:r>
      <w:r>
        <w:rPr>
          <w:rFonts w:cs="Arial"/>
          <w:i/>
          <w:iCs/>
          <w:szCs w:val="20"/>
          <w:vertAlign w:val="subscript"/>
        </w:rPr>
        <w:t>CE</w:t>
      </w:r>
      <w:r>
        <w:rPr>
          <w:rFonts w:cs="Arial"/>
          <w:i/>
          <w:iCs/>
          <w:szCs w:val="20"/>
        </w:rPr>
        <w:t>(b,m) – L</w:t>
      </w:r>
      <w:r>
        <w:rPr>
          <w:rFonts w:cs="Arial"/>
          <w:i/>
          <w:iCs/>
          <w:szCs w:val="20"/>
          <w:vertAlign w:val="subscript"/>
        </w:rPr>
        <w:t>AE</w:t>
      </w:r>
      <w:r>
        <w:rPr>
          <w:rFonts w:cs="Arial"/>
          <w:i/>
          <w:iCs/>
          <w:szCs w:val="20"/>
        </w:rPr>
        <w:t>(b,m)</w:t>
      </w:r>
      <w:r>
        <w:rPr>
          <w:rFonts w:cs="Arial"/>
          <w:szCs w:val="20"/>
        </w:rPr>
        <w:t>].</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Per bron worden vervolgens voor zowel de meteorologische dag als de meteorologische nacht (zie formule 3.2 en 3.3) de deelbijdragen aan de geluidbelasting gemiddeld over alle meteorologische klassen. Dit gemiddelde is een gewogen gemiddelde, de gewichtsfactoren (</w:t>
      </w:r>
      <w:r>
        <w:rPr>
          <w:rFonts w:cs="Arial"/>
          <w:i/>
          <w:iCs/>
          <w:szCs w:val="20"/>
        </w:rPr>
        <w:t>g</w:t>
      </w:r>
      <w:r>
        <w:rPr>
          <w:rFonts w:cs="Arial"/>
          <w:i/>
          <w:iCs/>
          <w:szCs w:val="20"/>
          <w:vertAlign w:val="subscript"/>
        </w:rPr>
        <w:t>d</w:t>
      </w:r>
      <w:r>
        <w:rPr>
          <w:rFonts w:cs="Arial"/>
          <w:i/>
          <w:iCs/>
          <w:szCs w:val="20"/>
        </w:rPr>
        <w:t xml:space="preserve"> </w:t>
      </w:r>
      <w:r>
        <w:rPr>
          <w:rFonts w:cs="Arial"/>
          <w:szCs w:val="20"/>
        </w:rPr>
        <w:t xml:space="preserve"> en </w:t>
      </w:r>
      <w:r>
        <w:rPr>
          <w:rFonts w:cs="Arial"/>
          <w:i/>
          <w:iCs/>
          <w:szCs w:val="20"/>
        </w:rPr>
        <w:t>g</w:t>
      </w:r>
      <w:r>
        <w:rPr>
          <w:rFonts w:cs="Arial"/>
          <w:i/>
          <w:iCs/>
          <w:szCs w:val="20"/>
          <w:vertAlign w:val="subscript"/>
        </w:rPr>
        <w:t>n</w:t>
      </w:r>
      <w:r>
        <w:rPr>
          <w:rFonts w:cs="Arial"/>
          <w:i/>
          <w:iCs/>
          <w:szCs w:val="20"/>
        </w:rPr>
        <w:t xml:space="preserve"> </w:t>
      </w:r>
      <w:r>
        <w:rPr>
          <w:rFonts w:cs="Arial"/>
          <w:szCs w:val="20"/>
        </w:rPr>
        <w:t xml:space="preserve"> voor respectievelijk de meteorologische dag en nacht) staan beschreven in § 4.4.3. Deze gewichtsfactoren zijn onder andere afhankelijk van de ligging van het rekenpunt ten opzichte van de bron. Hiermede wordt verdisconteerd dat de windroos niet rond is (in Nederland overheersen westelijke windrichtingen). Deze afhankelijkheid wordt beschreven als functie van de hoek </w:t>
      </w:r>
      <w:r>
        <w:rPr>
          <w:rFonts w:cs="Arial"/>
          <w:i/>
          <w:iCs/>
          <w:szCs w:val="20"/>
        </w:rPr>
        <w:t>θ</w:t>
      </w:r>
      <w:r>
        <w:rPr>
          <w:rFonts w:cs="Arial"/>
          <w:szCs w:val="20"/>
        </w:rPr>
        <w:t>(</w:t>
      </w:r>
      <w:r>
        <w:rPr>
          <w:rFonts w:cs="Arial"/>
          <w:i/>
          <w:iCs/>
          <w:szCs w:val="20"/>
        </w:rPr>
        <w:t>b</w:t>
      </w:r>
      <w:r>
        <w:rPr>
          <w:rFonts w:cs="Arial"/>
          <w:szCs w:val="20"/>
        </w:rPr>
        <w:t>) die de lijn van bron naar rekenpunt maakt met het geografische noorden. Voor de meteorologische dag geldt:</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20A064F3" wp14:editId="444D8DDA">
            <wp:extent cx="4460875" cy="38989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60875" cy="389890"/>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en voor de meteorologische nacht:</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6E47BA49" wp14:editId="50C27768">
            <wp:extent cx="4484370" cy="397510"/>
            <wp:effectExtent l="0" t="0" r="0" b="254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4370" cy="397510"/>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Voor de beoordeling van schietgeluid worden drie </w:t>
      </w:r>
      <w:r>
        <w:rPr>
          <w:rFonts w:cs="Arial"/>
          <w:i/>
          <w:iCs/>
          <w:szCs w:val="20"/>
        </w:rPr>
        <w:t>juridische</w:t>
      </w:r>
      <w:r>
        <w:rPr>
          <w:rFonts w:cs="Arial"/>
          <w:szCs w:val="20"/>
        </w:rPr>
        <w:t xml:space="preserve"> beoordelingsperioden onderscheiden: dag, avond en nacht (zie § 2.5). De grenzen van deze juridische perioden vallen niet samen met de grenzen van de twee </w:t>
      </w:r>
      <w:r>
        <w:rPr>
          <w:rFonts w:cs="Arial"/>
          <w:i/>
          <w:iCs/>
          <w:szCs w:val="20"/>
        </w:rPr>
        <w:t xml:space="preserve">meteorologische </w:t>
      </w:r>
      <w:r>
        <w:rPr>
          <w:rFonts w:cs="Arial"/>
          <w:szCs w:val="20"/>
        </w:rPr>
        <w:t xml:space="preserve">perioden: de meteorologische dag en de meteorologische nacht. Hier moet rekening mee gehouden worden bij de berekening van de geluidbelasting voor de drie juridische perioden. Hiertoe wordt gebruik gemaakt van de fracties </w:t>
      </w:r>
      <w:r>
        <w:rPr>
          <w:rFonts w:cs="Arial"/>
          <w:i/>
          <w:iCs/>
          <w:szCs w:val="20"/>
        </w:rPr>
        <w:t>w</w:t>
      </w:r>
      <w:r>
        <w:rPr>
          <w:rFonts w:cs="Arial"/>
          <w:i/>
          <w:iCs/>
          <w:szCs w:val="20"/>
          <w:vertAlign w:val="subscript"/>
        </w:rPr>
        <w:t>d,dag</w:t>
      </w:r>
      <w:r>
        <w:rPr>
          <w:rFonts w:cs="Arial"/>
          <w:i/>
          <w:iCs/>
          <w:szCs w:val="20"/>
        </w:rPr>
        <w:t xml:space="preserve"> </w:t>
      </w:r>
      <w:r>
        <w:rPr>
          <w:rFonts w:cs="Arial"/>
          <w:szCs w:val="20"/>
        </w:rPr>
        <w:t xml:space="preserve"> en </w:t>
      </w:r>
      <w:r>
        <w:rPr>
          <w:rFonts w:cs="Arial"/>
          <w:i/>
          <w:iCs/>
          <w:szCs w:val="20"/>
        </w:rPr>
        <w:t>w</w:t>
      </w:r>
      <w:r>
        <w:rPr>
          <w:rFonts w:cs="Arial"/>
          <w:i/>
          <w:iCs/>
          <w:szCs w:val="20"/>
          <w:vertAlign w:val="subscript"/>
        </w:rPr>
        <w:t>n,dag</w:t>
      </w:r>
      <w:r>
        <w:rPr>
          <w:rFonts w:cs="Arial"/>
          <w:i/>
          <w:iCs/>
          <w:szCs w:val="20"/>
        </w:rPr>
        <w:t xml:space="preserve"> </w:t>
      </w:r>
      <w:r>
        <w:rPr>
          <w:rFonts w:cs="Arial"/>
          <w:szCs w:val="20"/>
        </w:rPr>
        <w:t xml:space="preserve">, die aangeven welk gedeelte van de juridische dagperiode (gemiddeld) samenvalt met respectievelijk de meteorologische dag en de meteorologische nacht. Voor de juridische avondperiode worden analoog de fracties </w:t>
      </w:r>
      <w:r>
        <w:rPr>
          <w:rFonts w:cs="Arial"/>
          <w:i/>
          <w:iCs/>
          <w:szCs w:val="20"/>
        </w:rPr>
        <w:t>w</w:t>
      </w:r>
      <w:r>
        <w:rPr>
          <w:rFonts w:cs="Arial"/>
          <w:i/>
          <w:iCs/>
          <w:szCs w:val="20"/>
          <w:vertAlign w:val="subscript"/>
        </w:rPr>
        <w:t>d,avond</w:t>
      </w:r>
      <w:r>
        <w:rPr>
          <w:rFonts w:cs="Arial"/>
          <w:i/>
          <w:iCs/>
          <w:szCs w:val="20"/>
        </w:rPr>
        <w:t xml:space="preserve"> </w:t>
      </w:r>
      <w:r>
        <w:rPr>
          <w:rFonts w:cs="Arial"/>
          <w:szCs w:val="20"/>
        </w:rPr>
        <w:t xml:space="preserve"> en </w:t>
      </w:r>
      <w:r>
        <w:rPr>
          <w:rFonts w:cs="Arial"/>
          <w:i/>
          <w:iCs/>
          <w:szCs w:val="20"/>
        </w:rPr>
        <w:t>w</w:t>
      </w:r>
      <w:r>
        <w:rPr>
          <w:rFonts w:cs="Arial"/>
          <w:i/>
          <w:iCs/>
          <w:szCs w:val="20"/>
          <w:vertAlign w:val="subscript"/>
        </w:rPr>
        <w:t>n,avond</w:t>
      </w:r>
      <w:r>
        <w:rPr>
          <w:rFonts w:cs="Arial"/>
          <w:i/>
          <w:iCs/>
          <w:szCs w:val="20"/>
        </w:rPr>
        <w:t xml:space="preserve"> </w:t>
      </w:r>
      <w:r>
        <w:rPr>
          <w:rFonts w:cs="Arial"/>
          <w:szCs w:val="20"/>
        </w:rPr>
        <w:t xml:space="preserve"> gebruikt.</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Voor de juridische nacht geldt dat deze (gemiddeld) vrijwel volledig binnen de meteorologische nacht valt. De fracties zijn in tabel 3.1 gegeven.</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Voor de drie (juridische) beoordelingsperioden wordt voor een bron </w:t>
      </w:r>
      <w:r>
        <w:rPr>
          <w:rFonts w:cs="Arial"/>
          <w:i/>
          <w:iCs/>
          <w:szCs w:val="20"/>
        </w:rPr>
        <w:t xml:space="preserve">b </w:t>
      </w:r>
      <w:r>
        <w:rPr>
          <w:rFonts w:cs="Arial"/>
          <w:szCs w:val="20"/>
        </w:rPr>
        <w:t>de geluidbelasting gegeven door:</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4F6BB868" wp14:editId="728E4FA3">
            <wp:extent cx="4452620" cy="1605915"/>
            <wp:effectExtent l="0" t="0" r="508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52620" cy="1605915"/>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waarin</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w</w:t>
      </w:r>
      <w:r>
        <w:rPr>
          <w:rFonts w:cs="Arial"/>
          <w:i/>
          <w:iCs/>
          <w:szCs w:val="20"/>
          <w:vertAlign w:val="subscript"/>
        </w:rPr>
        <w:t>d,periode</w:t>
      </w:r>
      <w:r>
        <w:rPr>
          <w:rFonts w:cs="Arial"/>
          <w:i/>
          <w:iCs/>
          <w:szCs w:val="20"/>
        </w:rPr>
        <w:t xml:space="preserve"> </w:t>
      </w:r>
      <w:r>
        <w:rPr>
          <w:rFonts w:cs="Arial"/>
          <w:szCs w:val="20"/>
        </w:rPr>
        <w:t xml:space="preserve"> weegfactor voor de meteorologische dag (zie tabel 3.1)</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w</w:t>
      </w:r>
      <w:r>
        <w:rPr>
          <w:rFonts w:cs="Arial"/>
          <w:i/>
          <w:iCs/>
          <w:szCs w:val="20"/>
          <w:vertAlign w:val="subscript"/>
        </w:rPr>
        <w:t>n,periode</w:t>
      </w:r>
      <w:r>
        <w:rPr>
          <w:rFonts w:cs="Arial"/>
          <w:i/>
          <w:iCs/>
          <w:szCs w:val="20"/>
        </w:rPr>
        <w:t xml:space="preserve"> </w:t>
      </w:r>
      <w:r>
        <w:rPr>
          <w:rFonts w:cs="Arial"/>
          <w:szCs w:val="20"/>
        </w:rPr>
        <w:t xml:space="preserve"> weegfactor voor de meteorologische nacht (zie tabel 3.1)</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N</w:t>
      </w:r>
      <w:r>
        <w:rPr>
          <w:rFonts w:cs="Arial"/>
          <w:i/>
          <w:iCs/>
          <w:szCs w:val="20"/>
          <w:vertAlign w:val="subscript"/>
        </w:rPr>
        <w:t>dag</w:t>
      </w:r>
      <w:r>
        <w:rPr>
          <w:rFonts w:cs="Arial"/>
          <w:i/>
          <w:iCs/>
          <w:szCs w:val="20"/>
        </w:rPr>
        <w:t xml:space="preserve"> </w:t>
      </w:r>
      <w:r>
        <w:rPr>
          <w:rFonts w:cs="Arial"/>
          <w:szCs w:val="20"/>
        </w:rPr>
        <w:t xml:space="preserve"> aantal knallen per jaar in de dagperiode (inclusief zon- en feestdagen)</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N</w:t>
      </w:r>
      <w:r>
        <w:rPr>
          <w:rFonts w:cs="Arial"/>
          <w:i/>
          <w:iCs/>
          <w:szCs w:val="20"/>
          <w:vertAlign w:val="subscript"/>
        </w:rPr>
        <w:t>zondag,dag</w:t>
      </w:r>
      <w:r>
        <w:rPr>
          <w:rFonts w:cs="Arial"/>
          <w:i/>
          <w:iCs/>
          <w:szCs w:val="20"/>
        </w:rPr>
        <w:t xml:space="preserve"> </w:t>
      </w:r>
      <w:r>
        <w:rPr>
          <w:rFonts w:cs="Arial"/>
          <w:szCs w:val="20"/>
        </w:rPr>
        <w:t xml:space="preserve"> aantal knallen per jaar in de dagperiode op zon- en feestdagen</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w:t>
      </w:r>
      <w:r>
        <w:rPr>
          <w:rFonts w:cs="Arial"/>
          <w:i/>
          <w:iCs/>
          <w:szCs w:val="20"/>
        </w:rPr>
        <w:t>N</w:t>
      </w:r>
      <w:r>
        <w:rPr>
          <w:rFonts w:cs="Arial"/>
          <w:i/>
          <w:iCs/>
          <w:szCs w:val="20"/>
          <w:vertAlign w:val="subscript"/>
        </w:rPr>
        <w:t>avond</w:t>
      </w:r>
      <w:r>
        <w:rPr>
          <w:rFonts w:cs="Arial"/>
          <w:i/>
          <w:iCs/>
          <w:szCs w:val="20"/>
        </w:rPr>
        <w:t xml:space="preserve"> </w:t>
      </w:r>
      <w:r>
        <w:rPr>
          <w:rFonts w:cs="Arial"/>
          <w:szCs w:val="20"/>
        </w:rPr>
        <w:t xml:space="preserve"> aantal knallen per jaar in de avondperiode</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 </w:t>
      </w:r>
      <w:r>
        <w:rPr>
          <w:rFonts w:cs="Arial"/>
          <w:i/>
          <w:iCs/>
          <w:szCs w:val="20"/>
        </w:rPr>
        <w:t>N</w:t>
      </w:r>
      <w:r>
        <w:rPr>
          <w:rFonts w:cs="Arial"/>
          <w:i/>
          <w:iCs/>
          <w:szCs w:val="20"/>
          <w:vertAlign w:val="subscript"/>
        </w:rPr>
        <w:t>nacht</w:t>
      </w:r>
      <w:r>
        <w:rPr>
          <w:rFonts w:cs="Arial"/>
          <w:i/>
          <w:iCs/>
          <w:szCs w:val="20"/>
        </w:rPr>
        <w:t xml:space="preserve"> </w:t>
      </w:r>
      <w:r>
        <w:rPr>
          <w:rFonts w:cs="Arial"/>
          <w:szCs w:val="20"/>
        </w:rPr>
        <w:t xml:space="preserve"> aantal knallen per jaar in de nachtperiode</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b/>
          <w:bCs/>
          <w:szCs w:val="20"/>
        </w:rPr>
        <w:t>Tabel 3.1: Fracties (</w:t>
      </w:r>
      <w:r>
        <w:rPr>
          <w:rFonts w:cs="Arial"/>
          <w:b/>
          <w:bCs/>
          <w:i/>
          <w:iCs/>
          <w:szCs w:val="20"/>
        </w:rPr>
        <w:t>w</w:t>
      </w:r>
      <w:r>
        <w:rPr>
          <w:rFonts w:cs="Arial"/>
          <w:b/>
          <w:bCs/>
          <w:i/>
          <w:iCs/>
          <w:szCs w:val="20"/>
          <w:vertAlign w:val="subscript"/>
        </w:rPr>
        <w:t>d,periode</w:t>
      </w:r>
      <w:r>
        <w:rPr>
          <w:rFonts w:cs="Arial"/>
          <w:b/>
          <w:bCs/>
          <w:i/>
          <w:iCs/>
          <w:szCs w:val="20"/>
        </w:rPr>
        <w:t xml:space="preserve"> </w:t>
      </w:r>
      <w:r>
        <w:rPr>
          <w:rFonts w:cs="Arial"/>
          <w:b/>
          <w:bCs/>
          <w:szCs w:val="20"/>
        </w:rPr>
        <w:t xml:space="preserve"> en </w:t>
      </w:r>
      <w:r>
        <w:rPr>
          <w:rFonts w:cs="Arial"/>
          <w:b/>
          <w:bCs/>
          <w:i/>
          <w:iCs/>
          <w:szCs w:val="20"/>
        </w:rPr>
        <w:t>w</w:t>
      </w:r>
      <w:r>
        <w:rPr>
          <w:rFonts w:cs="Arial"/>
          <w:b/>
          <w:bCs/>
          <w:i/>
          <w:iCs/>
          <w:szCs w:val="20"/>
          <w:vertAlign w:val="subscript"/>
        </w:rPr>
        <w:t>n,periode</w:t>
      </w:r>
      <w:r>
        <w:rPr>
          <w:rFonts w:cs="Arial"/>
          <w:b/>
          <w:bCs/>
          <w:i/>
          <w:iCs/>
          <w:szCs w:val="20"/>
        </w:rPr>
        <w:t xml:space="preserve"> </w:t>
      </w:r>
      <w:r>
        <w:rPr>
          <w:rFonts w:cs="Arial"/>
          <w:b/>
          <w:bCs/>
          <w:szCs w:val="20"/>
        </w:rPr>
        <w:t>) van de tijd dat het in de verschillende beoordelingsperioden een meteorologische dag respectievelijk nacht is.</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1795"/>
        <w:gridCol w:w="3590"/>
        <w:gridCol w:w="3944"/>
      </w:tblGrid>
      <w:tr w:rsidR="007D22CA" w:rsidTr="00FB4F0A">
        <w:tc>
          <w:tcPr>
            <w:tcW w:w="1795" w:type="dxa"/>
            <w:tcBorders>
              <w:top w:val="single" w:sz="4" w:space="0" w:color="auto"/>
              <w:left w:val="single" w:sz="4" w:space="0" w:color="auto"/>
              <w:bottom w:val="single" w:sz="4" w:space="0" w:color="auto"/>
              <w:right w:val="single" w:sz="4" w:space="0" w:color="auto"/>
            </w:tcBorders>
          </w:tcPr>
          <w:p w:rsidR="007D22CA" w:rsidRDefault="007D22CA" w:rsidP="007D22CA">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Periode </w:t>
            </w:r>
          </w:p>
        </w:tc>
        <w:tc>
          <w:tcPr>
            <w:tcW w:w="3590" w:type="dxa"/>
            <w:tcBorders>
              <w:top w:val="single" w:sz="4" w:space="0" w:color="auto"/>
              <w:left w:val="single" w:sz="4" w:space="0" w:color="auto"/>
              <w:bottom w:val="single" w:sz="4" w:space="0" w:color="auto"/>
              <w:right w:val="single" w:sz="4" w:space="0" w:color="auto"/>
            </w:tcBorders>
          </w:tcPr>
          <w:p w:rsidR="007D22CA" w:rsidRDefault="007D22CA" w:rsidP="007D22CA">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Meteorologische dag </w:t>
            </w:r>
          </w:p>
        </w:tc>
        <w:tc>
          <w:tcPr>
            <w:tcW w:w="3944" w:type="dxa"/>
            <w:tcBorders>
              <w:top w:val="single" w:sz="4" w:space="0" w:color="auto"/>
              <w:left w:val="single" w:sz="4" w:space="0" w:color="auto"/>
              <w:bottom w:val="single" w:sz="4" w:space="0" w:color="auto"/>
              <w:right w:val="single" w:sz="4" w:space="0" w:color="auto"/>
            </w:tcBorders>
          </w:tcPr>
          <w:p w:rsidR="007D22CA" w:rsidRDefault="007D22CA" w:rsidP="007D22CA">
            <w:pPr>
              <w:widowControl w:val="0"/>
              <w:shd w:val="clear" w:color="auto" w:fill="D9D9D9" w:themeFill="background1" w:themeFillShade="D9"/>
              <w:autoSpaceDE w:val="0"/>
              <w:autoSpaceDN w:val="0"/>
              <w:adjustRightInd w:val="0"/>
              <w:spacing w:line="240" w:lineRule="auto"/>
              <w:rPr>
                <w:rFonts w:cs="Arial"/>
                <w:sz w:val="16"/>
                <w:szCs w:val="16"/>
              </w:rPr>
            </w:pPr>
            <w:r>
              <w:rPr>
                <w:rFonts w:cs="Arial"/>
                <w:sz w:val="16"/>
                <w:szCs w:val="16"/>
              </w:rPr>
              <w:t xml:space="preserve">Meteorologische nacht </w:t>
            </w:r>
          </w:p>
        </w:tc>
      </w:tr>
      <w:tr w:rsidR="007D22CA" w:rsidTr="00FB4F0A">
        <w:tc>
          <w:tcPr>
            <w:tcW w:w="1795" w:type="dxa"/>
            <w:tcBorders>
              <w:top w:val="single" w:sz="4" w:space="0" w:color="auto"/>
              <w:left w:val="single" w:sz="4" w:space="0" w:color="auto"/>
              <w:bottom w:val="single" w:sz="4" w:space="0" w:color="auto"/>
              <w:right w:val="single" w:sz="4" w:space="0" w:color="auto"/>
            </w:tcBorders>
          </w:tcPr>
          <w:p w:rsidR="007D22CA" w:rsidRDefault="007D22CA" w:rsidP="007D22CA">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dag </w:t>
            </w:r>
          </w:p>
        </w:tc>
        <w:tc>
          <w:tcPr>
            <w:tcW w:w="3590" w:type="dxa"/>
            <w:tcBorders>
              <w:top w:val="single" w:sz="4" w:space="0" w:color="auto"/>
              <w:left w:val="single" w:sz="4" w:space="0" w:color="auto"/>
              <w:bottom w:val="single" w:sz="4" w:space="0" w:color="auto"/>
              <w:right w:val="single" w:sz="4" w:space="0" w:color="auto"/>
            </w:tcBorders>
          </w:tcPr>
          <w:p w:rsidR="007D22CA" w:rsidRDefault="007D22CA" w:rsidP="007D22CA">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w</w:t>
            </w:r>
            <w:r>
              <w:rPr>
                <w:rFonts w:cs="Arial"/>
                <w:i/>
                <w:iCs/>
                <w:sz w:val="16"/>
                <w:szCs w:val="16"/>
                <w:vertAlign w:val="subscript"/>
              </w:rPr>
              <w:t>d,dag</w:t>
            </w:r>
            <w:r>
              <w:rPr>
                <w:rFonts w:cs="Arial"/>
                <w:i/>
                <w:iCs/>
                <w:sz w:val="16"/>
                <w:szCs w:val="16"/>
              </w:rPr>
              <w:t xml:space="preserve"> </w:t>
            </w:r>
            <w:r>
              <w:rPr>
                <w:rFonts w:cs="Arial"/>
                <w:sz w:val="16"/>
                <w:szCs w:val="16"/>
              </w:rPr>
              <w:t xml:space="preserve"> = 0,80 </w:t>
            </w:r>
          </w:p>
        </w:tc>
        <w:tc>
          <w:tcPr>
            <w:tcW w:w="3944" w:type="dxa"/>
            <w:tcBorders>
              <w:top w:val="single" w:sz="4" w:space="0" w:color="auto"/>
              <w:left w:val="single" w:sz="4" w:space="0" w:color="auto"/>
              <w:bottom w:val="single" w:sz="4" w:space="0" w:color="auto"/>
              <w:right w:val="single" w:sz="4" w:space="0" w:color="auto"/>
            </w:tcBorders>
          </w:tcPr>
          <w:p w:rsidR="007D22CA" w:rsidRDefault="007D22CA" w:rsidP="007D22CA">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w</w:t>
            </w:r>
            <w:r>
              <w:rPr>
                <w:rFonts w:cs="Arial"/>
                <w:i/>
                <w:iCs/>
                <w:sz w:val="16"/>
                <w:szCs w:val="16"/>
                <w:vertAlign w:val="subscript"/>
              </w:rPr>
              <w:t>n,dag</w:t>
            </w:r>
            <w:r>
              <w:rPr>
                <w:rFonts w:cs="Arial"/>
                <w:i/>
                <w:iCs/>
                <w:sz w:val="16"/>
                <w:szCs w:val="16"/>
              </w:rPr>
              <w:t xml:space="preserve"> </w:t>
            </w:r>
            <w:r>
              <w:rPr>
                <w:rFonts w:cs="Arial"/>
                <w:sz w:val="16"/>
                <w:szCs w:val="16"/>
              </w:rPr>
              <w:t xml:space="preserve"> = 0,20 </w:t>
            </w:r>
          </w:p>
        </w:tc>
      </w:tr>
      <w:tr w:rsidR="007D22CA" w:rsidTr="00FB4F0A">
        <w:tc>
          <w:tcPr>
            <w:tcW w:w="1795" w:type="dxa"/>
            <w:tcBorders>
              <w:top w:val="single" w:sz="4" w:space="0" w:color="auto"/>
              <w:left w:val="single" w:sz="4" w:space="0" w:color="auto"/>
              <w:bottom w:val="single" w:sz="4" w:space="0" w:color="auto"/>
              <w:right w:val="single" w:sz="4" w:space="0" w:color="auto"/>
            </w:tcBorders>
          </w:tcPr>
          <w:p w:rsidR="007D22CA" w:rsidRDefault="007D22CA" w:rsidP="007D22CA">
            <w:pPr>
              <w:widowControl w:val="0"/>
              <w:shd w:val="clear" w:color="auto" w:fill="D9D9D9" w:themeFill="background1" w:themeFillShade="D9"/>
              <w:autoSpaceDE w:val="0"/>
              <w:autoSpaceDN w:val="0"/>
              <w:adjustRightInd w:val="0"/>
              <w:spacing w:line="240" w:lineRule="auto"/>
              <w:rPr>
                <w:rFonts w:cs="Arial"/>
                <w:sz w:val="16"/>
                <w:szCs w:val="16"/>
              </w:rPr>
            </w:pPr>
            <w:r>
              <w:rPr>
                <w:rFonts w:ascii="Times New Roman" w:hAnsi="Times New Roman"/>
                <w:sz w:val="24"/>
              </w:rPr>
              <w:t xml:space="preserve"> </w:t>
            </w:r>
            <w:r>
              <w:rPr>
                <w:rFonts w:cs="Arial"/>
                <w:sz w:val="16"/>
                <w:szCs w:val="16"/>
              </w:rPr>
              <w:t xml:space="preserve">avond </w:t>
            </w:r>
          </w:p>
        </w:tc>
        <w:tc>
          <w:tcPr>
            <w:tcW w:w="3590" w:type="dxa"/>
            <w:tcBorders>
              <w:top w:val="single" w:sz="4" w:space="0" w:color="auto"/>
              <w:left w:val="single" w:sz="4" w:space="0" w:color="auto"/>
              <w:bottom w:val="single" w:sz="4" w:space="0" w:color="auto"/>
              <w:right w:val="single" w:sz="4" w:space="0" w:color="auto"/>
            </w:tcBorders>
          </w:tcPr>
          <w:p w:rsidR="007D22CA" w:rsidRDefault="007D22CA" w:rsidP="007D22CA">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w</w:t>
            </w:r>
            <w:r>
              <w:rPr>
                <w:rFonts w:cs="Arial"/>
                <w:i/>
                <w:iCs/>
                <w:sz w:val="16"/>
                <w:szCs w:val="16"/>
                <w:vertAlign w:val="subscript"/>
              </w:rPr>
              <w:t>d,avond</w:t>
            </w:r>
            <w:r>
              <w:rPr>
                <w:rFonts w:cs="Arial"/>
                <w:i/>
                <w:iCs/>
                <w:sz w:val="16"/>
                <w:szCs w:val="16"/>
              </w:rPr>
              <w:t xml:space="preserve"> </w:t>
            </w:r>
            <w:r>
              <w:rPr>
                <w:rFonts w:cs="Arial"/>
                <w:sz w:val="16"/>
                <w:szCs w:val="16"/>
              </w:rPr>
              <w:t xml:space="preserve"> = 0,15 </w:t>
            </w:r>
          </w:p>
        </w:tc>
        <w:tc>
          <w:tcPr>
            <w:tcW w:w="3944" w:type="dxa"/>
            <w:tcBorders>
              <w:top w:val="single" w:sz="4" w:space="0" w:color="auto"/>
              <w:left w:val="single" w:sz="4" w:space="0" w:color="auto"/>
              <w:bottom w:val="single" w:sz="4" w:space="0" w:color="auto"/>
              <w:right w:val="single" w:sz="4" w:space="0" w:color="auto"/>
            </w:tcBorders>
          </w:tcPr>
          <w:p w:rsidR="007D22CA" w:rsidRDefault="007D22CA" w:rsidP="007D22CA">
            <w:pPr>
              <w:widowControl w:val="0"/>
              <w:shd w:val="clear" w:color="auto" w:fill="D9D9D9" w:themeFill="background1" w:themeFillShade="D9"/>
              <w:autoSpaceDE w:val="0"/>
              <w:autoSpaceDN w:val="0"/>
              <w:adjustRightInd w:val="0"/>
              <w:spacing w:line="240" w:lineRule="auto"/>
              <w:rPr>
                <w:rFonts w:cs="Arial"/>
                <w:sz w:val="16"/>
                <w:szCs w:val="16"/>
              </w:rPr>
            </w:pPr>
            <w:r>
              <w:rPr>
                <w:rFonts w:cs="Arial"/>
                <w:i/>
                <w:iCs/>
                <w:sz w:val="16"/>
                <w:szCs w:val="16"/>
              </w:rPr>
              <w:t>w</w:t>
            </w:r>
            <w:r>
              <w:rPr>
                <w:rFonts w:cs="Arial"/>
                <w:i/>
                <w:iCs/>
                <w:sz w:val="16"/>
                <w:szCs w:val="16"/>
                <w:vertAlign w:val="subscript"/>
              </w:rPr>
              <w:t>n,avond</w:t>
            </w:r>
            <w:r>
              <w:rPr>
                <w:rFonts w:cs="Arial"/>
                <w:i/>
                <w:iCs/>
                <w:sz w:val="16"/>
                <w:szCs w:val="16"/>
              </w:rPr>
              <w:t xml:space="preserve"> </w:t>
            </w:r>
            <w:r>
              <w:rPr>
                <w:rFonts w:cs="Arial"/>
                <w:sz w:val="16"/>
                <w:szCs w:val="16"/>
              </w:rPr>
              <w:t xml:space="preserve"> = 0,85 </w:t>
            </w:r>
          </w:p>
        </w:tc>
      </w:tr>
    </w:tbl>
    <w:p w:rsidR="007D22CA" w:rsidRDefault="007D22CA" w:rsidP="007D22CA">
      <w:pPr>
        <w:widowControl w:val="0"/>
        <w:shd w:val="clear" w:color="auto" w:fill="D9D9D9" w:themeFill="background1" w:themeFillShade="D9"/>
        <w:autoSpaceDE w:val="0"/>
        <w:autoSpaceDN w:val="0"/>
        <w:adjustRightInd w:val="0"/>
        <w:spacing w:line="240" w:lineRule="auto"/>
        <w:rPr>
          <w:rFonts w:ascii="Times New Roman" w:hAnsi="Times New Roman"/>
          <w:sz w:val="24"/>
        </w:rPr>
      </w:pPr>
      <w:r>
        <w:rPr>
          <w:rFonts w:ascii="Times New Roman" w:hAnsi="Times New Roman"/>
          <w:sz w:val="24"/>
        </w:rPr>
        <w:t xml:space="preserve"> </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totale geluidbelasting voor een bepaalde beoordelingsperiode wordt gegeven door:</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58920298" wp14:editId="747A6E16">
            <wp:extent cx="4452620" cy="445135"/>
            <wp:effectExtent l="0" t="0" r="508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52620" cy="445135"/>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Bij deze som worden de afzonderlijke geluidcomponenten van een bron (mondingsgeluid, kogelgeluid en detonatiegeluid en hun reflecties) voor zover deze relevant zijn, als afzonderlijke bronnen beschouwd.</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De dag-avond-nachtwaarde wordt bepaald door de geluidbelastingswaarden van de drie beoordelingsperioden energetisch bij elkaar op te tellen, waarbij rekening moet worden gehouden met de duur van de periode:</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17DE3F46" wp14:editId="442E2EE1">
            <wp:extent cx="4460875" cy="286385"/>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60875" cy="286385"/>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3.3. Bepaling gemiddelde toeslag voor laagfrequente componenten</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Teneinde voor een bepaalde juridische beoordelingsperiode een gemiddelde toeslag voor laagfrequent componenten in het schietgeluid te bepalen, schrijven we de deelbijdrage aan de geluidbelasting voor een bepaalde bron als:</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3AC94E65" wp14:editId="57D15EAB">
            <wp:extent cx="4714875" cy="270510"/>
            <wp:effectExtent l="0" t="0" r="9525"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14875" cy="270510"/>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hierin is </w:t>
      </w:r>
      <w:r>
        <w:rPr>
          <w:rFonts w:cs="Arial"/>
          <w:i/>
          <w:iCs/>
          <w:szCs w:val="20"/>
        </w:rPr>
        <w:t>L</w:t>
      </w:r>
      <w:r>
        <w:rPr>
          <w:rFonts w:cs="Arial"/>
          <w:i/>
          <w:iCs/>
          <w:szCs w:val="20"/>
          <w:vertAlign w:val="subscript"/>
        </w:rPr>
        <w:t>Aeq,periode</w:t>
      </w:r>
      <w:r>
        <w:rPr>
          <w:rFonts w:cs="Arial"/>
          <w:i/>
          <w:iCs/>
          <w:szCs w:val="20"/>
        </w:rPr>
        <w:t xml:space="preserve"> (b)</w:t>
      </w:r>
      <w:r>
        <w:rPr>
          <w:rFonts w:cs="Arial"/>
          <w:szCs w:val="20"/>
        </w:rPr>
        <w:t xml:space="preserve"> het equivalente geluidniveau vanwege schietgeluid voor één bron voor een gemiddelde dag voor een bepaalde juridische beoordelingsperiode en </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1629A821" wp14:editId="5723C3F1">
            <wp:extent cx="191135" cy="11938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135" cy="119380"/>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 de bijbehorende laagfrequente toeslag, gemiddeld over alle meteorologische klassen.</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Deze grootheden kunnen met onderstaande formules worden bepaald (voor de overzichtelijkheid zijn in de formules de afhankelijkheden van </w:t>
      </w:r>
      <w:r>
        <w:rPr>
          <w:rFonts w:cs="Arial"/>
          <w:i/>
          <w:iCs/>
          <w:szCs w:val="20"/>
        </w:rPr>
        <w:t>b</w:t>
      </w:r>
      <w:r>
        <w:rPr>
          <w:rFonts w:cs="Arial"/>
          <w:szCs w:val="20"/>
        </w:rPr>
        <w:t xml:space="preserve"> en </w:t>
      </w:r>
      <w:r>
        <w:rPr>
          <w:rFonts w:cs="Arial"/>
          <w:i/>
          <w:iCs/>
          <w:szCs w:val="20"/>
        </w:rPr>
        <w:t>m</w:t>
      </w:r>
      <w:r>
        <w:rPr>
          <w:rFonts w:cs="Arial"/>
          <w:szCs w:val="20"/>
        </w:rPr>
        <w:t xml:space="preserve"> niet weergegeven):</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1220D91C" wp14:editId="1135B182">
            <wp:extent cx="4707255" cy="2321560"/>
            <wp:effectExtent l="0" t="0" r="0" b="254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07255" cy="2321560"/>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53E793C1" wp14:editId="761C308C">
            <wp:extent cx="4691380" cy="1065530"/>
            <wp:effectExtent l="0" t="0" r="0" b="127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91380" cy="1065530"/>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Indien een toeslag ook als gemiddelde over alle bronnen bepaald moet worden dienen onderstaande formules te worden toegepast:</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327F581B" wp14:editId="5A63D75A">
            <wp:extent cx="4746625" cy="1383665"/>
            <wp:effectExtent l="0" t="0" r="0" b="698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46625" cy="1383665"/>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3.4. Incidenteel gebruik</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Indien op een schietinrichting op minder dan 30 maar meer dan 12 dagen per jaar wordt geschoten moet op </w:t>
      </w:r>
      <w:r>
        <w:rPr>
          <w:rFonts w:cs="Arial"/>
          <w:i/>
          <w:iCs/>
          <w:szCs w:val="20"/>
        </w:rPr>
        <w:t>B</w:t>
      </w:r>
      <w:r>
        <w:rPr>
          <w:rFonts w:cs="Arial"/>
          <w:i/>
          <w:iCs/>
          <w:szCs w:val="20"/>
          <w:vertAlign w:val="subscript"/>
        </w:rPr>
        <w:t>s,periode</w:t>
      </w:r>
      <w:r>
        <w:rPr>
          <w:rFonts w:cs="Arial"/>
          <w:i/>
          <w:iCs/>
          <w:szCs w:val="20"/>
        </w:rPr>
        <w:t xml:space="preserve"> </w:t>
      </w:r>
      <w:r>
        <w:rPr>
          <w:rFonts w:cs="Arial"/>
          <w:szCs w:val="20"/>
        </w:rPr>
        <w:t xml:space="preserve"> een correctie van 10 lg (30/</w:t>
      </w:r>
      <w:r>
        <w:rPr>
          <w:rFonts w:cs="Arial"/>
          <w:i/>
          <w:iCs/>
          <w:szCs w:val="20"/>
        </w:rPr>
        <w:t>P</w:t>
      </w:r>
      <w:r>
        <w:rPr>
          <w:rFonts w:cs="Arial"/>
          <w:i/>
          <w:iCs/>
          <w:szCs w:val="20"/>
          <w:vertAlign w:val="subscript"/>
        </w:rPr>
        <w:t>periode</w:t>
      </w:r>
      <w:r>
        <w:rPr>
          <w:rFonts w:cs="Arial"/>
          <w:i/>
          <w:iCs/>
          <w:szCs w:val="20"/>
        </w:rPr>
        <w:t xml:space="preserve"> </w:t>
      </w:r>
      <w:r>
        <w:rPr>
          <w:rFonts w:cs="Arial"/>
          <w:szCs w:val="20"/>
        </w:rPr>
        <w:t xml:space="preserve">) worden toegepast. </w:t>
      </w:r>
      <w:r>
        <w:rPr>
          <w:rFonts w:cs="Arial"/>
          <w:i/>
          <w:iCs/>
          <w:szCs w:val="20"/>
        </w:rPr>
        <w:t>P</w:t>
      </w:r>
      <w:r>
        <w:rPr>
          <w:rFonts w:cs="Arial"/>
          <w:i/>
          <w:iCs/>
          <w:szCs w:val="20"/>
          <w:vertAlign w:val="subscript"/>
        </w:rPr>
        <w:t>periode</w:t>
      </w:r>
      <w:r>
        <w:rPr>
          <w:rFonts w:cs="Arial"/>
          <w:i/>
          <w:iCs/>
          <w:szCs w:val="20"/>
        </w:rPr>
        <w:t xml:space="preserve"> </w:t>
      </w:r>
      <w:r>
        <w:rPr>
          <w:rFonts w:cs="Arial"/>
          <w:szCs w:val="20"/>
        </w:rPr>
        <w:t>staat voor het aantal dagen per jaar dat op de inrichting, onafhankelijk van het wapentype, in een bepaalde juridische beoordelingsperiode wordt geschoten.</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szCs w:val="20"/>
        </w:rPr>
        <w:t xml:space="preserve">De geluidbelasting voor een bepaalde juridische beoordelingsperiode </w:t>
      </w:r>
      <w:r>
        <w:rPr>
          <w:rFonts w:cs="Arial"/>
          <w:i/>
          <w:iCs/>
          <w:szCs w:val="20"/>
        </w:rPr>
        <w:t>B</w:t>
      </w:r>
      <w:r>
        <w:rPr>
          <w:rFonts w:cs="Arial"/>
          <w:i/>
          <w:iCs/>
          <w:szCs w:val="20"/>
          <w:vertAlign w:val="subscript"/>
        </w:rPr>
        <w:t>s,periode</w:t>
      </w:r>
      <w:r>
        <w:rPr>
          <w:rFonts w:cs="Arial"/>
          <w:i/>
          <w:iCs/>
          <w:szCs w:val="20"/>
        </w:rPr>
        <w:t xml:space="preserve"> </w:t>
      </w:r>
      <w:r>
        <w:rPr>
          <w:rFonts w:cs="Arial"/>
          <w:szCs w:val="20"/>
        </w:rPr>
        <w:t xml:space="preserve"> wordt dan bepaald door:</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 xml:space="preserve">voor 12 &lt; </w:t>
      </w:r>
      <w:r>
        <w:rPr>
          <w:rFonts w:cs="Arial"/>
          <w:i/>
          <w:iCs/>
          <w:szCs w:val="20"/>
        </w:rPr>
        <w:t>P</w:t>
      </w:r>
      <w:r>
        <w:rPr>
          <w:rFonts w:cs="Arial"/>
          <w:i/>
          <w:iCs/>
          <w:szCs w:val="20"/>
          <w:vertAlign w:val="subscript"/>
        </w:rPr>
        <w:t>periode</w:t>
      </w:r>
      <w:r>
        <w:rPr>
          <w:rFonts w:cs="Arial"/>
          <w:i/>
          <w:iCs/>
          <w:szCs w:val="20"/>
        </w:rPr>
        <w:t xml:space="preserve"> </w:t>
      </w:r>
      <w:r>
        <w:rPr>
          <w:rFonts w:cs="Arial"/>
          <w:szCs w:val="20"/>
        </w:rPr>
        <w:t xml:space="preserve"> &lt; 30</w:t>
      </w:r>
    </w:p>
    <w:p w:rsidR="007D22CA" w:rsidRDefault="007D22CA" w:rsidP="007D22CA">
      <w:pPr>
        <w:widowControl w:val="0"/>
        <w:shd w:val="clear" w:color="auto" w:fill="D9D9D9" w:themeFill="background1" w:themeFillShade="D9"/>
        <w:autoSpaceDE w:val="0"/>
        <w:autoSpaceDN w:val="0"/>
        <w:adjustRightInd w:val="0"/>
        <w:spacing w:line="240" w:lineRule="auto"/>
        <w:rPr>
          <w:rFonts w:cs="Arial"/>
          <w:szCs w:val="20"/>
        </w:rPr>
      </w:pPr>
      <w:r>
        <w:rPr>
          <w:rFonts w:cs="Arial"/>
          <w:noProof/>
          <w:szCs w:val="20"/>
          <w:lang w:eastAsia="nl-NL"/>
        </w:rPr>
        <w:drawing>
          <wp:inline distT="0" distB="0" distL="0" distR="0" wp14:anchorId="434985D7" wp14:editId="76A06364">
            <wp:extent cx="4500245" cy="492760"/>
            <wp:effectExtent l="0" t="0" r="0" b="254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0245" cy="492760"/>
                    </a:xfrm>
                    <a:prstGeom prst="rect">
                      <a:avLst/>
                    </a:prstGeom>
                    <a:noFill/>
                    <a:ln>
                      <a:noFill/>
                    </a:ln>
                  </pic:spPr>
                </pic:pic>
              </a:graphicData>
            </a:graphic>
          </wp:inline>
        </w:drawing>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Indien er op 12 of minder dagen in een bepaalde beoordelingsperiode (dag, avond, nacht) geschoten wordt, wordt vanwege het exceptionele karakter van deze activiteiten deze beoordelingsperiode niet meegenomen bij de berekening van de geluidbelasting.</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b/>
          <w:bCs/>
          <w:szCs w:val="20"/>
        </w:rPr>
      </w:pPr>
      <w:r>
        <w:rPr>
          <w:rFonts w:cs="Arial"/>
          <w:b/>
          <w:bCs/>
          <w:szCs w:val="20"/>
        </w:rPr>
        <w:t>3.5. Salvo's</w:t>
      </w:r>
    </w:p>
    <w:p w:rsidR="007D22CA" w:rsidRDefault="007D22CA" w:rsidP="007D22CA">
      <w:pPr>
        <w:widowControl w:val="0"/>
        <w:shd w:val="clear" w:color="auto" w:fill="D9D9D9" w:themeFill="background1" w:themeFillShade="D9"/>
        <w:autoSpaceDE w:val="0"/>
        <w:autoSpaceDN w:val="0"/>
        <w:adjustRightInd w:val="0"/>
        <w:spacing w:after="240" w:line="240" w:lineRule="auto"/>
        <w:rPr>
          <w:rFonts w:cs="Arial"/>
          <w:szCs w:val="20"/>
        </w:rPr>
      </w:pPr>
      <w:r>
        <w:rPr>
          <w:rFonts w:cs="Arial"/>
          <w:szCs w:val="20"/>
        </w:rPr>
        <w:t>Omdat bij de meeste machinegeweren de knallen binnen een salvo nog afzonderlijk te horen zijn, is ter bepaling van de geluidbelasting ook bij deze wapens de algemene procedure van toepassing. Er bestaan echter ook wapens waarvan de repeteerfrequentie zo hoog is (meer dan 25 schoten per seconde) dat de knallen niet meer afzonderlijk hoorbaar zijn. Ook dan wordt de geluidbelasting berekend op basis van het totaal aantal verschoten patronen binnen de salvo's.</w:t>
      </w:r>
    </w:p>
    <w:p w:rsidR="00F43C9B" w:rsidRPr="00AD2CF5" w:rsidRDefault="00F43C9B" w:rsidP="007D22CA">
      <w:pPr>
        <w:shd w:val="clear" w:color="auto" w:fill="D9D9D9" w:themeFill="background1" w:themeFillShade="D9"/>
      </w:pPr>
    </w:p>
    <w:p w:rsidR="00F43C9B" w:rsidRPr="00AD2CF5" w:rsidRDefault="00F43C9B" w:rsidP="00F43C9B">
      <w:pPr>
        <w:pStyle w:val="Kop1"/>
        <w:shd w:val="clear" w:color="auto" w:fill="D9D9D9" w:themeFill="background1" w:themeFillShade="D9"/>
      </w:pPr>
      <w:bookmarkStart w:id="526" w:name="docmetbijlagen"/>
      <w:bookmarkStart w:id="527" w:name="_Toc428341394"/>
      <w:bookmarkStart w:id="528" w:name="_Toc428595731"/>
      <w:bookmarkStart w:id="529" w:name="_Toc428596306"/>
      <w:bookmarkStart w:id="530" w:name="_Toc431793356"/>
      <w:bookmarkEnd w:id="526"/>
      <w:r w:rsidRPr="00AD2CF5">
        <w:br w:type="page"/>
      </w:r>
      <w:r w:rsidR="00C428B8">
        <w:fldChar w:fldCharType="begin"/>
      </w:r>
      <w:r w:rsidR="00C428B8">
        <w:instrText xml:space="preserve"> SEQ numchaplev1 \n \* MERGEFORMAT </w:instrText>
      </w:r>
      <w:r w:rsidR="00C428B8">
        <w:fldChar w:fldCharType="separate"/>
      </w:r>
      <w:bookmarkStart w:id="531" w:name="_Toc413945826"/>
      <w:bookmarkStart w:id="532" w:name="_Toc431375839"/>
      <w:r>
        <w:rPr>
          <w:noProof/>
        </w:rPr>
        <w:t>4</w:t>
      </w:r>
      <w:r w:rsidR="00C428B8">
        <w:rPr>
          <w:noProof/>
        </w:rPr>
        <w:fldChar w:fldCharType="end"/>
      </w:r>
      <w:r w:rsidRPr="00AD2CF5">
        <w:fldChar w:fldCharType="begin"/>
      </w:r>
      <w:r w:rsidRPr="00AD2CF5">
        <w:instrText xml:space="preserve"> SEQ numchaplev2 \r0\h \* MERGEFORMAT </w:instrText>
      </w:r>
      <w:r w:rsidRPr="00AD2CF5">
        <w:fldChar w:fldCharType="end"/>
      </w:r>
      <w:r w:rsidRPr="00AD2CF5">
        <w:fldChar w:fldCharType="begin"/>
      </w:r>
      <w:r w:rsidRPr="00AD2CF5">
        <w:instrText xml:space="preserve"> SEQ numchapfig \r0\h \* MERGEFORMAT </w:instrText>
      </w:r>
      <w:r w:rsidRPr="00AD2CF5">
        <w:fldChar w:fldCharType="end"/>
      </w:r>
      <w:r w:rsidRPr="00AD2CF5">
        <w:fldChar w:fldCharType="begin"/>
      </w:r>
      <w:r w:rsidRPr="00AD2CF5">
        <w:instrText xml:space="preserve"> SEQ numchaptab \r0\h \* MERGEFORMAT </w:instrText>
      </w:r>
      <w:r w:rsidRPr="00AD2CF5">
        <w:fldChar w:fldCharType="end"/>
      </w:r>
      <w:r w:rsidRPr="00AD2CF5">
        <w:fldChar w:fldCharType="begin"/>
      </w:r>
      <w:r w:rsidRPr="00AD2CF5">
        <w:instrText xml:space="preserve"> SEQ numchapequ \r0\h \* MERGEFORMAT </w:instrText>
      </w:r>
      <w:r w:rsidRPr="00AD2CF5">
        <w:fldChar w:fldCharType="end"/>
      </w:r>
      <w:r w:rsidRPr="00AD2CF5">
        <w:tab/>
        <w:t>Rekenmethode</w:t>
      </w:r>
      <w:bookmarkEnd w:id="527"/>
      <w:bookmarkEnd w:id="528"/>
      <w:bookmarkEnd w:id="529"/>
      <w:bookmarkEnd w:id="530"/>
      <w:bookmarkEnd w:id="531"/>
      <w:bookmarkEnd w:id="532"/>
    </w:p>
    <w:bookmarkStart w:id="533" w:name="_Toc428341395"/>
    <w:bookmarkStart w:id="534" w:name="_Toc428595732"/>
    <w:bookmarkStart w:id="535" w:name="_Toc428596307"/>
    <w:bookmarkStart w:id="536" w:name="_Toc431793357"/>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537" w:name="_Toc413945827"/>
      <w:bookmarkStart w:id="538" w:name="_Toc431375840"/>
      <w:r>
        <w:rPr>
          <w:noProof/>
        </w:rPr>
        <w:t>4</w:t>
      </w:r>
      <w:r w:rsidRPr="00AD2CF5">
        <w:fldChar w:fldCharType="end"/>
      </w:r>
      <w:r w:rsidRPr="00AD2CF5">
        <w:t>.</w:t>
      </w:r>
      <w:r w:rsidR="00C428B8">
        <w:fldChar w:fldCharType="begin"/>
      </w:r>
      <w:r w:rsidR="00C428B8">
        <w:instrText xml:space="preserve"> SEQ numchaplev2 \n \* MERGEFORMAT </w:instrText>
      </w:r>
      <w:r w:rsidR="00C428B8">
        <w:fldChar w:fldCharType="separate"/>
      </w:r>
      <w:r>
        <w:rPr>
          <w:noProof/>
        </w:rPr>
        <w:t>1</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Inleiding</w:t>
      </w:r>
      <w:bookmarkEnd w:id="533"/>
      <w:bookmarkEnd w:id="534"/>
      <w:bookmarkEnd w:id="535"/>
      <w:bookmarkEnd w:id="536"/>
      <w:bookmarkEnd w:id="537"/>
      <w:bookmarkEnd w:id="538"/>
    </w:p>
    <w:p w:rsidR="00F43C9B" w:rsidRPr="00AD2CF5" w:rsidRDefault="00F43C9B" w:rsidP="00F43C9B">
      <w:pPr>
        <w:keepNext/>
        <w:keepLines/>
        <w:shd w:val="clear" w:color="auto" w:fill="D9D9D9" w:themeFill="background1" w:themeFillShade="D9"/>
        <w:tabs>
          <w:tab w:val="left" w:pos="-108"/>
          <w:tab w:val="left" w:pos="743"/>
        </w:tabs>
        <w:suppressAutoHyphens/>
        <w:spacing w:line="240" w:lineRule="auto"/>
        <w:rPr>
          <w:b/>
        </w:rPr>
      </w:pPr>
      <w:r w:rsidRPr="00AD2CF5">
        <w:t>In hoofdstuk 3 is beschreven hoe de hinderrelevante beoordelingsmaat</w:t>
      </w:r>
      <w:r w:rsidRPr="00AD2CF5">
        <w:fldChar w:fldCharType="begin"/>
      </w:r>
      <w:r w:rsidRPr="00AD2CF5">
        <w:instrText xml:space="preserve"> XE "beoordelingsmaat" </w:instrText>
      </w:r>
      <w:r w:rsidRPr="00AD2CF5">
        <w:fldChar w:fldCharType="end"/>
      </w:r>
      <w:r w:rsidRPr="00AD2CF5">
        <w:t xml:space="preserve"> voor schiet</w:t>
      </w:r>
      <w:r w:rsidRPr="00AD2CF5">
        <w:softHyphen/>
        <w:t xml:space="preserve">geluid, de geluidbelasting </w:t>
      </w:r>
      <w:r w:rsidRPr="00AD2CF5">
        <w:rPr>
          <w:i/>
        </w:rPr>
        <w:t>B</w:t>
      </w:r>
      <w:r w:rsidRPr="00AD2CF5">
        <w:rPr>
          <w:i/>
          <w:vertAlign w:val="subscript"/>
        </w:rPr>
        <w:t>s</w:t>
      </w:r>
      <w:r w:rsidRPr="00AD2CF5">
        <w:t>, berekend wordt op basis van de A</w:t>
      </w:r>
      <w:r w:rsidRPr="00AD2CF5">
        <w:noBreakHyphen/>
        <w:t xml:space="preserve"> en C</w:t>
      </w:r>
      <w:r w:rsidRPr="00AD2CF5">
        <w:noBreakHyphen/>
        <w:t>gewogen geluid</w:t>
      </w:r>
      <w:r w:rsidRPr="00AD2CF5">
        <w:softHyphen/>
        <w:t>expositieniveaus van alle relevante schietgeluidbronnen, voor een verzame</w:t>
      </w:r>
      <w:r w:rsidRPr="00AD2CF5">
        <w:softHyphen/>
        <w:t>ling van 27 meteorologische klassen.</w:t>
      </w:r>
      <w:r w:rsidRPr="00AD2CF5">
        <w:fldChar w:fldCharType="begin"/>
      </w:r>
      <w:r w:rsidRPr="00AD2CF5">
        <w:instrText xml:space="preserve"> XE "meteorologische klasse" </w:instrText>
      </w:r>
      <w:r w:rsidRPr="00AD2CF5">
        <w:fldChar w:fldCharType="end"/>
      </w:r>
      <w:r w:rsidRPr="00AD2CF5">
        <w:t xml:space="preserve"> De berekening van deze geluid</w:t>
      </w:r>
      <w:r w:rsidRPr="00AD2CF5">
        <w:softHyphen/>
        <w:t>expositie</w:t>
      </w:r>
      <w:r w:rsidRPr="00AD2CF5">
        <w:softHyphen/>
        <w:t>niveaus wordt in dit hoofdstuk beschreven.</w:t>
      </w:r>
    </w:p>
    <w:bookmarkStart w:id="539" w:name="_Toc428341396"/>
    <w:bookmarkStart w:id="540" w:name="_Toc428595733"/>
    <w:bookmarkStart w:id="541" w:name="_Toc428596308"/>
    <w:bookmarkStart w:id="542" w:name="_Toc431793358"/>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543" w:name="_Toc413945828"/>
      <w:bookmarkStart w:id="544" w:name="_Toc431375841"/>
      <w:r>
        <w:rPr>
          <w:noProof/>
        </w:rPr>
        <w:t>4</w:t>
      </w:r>
      <w:r w:rsidRPr="00AD2CF5">
        <w:fldChar w:fldCharType="end"/>
      </w:r>
      <w:r w:rsidRPr="00AD2CF5">
        <w:t>.</w:t>
      </w:r>
      <w:r w:rsidR="00C428B8">
        <w:fldChar w:fldCharType="begin"/>
      </w:r>
      <w:r w:rsidR="00C428B8">
        <w:instrText xml:space="preserve"> SEQ numchaplev2 \n \* MERGEFORMAT </w:instrText>
      </w:r>
      <w:r w:rsidR="00C428B8">
        <w:fldChar w:fldCharType="separate"/>
      </w:r>
      <w:r>
        <w:rPr>
          <w:noProof/>
        </w:rPr>
        <w:t>2</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Toepassingsbereik</w:t>
      </w:r>
      <w:bookmarkEnd w:id="539"/>
      <w:bookmarkEnd w:id="540"/>
      <w:bookmarkEnd w:id="541"/>
      <w:bookmarkEnd w:id="542"/>
      <w:bookmarkEnd w:id="543"/>
      <w:bookmarkEnd w:id="544"/>
    </w:p>
    <w:p w:rsidR="00F43C9B" w:rsidRPr="00AD2CF5" w:rsidRDefault="00F43C9B" w:rsidP="00F43C9B">
      <w:pPr>
        <w:keepNext/>
        <w:keepLines/>
        <w:shd w:val="clear" w:color="auto" w:fill="D9D9D9" w:themeFill="background1" w:themeFillShade="D9"/>
        <w:tabs>
          <w:tab w:val="left" w:pos="-108"/>
          <w:tab w:val="left" w:pos="743"/>
        </w:tabs>
        <w:suppressAutoHyphens/>
        <w:spacing w:line="240" w:lineRule="auto"/>
      </w:pPr>
      <w:r w:rsidRPr="00AD2CF5">
        <w:t>Aan het toepassingsbereik</w:t>
      </w:r>
      <w:r w:rsidRPr="00AD2CF5">
        <w:fldChar w:fldCharType="begin"/>
      </w:r>
      <w:r w:rsidRPr="00AD2CF5">
        <w:instrText xml:space="preserve"> XE "toepassingsbereik" </w:instrText>
      </w:r>
      <w:r w:rsidRPr="00AD2CF5">
        <w:fldChar w:fldCharType="end"/>
      </w:r>
      <w:r w:rsidRPr="00AD2CF5">
        <w:t xml:space="preserve"> van de methode zijn grenzen gesteld, die een gevolg zijn van keuzes, die bij de ontwikkeling van deze methode gemaakt zijn.</w:t>
      </w:r>
    </w:p>
    <w:p w:rsidR="00F43C9B" w:rsidRPr="00AD2CF5" w:rsidRDefault="00F43C9B" w:rsidP="00F43C9B">
      <w:pPr>
        <w:shd w:val="clear" w:color="auto" w:fill="D9D9D9" w:themeFill="background1" w:themeFillShade="D9"/>
        <w:tabs>
          <w:tab w:val="left" w:pos="-108"/>
          <w:tab w:val="left" w:pos="743"/>
        </w:tabs>
        <w:suppressAutoHyphens/>
        <w:spacing w:line="240" w:lineRule="auto"/>
      </w:pPr>
      <w:r w:rsidRPr="00AD2CF5">
        <w:t>Ten aanzien van de afstand tussen bron en rekenpunt is een bovengrens bepaald op 15 km. Voor grotere afstanden is de geluidbelasting van de in Neder</w:t>
      </w:r>
      <w:r w:rsidRPr="00AD2CF5">
        <w:softHyphen/>
        <w:t>land gebruikte wapen</w:t>
      </w:r>
      <w:r w:rsidRPr="00AD2CF5">
        <w:softHyphen/>
        <w:t>typen</w:t>
      </w:r>
      <w:r w:rsidRPr="00AD2CF5">
        <w:fldChar w:fldCharType="begin"/>
      </w:r>
      <w:r w:rsidRPr="00AD2CF5">
        <w:instrText xml:space="preserve"> XE "wapentypen" </w:instrText>
      </w:r>
      <w:r w:rsidRPr="00AD2CF5">
        <w:fldChar w:fldCharType="end"/>
      </w:r>
      <w:r w:rsidRPr="00AD2CF5">
        <w:t xml:space="preserve"> dermate laag dat berekening niet meer relevant wordt geacht. De gege</w:t>
      </w:r>
      <w:r w:rsidRPr="00AD2CF5">
        <w:softHyphen/>
        <w:t>vens</w:t>
      </w:r>
      <w:r w:rsidRPr="00AD2CF5">
        <w:softHyphen/>
        <w:t>bestanden die vergezeld gaan bij deze methode zijn daarom tot maximaal deze afstand toepasbaar.</w:t>
      </w:r>
    </w:p>
    <w:p w:rsidR="00F43C9B" w:rsidRPr="00AD2CF5" w:rsidRDefault="00F43C9B" w:rsidP="00F43C9B">
      <w:pPr>
        <w:shd w:val="clear" w:color="auto" w:fill="D9D9D9" w:themeFill="background1" w:themeFillShade="D9"/>
        <w:tabs>
          <w:tab w:val="left" w:pos="-108"/>
          <w:tab w:val="left" w:pos="743"/>
        </w:tabs>
        <w:suppressAutoHyphens/>
        <w:spacing w:line="240" w:lineRule="auto"/>
      </w:pPr>
      <w:r w:rsidRPr="00AD2CF5">
        <w:t>De ondergrens in afstand wordt door verschillende factoren bepaald. Uitgangspunt is dat het model toegepast wordt voor de berekening van de geluidbelasting rond schietinrich</w:t>
      </w:r>
      <w:r w:rsidRPr="00AD2CF5">
        <w:softHyphen/>
        <w:t>tingen. Bij de ontwik</w:t>
      </w:r>
      <w:r w:rsidRPr="00AD2CF5">
        <w:softHyphen/>
        <w:t>keling van het model is er daarom vanuit gegaan dat op afstanden korter dan 50 m van het wapen geen geluidniveaus berekend hoeven te worden. Daarnaast wordt de ondergrens bepaald door de eis dat de reken</w:t>
      </w:r>
      <w:r w:rsidRPr="00AD2CF5">
        <w:softHyphen/>
        <w:t>methode alleen kan worden toegepast voor het gebied waar de geluidover</w:t>
      </w:r>
      <w:r w:rsidRPr="00AD2CF5">
        <w:softHyphen/>
        <w:t>dracht</w:t>
      </w:r>
      <w:r w:rsidRPr="00AD2CF5">
        <w:fldChar w:fldCharType="begin"/>
      </w:r>
      <w:r w:rsidRPr="00AD2CF5">
        <w:instrText xml:space="preserve"> XE "geluidoverdracht" </w:instrText>
      </w:r>
      <w:r w:rsidRPr="00AD2CF5">
        <w:fldChar w:fldCharType="end"/>
      </w:r>
      <w:r w:rsidRPr="00AD2CF5">
        <w:t xml:space="preserve"> door een lineair model kan worden beschreven. Voor zware wapens ligt de ondergrens hierdoor verder weg dan voor lichte wapens. Tot slot wordt de onder</w:t>
      </w:r>
      <w:r w:rsidRPr="00AD2CF5">
        <w:softHyphen/>
        <w:t>grens ook bepaald door de afmetingen van een bron. Denk hierbij bijvoor</w:t>
      </w:r>
      <w:r w:rsidRPr="00AD2CF5">
        <w:softHyphen/>
        <w:t>beeld aan een schermenbaan</w:t>
      </w:r>
      <w:r w:rsidRPr="00AD2CF5">
        <w:fldChar w:fldCharType="begin"/>
      </w:r>
      <w:r w:rsidRPr="00AD2CF5">
        <w:instrText xml:space="preserve"> XE "schietinrichtingen:schermenbaan" </w:instrText>
      </w:r>
      <w:r w:rsidRPr="00AD2CF5">
        <w:fldChar w:fldCharType="end"/>
      </w:r>
      <w:r w:rsidRPr="00AD2CF5">
        <w:t xml:space="preserve"> of een deel van een oefen</w:t>
      </w:r>
      <w:r w:rsidRPr="00AD2CF5">
        <w:softHyphen/>
        <w:t>gebied. In deze methode worden deze complexe bronnen door één of meer bronnen gemodelleerd. Deze beschrijving is echter pas op enige afstand geldig.</w:t>
      </w:r>
    </w:p>
    <w:p w:rsidR="00F43C9B" w:rsidRPr="00AD2CF5" w:rsidRDefault="00F43C9B" w:rsidP="00F43C9B">
      <w:pPr>
        <w:shd w:val="clear" w:color="auto" w:fill="D9D9D9" w:themeFill="background1" w:themeFillShade="D9"/>
        <w:tabs>
          <w:tab w:val="left" w:pos="-108"/>
          <w:tab w:val="left" w:pos="743"/>
        </w:tabs>
        <w:suppressAutoHyphens/>
        <w:spacing w:line="240" w:lineRule="auto"/>
      </w:pPr>
      <w:r w:rsidRPr="00AD2CF5">
        <w:t>Ook aan het frequentiebereik zijn grenzen gesteld. De rekenmethode is alleen toe</w:t>
      </w:r>
      <w:r w:rsidRPr="00AD2CF5">
        <w:softHyphen/>
        <w:t>pasbaar als de relevante geluidenergie beperkt is tot het frequentiegebied lopend van de 16 Hz tot de 4000 Hz octaafband.</w:t>
      </w:r>
      <w:r w:rsidRPr="00AD2CF5">
        <w:fldChar w:fldCharType="begin"/>
      </w:r>
      <w:r w:rsidRPr="00AD2CF5">
        <w:instrText xml:space="preserve"> XE "octaafband" </w:instrText>
      </w:r>
      <w:r w:rsidRPr="00AD2CF5">
        <w:fldChar w:fldCharType="end"/>
      </w:r>
      <w:r w:rsidRPr="00AD2CF5">
        <w:t xml:space="preserve"> Voor de in Nederland toegepaste wapen</w:t>
      </w:r>
      <w:r w:rsidRPr="00AD2CF5">
        <w:softHyphen/>
        <w:t>typen</w:t>
      </w:r>
      <w:r w:rsidRPr="00AD2CF5">
        <w:fldChar w:fldCharType="begin"/>
      </w:r>
      <w:r w:rsidRPr="00AD2CF5">
        <w:instrText xml:space="preserve"> XE "wapentypen" </w:instrText>
      </w:r>
      <w:r w:rsidRPr="00AD2CF5">
        <w:fldChar w:fldCharType="end"/>
      </w:r>
      <w:r w:rsidRPr="00AD2CF5">
        <w:t xml:space="preserve"> kan hiervan worden uitgegaan. Voor exceptionele gevallen (bijvoorbeeld zware vliegtuigbommen) kunnen nog lagere frequenties een belangrijke rol spelen. De methode is dan niet zondermeer toepasbaar.</w:t>
      </w:r>
    </w:p>
    <w:p w:rsidR="00F43C9B" w:rsidRPr="00AD2CF5" w:rsidRDefault="00F43C9B" w:rsidP="00F43C9B">
      <w:pPr>
        <w:shd w:val="clear" w:color="auto" w:fill="D9D9D9" w:themeFill="background1" w:themeFillShade="D9"/>
        <w:tabs>
          <w:tab w:val="left" w:pos="-108"/>
          <w:tab w:val="left" w:pos="743"/>
        </w:tabs>
        <w:suppressAutoHyphens/>
        <w:spacing w:line="240" w:lineRule="auto"/>
      </w:pPr>
      <w:bookmarkStart w:id="545" w:name="_Toc428341397"/>
      <w:bookmarkStart w:id="546" w:name="_Toc428595734"/>
      <w:bookmarkStart w:id="547" w:name="_Toc428596309"/>
      <w:bookmarkStart w:id="548" w:name="_Toc431793359"/>
      <w:r w:rsidRPr="00AD2CF5">
        <w:t>Een uitgangspunt van de rekenmethode is ook dat de toestand van de atmosfeer</w:t>
      </w:r>
      <w:r w:rsidRPr="00AD2CF5">
        <w:fldChar w:fldCharType="begin"/>
      </w:r>
      <w:r w:rsidRPr="00AD2CF5">
        <w:instrText xml:space="preserve"> XE "atmosfeer" </w:instrText>
      </w:r>
      <w:r w:rsidRPr="00AD2CF5">
        <w:fldChar w:fldCharType="end"/>
      </w:r>
      <w:r w:rsidRPr="00AD2CF5">
        <w:t xml:space="preserve"> in het gebied tussen bron en rekenpunt niet afhangt van de positie. In de meeste situa</w:t>
      </w:r>
      <w:r w:rsidRPr="00AD2CF5">
        <w:softHyphen/>
        <w:t>ties in de praktijk wordt hier in goede benadering aan voldaan, maar er zijn uit</w:t>
      </w:r>
      <w:r w:rsidRPr="00AD2CF5">
        <w:softHyphen/>
        <w:t>zon</w:t>
      </w:r>
      <w:r w:rsidRPr="00AD2CF5">
        <w:softHyphen/>
        <w:t>de</w:t>
      </w:r>
      <w:r w:rsidRPr="00AD2CF5">
        <w:softHyphen/>
        <w:t>ringen. Zo kan bijvoorbeeld de meteorologische situatie in het Wadden</w:t>
      </w:r>
      <w:r w:rsidRPr="00AD2CF5">
        <w:softHyphen/>
        <w:t>zee</w:t>
      </w:r>
      <w:r w:rsidRPr="00AD2CF5">
        <w:softHyphen/>
        <w:t>gebied en kustgebieden zeer complex zijn. Door temperatuurverschillen tussen land en water ontstaan zogenaamde zeewindverschijnselen. De windrichting</w:t>
      </w:r>
      <w:r w:rsidRPr="00AD2CF5">
        <w:fldChar w:fldCharType="begin"/>
      </w:r>
      <w:r w:rsidRPr="00AD2CF5">
        <w:instrText xml:space="preserve"> XE "windrichting" </w:instrText>
      </w:r>
      <w:r w:rsidRPr="00AD2CF5">
        <w:fldChar w:fldCharType="end"/>
      </w:r>
      <w:r w:rsidRPr="00AD2CF5">
        <w:t xml:space="preserve"> en </w:t>
      </w:r>
      <w:r w:rsidRPr="00AD2CF5">
        <w:noBreakHyphen/>
        <w:t>snelheid en ook de temperatuur</w:t>
      </w:r>
      <w:r w:rsidRPr="00AD2CF5">
        <w:fldChar w:fldCharType="begin"/>
      </w:r>
      <w:r w:rsidRPr="00AD2CF5">
        <w:instrText xml:space="preserve"> XE "temperatuur" </w:instrText>
      </w:r>
      <w:r w:rsidRPr="00AD2CF5">
        <w:fldChar w:fldCharType="end"/>
      </w:r>
      <w:r w:rsidRPr="00AD2CF5">
        <w:t xml:space="preserve"> zullen dan van plaats tot plaats anders zijn. De methode is in deze bijzondere situaties niet zondermeer toepasbaar.</w:t>
      </w:r>
    </w:p>
    <w:p w:rsidR="00F43C9B" w:rsidRPr="00AD2CF5" w:rsidRDefault="00F43C9B" w:rsidP="00F43C9B">
      <w:pPr>
        <w:shd w:val="clear" w:color="auto" w:fill="D9D9D9" w:themeFill="background1" w:themeFillShade="D9"/>
        <w:tabs>
          <w:tab w:val="left" w:pos="-108"/>
          <w:tab w:val="left" w:pos="743"/>
        </w:tabs>
        <w:suppressAutoHyphens/>
        <w:spacing w:line="240" w:lineRule="auto"/>
      </w:pPr>
      <w:r w:rsidRPr="00AD2CF5">
        <w:t>In theorie zou men zich een schietoefening kunnen voorstellen waarbij ongebruike</w:t>
      </w:r>
      <w:r w:rsidRPr="00AD2CF5">
        <w:softHyphen/>
        <w:t>lijk hoge geluidniveaus optreden. Het is echter niet nodig om grenswaarden aan het geluidexpositieniveau te stellen, omdat bij toepassing van de beoordelings</w:t>
      </w:r>
      <w:r w:rsidRPr="00AD2CF5">
        <w:softHyphen/>
        <w:t>methode onmiddellijk blijkt dat zo’n oefening ook een hoge geluidbelasting geeft.</w:t>
      </w:r>
    </w:p>
    <w:p w:rsidR="00F43C9B" w:rsidRPr="00AD2CF5" w:rsidRDefault="00C428B8" w:rsidP="00F43C9B">
      <w:pPr>
        <w:pStyle w:val="Kop2"/>
        <w:shd w:val="clear" w:color="auto" w:fill="D9D9D9" w:themeFill="background1" w:themeFillShade="D9"/>
        <w:spacing w:line="240" w:lineRule="auto"/>
      </w:pPr>
      <w:r>
        <w:fldChar w:fldCharType="begin"/>
      </w:r>
      <w:r>
        <w:instrText xml:space="preserve"> SEQ numchaplev1 \c </w:instrText>
      </w:r>
      <w:r>
        <w:instrText xml:space="preserve">\* MERGEFORMAT </w:instrText>
      </w:r>
      <w:r>
        <w:fldChar w:fldCharType="separate"/>
      </w:r>
      <w:bookmarkStart w:id="549" w:name="_Toc413945829"/>
      <w:bookmarkStart w:id="550" w:name="_Toc431375842"/>
      <w:r w:rsidR="00F43C9B">
        <w:rPr>
          <w:noProof/>
        </w:rPr>
        <w:t>4</w:t>
      </w:r>
      <w:r>
        <w:rPr>
          <w:noProof/>
        </w:rPr>
        <w:fldChar w:fldCharType="end"/>
      </w:r>
      <w:r w:rsidR="00F43C9B" w:rsidRPr="00AD2CF5">
        <w:t>.</w:t>
      </w:r>
      <w:r>
        <w:fldChar w:fldCharType="begin"/>
      </w:r>
      <w:r>
        <w:instrText xml:space="preserve"> SEQ numchaplev2 \n \* MERGEFORMAT </w:instrText>
      </w:r>
      <w:r>
        <w:fldChar w:fldCharType="separate"/>
      </w:r>
      <w:r w:rsidR="00F43C9B">
        <w:rPr>
          <w:noProof/>
        </w:rPr>
        <w:t>3</w:t>
      </w:r>
      <w:r>
        <w:rPr>
          <w:noProof/>
        </w:rPr>
        <w:fldChar w:fldCharType="end"/>
      </w:r>
      <w:r w:rsidR="00F43C9B" w:rsidRPr="00AD2CF5">
        <w:fldChar w:fldCharType="begin"/>
      </w:r>
      <w:r w:rsidR="00F43C9B" w:rsidRPr="00AD2CF5">
        <w:instrText xml:space="preserve"> SEQ numchaplev3 \r0\h \* MERGEFORMAT </w:instrText>
      </w:r>
      <w:r w:rsidR="00F43C9B" w:rsidRPr="00AD2CF5">
        <w:fldChar w:fldCharType="end"/>
      </w:r>
      <w:r w:rsidR="00F43C9B" w:rsidRPr="00AD2CF5">
        <w:tab/>
        <w:t>Principe van de rekenmethode</w:t>
      </w:r>
      <w:bookmarkEnd w:id="545"/>
      <w:bookmarkEnd w:id="546"/>
      <w:bookmarkEnd w:id="547"/>
      <w:bookmarkEnd w:id="548"/>
      <w:bookmarkEnd w:id="549"/>
      <w:bookmarkEnd w:id="550"/>
    </w:p>
    <w:p w:rsidR="00F43C9B" w:rsidRPr="00AD2CF5" w:rsidRDefault="00F43C9B" w:rsidP="00F43C9B">
      <w:pPr>
        <w:keepNext/>
        <w:keepLines/>
        <w:shd w:val="clear" w:color="auto" w:fill="D9D9D9" w:themeFill="background1" w:themeFillShade="D9"/>
        <w:tabs>
          <w:tab w:val="left" w:pos="-108"/>
          <w:tab w:val="left" w:pos="743"/>
        </w:tabs>
        <w:suppressAutoHyphens/>
        <w:spacing w:line="240" w:lineRule="auto"/>
      </w:pPr>
      <w:r w:rsidRPr="00AD2CF5">
        <w:t>Uitgangspunt van de methode is de relatie:</w:t>
      </w:r>
    </w:p>
    <w:p w:rsidR="00F43C9B" w:rsidRPr="00AD2CF5" w:rsidRDefault="00F43C9B" w:rsidP="00F43C9B">
      <w:pPr>
        <w:keepNext/>
        <w:keepLines/>
        <w:shd w:val="clear" w:color="auto" w:fill="D9D9D9" w:themeFill="background1" w:themeFillShade="D9"/>
        <w:tabs>
          <w:tab w:val="left" w:pos="-108"/>
          <w:tab w:val="left" w:pos="743"/>
        </w:tabs>
        <w:suppressAutoHyphens/>
        <w:spacing w:line="240" w:lineRule="auto"/>
      </w:pP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30"/>
        </w:rPr>
        <w:object w:dxaOrig="5420" w:dyaOrig="720">
          <v:shape id="_x0000_i1037" type="#_x0000_t75" style="width:270.75pt;height:37.5pt" o:ole="" fillcolor="window">
            <v:imagedata r:id="rId101" o:title=""/>
          </v:shape>
          <o:OLEObject Type="Embed" ProgID="Equation.3" ShapeID="_x0000_i1037" DrawAspect="Content" ObjectID="_1511255375" r:id="rId102"/>
        </w:object>
      </w:r>
      <w:r w:rsidRPr="00AD2CF5">
        <w:rPr>
          <w:lang w:val="nl-NL"/>
        </w:rPr>
        <w:tab/>
        <w:t xml:space="preserve">(4. </w:t>
      </w:r>
      <w:r w:rsidRPr="00AD2CF5">
        <w:fldChar w:fldCharType="begin"/>
      </w:r>
      <w:r w:rsidRPr="00AD2CF5">
        <w:rPr>
          <w:lang w:val="nl-NL"/>
        </w:rPr>
        <w:instrText xml:space="preserve"> SEQ (4. \* ARABIC </w:instrText>
      </w:r>
      <w:r w:rsidRPr="00AD2CF5">
        <w:fldChar w:fldCharType="separate"/>
      </w:r>
      <w:r>
        <w:rPr>
          <w:noProof/>
          <w:lang w:val="nl-NL"/>
        </w:rPr>
        <w:t>1</w:t>
      </w:r>
      <w:r w:rsidRPr="00AD2CF5">
        <w:rPr>
          <w:noProof/>
        </w:rPr>
        <w:fldChar w:fldCharType="end"/>
      </w:r>
      <w:r w:rsidRPr="00AD2CF5">
        <w:rPr>
          <w:noProof/>
          <w:lang w:val="nl-NL"/>
        </w:rPr>
        <w:t>)</w:t>
      </w:r>
    </w:p>
    <w:p w:rsidR="00F43C9B" w:rsidRPr="00AD2CF5" w:rsidRDefault="00F43C9B" w:rsidP="00F43C9B">
      <w:pPr>
        <w:shd w:val="clear" w:color="auto" w:fill="D9D9D9" w:themeFill="background1" w:themeFillShade="D9"/>
        <w:tabs>
          <w:tab w:val="left" w:pos="-108"/>
          <w:tab w:val="left" w:pos="743"/>
          <w:tab w:val="left" w:pos="2557"/>
          <w:tab w:val="left" w:pos="2835"/>
          <w:tab w:val="left" w:pos="4087"/>
        </w:tabs>
        <w:suppressAutoHyphens/>
        <w:spacing w:line="240" w:lineRule="auto"/>
      </w:pPr>
    </w:p>
    <w:p w:rsidR="00F43C9B" w:rsidRPr="00AD2CF5" w:rsidRDefault="00F43C9B" w:rsidP="00F43C9B">
      <w:pPr>
        <w:shd w:val="clear" w:color="auto" w:fill="D9D9D9" w:themeFill="background1" w:themeFillShade="D9"/>
      </w:pPr>
      <w:r w:rsidRPr="00AD2CF5">
        <w:t xml:space="preserve">Per rekenpunt wordt per bron (index </w:t>
      </w:r>
      <w:r w:rsidRPr="00AD2CF5">
        <w:rPr>
          <w:i/>
        </w:rPr>
        <w:t>b</w:t>
      </w:r>
      <w:r w:rsidRPr="00AD2CF5">
        <w:t>), per octaafband</w:t>
      </w:r>
      <w:r w:rsidRPr="00AD2CF5">
        <w:fldChar w:fldCharType="begin"/>
      </w:r>
      <w:r w:rsidRPr="00AD2CF5">
        <w:instrText xml:space="preserve"> XE "octaafband" </w:instrText>
      </w:r>
      <w:r w:rsidRPr="00AD2CF5">
        <w:fldChar w:fldCharType="end"/>
      </w:r>
      <w:r w:rsidRPr="00AD2CF5">
        <w:t xml:space="preserve"> (</w:t>
      </w:r>
      <w:r w:rsidRPr="00AD2CF5">
        <w:rPr>
          <w:i/>
        </w:rPr>
        <w:t>f</w:t>
      </w:r>
      <w:r w:rsidRPr="00AD2CF5">
        <w:rPr>
          <w:i/>
          <w:vertAlign w:val="subscript"/>
        </w:rPr>
        <w:t>k</w:t>
      </w:r>
      <w:r w:rsidRPr="00AD2CF5">
        <w:t>) en voor een ver</w:t>
      </w:r>
      <w:r w:rsidRPr="00AD2CF5">
        <w:softHyphen/>
        <w:t>za</w:t>
      </w:r>
      <w:r w:rsidRPr="00AD2CF5">
        <w:softHyphen/>
        <w:t>me</w:t>
      </w:r>
      <w:r w:rsidRPr="00AD2CF5">
        <w:softHyphen/>
        <w:t>ling van 27 meteorologische klassen</w:t>
      </w:r>
      <w:r w:rsidRPr="00AD2CF5">
        <w:fldChar w:fldCharType="begin"/>
      </w:r>
      <w:r w:rsidRPr="00AD2CF5">
        <w:instrText xml:space="preserve"> XE "meteorologische klasse" </w:instrText>
      </w:r>
      <w:r w:rsidRPr="00AD2CF5">
        <w:fldChar w:fldCharType="end"/>
      </w:r>
      <w:r w:rsidRPr="00AD2CF5">
        <w:t xml:space="preserve"> (index </w:t>
      </w:r>
      <w:r w:rsidRPr="00AD2CF5">
        <w:rPr>
          <w:i/>
        </w:rPr>
        <w:t>m</w:t>
      </w:r>
      <w:r w:rsidRPr="00AD2CF5">
        <w:t>) de geluid</w:t>
      </w:r>
      <w:r w:rsidRPr="00AD2CF5">
        <w:softHyphen/>
        <w:t>im</w:t>
      </w:r>
      <w:r w:rsidRPr="00AD2CF5">
        <w:softHyphen/>
        <w:t>mis</w:t>
      </w:r>
      <w:r w:rsidRPr="00AD2CF5">
        <w:softHyphen/>
        <w:t>sie</w:t>
      </w:r>
      <w:r w:rsidRPr="00AD2CF5">
        <w:fldChar w:fldCharType="begin"/>
      </w:r>
      <w:r w:rsidRPr="00AD2CF5">
        <w:instrText xml:space="preserve"> XE "geluidimmissie" </w:instrText>
      </w:r>
      <w:r w:rsidRPr="00AD2CF5">
        <w:fldChar w:fldCharType="end"/>
      </w:r>
      <w:r w:rsidRPr="00AD2CF5">
        <w:t xml:space="preserve"> volgens deze relatie bepaald. Zowel het geluidimmissieniveau als het bron</w:t>
      </w:r>
      <w:r w:rsidRPr="00AD2CF5">
        <w:softHyphen/>
        <w:t>niveau</w:t>
      </w:r>
      <w:r w:rsidRPr="00AD2CF5">
        <w:fldChar w:fldCharType="begin"/>
      </w:r>
      <w:r w:rsidRPr="00AD2CF5">
        <w:instrText xml:space="preserve"> XE "bronniveau" </w:instrText>
      </w:r>
      <w:r w:rsidRPr="00AD2CF5">
        <w:fldChar w:fldCharType="end"/>
      </w:r>
      <w:r w:rsidRPr="00AD2CF5">
        <w:t xml:space="preserve"> worden hierbij als geluid</w:t>
      </w:r>
      <w:r w:rsidRPr="00AD2CF5">
        <w:softHyphen/>
        <w:t>expositieniveau</w:t>
      </w:r>
      <w:r w:rsidRPr="00AD2CF5">
        <w:fldChar w:fldCharType="begin"/>
      </w:r>
      <w:r w:rsidRPr="00AD2CF5">
        <w:instrText xml:space="preserve"> XE "geluidexpositieniveau" </w:instrText>
      </w:r>
      <w:r w:rsidRPr="00AD2CF5">
        <w:fldChar w:fldCharType="end"/>
      </w:r>
      <w:r w:rsidRPr="00AD2CF5">
        <w:t xml:space="preserve"> uitge</w:t>
      </w:r>
      <w:r w:rsidRPr="00AD2CF5">
        <w:softHyphen/>
        <w:t>drukt. Uit het octaafband</w:t>
      </w:r>
      <w:r w:rsidRPr="00AD2CF5">
        <w:softHyphen/>
        <w:t>spec</w:t>
      </w:r>
      <w:r w:rsidRPr="00AD2CF5">
        <w:softHyphen/>
        <w:t xml:space="preserve">trum </w:t>
      </w:r>
      <w:r w:rsidRPr="00AD2CF5">
        <w:rPr>
          <w:i/>
        </w:rPr>
        <w:t>L</w:t>
      </w:r>
      <w:r w:rsidRPr="00AD2CF5">
        <w:rPr>
          <w:i/>
          <w:vertAlign w:val="subscript"/>
        </w:rPr>
        <w:t>E</w:t>
      </w:r>
      <w:r w:rsidRPr="00AD2CF5">
        <w:t>(</w:t>
      </w:r>
      <w:r w:rsidRPr="00AD2CF5">
        <w:rPr>
          <w:i/>
        </w:rPr>
        <w:t>b,m,f</w:t>
      </w:r>
      <w:r w:rsidRPr="00AD2CF5">
        <w:rPr>
          <w:i/>
          <w:vertAlign w:val="subscript"/>
        </w:rPr>
        <w:t>k</w:t>
      </w:r>
      <w:r w:rsidRPr="00AD2CF5">
        <w:t>) worden het A</w:t>
      </w:r>
      <w:r w:rsidRPr="00AD2CF5">
        <w:noBreakHyphen/>
        <w:t xml:space="preserve">gewogen immissieniveau </w:t>
      </w:r>
      <w:r w:rsidRPr="00AD2CF5">
        <w:rPr>
          <w:i/>
        </w:rPr>
        <w:t>L</w:t>
      </w:r>
      <w:r w:rsidRPr="00AD2CF5">
        <w:rPr>
          <w:i/>
          <w:vertAlign w:val="subscript"/>
        </w:rPr>
        <w:t>AE</w:t>
      </w:r>
      <w:r w:rsidRPr="00AD2CF5">
        <w:t>(</w:t>
      </w:r>
      <w:r w:rsidRPr="00AD2CF5">
        <w:rPr>
          <w:i/>
        </w:rPr>
        <w:t>b,m</w:t>
      </w:r>
      <w:r w:rsidRPr="00AD2CF5">
        <w:t>) en het C</w:t>
      </w:r>
      <w:r w:rsidRPr="00AD2CF5">
        <w:noBreakHyphen/>
        <w:t>gewogen immissie</w:t>
      </w:r>
      <w:r w:rsidRPr="00AD2CF5">
        <w:softHyphen/>
        <w:t xml:space="preserve">niveau </w:t>
      </w:r>
      <w:r w:rsidRPr="00AD2CF5">
        <w:rPr>
          <w:i/>
        </w:rPr>
        <w:t>L</w:t>
      </w:r>
      <w:r w:rsidRPr="00AD2CF5">
        <w:rPr>
          <w:i/>
          <w:vertAlign w:val="subscript"/>
        </w:rPr>
        <w:t>CE</w:t>
      </w:r>
      <w:r w:rsidRPr="00AD2CF5">
        <w:t>(</w:t>
      </w:r>
      <w:r w:rsidRPr="00AD2CF5">
        <w:rPr>
          <w:i/>
        </w:rPr>
        <w:t>b,m</w:t>
      </w:r>
      <w:r w:rsidRPr="00AD2CF5">
        <w:t>) berekend. Deze niveaus vormen de basis voor de berekening van de hinderrelevante beoordelingsmaat</w:t>
      </w:r>
      <w:r w:rsidRPr="00AD2CF5">
        <w:fldChar w:fldCharType="begin"/>
      </w:r>
      <w:r w:rsidRPr="00AD2CF5">
        <w:instrText xml:space="preserve"> XE "beoordelingsmaat" </w:instrText>
      </w:r>
      <w:r w:rsidRPr="00AD2CF5">
        <w:fldChar w:fldCharType="end"/>
      </w:r>
      <w:r w:rsidRPr="00AD2CF5">
        <w:t xml:space="preserve"> voor schietgeluid, de geluidbelasting </w:t>
      </w:r>
      <w:r w:rsidRPr="00AD2CF5">
        <w:rPr>
          <w:i/>
        </w:rPr>
        <w:t>B</w:t>
      </w:r>
      <w:r w:rsidRPr="00AD2CF5">
        <w:rPr>
          <w:i/>
          <w:vertAlign w:val="subscript"/>
        </w:rPr>
        <w:t>s</w:t>
      </w:r>
      <w:r w:rsidRPr="00AD2CF5">
        <w:t>, zoals beschreven in hoofdstuk 3.</w:t>
      </w:r>
    </w:p>
    <w:p w:rsidR="00F43C9B" w:rsidRPr="00AD2CF5" w:rsidRDefault="00F43C9B" w:rsidP="00F43C9B">
      <w:pPr>
        <w:shd w:val="clear" w:color="auto" w:fill="D9D9D9" w:themeFill="background1" w:themeFillShade="D9"/>
      </w:pPr>
      <w:r w:rsidRPr="00AD2CF5">
        <w:t>De dempingstermen die in het model worden gebruikt zijn:</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14"/>
        </w:rPr>
        <w:object w:dxaOrig="4260" w:dyaOrig="400">
          <v:shape id="_x0000_i1038" type="#_x0000_t75" style="width:211.5pt;height:21pt" o:ole="" fillcolor="window">
            <v:imagedata r:id="rId103" o:title=""/>
          </v:shape>
          <o:OLEObject Type="Embed" ProgID="Equation.3" ShapeID="_x0000_i1038" DrawAspect="Content" ObjectID="_1511255376" r:id="rId104"/>
        </w:object>
      </w:r>
      <w:r w:rsidRPr="00AD2CF5">
        <w:rPr>
          <w:rStyle w:val="EquationCaption"/>
          <w:lang w:val="nl-NL"/>
        </w:rPr>
        <w:tab/>
      </w:r>
      <w:r w:rsidRPr="00AD2CF5">
        <w:rPr>
          <w:lang w:val="nl-NL"/>
        </w:rPr>
        <w:t xml:space="preserve">(4. </w:t>
      </w:r>
      <w:r w:rsidRPr="00AD2CF5">
        <w:fldChar w:fldCharType="begin"/>
      </w:r>
      <w:r w:rsidRPr="00AD2CF5">
        <w:rPr>
          <w:lang w:val="nl-NL"/>
        </w:rPr>
        <w:instrText xml:space="preserve"> SEQ (4. \* ARABIC </w:instrText>
      </w:r>
      <w:r w:rsidRPr="00AD2CF5">
        <w:fldChar w:fldCharType="separate"/>
      </w:r>
      <w:r>
        <w:rPr>
          <w:noProof/>
          <w:lang w:val="nl-NL"/>
        </w:rPr>
        <w:t>2</w:t>
      </w:r>
      <w:r w:rsidRPr="00AD2CF5">
        <w:rPr>
          <w:noProof/>
        </w:rPr>
        <w:fldChar w:fldCharType="end"/>
      </w:r>
      <w:r w:rsidRPr="00AD2CF5">
        <w:rPr>
          <w:lang w:val="nl-NL"/>
        </w:rPr>
        <w:t>)</w:t>
      </w:r>
    </w:p>
    <w:p w:rsidR="00F43C9B" w:rsidRPr="00AD2CF5" w:rsidRDefault="00F43C9B" w:rsidP="00F43C9B">
      <w:pPr>
        <w:shd w:val="clear" w:color="auto" w:fill="D9D9D9" w:themeFill="background1" w:themeFillShade="D9"/>
        <w:tabs>
          <w:tab w:val="left" w:pos="-108"/>
          <w:tab w:val="left" w:pos="743"/>
          <w:tab w:val="left" w:pos="2557"/>
          <w:tab w:val="left" w:pos="4087"/>
        </w:tabs>
        <w:suppressAutoHyphens/>
        <w:spacing w:line="240" w:lineRule="auto"/>
      </w:pPr>
      <w:r w:rsidRPr="00AD2CF5">
        <w:t>waarin:</w:t>
      </w:r>
    </w:p>
    <w:p w:rsidR="00F43C9B" w:rsidRPr="00AD2CF5" w:rsidRDefault="00F43C9B" w:rsidP="00F43C9B">
      <w:pPr>
        <w:shd w:val="clear" w:color="auto" w:fill="D9D9D9" w:themeFill="background1" w:themeFillShade="D9"/>
        <w:tabs>
          <w:tab w:val="left" w:pos="567"/>
          <w:tab w:val="left" w:pos="1985"/>
        </w:tabs>
        <w:suppressAutoHyphens/>
        <w:spacing w:line="240" w:lineRule="auto"/>
      </w:pPr>
      <w:r w:rsidRPr="00AD2CF5">
        <w:rPr>
          <w:i/>
        </w:rPr>
        <w:t>D</w:t>
      </w:r>
      <w:r w:rsidRPr="00AD2CF5">
        <w:rPr>
          <w:i/>
          <w:vertAlign w:val="subscript"/>
        </w:rPr>
        <w:t>geo</w:t>
      </w:r>
      <w:r w:rsidRPr="00AD2CF5">
        <w:rPr>
          <w:vertAlign w:val="subscript"/>
        </w:rPr>
        <w:tab/>
      </w:r>
      <w:r w:rsidRPr="00AD2CF5">
        <w:t>geometrische demping</w:t>
      </w:r>
      <w:r w:rsidRPr="00AD2CF5">
        <w:fldChar w:fldCharType="begin"/>
      </w:r>
      <w:r w:rsidRPr="00AD2CF5">
        <w:instrText xml:space="preserve"> XE "geometrische demping" </w:instrText>
      </w:r>
      <w:r w:rsidRPr="00AD2CF5">
        <w:fldChar w:fldCharType="end"/>
      </w:r>
      <w:r w:rsidRPr="00AD2CF5">
        <w:t>;</w:t>
      </w:r>
    </w:p>
    <w:p w:rsidR="00F43C9B" w:rsidRPr="00AD2CF5" w:rsidRDefault="00F43C9B" w:rsidP="00F43C9B">
      <w:pPr>
        <w:shd w:val="clear" w:color="auto" w:fill="D9D9D9" w:themeFill="background1" w:themeFillShade="D9"/>
        <w:tabs>
          <w:tab w:val="left" w:pos="567"/>
          <w:tab w:val="left" w:pos="1985"/>
        </w:tabs>
        <w:suppressAutoHyphens/>
        <w:spacing w:line="240" w:lineRule="auto"/>
      </w:pPr>
      <w:r w:rsidRPr="00AD2CF5">
        <w:rPr>
          <w:i/>
        </w:rPr>
        <w:t>D</w:t>
      </w:r>
      <w:r w:rsidRPr="00AD2CF5">
        <w:rPr>
          <w:i/>
          <w:vertAlign w:val="subscript"/>
        </w:rPr>
        <w:t>lucht</w:t>
      </w:r>
      <w:r w:rsidRPr="00AD2CF5">
        <w:t>(</w:t>
      </w:r>
      <w:r w:rsidRPr="00AD2CF5">
        <w:rPr>
          <w:i/>
        </w:rPr>
        <w:t>f</w:t>
      </w:r>
      <w:r w:rsidRPr="00AD2CF5">
        <w:rPr>
          <w:i/>
          <w:vertAlign w:val="subscript"/>
        </w:rPr>
        <w:t>k</w:t>
      </w:r>
      <w:r w:rsidRPr="00AD2CF5">
        <w:t>)</w:t>
      </w:r>
      <w:r w:rsidRPr="00AD2CF5">
        <w:tab/>
        <w:t>demping t.g.v. luchtabsorptie</w:t>
      </w:r>
      <w:r w:rsidRPr="00AD2CF5">
        <w:fldChar w:fldCharType="begin"/>
      </w:r>
      <w:r w:rsidRPr="00AD2CF5">
        <w:instrText xml:space="preserve"> XE "luchtabsorptie" </w:instrText>
      </w:r>
      <w:r w:rsidRPr="00AD2CF5">
        <w:fldChar w:fldCharType="end"/>
      </w:r>
      <w:r w:rsidRPr="00AD2CF5">
        <w:t>;</w:t>
      </w:r>
    </w:p>
    <w:p w:rsidR="00F43C9B" w:rsidRPr="00AD2CF5" w:rsidRDefault="00F43C9B" w:rsidP="00F43C9B">
      <w:pPr>
        <w:shd w:val="clear" w:color="auto" w:fill="D9D9D9" w:themeFill="background1" w:themeFillShade="D9"/>
        <w:tabs>
          <w:tab w:val="left" w:pos="567"/>
          <w:tab w:val="left" w:pos="1985"/>
        </w:tabs>
        <w:suppressAutoHyphens/>
        <w:spacing w:line="240" w:lineRule="auto"/>
        <w:ind w:left="1985" w:hanging="1985"/>
      </w:pPr>
      <w:r w:rsidRPr="00AD2CF5">
        <w:rPr>
          <w:i/>
        </w:rPr>
        <w:t>D</w:t>
      </w:r>
      <w:r w:rsidRPr="00AD2CF5">
        <w:rPr>
          <w:i/>
          <w:vertAlign w:val="subscript"/>
        </w:rPr>
        <w:t>bodem</w:t>
      </w:r>
      <w:r w:rsidRPr="00AD2CF5">
        <w:t>(</w:t>
      </w:r>
      <w:r w:rsidRPr="00AD2CF5">
        <w:rPr>
          <w:i/>
        </w:rPr>
        <w:t>f</w:t>
      </w:r>
      <w:r w:rsidRPr="00AD2CF5">
        <w:rPr>
          <w:i/>
          <w:vertAlign w:val="subscript"/>
        </w:rPr>
        <w:t>k</w:t>
      </w:r>
      <w:r w:rsidRPr="00AD2CF5">
        <w:rPr>
          <w:i/>
        </w:rPr>
        <w:t>, m</w:t>
      </w:r>
      <w:r w:rsidRPr="00AD2CF5">
        <w:t>)</w:t>
      </w:r>
      <w:r w:rsidRPr="00AD2CF5">
        <w:tab/>
        <w:t>demping t.g.v. de bodem;</w:t>
      </w:r>
    </w:p>
    <w:p w:rsidR="00F43C9B" w:rsidRPr="00AD2CF5" w:rsidRDefault="00F43C9B" w:rsidP="00F43C9B">
      <w:pPr>
        <w:shd w:val="clear" w:color="auto" w:fill="D9D9D9" w:themeFill="background1" w:themeFillShade="D9"/>
        <w:tabs>
          <w:tab w:val="left" w:pos="567"/>
          <w:tab w:val="left" w:pos="1985"/>
        </w:tabs>
        <w:suppressAutoHyphens/>
        <w:spacing w:line="240" w:lineRule="auto"/>
      </w:pPr>
      <w:r w:rsidRPr="00AD2CF5">
        <w:rPr>
          <w:i/>
        </w:rPr>
        <w:t>D</w:t>
      </w:r>
      <w:r w:rsidRPr="00AD2CF5">
        <w:rPr>
          <w:i/>
          <w:vertAlign w:val="subscript"/>
        </w:rPr>
        <w:t>scherm</w:t>
      </w:r>
      <w:r w:rsidRPr="00AD2CF5">
        <w:t>(</w:t>
      </w:r>
      <w:r w:rsidRPr="00AD2CF5">
        <w:rPr>
          <w:i/>
        </w:rPr>
        <w:t>f</w:t>
      </w:r>
      <w:r w:rsidRPr="00AD2CF5">
        <w:rPr>
          <w:i/>
          <w:vertAlign w:val="subscript"/>
        </w:rPr>
        <w:t>k</w:t>
      </w:r>
      <w:r w:rsidRPr="00AD2CF5">
        <w:rPr>
          <w:i/>
        </w:rPr>
        <w:t>, m</w:t>
      </w:r>
      <w:r w:rsidRPr="00AD2CF5">
        <w:t>)</w:t>
      </w:r>
      <w:r w:rsidRPr="00AD2CF5">
        <w:tab/>
        <w:t>demping door geluidwerende obstakels;</w:t>
      </w:r>
    </w:p>
    <w:p w:rsidR="00F43C9B" w:rsidRPr="00AD2CF5" w:rsidRDefault="00F43C9B" w:rsidP="00F43C9B">
      <w:pPr>
        <w:shd w:val="clear" w:color="auto" w:fill="D9D9D9" w:themeFill="background1" w:themeFillShade="D9"/>
        <w:tabs>
          <w:tab w:val="left" w:pos="567"/>
          <w:tab w:val="left" w:pos="1985"/>
        </w:tabs>
        <w:suppressAutoHyphens/>
        <w:spacing w:line="240" w:lineRule="auto"/>
        <w:ind w:left="1985" w:hanging="1985"/>
        <w:rPr>
          <w:vertAlign w:val="subscript"/>
        </w:rPr>
      </w:pPr>
      <w:r w:rsidRPr="00AD2CF5">
        <w:rPr>
          <w:i/>
        </w:rPr>
        <w:t>D</w:t>
      </w:r>
      <w:r w:rsidRPr="00AD2CF5">
        <w:rPr>
          <w:i/>
          <w:vertAlign w:val="subscript"/>
        </w:rPr>
        <w:t>nlin</w:t>
      </w:r>
      <w:r w:rsidRPr="00AD2CF5">
        <w:rPr>
          <w:vertAlign w:val="subscript"/>
        </w:rPr>
        <w:tab/>
      </w:r>
      <w:r w:rsidRPr="00AD2CF5">
        <w:t>extra dempingsterm als gevolg van niet-lineair</w:t>
      </w:r>
      <w:r w:rsidRPr="00AD2CF5">
        <w:fldChar w:fldCharType="begin"/>
      </w:r>
      <w:r w:rsidRPr="00AD2CF5">
        <w:instrText xml:space="preserve"> XE "niet-lineaire demping" </w:instrText>
      </w:r>
      <w:r w:rsidRPr="00AD2CF5">
        <w:fldChar w:fldCharType="end"/>
      </w:r>
      <w:r w:rsidRPr="00AD2CF5">
        <w:t>e geluidoverdracht</w:t>
      </w:r>
      <w:r w:rsidRPr="00AD2CF5">
        <w:fldChar w:fldCharType="begin"/>
      </w:r>
      <w:r w:rsidRPr="00AD2CF5">
        <w:instrText xml:space="preserve"> XE "geluidoverdracht" </w:instrText>
      </w:r>
      <w:r w:rsidRPr="00AD2CF5">
        <w:fldChar w:fldCharType="end"/>
      </w:r>
      <w:r w:rsidRPr="00AD2CF5">
        <w:t xml:space="preserve"> van kogelgeluid</w:t>
      </w:r>
      <w:r w:rsidRPr="00AD2CF5">
        <w:fldChar w:fldCharType="begin"/>
      </w:r>
      <w:r w:rsidRPr="00AD2CF5">
        <w:instrText xml:space="preserve"> XE "kogelgeluid" </w:instrText>
      </w:r>
      <w:r w:rsidRPr="00AD2CF5">
        <w:fldChar w:fldCharType="end"/>
      </w:r>
      <w:r w:rsidRPr="00AD2CF5">
        <w:t>.</w:t>
      </w:r>
    </w:p>
    <w:p w:rsidR="00F43C9B" w:rsidRPr="00AD2CF5" w:rsidRDefault="00F43C9B" w:rsidP="00F43C9B">
      <w:pPr>
        <w:shd w:val="clear" w:color="auto" w:fill="D9D9D9" w:themeFill="background1" w:themeFillShade="D9"/>
        <w:tabs>
          <w:tab w:val="left" w:pos="-108"/>
          <w:tab w:val="left" w:pos="743"/>
          <w:tab w:val="left" w:pos="1819"/>
          <w:tab w:val="left" w:pos="3975"/>
        </w:tabs>
        <w:suppressAutoHyphens/>
        <w:spacing w:line="240" w:lineRule="auto"/>
      </w:pPr>
    </w:p>
    <w:p w:rsidR="00F43C9B" w:rsidRPr="00AD2CF5" w:rsidRDefault="00F43C9B" w:rsidP="00F43C9B">
      <w:pPr>
        <w:shd w:val="clear" w:color="auto" w:fill="D9D9D9" w:themeFill="background1" w:themeFillShade="D9"/>
      </w:pPr>
      <w:r w:rsidRPr="00AD2CF5">
        <w:t>Zowel de bodemdemping</w:t>
      </w:r>
      <w:r w:rsidRPr="00AD2CF5">
        <w:fldChar w:fldCharType="begin"/>
      </w:r>
      <w:r w:rsidRPr="00AD2CF5">
        <w:instrText xml:space="preserve"> XE "bodemdemping" </w:instrText>
      </w:r>
      <w:r w:rsidRPr="00AD2CF5">
        <w:fldChar w:fldCharType="end"/>
      </w:r>
      <w:r w:rsidRPr="00AD2CF5">
        <w:t xml:space="preserve"> </w:t>
      </w:r>
      <w:r w:rsidRPr="00AD2CF5">
        <w:rPr>
          <w:i/>
        </w:rPr>
        <w:t>D</w:t>
      </w:r>
      <w:r w:rsidRPr="00AD2CF5">
        <w:rPr>
          <w:i/>
          <w:vertAlign w:val="subscript"/>
        </w:rPr>
        <w:t>bodem</w:t>
      </w:r>
      <w:r w:rsidRPr="00AD2CF5">
        <w:t xml:space="preserve"> als de schermwerking</w:t>
      </w:r>
      <w:r w:rsidRPr="00AD2CF5">
        <w:fldChar w:fldCharType="begin"/>
      </w:r>
      <w:r w:rsidRPr="00AD2CF5">
        <w:instrText xml:space="preserve"> XE "schermwerking" </w:instrText>
      </w:r>
      <w:r w:rsidRPr="00AD2CF5">
        <w:fldChar w:fldCharType="end"/>
      </w:r>
      <w:r w:rsidRPr="00AD2CF5">
        <w:t xml:space="preserve"> </w:t>
      </w:r>
      <w:r w:rsidRPr="00AD2CF5">
        <w:rPr>
          <w:i/>
        </w:rPr>
        <w:t>D</w:t>
      </w:r>
      <w:r w:rsidRPr="00AD2CF5">
        <w:rPr>
          <w:i/>
          <w:vertAlign w:val="subscript"/>
        </w:rPr>
        <w:t>scherm</w:t>
      </w:r>
      <w:r w:rsidRPr="00AD2CF5">
        <w:t xml:space="preserve"> zijn afhankelijk van de meteorologische klasse</w:t>
      </w:r>
      <w:r w:rsidRPr="00AD2CF5">
        <w:fldChar w:fldCharType="begin"/>
      </w:r>
      <w:r w:rsidRPr="00AD2CF5">
        <w:instrText xml:space="preserve"> XE "meteorologische klasse" </w:instrText>
      </w:r>
      <w:r w:rsidRPr="00AD2CF5">
        <w:fldChar w:fldCharType="end"/>
      </w:r>
      <w:r w:rsidRPr="00AD2CF5">
        <w:t xml:space="preserve"> </w:t>
      </w:r>
      <w:r w:rsidRPr="00AD2CF5">
        <w:rPr>
          <w:i/>
        </w:rPr>
        <w:t>m</w:t>
      </w:r>
      <w:r w:rsidRPr="00AD2CF5">
        <w:t xml:space="preserve">. De bodemdemping </w:t>
      </w:r>
      <w:r w:rsidRPr="00AD2CF5">
        <w:rPr>
          <w:i/>
        </w:rPr>
        <w:t>D</w:t>
      </w:r>
      <w:r w:rsidRPr="00AD2CF5">
        <w:rPr>
          <w:i/>
          <w:vertAlign w:val="subscript"/>
        </w:rPr>
        <w:t>bodem</w:t>
      </w:r>
      <w:r w:rsidRPr="00AD2CF5">
        <w:t xml:space="preserve"> is gedefinieerd als de totale demping in een situatie zonder afschermende objecten, vermin</w:t>
      </w:r>
      <w:r w:rsidRPr="00AD2CF5">
        <w:softHyphen/>
        <w:t xml:space="preserve">derd met </w:t>
      </w:r>
      <w:r w:rsidRPr="00AD2CF5">
        <w:rPr>
          <w:i/>
        </w:rPr>
        <w:t>D</w:t>
      </w:r>
      <w:r w:rsidRPr="00AD2CF5">
        <w:rPr>
          <w:i/>
          <w:vertAlign w:val="subscript"/>
        </w:rPr>
        <w:t>geo</w:t>
      </w:r>
      <w:r w:rsidRPr="00AD2CF5">
        <w:t xml:space="preserve"> en </w:t>
      </w:r>
      <w:r w:rsidRPr="00AD2CF5">
        <w:rPr>
          <w:i/>
        </w:rPr>
        <w:t>D</w:t>
      </w:r>
      <w:r w:rsidRPr="00AD2CF5">
        <w:rPr>
          <w:i/>
          <w:vertAlign w:val="subscript"/>
        </w:rPr>
        <w:t>lucht</w:t>
      </w:r>
      <w:r w:rsidRPr="00AD2CF5">
        <w:t xml:space="preserve">. Met de term </w:t>
      </w:r>
      <w:r w:rsidRPr="00AD2CF5">
        <w:rPr>
          <w:i/>
        </w:rPr>
        <w:t>D</w:t>
      </w:r>
      <w:r w:rsidRPr="00AD2CF5">
        <w:rPr>
          <w:i/>
          <w:vertAlign w:val="subscript"/>
        </w:rPr>
        <w:t>scherm</w:t>
      </w:r>
      <w:r w:rsidRPr="00AD2CF5">
        <w:t xml:space="preserve"> wordt de extra demping beschreven ten gevolge van een afschermend object. Hierbij moet worden opgemerkt dat ook de bodem</w:t>
      </w:r>
      <w:r w:rsidRPr="00AD2CF5">
        <w:softHyphen/>
        <w:t>dem</w:t>
      </w:r>
      <w:r w:rsidRPr="00AD2CF5">
        <w:softHyphen/>
        <w:t>ping beïnvloed wordt door de aanwezigheid van het afschermende object (namelijk via de effectieve hoogte</w:t>
      </w:r>
      <w:r w:rsidRPr="00AD2CF5">
        <w:fldChar w:fldCharType="begin"/>
      </w:r>
      <w:r w:rsidRPr="00AD2CF5">
        <w:instrText xml:space="preserve"> XE "effectieve hoogte" </w:instrText>
      </w:r>
      <w:r w:rsidRPr="00AD2CF5">
        <w:fldChar w:fldCharType="end"/>
      </w:r>
      <w:r w:rsidRPr="00AD2CF5">
        <w:t xml:space="preserve"> van de bron of het rekenpunt; zie § 4.6.5). </w:t>
      </w:r>
      <w:r w:rsidRPr="00AD2CF5">
        <w:rPr>
          <w:i/>
        </w:rPr>
        <w:t>D</w:t>
      </w:r>
      <w:r w:rsidRPr="00AD2CF5">
        <w:rPr>
          <w:i/>
          <w:vertAlign w:val="subscript"/>
        </w:rPr>
        <w:t>scherm</w:t>
      </w:r>
      <w:r w:rsidRPr="00AD2CF5">
        <w:t xml:space="preserve"> is dus </w:t>
      </w:r>
      <w:r w:rsidRPr="00AD2CF5">
        <w:rPr>
          <w:i/>
        </w:rPr>
        <w:t>niet</w:t>
      </w:r>
      <w:r w:rsidRPr="00AD2CF5">
        <w:t xml:space="preserve"> gelijk aan de tussenschakel</w:t>
      </w:r>
      <w:r w:rsidRPr="00AD2CF5">
        <w:softHyphen/>
        <w:t>verzwak</w:t>
      </w:r>
      <w:r w:rsidRPr="00AD2CF5">
        <w:softHyphen/>
        <w:t>king van het afschermende object.</w:t>
      </w:r>
    </w:p>
    <w:p w:rsidR="00F43C9B" w:rsidRPr="00AD2CF5" w:rsidRDefault="00F43C9B" w:rsidP="00F43C9B">
      <w:pPr>
        <w:shd w:val="clear" w:color="auto" w:fill="D9D9D9" w:themeFill="background1" w:themeFillShade="D9"/>
        <w:tabs>
          <w:tab w:val="left" w:pos="-108"/>
          <w:tab w:val="left" w:pos="743"/>
          <w:tab w:val="left" w:pos="1819"/>
          <w:tab w:val="left" w:pos="3975"/>
        </w:tabs>
        <w:suppressAutoHyphens/>
        <w:spacing w:line="240" w:lineRule="auto"/>
      </w:pPr>
      <w:r w:rsidRPr="00AD2CF5">
        <w:rPr>
          <w:i/>
          <w:iCs/>
        </w:rPr>
        <w:t>D</w:t>
      </w:r>
      <w:r w:rsidRPr="00AD2CF5">
        <w:rPr>
          <w:i/>
          <w:iCs/>
          <w:vertAlign w:val="subscript"/>
        </w:rPr>
        <w:t>nlin</w:t>
      </w:r>
      <w:r w:rsidRPr="00AD2CF5">
        <w:t xml:space="preserve"> is alleen van toepassing voor de berekening van de geluidbelasting door kogelgeluid</w:t>
      </w:r>
      <w:r w:rsidRPr="00AD2CF5">
        <w:fldChar w:fldCharType="begin"/>
      </w:r>
      <w:r w:rsidRPr="00AD2CF5">
        <w:instrText xml:space="preserve"> XE "kogelgeluid" </w:instrText>
      </w:r>
      <w:r w:rsidRPr="00AD2CF5">
        <w:fldChar w:fldCharType="end"/>
      </w:r>
      <w:r w:rsidRPr="00AD2CF5">
        <w:t>.</w:t>
      </w:r>
    </w:p>
    <w:p w:rsidR="00F43C9B" w:rsidRPr="00AD2CF5" w:rsidRDefault="00F43C9B" w:rsidP="00F43C9B">
      <w:pPr>
        <w:shd w:val="clear" w:color="auto" w:fill="D9D9D9" w:themeFill="background1" w:themeFillShade="D9"/>
        <w:tabs>
          <w:tab w:val="left" w:pos="7371"/>
          <w:tab w:val="right" w:pos="9270"/>
        </w:tabs>
      </w:pPr>
      <w:r w:rsidRPr="00AD2CF5">
        <w:t>Reflecties van mondingsgeluid</w:t>
      </w:r>
      <w:r w:rsidRPr="00AD2CF5">
        <w:fldChar w:fldCharType="begin"/>
      </w:r>
      <w:r w:rsidRPr="00AD2CF5">
        <w:instrText xml:space="preserve"> XE "mondingsgeluid" </w:instrText>
      </w:r>
      <w:r w:rsidRPr="00AD2CF5">
        <w:fldChar w:fldCharType="end"/>
      </w:r>
      <w:r w:rsidRPr="00AD2CF5">
        <w:t>, kogelgeluid</w:t>
      </w:r>
      <w:r w:rsidRPr="00AD2CF5">
        <w:fldChar w:fldCharType="begin"/>
      </w:r>
      <w:r w:rsidRPr="00AD2CF5">
        <w:instrText xml:space="preserve"> XE "kogelgeluid" </w:instrText>
      </w:r>
      <w:r w:rsidRPr="00AD2CF5">
        <w:fldChar w:fldCharType="end"/>
      </w:r>
      <w:r w:rsidRPr="00AD2CF5">
        <w:t xml:space="preserve"> en detonatiegeluid worden als afzonderlijke bronnen beschouwd. Er worden hierbij twee soorten reflecties onderscheiden: spiegelreflecties en diffuse reflectie</w:t>
      </w:r>
      <w:r w:rsidRPr="00AD2CF5">
        <w:fldChar w:fldCharType="begin"/>
      </w:r>
      <w:r w:rsidRPr="00AD2CF5">
        <w:instrText xml:space="preserve"> XE "reflectie:diffuse reflectie" </w:instrText>
      </w:r>
      <w:r w:rsidRPr="00AD2CF5">
        <w:fldChar w:fldCharType="end"/>
      </w:r>
      <w:r w:rsidRPr="00AD2CF5">
        <w:t>s.</w:t>
      </w:r>
    </w:p>
    <w:p w:rsidR="00F43C9B" w:rsidRPr="00AD2CF5" w:rsidRDefault="00F43C9B" w:rsidP="00F43C9B">
      <w:pPr>
        <w:shd w:val="clear" w:color="auto" w:fill="D9D9D9" w:themeFill="background1" w:themeFillShade="D9"/>
      </w:pPr>
      <w:r w:rsidRPr="00AD2CF5">
        <w:t>Spiegelreflecties treden op aan verticale of bijna verticale vlakken, bijvoorbeeld een muur of een scherm</w:t>
      </w:r>
      <w:r w:rsidRPr="00AD2CF5">
        <w:fldChar w:fldCharType="begin"/>
      </w:r>
      <w:r w:rsidRPr="00AD2CF5">
        <w:instrText xml:space="preserve"> XE "afschermende objecten:scherm" </w:instrText>
      </w:r>
      <w:r w:rsidRPr="00AD2CF5">
        <w:fldChar w:fldCharType="end"/>
      </w:r>
      <w:r w:rsidRPr="00AD2CF5">
        <w:t>; de hoek tussen het vlak en de verticaal moet kleiner dan 10º zijn, anders wordt de spiegelreflectie</w:t>
      </w:r>
      <w:r w:rsidRPr="00AD2CF5">
        <w:fldChar w:fldCharType="begin"/>
      </w:r>
      <w:r w:rsidRPr="00AD2CF5">
        <w:instrText xml:space="preserve"> XE "reflectie:spiegelreflectie" </w:instrText>
      </w:r>
      <w:r w:rsidRPr="00AD2CF5">
        <w:fldChar w:fldCharType="end"/>
      </w:r>
      <w:r w:rsidRPr="00AD2CF5">
        <w:t xml:space="preserve"> niet meegerekend. Spiegelreflecties worden gemodelleerd door middel van spiegelbronnen. Een reflectie</w:t>
      </w:r>
      <w:r w:rsidRPr="00AD2CF5">
        <w:fldChar w:fldCharType="begin"/>
      </w:r>
      <w:r w:rsidRPr="00AD2CF5">
        <w:instrText xml:space="preserve"> XE "reflectie" </w:instrText>
      </w:r>
      <w:r w:rsidRPr="00AD2CF5">
        <w:fldChar w:fldCharType="end"/>
      </w:r>
      <w:r w:rsidRPr="00AD2CF5">
        <w:t xml:space="preserve"> aan een vlak draagt alleen aan het immissieniveau bij als een optische spiegeling van de bron naar het rekenpunt via dat vlak mogelijk is. Er wordt hierbij geen rekening gehouden met kromming van geluidstralen. Het bron</w:t>
      </w:r>
      <w:r w:rsidRPr="00AD2CF5">
        <w:softHyphen/>
        <w:t>niveau</w:t>
      </w:r>
      <w:r w:rsidRPr="00AD2CF5">
        <w:fldChar w:fldCharType="begin"/>
      </w:r>
      <w:r w:rsidRPr="00AD2CF5">
        <w:instrText xml:space="preserve"> XE "bronniveau" </w:instrText>
      </w:r>
      <w:r w:rsidRPr="00AD2CF5">
        <w:fldChar w:fldCharType="end"/>
      </w:r>
      <w:r w:rsidRPr="00AD2CF5">
        <w:t xml:space="preserve"> van een spiegelbron </w:t>
      </w:r>
      <w:r w:rsidRPr="00AD2CF5">
        <w:rPr>
          <w:position w:val="-10"/>
        </w:rPr>
        <w:object w:dxaOrig="380" w:dyaOrig="340">
          <v:shape id="_x0000_i1039" type="#_x0000_t75" style="width:19.5pt;height:17.25pt" o:ole="">
            <v:imagedata r:id="rId80" o:title=""/>
          </v:shape>
          <o:OLEObject Type="Embed" ProgID="Equation.2" ShapeID="_x0000_i1039" DrawAspect="Content" ObjectID="_1511255377" r:id="rId105"/>
        </w:object>
      </w:r>
      <w:r w:rsidRPr="00AD2CF5">
        <w:t xml:space="preserve"> is lager dan het bronniveau van de originele bron; het wordt bepaald uit het bronniveau</w:t>
      </w:r>
      <w:r w:rsidRPr="00AD2CF5">
        <w:rPr>
          <w:i/>
          <w:iCs/>
        </w:rPr>
        <w:t xml:space="preserve"> L</w:t>
      </w:r>
      <w:r w:rsidRPr="00AD2CF5">
        <w:rPr>
          <w:i/>
          <w:iCs/>
          <w:vertAlign w:val="subscript"/>
        </w:rPr>
        <w:t>Eb</w:t>
      </w:r>
      <w:r w:rsidRPr="00AD2CF5">
        <w:t xml:space="preserve"> van de originele bron met behulp van onderstaande formule:</w:t>
      </w:r>
    </w:p>
    <w:p w:rsidR="00F43C9B" w:rsidRPr="00AD2CF5" w:rsidRDefault="00F43C9B" w:rsidP="00F43C9B">
      <w:pPr>
        <w:pStyle w:val="Bijschrift"/>
        <w:shd w:val="clear" w:color="auto" w:fill="D9D9D9" w:themeFill="background1" w:themeFillShade="D9"/>
        <w:tabs>
          <w:tab w:val="left" w:pos="567"/>
          <w:tab w:val="right" w:pos="7371"/>
        </w:tabs>
        <w:rPr>
          <w:rStyle w:val="EquationCaption"/>
          <w:b/>
          <w:lang w:val="nl-NL"/>
        </w:rPr>
      </w:pPr>
      <w:r w:rsidRPr="00AD2CF5">
        <w:rPr>
          <w:position w:val="-14"/>
        </w:rPr>
        <w:object w:dxaOrig="1540" w:dyaOrig="380">
          <v:shape id="_x0000_i1040" type="#_x0000_t75" style="width:76.5pt;height:19.5pt" o:ole="" fillcolor="window">
            <v:imagedata r:id="rId106" o:title=""/>
          </v:shape>
          <o:OLEObject Type="Embed" ProgID="Equation.3" ShapeID="_x0000_i1040" DrawAspect="Content" ObjectID="_1511255378" r:id="rId107"/>
        </w:object>
      </w:r>
      <w:r w:rsidRPr="00AD2CF5">
        <w:rPr>
          <w:rStyle w:val="EquationCaption"/>
          <w:lang w:val="nl-NL"/>
        </w:rPr>
        <w:tab/>
      </w:r>
      <w:r w:rsidRPr="00AD2CF5">
        <w:rPr>
          <w:lang w:val="nl-NL"/>
        </w:rPr>
        <w:t xml:space="preserve">(4. </w:t>
      </w:r>
      <w:r w:rsidRPr="00AD2CF5">
        <w:fldChar w:fldCharType="begin"/>
      </w:r>
      <w:r w:rsidRPr="00AD2CF5">
        <w:rPr>
          <w:lang w:val="nl-NL"/>
        </w:rPr>
        <w:instrText xml:space="preserve"> SEQ (4. \* ARABIC </w:instrText>
      </w:r>
      <w:r w:rsidRPr="00AD2CF5">
        <w:fldChar w:fldCharType="separate"/>
      </w:r>
      <w:r>
        <w:rPr>
          <w:noProof/>
          <w:lang w:val="nl-NL"/>
        </w:rPr>
        <w:t>3</w:t>
      </w:r>
      <w:r w:rsidRPr="00AD2CF5">
        <w:rPr>
          <w:noProof/>
        </w:rPr>
        <w:fldChar w:fldCharType="end"/>
      </w:r>
      <w:r w:rsidRPr="00AD2CF5">
        <w:rPr>
          <w:lang w:val="nl-NL"/>
        </w:rPr>
        <w:t>)</w:t>
      </w:r>
    </w:p>
    <w:p w:rsidR="00F43C9B" w:rsidRPr="00AD2CF5" w:rsidRDefault="00F43C9B" w:rsidP="00F43C9B">
      <w:pPr>
        <w:shd w:val="clear" w:color="auto" w:fill="D9D9D9" w:themeFill="background1" w:themeFillShade="D9"/>
        <w:tabs>
          <w:tab w:val="left" w:pos="-108"/>
          <w:tab w:val="left" w:pos="743"/>
          <w:tab w:val="left" w:pos="1819"/>
          <w:tab w:val="left" w:pos="3975"/>
        </w:tabs>
        <w:suppressAutoHyphens/>
        <w:spacing w:line="240" w:lineRule="auto"/>
      </w:pPr>
      <w:r w:rsidRPr="00AD2CF5">
        <w:t xml:space="preserve">waarin </w:t>
      </w:r>
      <w:r w:rsidRPr="00AD2CF5">
        <w:rPr>
          <w:i/>
          <w:iCs/>
        </w:rPr>
        <w:t>L</w:t>
      </w:r>
      <w:r w:rsidRPr="00AD2CF5">
        <w:rPr>
          <w:i/>
          <w:iCs/>
          <w:vertAlign w:val="subscript"/>
        </w:rPr>
        <w:t>Eb</w:t>
      </w:r>
      <w:r w:rsidRPr="00AD2CF5">
        <w:t xml:space="preserve"> het bronniveau</w:t>
      </w:r>
      <w:r w:rsidRPr="00AD2CF5">
        <w:fldChar w:fldCharType="begin"/>
      </w:r>
      <w:r w:rsidRPr="00AD2CF5">
        <w:instrText xml:space="preserve"> XE "bronniveau" </w:instrText>
      </w:r>
      <w:r w:rsidRPr="00AD2CF5">
        <w:fldChar w:fldCharType="end"/>
      </w:r>
      <w:r w:rsidRPr="00AD2CF5">
        <w:t xml:space="preserve"> (per octaafband</w:t>
      </w:r>
      <w:r w:rsidRPr="00AD2CF5">
        <w:fldChar w:fldCharType="begin"/>
      </w:r>
      <w:r w:rsidRPr="00AD2CF5">
        <w:instrText xml:space="preserve"> XE "octaafband" </w:instrText>
      </w:r>
      <w:r w:rsidRPr="00AD2CF5">
        <w:fldChar w:fldCharType="end"/>
      </w:r>
      <w:r w:rsidRPr="00AD2CF5">
        <w:t xml:space="preserve">) van de originele bron in de richting van het reflectiepunt is en </w:t>
      </w:r>
      <w:r w:rsidRPr="00AD2CF5">
        <w:rPr>
          <w:i/>
          <w:iCs/>
        </w:rPr>
        <w:t>D</w:t>
      </w:r>
      <w:r w:rsidRPr="00AD2CF5">
        <w:rPr>
          <w:i/>
          <w:iCs/>
          <w:vertAlign w:val="subscript"/>
        </w:rPr>
        <w:t>refl</w:t>
      </w:r>
      <w:r w:rsidRPr="00AD2CF5">
        <w:t xml:space="preserve"> de reflectiedemping.</w:t>
      </w:r>
    </w:p>
    <w:p w:rsidR="00F43C9B" w:rsidRPr="00AD2CF5" w:rsidRDefault="00F43C9B" w:rsidP="00F43C9B">
      <w:pPr>
        <w:shd w:val="clear" w:color="auto" w:fill="D9D9D9" w:themeFill="background1" w:themeFillShade="D9"/>
      </w:pPr>
      <w:r w:rsidRPr="00AD2CF5">
        <w:t>Diffuse reflecties treden op aan een bosrand; indien er minder dan drie bomenrijen aanwezig zijn wordt de diffuse reflectie</w:t>
      </w:r>
      <w:r w:rsidRPr="00AD2CF5">
        <w:fldChar w:fldCharType="begin"/>
      </w:r>
      <w:r w:rsidRPr="00AD2CF5">
        <w:instrText xml:space="preserve"> XE "reflectie:diffuse reflectie" </w:instrText>
      </w:r>
      <w:r w:rsidRPr="00AD2CF5">
        <w:fldChar w:fldCharType="end"/>
      </w:r>
      <w:r w:rsidRPr="00AD2CF5">
        <w:t xml:space="preserve"> niet meegerekend. Een diffuse reflectie</w:t>
      </w:r>
      <w:r w:rsidRPr="00AD2CF5">
        <w:fldChar w:fldCharType="begin"/>
      </w:r>
      <w:r w:rsidRPr="00AD2CF5">
        <w:instrText xml:space="preserve"> XE "reflectie" </w:instrText>
      </w:r>
      <w:r w:rsidRPr="00AD2CF5">
        <w:fldChar w:fldCharType="end"/>
      </w:r>
      <w:r w:rsidRPr="00AD2CF5">
        <w:t xml:space="preserve"> treedt op indien er ‘zicht’ is op de bosrand vanuit zowel de positie van de bron als de positie van het rekenpunt; optische spiegeling is hierbij irrelevant. Diffuse reflecties worden gemodelleerd met behulp van virtuele bronnen. Over het algemeen worden er per diffuus reflecterend vlak verschillende virtuele bronnen onder</w:t>
      </w:r>
      <w:r w:rsidRPr="00AD2CF5">
        <w:softHyphen/>
        <w:t>scheiden, dit in tegenstelling tot spiegelreflecties waarbij een reflectie aan een vlak door één spiegelbron wordt gemodelleerd. De bijdragen van de virtuele bronnen aan het totale geluidniveau op het rekenpunt kunnen als incoherent worden beschouwd, zodat elke virtuele bron als een aparte bron kan worden behandeld. Net als bij spiegelreflecties wordt door middel van een reflectie</w:t>
      </w:r>
      <w:r w:rsidRPr="00AD2CF5">
        <w:softHyphen/>
        <w:t xml:space="preserve">demping </w:t>
      </w:r>
      <w:r w:rsidRPr="00AD2CF5">
        <w:rPr>
          <w:i/>
          <w:iCs/>
        </w:rPr>
        <w:t>D</w:t>
      </w:r>
      <w:r w:rsidRPr="00AD2CF5">
        <w:rPr>
          <w:i/>
          <w:iCs/>
          <w:vertAlign w:val="subscript"/>
        </w:rPr>
        <w:t>refl</w:t>
      </w:r>
      <w:r w:rsidRPr="00AD2CF5">
        <w:t xml:space="preserve"> rekening gehouden met het feit dat het bronniveau</w:t>
      </w:r>
      <w:r w:rsidRPr="00AD2CF5">
        <w:fldChar w:fldCharType="begin"/>
      </w:r>
      <w:r w:rsidRPr="00AD2CF5">
        <w:instrText xml:space="preserve"> XE "bronniveau" </w:instrText>
      </w:r>
      <w:r w:rsidRPr="00AD2CF5">
        <w:fldChar w:fldCharType="end"/>
      </w:r>
      <w:r w:rsidRPr="00AD2CF5">
        <w:t xml:space="preserve"> van een virtuele bron lager is dan dat van de originele bron. Ook hierbij wordt gebruik gemaakt van formule 4.3.</w:t>
      </w:r>
    </w:p>
    <w:p w:rsidR="00F43C9B" w:rsidRPr="00AD2CF5" w:rsidRDefault="00F43C9B" w:rsidP="00F43C9B">
      <w:pPr>
        <w:shd w:val="clear" w:color="auto" w:fill="D9D9D9" w:themeFill="background1" w:themeFillShade="D9"/>
      </w:pPr>
      <w:r w:rsidRPr="00AD2CF5">
        <w:t>Meervoudige reflecties worden verwaarloosd. Er treedt dus maximaal één spiegel</w:t>
      </w:r>
      <w:r w:rsidRPr="00AD2CF5">
        <w:softHyphen/>
        <w:t>reflectie</w:t>
      </w:r>
      <w:r w:rsidRPr="00AD2CF5">
        <w:fldChar w:fldCharType="begin"/>
      </w:r>
      <w:r w:rsidRPr="00AD2CF5">
        <w:instrText xml:space="preserve"> XE "reflectie:spiegelreflectie" </w:instrText>
      </w:r>
      <w:r w:rsidRPr="00AD2CF5">
        <w:fldChar w:fldCharType="end"/>
      </w:r>
      <w:r w:rsidRPr="00AD2CF5">
        <w:t xml:space="preserve"> of diffuse reflectie</w:t>
      </w:r>
      <w:r w:rsidRPr="00AD2CF5">
        <w:fldChar w:fldCharType="begin"/>
      </w:r>
      <w:r w:rsidRPr="00AD2CF5">
        <w:instrText xml:space="preserve"> XE "reflectie:diffuse reflectie" </w:instrText>
      </w:r>
      <w:r w:rsidRPr="00AD2CF5">
        <w:fldChar w:fldCharType="end"/>
      </w:r>
      <w:r w:rsidRPr="00AD2CF5">
        <w:t xml:space="preserve"> op langs een geluidpad van de bron naar het rekenpunt. Er kunnen wel verschillende geluidpaden met een reflectie</w:t>
      </w:r>
      <w:r w:rsidRPr="00AD2CF5">
        <w:fldChar w:fldCharType="begin"/>
      </w:r>
      <w:r w:rsidRPr="00AD2CF5">
        <w:instrText xml:space="preserve"> XE "reflectie" </w:instrText>
      </w:r>
      <w:r w:rsidRPr="00AD2CF5">
        <w:fldChar w:fldCharType="end"/>
      </w:r>
      <w:r w:rsidRPr="00AD2CF5">
        <w:t xml:space="preserve"> optreden.</w:t>
      </w:r>
    </w:p>
    <w:p w:rsidR="00F43C9B" w:rsidRPr="00AD2CF5" w:rsidRDefault="00F43C9B" w:rsidP="00F43C9B">
      <w:pPr>
        <w:shd w:val="clear" w:color="auto" w:fill="D9D9D9" w:themeFill="background1" w:themeFillShade="D9"/>
        <w:tabs>
          <w:tab w:val="left" w:pos="-108"/>
          <w:tab w:val="left" w:pos="743"/>
          <w:tab w:val="left" w:pos="1707"/>
          <w:tab w:val="left" w:pos="3975"/>
        </w:tabs>
        <w:suppressAutoHyphens/>
        <w:spacing w:line="240" w:lineRule="auto"/>
      </w:pPr>
      <w:r w:rsidRPr="00AD2CF5">
        <w:t>Voor de berekening van de geluidbelasting wordt gebruik gemaakt van vijf verschillende gegevensbestanden:</w:t>
      </w:r>
    </w:p>
    <w:p w:rsidR="00F43C9B" w:rsidRPr="00AD2CF5" w:rsidRDefault="00F43C9B" w:rsidP="00F43C9B">
      <w:pPr>
        <w:shd w:val="clear" w:color="auto" w:fill="D9D9D9" w:themeFill="background1" w:themeFillShade="D9"/>
        <w:tabs>
          <w:tab w:val="left" w:pos="-108"/>
          <w:tab w:val="left" w:pos="709"/>
          <w:tab w:val="left" w:pos="1707"/>
          <w:tab w:val="left" w:pos="3975"/>
        </w:tabs>
        <w:suppressAutoHyphens/>
        <w:spacing w:line="240" w:lineRule="auto"/>
        <w:ind w:left="742" w:hanging="742"/>
      </w:pPr>
      <w:r w:rsidRPr="00AD2CF5">
        <w:t>-</w:t>
      </w:r>
      <w:r w:rsidRPr="00AD2CF5">
        <w:tab/>
        <w:t>gegevensbestand</w:t>
      </w:r>
      <w:r w:rsidRPr="00AD2CF5">
        <w:fldChar w:fldCharType="begin"/>
      </w:r>
      <w:r w:rsidRPr="00AD2CF5">
        <w:instrText xml:space="preserve"> XE "gegevensbestand" </w:instrText>
      </w:r>
      <w:r w:rsidRPr="00AD2CF5">
        <w:fldChar w:fldCharType="end"/>
      </w:r>
      <w:r w:rsidRPr="00AD2CF5">
        <w:t xml:space="preserve"> met brongegevens en andere bronparameters;</w:t>
      </w:r>
    </w:p>
    <w:p w:rsidR="00F43C9B" w:rsidRPr="00AD2CF5" w:rsidRDefault="00F43C9B" w:rsidP="00F43C9B">
      <w:pPr>
        <w:shd w:val="clear" w:color="auto" w:fill="D9D9D9" w:themeFill="background1" w:themeFillShade="D9"/>
        <w:tabs>
          <w:tab w:val="left" w:pos="-108"/>
          <w:tab w:val="left" w:pos="709"/>
          <w:tab w:val="left" w:pos="1707"/>
          <w:tab w:val="left" w:pos="3975"/>
        </w:tabs>
        <w:suppressAutoHyphens/>
        <w:spacing w:line="240" w:lineRule="auto"/>
        <w:ind w:left="742" w:hanging="742"/>
      </w:pPr>
      <w:r w:rsidRPr="00AD2CF5">
        <w:t>-</w:t>
      </w:r>
      <w:r w:rsidRPr="00AD2CF5">
        <w:tab/>
        <w:t>gegevensbestand</w:t>
      </w:r>
      <w:r w:rsidRPr="00AD2CF5">
        <w:fldChar w:fldCharType="begin"/>
      </w:r>
      <w:r w:rsidRPr="00AD2CF5">
        <w:instrText xml:space="preserve"> XE "gegevensbestand" </w:instrText>
      </w:r>
      <w:r w:rsidRPr="00AD2CF5">
        <w:fldChar w:fldCharType="end"/>
      </w:r>
      <w:r w:rsidRPr="00AD2CF5">
        <w:t xml:space="preserve"> voor het bepalen van de bodemdemping</w:t>
      </w:r>
      <w:r w:rsidRPr="00AD2CF5">
        <w:fldChar w:fldCharType="begin"/>
      </w:r>
      <w:r w:rsidRPr="00AD2CF5">
        <w:instrText xml:space="preserve"> XE "bodemdemping" </w:instrText>
      </w:r>
      <w:r w:rsidRPr="00AD2CF5">
        <w:fldChar w:fldCharType="end"/>
      </w:r>
      <w:r w:rsidRPr="00AD2CF5">
        <w:t xml:space="preserve"> </w:t>
      </w:r>
      <w:r w:rsidRPr="00AD2CF5">
        <w:rPr>
          <w:i/>
        </w:rPr>
        <w:t>D</w:t>
      </w:r>
      <w:r w:rsidRPr="00AD2CF5">
        <w:rPr>
          <w:i/>
          <w:vertAlign w:val="subscript"/>
        </w:rPr>
        <w:t>bodem</w:t>
      </w:r>
      <w:r w:rsidRPr="00AD2CF5">
        <w:t xml:space="preserve"> ;</w:t>
      </w:r>
    </w:p>
    <w:p w:rsidR="00F43C9B" w:rsidRPr="00AD2CF5" w:rsidRDefault="00F43C9B" w:rsidP="00EB7F6B">
      <w:pPr>
        <w:numPr>
          <w:ilvl w:val="0"/>
          <w:numId w:val="14"/>
        </w:numPr>
        <w:shd w:val="clear" w:color="auto" w:fill="D9D9D9" w:themeFill="background1" w:themeFillShade="D9"/>
        <w:tabs>
          <w:tab w:val="left" w:pos="743"/>
          <w:tab w:val="left" w:pos="1707"/>
          <w:tab w:val="left" w:pos="3975"/>
        </w:tabs>
        <w:suppressAutoHyphens/>
        <w:spacing w:line="240" w:lineRule="auto"/>
      </w:pPr>
      <w:r w:rsidRPr="00AD2CF5">
        <w:t>gegevensbestanden voor het bepalen van de statistische gewichten</w:t>
      </w:r>
      <w:r w:rsidRPr="00AD2CF5">
        <w:fldChar w:fldCharType="begin"/>
      </w:r>
      <w:r w:rsidRPr="00AD2CF5">
        <w:instrText xml:space="preserve"> XE "statistische gewichten" </w:instrText>
      </w:r>
      <w:r w:rsidRPr="00AD2CF5">
        <w:fldChar w:fldCharType="end"/>
      </w:r>
      <w:r w:rsidRPr="00AD2CF5">
        <w:t xml:space="preserve"> van de 27 meteorologische klasse</w:t>
      </w:r>
      <w:r w:rsidRPr="00AD2CF5">
        <w:fldChar w:fldCharType="begin"/>
      </w:r>
      <w:r w:rsidRPr="00AD2CF5">
        <w:instrText xml:space="preserve"> XE "meteorologische klasse" </w:instrText>
      </w:r>
      <w:r w:rsidRPr="00AD2CF5">
        <w:fldChar w:fldCharType="end"/>
      </w:r>
      <w:r w:rsidRPr="00AD2CF5">
        <w:t>n</w:t>
      </w:r>
    </w:p>
    <w:p w:rsidR="00F43C9B" w:rsidRPr="00AD2CF5" w:rsidRDefault="00F43C9B" w:rsidP="00F43C9B">
      <w:pPr>
        <w:shd w:val="clear" w:color="auto" w:fill="D9D9D9" w:themeFill="background1" w:themeFillShade="D9"/>
        <w:tabs>
          <w:tab w:val="left" w:pos="709"/>
          <w:tab w:val="left" w:pos="743"/>
          <w:tab w:val="left" w:pos="1707"/>
          <w:tab w:val="left" w:pos="3975"/>
        </w:tabs>
        <w:suppressAutoHyphens/>
        <w:spacing w:line="240" w:lineRule="auto"/>
      </w:pPr>
    </w:p>
    <w:p w:rsidR="00F43C9B" w:rsidRPr="00AD2CF5" w:rsidRDefault="00F43C9B" w:rsidP="00F43C9B">
      <w:pPr>
        <w:shd w:val="clear" w:color="auto" w:fill="D9D9D9" w:themeFill="background1" w:themeFillShade="D9"/>
      </w:pPr>
      <w:r w:rsidRPr="00AD2CF5">
        <w:t>In principe wordt voor de berekening van de geluidbelasting van zowel mondings</w:t>
      </w:r>
      <w:r w:rsidRPr="00AD2CF5">
        <w:softHyphen/>
        <w:t>geluid,</w:t>
      </w:r>
      <w:r w:rsidRPr="00AD2CF5">
        <w:fldChar w:fldCharType="begin"/>
      </w:r>
      <w:r w:rsidRPr="00AD2CF5">
        <w:instrText xml:space="preserve"> XE "mondingsgeluid" </w:instrText>
      </w:r>
      <w:r w:rsidRPr="00AD2CF5">
        <w:fldChar w:fldCharType="end"/>
      </w:r>
      <w:r w:rsidRPr="00AD2CF5">
        <w:t xml:space="preserve"> detonatiegeluid als kogelgeluid</w:t>
      </w:r>
      <w:r w:rsidRPr="00AD2CF5">
        <w:fldChar w:fldCharType="begin"/>
      </w:r>
      <w:r w:rsidRPr="00AD2CF5">
        <w:instrText xml:space="preserve"> XE "kogelgeluid" </w:instrText>
      </w:r>
      <w:r w:rsidRPr="00AD2CF5">
        <w:fldChar w:fldCharType="end"/>
      </w:r>
      <w:r w:rsidRPr="00AD2CF5">
        <w:t xml:space="preserve"> van dezelfde basisformule (4.1) uitgegaan. Het onderscheid zit hem in de manier waarop de verschillende dempingstermen berekend worden. In de volgende paragrafen worden de verschillende onderdelen van de bereke</w:t>
      </w:r>
      <w:r w:rsidRPr="00AD2CF5">
        <w:softHyphen/>
        <w:t>nings</w:t>
      </w:r>
      <w:r w:rsidRPr="00AD2CF5">
        <w:softHyphen/>
        <w:t>methode in detail besproken. Waar er verschillen zijn tussen de berekening van mondingsgeluid en kogelgeluid, worden deze per onderdeel behandeld.</w:t>
      </w:r>
    </w:p>
    <w:p w:rsidR="00F43C9B" w:rsidRPr="00AD2CF5" w:rsidRDefault="00F43C9B" w:rsidP="00F43C9B">
      <w:pPr>
        <w:shd w:val="clear" w:color="auto" w:fill="D9D9D9" w:themeFill="background1" w:themeFillShade="D9"/>
      </w:pPr>
      <w:r w:rsidRPr="00AD2CF5">
        <w:t>Ook voor kogelgeluid</w:t>
      </w:r>
      <w:r w:rsidRPr="00AD2CF5">
        <w:fldChar w:fldCharType="begin"/>
      </w:r>
      <w:r w:rsidRPr="00AD2CF5">
        <w:instrText xml:space="preserve"> XE "kogelgeluid" </w:instrText>
      </w:r>
      <w:r w:rsidRPr="00AD2CF5">
        <w:fldChar w:fldCharType="end"/>
      </w:r>
      <w:r w:rsidRPr="00AD2CF5">
        <w:t xml:space="preserve"> wordt de berekening uitgevoerd alsof het geluid van een puntbron</w:t>
      </w:r>
      <w:r w:rsidRPr="00AD2CF5">
        <w:fldChar w:fldCharType="begin"/>
      </w:r>
      <w:r w:rsidRPr="00AD2CF5">
        <w:instrText xml:space="preserve"> XE "puntbron" </w:instrText>
      </w:r>
      <w:r w:rsidRPr="00AD2CF5">
        <w:fldChar w:fldCharType="end"/>
      </w:r>
      <w:r w:rsidRPr="00AD2CF5">
        <w:t xml:space="preserve"> afkomstig is. Het opmerkelijke bij kogelgeluid is, dat hierbij de bron</w:t>
      </w:r>
      <w:r w:rsidRPr="00AD2CF5">
        <w:softHyphen/>
        <w:t>niveaus reken</w:t>
      </w:r>
      <w:r w:rsidRPr="00AD2CF5">
        <w:softHyphen/>
        <w:t>technisch worden vast</w:t>
      </w:r>
      <w:r w:rsidRPr="00AD2CF5">
        <w:softHyphen/>
        <w:t>gesteld (zie § 4.6.1). Dit in tegenstelling tot mondings</w:t>
      </w:r>
      <w:r w:rsidRPr="00AD2CF5">
        <w:softHyphen/>
        <w:t>geluid</w:t>
      </w:r>
      <w:r w:rsidRPr="00AD2CF5">
        <w:fldChar w:fldCharType="begin"/>
      </w:r>
      <w:r w:rsidRPr="00AD2CF5">
        <w:instrText xml:space="preserve"> XE "mondingsgeluid" </w:instrText>
      </w:r>
      <w:r w:rsidRPr="00AD2CF5">
        <w:fldChar w:fldCharType="end"/>
      </w:r>
      <w:r w:rsidRPr="00AD2CF5">
        <w:t>, waarvan de bronsterkte uit metingen is bepaald. Kenmerkend voor kogelgeluid is daarnaast dat dit alleen in bepaalde gebieden waarneembaar is. Drie gebieden worden onderscheiden waarvoor andere berekeningsmethoden gehanteerd worden. Dit komt onder andere naar voren in de manier waarop de geometrische demping</w:t>
      </w:r>
      <w:r w:rsidRPr="00AD2CF5">
        <w:fldChar w:fldCharType="begin"/>
      </w:r>
      <w:r w:rsidRPr="00AD2CF5">
        <w:instrText xml:space="preserve"> XE "geometrische demping" </w:instrText>
      </w:r>
      <w:r w:rsidRPr="00AD2CF5">
        <w:fldChar w:fldCharType="end"/>
      </w:r>
      <w:r w:rsidRPr="00AD2CF5">
        <w:t xml:space="preserve"> bepaald wordt.</w:t>
      </w:r>
    </w:p>
    <w:p w:rsidR="00F43C9B" w:rsidRPr="00AD2CF5" w:rsidRDefault="00F43C9B" w:rsidP="00F43C9B">
      <w:pPr>
        <w:shd w:val="clear" w:color="auto" w:fill="D9D9D9" w:themeFill="background1" w:themeFillShade="D9"/>
      </w:pPr>
      <w:r w:rsidRPr="00AD2CF5">
        <w:t>Voor de berekening van de luchtdemping</w:t>
      </w:r>
      <w:r w:rsidRPr="00AD2CF5">
        <w:fldChar w:fldCharType="begin"/>
      </w:r>
      <w:r w:rsidRPr="00AD2CF5">
        <w:instrText xml:space="preserve"> XE "luchtdemping" </w:instrText>
      </w:r>
      <w:r w:rsidRPr="00AD2CF5">
        <w:fldChar w:fldCharType="end"/>
      </w:r>
      <w:r w:rsidRPr="00AD2CF5">
        <w:t xml:space="preserve"> wordt eerst het bronspectrum van het mondingsgeluid (dat uit octaafbanden bestaat), geconverteerd naar een tertsband-bronspectrum. Voor kogel</w:t>
      </w:r>
      <w:r w:rsidRPr="00AD2CF5">
        <w:softHyphen/>
        <w:t>geluid</w:t>
      </w:r>
      <w:r w:rsidRPr="00AD2CF5">
        <w:fldChar w:fldCharType="begin"/>
      </w:r>
      <w:r w:rsidRPr="00AD2CF5">
        <w:instrText xml:space="preserve"> XE "kogelgeluid" </w:instrText>
      </w:r>
      <w:r w:rsidRPr="00AD2CF5">
        <w:fldChar w:fldCharType="end"/>
      </w:r>
      <w:r w:rsidRPr="00AD2CF5">
        <w:t xml:space="preserve"> is deze conversie niet nodig omdat de bronsterkte hiervan al in tertsen bepaald wordt.</w:t>
      </w:r>
    </w:p>
    <w:p w:rsidR="00F43C9B" w:rsidRPr="00AD2CF5" w:rsidRDefault="00F43C9B" w:rsidP="00F43C9B">
      <w:pPr>
        <w:shd w:val="clear" w:color="auto" w:fill="D9D9D9" w:themeFill="background1" w:themeFillShade="D9"/>
        <w:rPr>
          <w:bCs/>
        </w:rPr>
      </w:pPr>
      <w:r w:rsidRPr="00AD2CF5">
        <w:t>Voor de berekening van de afscherming</w:t>
      </w:r>
      <w:r w:rsidRPr="00AD2CF5">
        <w:rPr>
          <w:bCs/>
        </w:rPr>
        <w:fldChar w:fldCharType="begin"/>
      </w:r>
      <w:r w:rsidRPr="00AD2CF5">
        <w:instrText xml:space="preserve"> XE "afscherming" </w:instrText>
      </w:r>
      <w:r w:rsidRPr="00AD2CF5">
        <w:rPr>
          <w:bCs/>
        </w:rPr>
        <w:fldChar w:fldCharType="end"/>
      </w:r>
      <w:r w:rsidRPr="00AD2CF5">
        <w:t xml:space="preserve"> worden drie bijdragen bepaald via verschil</w:t>
      </w:r>
      <w:r w:rsidRPr="00AD2CF5">
        <w:softHyphen/>
        <w:t>lende paden; via één verticaal pad en via twee horizontale paden om het scherm</w:t>
      </w:r>
      <w:r w:rsidRPr="00AD2CF5">
        <w:rPr>
          <w:bCs/>
        </w:rPr>
        <w:fldChar w:fldCharType="begin"/>
      </w:r>
      <w:r w:rsidRPr="00AD2CF5">
        <w:instrText xml:space="preserve"> XE "afschermende objecten:scherm" </w:instrText>
      </w:r>
      <w:r w:rsidRPr="00AD2CF5">
        <w:rPr>
          <w:bCs/>
        </w:rPr>
        <w:fldChar w:fldCharType="end"/>
      </w:r>
      <w:r w:rsidRPr="00AD2CF5">
        <w:t xml:space="preserve"> heen. Voor de hiervoor genoemde drie brontypen is de berekenings</w:t>
      </w:r>
      <w:r w:rsidRPr="00AD2CF5">
        <w:softHyphen/>
        <w:t>methode gelijk, echter voor kogelgeluid</w:t>
      </w:r>
      <w:r w:rsidRPr="00AD2CF5">
        <w:rPr>
          <w:bCs/>
        </w:rPr>
        <w:fldChar w:fldCharType="begin"/>
      </w:r>
      <w:r w:rsidRPr="00AD2CF5">
        <w:instrText xml:space="preserve"> XE "kogelgeluid" </w:instrText>
      </w:r>
      <w:r w:rsidRPr="00AD2CF5">
        <w:rPr>
          <w:bCs/>
        </w:rPr>
        <w:fldChar w:fldCharType="end"/>
      </w:r>
      <w:r w:rsidRPr="00AD2CF5">
        <w:t xml:space="preserve"> zijn de horizontale paden anders gedefi</w:t>
      </w:r>
      <w:r w:rsidRPr="00AD2CF5">
        <w:softHyphen/>
        <w:t>nieerd (zie figuur 4.12). Voor de bodemdemping</w:t>
      </w:r>
      <w:r w:rsidRPr="00AD2CF5">
        <w:rPr>
          <w:bCs/>
        </w:rPr>
        <w:fldChar w:fldCharType="begin"/>
      </w:r>
      <w:r w:rsidRPr="00AD2CF5">
        <w:instrText xml:space="preserve"> XE "bodemdemping" </w:instrText>
      </w:r>
      <w:r w:rsidRPr="00AD2CF5">
        <w:rPr>
          <w:bCs/>
        </w:rPr>
        <w:fldChar w:fldCharType="end"/>
      </w:r>
      <w:r w:rsidRPr="00AD2CF5">
        <w:t xml:space="preserve"> wordt voor mondingsgeluid,</w:t>
      </w:r>
      <w:r w:rsidRPr="00AD2CF5">
        <w:rPr>
          <w:bCs/>
        </w:rPr>
        <w:fldChar w:fldCharType="begin"/>
      </w:r>
      <w:r w:rsidRPr="00AD2CF5">
        <w:instrText xml:space="preserve"> XE "mondingsgeluid" </w:instrText>
      </w:r>
      <w:r w:rsidRPr="00AD2CF5">
        <w:rPr>
          <w:bCs/>
        </w:rPr>
        <w:fldChar w:fldCharType="end"/>
      </w:r>
      <w:r w:rsidRPr="00AD2CF5">
        <w:t xml:space="preserve"> detonatiegeluid en kogel</w:t>
      </w:r>
      <w:r w:rsidRPr="00AD2CF5">
        <w:softHyphen/>
        <w:t>geluid van dezelfde berekeningsmethode uitgegaan met dien verstande dat bij kogelgeluid - indien dit is afgeschermd - de horizontale paden en het verticale pad elk een ander bronpunt kunnen hebben. Tot slot wordt ook voor de berekening van de reflectiebijdrage voor kogel</w:t>
      </w:r>
      <w:r w:rsidRPr="00AD2CF5">
        <w:softHyphen/>
        <w:t>geluid een aangepaste methode toegepast.</w:t>
      </w:r>
    </w:p>
    <w:p w:rsidR="00F43C9B" w:rsidRPr="00AD2CF5" w:rsidRDefault="00F43C9B" w:rsidP="00F43C9B">
      <w:pPr>
        <w:shd w:val="clear" w:color="auto" w:fill="D9D9D9" w:themeFill="background1" w:themeFillShade="D9"/>
        <w:rPr>
          <w:b/>
          <w:sz w:val="21"/>
        </w:rPr>
      </w:pPr>
      <w:r w:rsidRPr="00AD2CF5">
        <w:rPr>
          <w:noProof/>
          <w:lang w:eastAsia="nl-NL"/>
        </w:rPr>
        <w:drawing>
          <wp:inline distT="0" distB="0" distL="0" distR="0" wp14:anchorId="0211EED0" wp14:editId="0503623B">
            <wp:extent cx="3419475" cy="1466850"/>
            <wp:effectExtent l="19050" t="0" r="9525" b="0"/>
            <wp:docPr id="48" name="Afbeelding 40" descr="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nk"/>
                    <pic:cNvPicPr>
                      <a:picLocks noChangeAspect="1" noChangeArrowheads="1"/>
                    </pic:cNvPicPr>
                  </pic:nvPicPr>
                  <pic:blipFill>
                    <a:blip r:embed="rId108" cstate="print"/>
                    <a:srcRect/>
                    <a:stretch>
                      <a:fillRect/>
                    </a:stretch>
                  </pic:blipFill>
                  <pic:spPr bwMode="auto">
                    <a:xfrm>
                      <a:off x="0" y="0"/>
                      <a:ext cx="3419475" cy="1466850"/>
                    </a:xfrm>
                    <a:prstGeom prst="rect">
                      <a:avLst/>
                    </a:prstGeom>
                    <a:noFill/>
                    <a:ln w="9525">
                      <a:noFill/>
                      <a:miter lim="800000"/>
                      <a:headEnd/>
                      <a:tailEnd/>
                    </a:ln>
                  </pic:spPr>
                </pic:pic>
              </a:graphicData>
            </a:graphic>
          </wp:inline>
        </w:drawing>
      </w:r>
    </w:p>
    <w:p w:rsidR="00F43C9B" w:rsidRPr="00AD2CF5" w:rsidRDefault="00F43C9B" w:rsidP="00F43C9B">
      <w:pPr>
        <w:shd w:val="clear" w:color="auto" w:fill="D9D9D9" w:themeFill="background1" w:themeFillShade="D9"/>
        <w:rPr>
          <w:rFonts w:ascii="Times New Roman" w:hAnsi="Times New Roman"/>
          <w:b/>
          <w:sz w:val="21"/>
        </w:rPr>
      </w:pPr>
    </w:p>
    <w:p w:rsidR="00F43C9B" w:rsidRPr="00AD2CF5" w:rsidRDefault="00F43C9B" w:rsidP="00F43C9B">
      <w:pPr>
        <w:shd w:val="clear" w:color="auto" w:fill="D9D9D9" w:themeFill="background1" w:themeFillShade="D9"/>
        <w:rPr>
          <w:b/>
        </w:rPr>
      </w:pPr>
      <w:r w:rsidRPr="00AD2CF5">
        <w:t xml:space="preserve">Figuur 4. </w:t>
      </w:r>
      <w:r>
        <w:fldChar w:fldCharType="begin"/>
      </w:r>
      <w:r>
        <w:instrText xml:space="preserve"> SEQ Figuur_4. \* ARABIC </w:instrText>
      </w:r>
      <w:r>
        <w:fldChar w:fldCharType="separate"/>
      </w:r>
      <w:r>
        <w:rPr>
          <w:noProof/>
        </w:rPr>
        <w:t>1</w:t>
      </w:r>
      <w:r>
        <w:rPr>
          <w:noProof/>
        </w:rPr>
        <w:fldChar w:fldCharType="end"/>
      </w:r>
      <w:r w:rsidRPr="00AD2CF5">
        <w:t>:</w:t>
      </w:r>
      <w:r w:rsidRPr="00AD2CF5">
        <w:tab/>
        <w:t xml:space="preserve">Met de parameters </w:t>
      </w:r>
      <w:r w:rsidRPr="00AD2CF5">
        <w:rPr>
          <w:i/>
        </w:rPr>
        <w:t>h</w:t>
      </w:r>
      <w:r w:rsidRPr="00AD2CF5">
        <w:rPr>
          <w:i/>
          <w:vertAlign w:val="subscript"/>
        </w:rPr>
        <w:t>wapen</w:t>
      </w:r>
      <w:r w:rsidRPr="00AD2CF5">
        <w:t xml:space="preserve"> en </w:t>
      </w:r>
      <w:r w:rsidRPr="00AD2CF5">
        <w:rPr>
          <w:i/>
        </w:rPr>
        <w:t>L</w:t>
      </w:r>
      <w:r w:rsidRPr="00AD2CF5">
        <w:rPr>
          <w:i/>
          <w:vertAlign w:val="subscript"/>
        </w:rPr>
        <w:t>loop</w:t>
      </w:r>
      <w:r w:rsidRPr="00AD2CF5">
        <w:t xml:space="preserve"> kan de hoogte </w:t>
      </w:r>
      <w:r w:rsidRPr="00AD2CF5">
        <w:rPr>
          <w:i/>
        </w:rPr>
        <w:t>h</w:t>
      </w:r>
      <w:r w:rsidRPr="00AD2CF5">
        <w:rPr>
          <w:i/>
          <w:vertAlign w:val="subscript"/>
        </w:rPr>
        <w:t>s</w:t>
      </w:r>
      <w:r w:rsidRPr="00AD2CF5">
        <w:t xml:space="preserve"> van het bronpunt van de mondingsknal berekend worden voor een gegeven elevatiehoek </w:t>
      </w:r>
      <w:r w:rsidRPr="00AD2CF5">
        <w:rPr>
          <w:rFonts w:ascii="Symbol" w:hAnsi="Symbol"/>
          <w:i/>
        </w:rPr>
        <w:t></w:t>
      </w:r>
      <w:r w:rsidRPr="00AD2CF5">
        <w:rPr>
          <w:i/>
          <w:vertAlign w:val="subscript"/>
        </w:rPr>
        <w:t>e</w:t>
      </w:r>
      <w:r w:rsidRPr="00AD2CF5">
        <w:t xml:space="preserve">. In deze afbeelding valt het bronpunt samen met de vuurmond, maar in het algemeen kan het bronpunt op enige afstand van de vuurmond liggen. </w:t>
      </w:r>
      <w:r w:rsidRPr="00AD2CF5">
        <w:rPr>
          <w:i/>
        </w:rPr>
        <w:t>L</w:t>
      </w:r>
      <w:r w:rsidRPr="00AD2CF5">
        <w:rPr>
          <w:i/>
          <w:vertAlign w:val="subscript"/>
        </w:rPr>
        <w:t>loop</w:t>
      </w:r>
      <w:r w:rsidRPr="00AD2CF5">
        <w:rPr>
          <w:i/>
        </w:rPr>
        <w:t xml:space="preserve"> </w:t>
      </w:r>
      <w:r w:rsidRPr="00AD2CF5">
        <w:t>is dan langer dan de feite</w:t>
      </w:r>
      <w:r w:rsidRPr="00AD2CF5">
        <w:softHyphen/>
        <w:t>lijke lengte van de loop (zie § 4.5.1).</w:t>
      </w:r>
    </w:p>
    <w:p w:rsidR="00F43C9B" w:rsidRPr="00AD2CF5" w:rsidRDefault="00F43C9B" w:rsidP="00F43C9B">
      <w:pPr>
        <w:shd w:val="clear" w:color="auto" w:fill="D9D9D9" w:themeFill="background1" w:themeFillShade="D9"/>
      </w:pPr>
    </w:p>
    <w:bookmarkStart w:id="551" w:name="_Toc428341398"/>
    <w:bookmarkStart w:id="552" w:name="_Toc428595735"/>
    <w:bookmarkStart w:id="553" w:name="_Toc428596310"/>
    <w:bookmarkStart w:id="554" w:name="_Toc431793360"/>
    <w:p w:rsidR="00F43C9B" w:rsidRPr="00AD2CF5" w:rsidRDefault="00F43C9B" w:rsidP="00F43C9B">
      <w:pPr>
        <w:pStyle w:val="Kop2"/>
        <w:shd w:val="clear" w:color="auto" w:fill="D9D9D9" w:themeFill="background1" w:themeFillShade="D9"/>
        <w:spacing w:line="240" w:lineRule="auto"/>
      </w:pPr>
      <w:r w:rsidRPr="00AD2CF5">
        <w:fldChar w:fldCharType="begin"/>
      </w:r>
      <w:r w:rsidRPr="00AD2CF5">
        <w:instrText xml:space="preserve"> SEQ numchaplev1 \c \* MERGEFORMAT </w:instrText>
      </w:r>
      <w:r w:rsidRPr="00AD2CF5">
        <w:fldChar w:fldCharType="separate"/>
      </w:r>
      <w:bookmarkStart w:id="555" w:name="_Toc413945830"/>
      <w:bookmarkStart w:id="556" w:name="_Toc431375843"/>
      <w:r>
        <w:rPr>
          <w:noProof/>
        </w:rPr>
        <w:t>4</w:t>
      </w:r>
      <w:r w:rsidRPr="00AD2CF5">
        <w:fldChar w:fldCharType="end"/>
      </w:r>
      <w:r w:rsidRPr="00AD2CF5">
        <w:t>.</w:t>
      </w:r>
      <w:r w:rsidR="00C428B8">
        <w:fldChar w:fldCharType="begin"/>
      </w:r>
      <w:r w:rsidR="00C428B8">
        <w:instrText xml:space="preserve"> SEQ numchaplev2 \n \* MERGEFORMAT </w:instrText>
      </w:r>
      <w:r w:rsidR="00C428B8">
        <w:fldChar w:fldCharType="separate"/>
      </w:r>
      <w:r>
        <w:rPr>
          <w:noProof/>
        </w:rPr>
        <w:t>4</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Toe te passen gegevensbestanden</w:t>
      </w:r>
      <w:bookmarkEnd w:id="551"/>
      <w:bookmarkEnd w:id="552"/>
      <w:bookmarkEnd w:id="553"/>
      <w:bookmarkEnd w:id="554"/>
      <w:bookmarkEnd w:id="555"/>
      <w:bookmarkEnd w:id="556"/>
    </w:p>
    <w:bookmarkStart w:id="557" w:name="gegevensbestand"/>
    <w:p w:rsidR="00F43C9B" w:rsidRPr="00AD2CF5" w:rsidRDefault="00F43C9B" w:rsidP="00F43C9B">
      <w:pPr>
        <w:pStyle w:val="Kop3"/>
        <w:shd w:val="clear" w:color="auto" w:fill="D9D9D9" w:themeFill="background1" w:themeFillShade="D9"/>
      </w:pPr>
      <w:r w:rsidRPr="00AD2CF5">
        <w:fldChar w:fldCharType="begin"/>
      </w:r>
      <w:r w:rsidRPr="00AD2CF5">
        <w:instrText xml:space="preserve"> SEQ numchaplev1 \c \* MERGEFORMAT </w:instrText>
      </w:r>
      <w:r w:rsidRPr="00AD2CF5">
        <w:fldChar w:fldCharType="separate"/>
      </w:r>
      <w:bookmarkStart w:id="558" w:name="_Toc413945831"/>
      <w:bookmarkStart w:id="559" w:name="_Toc431375844"/>
      <w:r>
        <w:rPr>
          <w:noProof/>
        </w:rPr>
        <w:t>4</w:t>
      </w:r>
      <w:r w:rsidRPr="00AD2CF5">
        <w:fldChar w:fldCharType="end"/>
      </w:r>
      <w:r w:rsidRPr="00AD2CF5">
        <w:t>.</w:t>
      </w:r>
      <w:r w:rsidR="00C428B8">
        <w:fldChar w:fldCharType="begin"/>
      </w:r>
      <w:r w:rsidR="00C428B8">
        <w:instrText xml:space="preserve"> SEQ numchaplev2 \c \* MERGEFORMAT </w:instrText>
      </w:r>
      <w:r w:rsidR="00C428B8">
        <w:fldChar w:fldCharType="separate"/>
      </w:r>
      <w:r w:rsidRPr="00B15E90">
        <w:rPr>
          <w:noProof/>
        </w:rPr>
        <w:t>4</w:t>
      </w:r>
      <w:r w:rsidR="00C428B8">
        <w:rPr>
          <w:noProof/>
        </w:rPr>
        <w:fldChar w:fldCharType="end"/>
      </w:r>
      <w:r w:rsidRPr="00AD2CF5">
        <w:t>.</w:t>
      </w:r>
      <w:r w:rsidR="00C428B8">
        <w:fldChar w:fldCharType="begin"/>
      </w:r>
      <w:r w:rsidR="00C428B8">
        <w:instrText xml:space="preserve"> SEQ numchaplev3 \n \* MERGEFORMAT </w:instrText>
      </w:r>
      <w:r w:rsidR="00C428B8">
        <w:fldChar w:fldCharType="separate"/>
      </w:r>
      <w:r w:rsidRPr="00B15E90">
        <w:rPr>
          <w:noProof/>
        </w:rPr>
        <w:t>1</w:t>
      </w:r>
      <w:r w:rsidR="00C428B8">
        <w:rPr>
          <w:noProof/>
        </w:rPr>
        <w:fldChar w:fldCharType="end"/>
      </w:r>
      <w:r w:rsidRPr="00AD2CF5">
        <w:fldChar w:fldCharType="begin"/>
      </w:r>
      <w:r w:rsidRPr="00AD2CF5">
        <w:instrText xml:space="preserve"> SEQ numchaplev4 \r0\h \* MERGEFORMAT </w:instrText>
      </w:r>
      <w:r w:rsidRPr="00AD2CF5">
        <w:fldChar w:fldCharType="end"/>
      </w:r>
      <w:r w:rsidRPr="00AD2CF5">
        <w:tab/>
        <w:t>Gegevensbestand van bronnen</w:t>
      </w:r>
      <w:bookmarkEnd w:id="558"/>
      <w:bookmarkEnd w:id="559"/>
    </w:p>
    <w:p w:rsidR="00F43C9B" w:rsidRPr="00AD2CF5" w:rsidRDefault="00F43C9B" w:rsidP="00F43C9B">
      <w:pPr>
        <w:keepNext/>
        <w:keepLines/>
        <w:shd w:val="clear" w:color="auto" w:fill="D9D9D9" w:themeFill="background1" w:themeFillShade="D9"/>
        <w:tabs>
          <w:tab w:val="left" w:pos="-108"/>
          <w:tab w:val="left" w:pos="743"/>
          <w:tab w:val="left" w:pos="1707"/>
          <w:tab w:val="left" w:pos="3975"/>
        </w:tabs>
        <w:suppressAutoHyphens/>
        <w:spacing w:line="240" w:lineRule="auto"/>
      </w:pPr>
      <w:r w:rsidRPr="00AD2CF5">
        <w:t>Een gegevensbestand</w:t>
      </w:r>
      <w:r w:rsidRPr="00AD2CF5">
        <w:fldChar w:fldCharType="begin"/>
      </w:r>
      <w:r w:rsidRPr="00AD2CF5">
        <w:instrText xml:space="preserve"> XE "gegevensbestand" </w:instrText>
      </w:r>
      <w:r w:rsidRPr="00AD2CF5">
        <w:fldChar w:fldCharType="end"/>
      </w:r>
      <w:r w:rsidRPr="00AD2CF5">
        <w:t xml:space="preserve"> van schietgeluid-bronnen bevat gegevens van een groot aantal wapen-munitie-gebruiksituatie combinaties. Voor elke combinatie bevat het bestand achtereenvolgens de volgende elementen:</w:t>
      </w:r>
    </w:p>
    <w:p w:rsidR="00F43C9B" w:rsidRPr="00AD2CF5" w:rsidRDefault="00F43C9B" w:rsidP="00EB7F6B">
      <w:pPr>
        <w:keepNext/>
        <w:keepLines/>
        <w:numPr>
          <w:ilvl w:val="0"/>
          <w:numId w:val="3"/>
        </w:numPr>
        <w:shd w:val="clear" w:color="auto" w:fill="D9D9D9" w:themeFill="background1" w:themeFillShade="D9"/>
        <w:suppressAutoHyphens/>
        <w:spacing w:line="240" w:lineRule="auto"/>
        <w:ind w:left="567" w:hanging="567"/>
      </w:pPr>
      <w:r w:rsidRPr="00AD2CF5">
        <w:t>Richtingsafhankelijke bronniveaus voor de verschillende octaafbanden van het mondings- of detonatiegeluid voor wapen-munitie combinaties, die in Nederland voor een bepaalde gebruikssituatie (vrije veld of bijvoorbeeld op een schermenbaan)</w:t>
      </w:r>
      <w:r w:rsidRPr="00AD2CF5">
        <w:fldChar w:fldCharType="begin"/>
      </w:r>
      <w:r w:rsidRPr="00AD2CF5">
        <w:instrText xml:space="preserve"> XE "schietinrichtingen:schermenbaan" </w:instrText>
      </w:r>
      <w:r w:rsidRPr="00AD2CF5">
        <w:fldChar w:fldCharType="end"/>
      </w:r>
      <w:r w:rsidRPr="00AD2CF5">
        <w:t xml:space="preserve"> wor</w:t>
      </w:r>
      <w:r w:rsidRPr="00AD2CF5">
        <w:softHyphen/>
        <w:t>den gebruikt. Een verdere beschrijving wordt onder deze opsomming gegeven.</w:t>
      </w:r>
    </w:p>
    <w:p w:rsidR="00F43C9B" w:rsidRPr="00AD2CF5" w:rsidRDefault="00F43C9B" w:rsidP="00EB7F6B">
      <w:pPr>
        <w:keepNext/>
        <w:keepLines/>
        <w:numPr>
          <w:ilvl w:val="0"/>
          <w:numId w:val="3"/>
        </w:numPr>
        <w:shd w:val="clear" w:color="auto" w:fill="D9D9D9" w:themeFill="background1" w:themeFillShade="D9"/>
        <w:suppressAutoHyphens/>
        <w:spacing w:line="240" w:lineRule="auto"/>
        <w:ind w:left="567" w:hanging="567"/>
      </w:pPr>
      <w:r w:rsidRPr="00AD2CF5">
        <w:t>Hoogte van wapen (</w:t>
      </w:r>
      <w:r w:rsidRPr="00AD2CF5">
        <w:rPr>
          <w:i/>
        </w:rPr>
        <w:t>h</w:t>
      </w:r>
      <w:r w:rsidRPr="00AD2CF5">
        <w:rPr>
          <w:i/>
          <w:vertAlign w:val="subscript"/>
        </w:rPr>
        <w:t>wapen</w:t>
      </w:r>
      <w:r w:rsidRPr="00AD2CF5">
        <w:t>) en lengte van de loop (</w:t>
      </w:r>
      <w:r w:rsidRPr="00AD2CF5">
        <w:rPr>
          <w:i/>
        </w:rPr>
        <w:t>L</w:t>
      </w:r>
      <w:r w:rsidRPr="00AD2CF5">
        <w:rPr>
          <w:i/>
          <w:vertAlign w:val="subscript"/>
        </w:rPr>
        <w:t>loop</w:t>
      </w:r>
      <w:r w:rsidRPr="00AD2CF5">
        <w:t xml:space="preserve">) in [m] (zie ook figuur 4.1). Deze grootheden zijn hierbij zo gedefinieerd, dat bij een gegeven elevatiehoek </w:t>
      </w:r>
      <w:r w:rsidRPr="00AD2CF5">
        <w:rPr>
          <w:rFonts w:ascii="Symbol" w:hAnsi="Symbol"/>
          <w:i/>
        </w:rPr>
        <w:t></w:t>
      </w:r>
      <w:r w:rsidRPr="00AD2CF5">
        <w:rPr>
          <w:i/>
          <w:vertAlign w:val="subscript"/>
        </w:rPr>
        <w:t>e</w:t>
      </w:r>
      <w:r w:rsidRPr="00AD2CF5">
        <w:t xml:space="preserve"> van de loop van het wapen, de hoogte van het bronpunt boven het plaatselijk maaiveld (</w:t>
      </w:r>
      <w:r w:rsidRPr="00AD2CF5">
        <w:rPr>
          <w:i/>
          <w:iCs/>
        </w:rPr>
        <w:t>h</w:t>
      </w:r>
      <w:r w:rsidRPr="00AD2CF5">
        <w:rPr>
          <w:i/>
          <w:iCs/>
          <w:vertAlign w:val="subscript"/>
        </w:rPr>
        <w:t>s</w:t>
      </w:r>
      <w:r w:rsidRPr="00AD2CF5">
        <w:t>) bepaald wordt door:</w:t>
      </w:r>
    </w:p>
    <w:p w:rsidR="00F43C9B" w:rsidRPr="00AD2CF5" w:rsidRDefault="00F43C9B" w:rsidP="00F43C9B">
      <w:pPr>
        <w:pStyle w:val="Bijschrift"/>
        <w:shd w:val="clear" w:color="auto" w:fill="D9D9D9" w:themeFill="background1" w:themeFillShade="D9"/>
        <w:tabs>
          <w:tab w:val="left" w:pos="1134"/>
          <w:tab w:val="right" w:pos="7371"/>
        </w:tabs>
      </w:pPr>
      <w:r w:rsidRPr="00AD2CF5">
        <w:rPr>
          <w:position w:val="-14"/>
        </w:rPr>
        <w:object w:dxaOrig="2280" w:dyaOrig="380">
          <v:shape id="_x0000_i1041" type="#_x0000_t75" style="width:114pt;height:19.5pt" o:ole="" fillcolor="window">
            <v:imagedata r:id="rId109" o:title=""/>
          </v:shape>
          <o:OLEObject Type="Embed" ProgID="Equation.3" ShapeID="_x0000_i1041" DrawAspect="Content" ObjectID="_1511255379" r:id="rId110"/>
        </w:object>
      </w:r>
      <w:r w:rsidRPr="00AD2CF5">
        <w:rPr>
          <w:rStyle w:val="EquationCaption"/>
        </w:rPr>
        <w:tab/>
      </w:r>
      <w:r w:rsidRPr="00AD2CF5">
        <w:t xml:space="preserve">(4. </w:t>
      </w:r>
      <w:r w:rsidR="00B92B02">
        <w:fldChar w:fldCharType="begin"/>
      </w:r>
      <w:r w:rsidR="00B92B02">
        <w:instrText xml:space="preserve"> SEQ (4. \* ARABIC </w:instrText>
      </w:r>
      <w:r w:rsidR="00B92B02">
        <w:fldChar w:fldCharType="separate"/>
      </w:r>
      <w:r>
        <w:rPr>
          <w:noProof/>
        </w:rPr>
        <w:t>4</w:t>
      </w:r>
      <w:r w:rsidR="00B92B02">
        <w:rPr>
          <w:noProof/>
        </w:rPr>
        <w:fldChar w:fldCharType="end"/>
      </w:r>
      <w:r w:rsidRPr="00AD2CF5">
        <w:t>)</w:t>
      </w:r>
    </w:p>
    <w:p w:rsidR="00F43C9B" w:rsidRPr="00AD2CF5" w:rsidRDefault="00F43C9B" w:rsidP="00EB7F6B">
      <w:pPr>
        <w:numPr>
          <w:ilvl w:val="0"/>
          <w:numId w:val="7"/>
        </w:numPr>
        <w:shd w:val="clear" w:color="auto" w:fill="D9D9D9" w:themeFill="background1" w:themeFillShade="D9"/>
        <w:tabs>
          <w:tab w:val="clear" w:pos="360"/>
          <w:tab w:val="left" w:pos="-108"/>
          <w:tab w:val="num" w:pos="567"/>
          <w:tab w:val="left" w:pos="1819"/>
          <w:tab w:val="left" w:pos="3237"/>
        </w:tabs>
        <w:suppressAutoHyphens/>
        <w:spacing w:line="240" w:lineRule="auto"/>
        <w:ind w:left="567" w:hanging="567"/>
      </w:pPr>
      <w:r w:rsidRPr="00AD2CF5">
        <w:t>Specificatie van de munitie (met bijbehorende aandrijvende lading) of NOV-code van de munitie.</w:t>
      </w:r>
    </w:p>
    <w:p w:rsidR="00F43C9B" w:rsidRPr="00AD2CF5" w:rsidRDefault="00F43C9B" w:rsidP="00EB7F6B">
      <w:pPr>
        <w:numPr>
          <w:ilvl w:val="0"/>
          <w:numId w:val="7"/>
        </w:numPr>
        <w:shd w:val="clear" w:color="auto" w:fill="D9D9D9" w:themeFill="background1" w:themeFillShade="D9"/>
        <w:tabs>
          <w:tab w:val="clear" w:pos="360"/>
          <w:tab w:val="left" w:pos="-108"/>
          <w:tab w:val="num" w:pos="567"/>
          <w:tab w:val="left" w:pos="1819"/>
          <w:tab w:val="left" w:pos="3237"/>
        </w:tabs>
        <w:suppressAutoHyphens/>
        <w:spacing w:line="240" w:lineRule="auto"/>
        <w:ind w:left="567" w:hanging="567"/>
      </w:pPr>
      <w:r w:rsidRPr="00AD2CF5">
        <w:t>Indien het projectiel de loop supersoon</w:t>
      </w:r>
      <w:r w:rsidRPr="00AD2CF5">
        <w:fldChar w:fldCharType="begin"/>
      </w:r>
      <w:r w:rsidRPr="00AD2CF5">
        <w:instrText xml:space="preserve"> XE "supersoon" </w:instrText>
      </w:r>
      <w:r w:rsidRPr="00AD2CF5">
        <w:fldChar w:fldCharType="end"/>
      </w:r>
      <w:r w:rsidRPr="00AD2CF5">
        <w:t xml:space="preserve"> verlaat bevat het gegevensbestand</w:t>
      </w:r>
      <w:r w:rsidRPr="00AD2CF5">
        <w:fldChar w:fldCharType="begin"/>
      </w:r>
      <w:r w:rsidRPr="00AD2CF5">
        <w:instrText xml:space="preserve"> XE "gegevensbestand" </w:instrText>
      </w:r>
      <w:r w:rsidRPr="00AD2CF5">
        <w:fldChar w:fldCharType="end"/>
      </w:r>
      <w:r w:rsidRPr="00AD2CF5">
        <w:t xml:space="preserve"> bovendien:</w:t>
      </w:r>
    </w:p>
    <w:p w:rsidR="00F43C9B" w:rsidRPr="00AD2CF5" w:rsidRDefault="00F43C9B" w:rsidP="00F43C9B">
      <w:pPr>
        <w:shd w:val="clear" w:color="auto" w:fill="D9D9D9" w:themeFill="background1" w:themeFillShade="D9"/>
        <w:tabs>
          <w:tab w:val="left" w:pos="-108"/>
        </w:tabs>
        <w:suppressAutoHyphens/>
        <w:spacing w:line="240" w:lineRule="auto"/>
        <w:ind w:left="1134" w:hanging="567"/>
      </w:pPr>
      <w:r w:rsidRPr="00AD2CF5">
        <w:t>-</w:t>
      </w:r>
      <w:r w:rsidRPr="00AD2CF5">
        <w:tab/>
        <w:t>Lengte van de kogel (</w:t>
      </w:r>
      <w:r w:rsidRPr="00AD2CF5">
        <w:rPr>
          <w:i/>
        </w:rPr>
        <w:t>l</w:t>
      </w:r>
      <w:r w:rsidRPr="00AD2CF5">
        <w:rPr>
          <w:i/>
          <w:vertAlign w:val="subscript"/>
        </w:rPr>
        <w:t>kogel</w:t>
      </w:r>
      <w:r w:rsidRPr="00AD2CF5">
        <w:t>) van punt van kogel tot zijn grootste diameter [mm] (zie figuur 2.1);</w:t>
      </w:r>
    </w:p>
    <w:p w:rsidR="00F43C9B" w:rsidRPr="00AD2CF5" w:rsidRDefault="00F43C9B" w:rsidP="00EB7F6B">
      <w:pPr>
        <w:numPr>
          <w:ilvl w:val="0"/>
          <w:numId w:val="8"/>
        </w:numPr>
        <w:shd w:val="clear" w:color="auto" w:fill="D9D9D9" w:themeFill="background1" w:themeFillShade="D9"/>
        <w:tabs>
          <w:tab w:val="left" w:pos="-108"/>
        </w:tabs>
        <w:suppressAutoHyphens/>
        <w:spacing w:line="240" w:lineRule="auto"/>
      </w:pPr>
      <w:r w:rsidRPr="00AD2CF5">
        <w:t>Maximale diameter van de kogel (</w:t>
      </w:r>
      <w:r w:rsidRPr="00AD2CF5">
        <w:rPr>
          <w:i/>
        </w:rPr>
        <w:t>d</w:t>
      </w:r>
      <w:r w:rsidRPr="00AD2CF5">
        <w:rPr>
          <w:i/>
          <w:vertAlign w:val="subscript"/>
        </w:rPr>
        <w:t>kogel</w:t>
      </w:r>
      <w:r w:rsidRPr="00AD2CF5">
        <w:t>) [mm];</w:t>
      </w:r>
    </w:p>
    <w:p w:rsidR="00F43C9B" w:rsidRPr="00AD2CF5" w:rsidRDefault="00F43C9B" w:rsidP="00EB7F6B">
      <w:pPr>
        <w:numPr>
          <w:ilvl w:val="0"/>
          <w:numId w:val="8"/>
        </w:numPr>
        <w:shd w:val="clear" w:color="auto" w:fill="D9D9D9" w:themeFill="background1" w:themeFillShade="D9"/>
        <w:tabs>
          <w:tab w:val="left" w:pos="-108"/>
        </w:tabs>
        <w:suppressAutoHyphens/>
        <w:spacing w:line="240" w:lineRule="auto"/>
      </w:pPr>
      <w:r w:rsidRPr="00AD2CF5">
        <w:t>Beginsnelheid (</w:t>
      </w:r>
      <w:r w:rsidRPr="00AD2CF5">
        <w:rPr>
          <w:i/>
        </w:rPr>
        <w:t>v</w:t>
      </w:r>
      <w:r w:rsidRPr="00AD2CF5">
        <w:rPr>
          <w:vertAlign w:val="subscript"/>
        </w:rPr>
        <w:t>0</w:t>
      </w:r>
      <w:r w:rsidRPr="00AD2CF5">
        <w:t>) van de kogel [m/s];</w:t>
      </w:r>
    </w:p>
    <w:p w:rsidR="00F43C9B" w:rsidRPr="00AD2CF5" w:rsidRDefault="00F43C9B" w:rsidP="00EB7F6B">
      <w:pPr>
        <w:numPr>
          <w:ilvl w:val="0"/>
          <w:numId w:val="8"/>
        </w:numPr>
        <w:shd w:val="clear" w:color="auto" w:fill="D9D9D9" w:themeFill="background1" w:themeFillShade="D9"/>
        <w:tabs>
          <w:tab w:val="left" w:pos="-108"/>
        </w:tabs>
        <w:suppressAutoHyphens/>
        <w:spacing w:line="240" w:lineRule="auto"/>
      </w:pPr>
      <w:r w:rsidRPr="00AD2CF5">
        <w:t>Verandering van de kogelsnelheid</w:t>
      </w:r>
      <w:r w:rsidRPr="00AD2CF5">
        <w:fldChar w:fldCharType="begin"/>
      </w:r>
      <w:r w:rsidRPr="00AD2CF5">
        <w:instrText xml:space="preserve"> XE "kogelsnelheid" </w:instrText>
      </w:r>
      <w:r w:rsidRPr="00AD2CF5">
        <w:fldChar w:fldCharType="end"/>
      </w:r>
      <w:r w:rsidRPr="00AD2CF5">
        <w:t xml:space="preserve"> (</w:t>
      </w:r>
      <w:r w:rsidRPr="00AD2CF5">
        <w:rPr>
          <w:i/>
        </w:rPr>
        <w:t>v</w:t>
      </w:r>
      <w:r w:rsidRPr="00AD2CF5">
        <w:rPr>
          <w:vertAlign w:val="subscript"/>
        </w:rPr>
        <w:t>1</w:t>
      </w:r>
      <w:r w:rsidRPr="00AD2CF5">
        <w:t>) per meter afgelegde weglengte [1/s].</w:t>
      </w:r>
    </w:p>
    <w:p w:rsidR="00F43C9B" w:rsidRPr="00AD2CF5" w:rsidRDefault="00F43C9B" w:rsidP="00F43C9B">
      <w:pPr>
        <w:shd w:val="clear" w:color="auto" w:fill="D9D9D9" w:themeFill="background1" w:themeFillShade="D9"/>
        <w:suppressAutoHyphens/>
        <w:spacing w:line="240" w:lineRule="auto"/>
        <w:ind w:left="567"/>
      </w:pPr>
      <w:r w:rsidRPr="00AD2CF5">
        <w:t>Deze parameters worden gebruikt voor de berekening van het bronniveau</w:t>
      </w:r>
      <w:r w:rsidRPr="00AD2CF5">
        <w:fldChar w:fldCharType="begin"/>
      </w:r>
      <w:r w:rsidRPr="00AD2CF5">
        <w:instrText xml:space="preserve"> XE "bronniveau" </w:instrText>
      </w:r>
      <w:r w:rsidRPr="00AD2CF5">
        <w:fldChar w:fldCharType="end"/>
      </w:r>
      <w:r w:rsidRPr="00AD2CF5">
        <w:t xml:space="preserve"> van kogelgeluid</w:t>
      </w:r>
      <w:r w:rsidRPr="00AD2CF5">
        <w:fldChar w:fldCharType="begin"/>
      </w:r>
      <w:r w:rsidRPr="00AD2CF5">
        <w:instrText xml:space="preserve"> XE "kogelgeluid" </w:instrText>
      </w:r>
      <w:r w:rsidRPr="00AD2CF5">
        <w:fldChar w:fldCharType="end"/>
      </w:r>
      <w:r w:rsidRPr="00AD2CF5">
        <w:t xml:space="preserve"> (zie § 4.6.1). De kogelsnelheid</w:t>
      </w:r>
      <w:r w:rsidRPr="00AD2CF5">
        <w:fldChar w:fldCharType="begin"/>
      </w:r>
      <w:r w:rsidRPr="00AD2CF5">
        <w:instrText xml:space="preserve"> XE "kogelsnelheid" </w:instrText>
      </w:r>
      <w:r w:rsidRPr="00AD2CF5">
        <w:fldChar w:fldCharType="end"/>
      </w:r>
      <w:r w:rsidRPr="00AD2CF5">
        <w:t xml:space="preserve"> </w:t>
      </w:r>
      <w:r w:rsidRPr="00AD2CF5">
        <w:rPr>
          <w:i/>
        </w:rPr>
        <w:t>v</w:t>
      </w:r>
      <w:r w:rsidRPr="00AD2CF5">
        <w:rPr>
          <w:i/>
          <w:vertAlign w:val="subscript"/>
        </w:rPr>
        <w:t>k</w:t>
      </w:r>
      <w:r w:rsidRPr="00AD2CF5">
        <w:t xml:space="preserve"> op een afstand </w:t>
      </w:r>
      <w:r w:rsidRPr="00AD2CF5">
        <w:rPr>
          <w:i/>
        </w:rPr>
        <w:t>x</w:t>
      </w:r>
      <w:r w:rsidRPr="00AD2CF5">
        <w:t xml:space="preserve"> van de mond van het wapen wordt gegeven door de relatie:</w:t>
      </w:r>
    </w:p>
    <w:p w:rsidR="00F43C9B" w:rsidRPr="00AD2CF5" w:rsidRDefault="00F43C9B" w:rsidP="00F43C9B">
      <w:pPr>
        <w:pStyle w:val="Bijschrift"/>
        <w:shd w:val="clear" w:color="auto" w:fill="D9D9D9" w:themeFill="background1" w:themeFillShade="D9"/>
        <w:tabs>
          <w:tab w:val="left" w:pos="1134"/>
          <w:tab w:val="right" w:pos="7371"/>
        </w:tabs>
        <w:rPr>
          <w:rStyle w:val="EquationCaption"/>
          <w:b/>
          <w:lang w:val="nl-NL"/>
        </w:rPr>
      </w:pPr>
      <w:r w:rsidRPr="00AD2CF5">
        <w:rPr>
          <w:position w:val="-12"/>
        </w:rPr>
        <w:object w:dxaOrig="1300" w:dyaOrig="360">
          <v:shape id="_x0000_i1042" type="#_x0000_t75" style="width:64.5pt;height:18pt" o:ole="" fillcolor="window">
            <v:imagedata r:id="rId111" o:title=""/>
          </v:shape>
          <o:OLEObject Type="Embed" ProgID="Equation.3" ShapeID="_x0000_i1042" DrawAspect="Content" ObjectID="_1511255380" r:id="rId112"/>
        </w:object>
      </w:r>
      <w:r w:rsidRPr="00AD2CF5">
        <w:rPr>
          <w:lang w:val="nl-NL"/>
        </w:rPr>
        <w:tab/>
        <w:t xml:space="preserve">(4. </w:t>
      </w:r>
      <w:r w:rsidRPr="00AD2CF5">
        <w:fldChar w:fldCharType="begin"/>
      </w:r>
      <w:r w:rsidRPr="00AD2CF5">
        <w:rPr>
          <w:lang w:val="nl-NL"/>
        </w:rPr>
        <w:instrText xml:space="preserve"> SEQ (4. \* ARABIC </w:instrText>
      </w:r>
      <w:r w:rsidRPr="00AD2CF5">
        <w:fldChar w:fldCharType="separate"/>
      </w:r>
      <w:r>
        <w:rPr>
          <w:noProof/>
          <w:lang w:val="nl-NL"/>
        </w:rPr>
        <w:t>5</w:t>
      </w:r>
      <w:r w:rsidRPr="00AD2CF5">
        <w:rPr>
          <w:noProof/>
        </w:rPr>
        <w:fldChar w:fldCharType="end"/>
      </w:r>
      <w:r w:rsidRPr="00AD2CF5">
        <w:rPr>
          <w:lang w:val="nl-NL"/>
        </w:rPr>
        <w:t>)</w:t>
      </w:r>
    </w:p>
    <w:p w:rsidR="00F43C9B" w:rsidRPr="00AD2CF5" w:rsidRDefault="00F43C9B" w:rsidP="00F43C9B">
      <w:pPr>
        <w:shd w:val="clear" w:color="auto" w:fill="D9D9D9" w:themeFill="background1" w:themeFillShade="D9"/>
        <w:rPr>
          <w:i/>
        </w:rPr>
      </w:pPr>
      <w:r w:rsidRPr="00AD2CF5">
        <w:t>Voor hand- en vuistvuurwapens kan het aantal wapen-munitiecombinaties dat op een schietbaan wordt gebruikt zo groot zijn dat het een onevenredige inspanning is om voor al deze combinaties de geluidbronsterkte vast te stellen. Hiertoe zijn een aantal standaard categorieën met bijbehorende bronsterkte gedefinieerd, die gebruikt kunnen worden als geen bronsterktemetingen voor de betreffende wapen-munitiecombinatie beschikbaar zijn. Deze categorieën zijn beschreven in rapport “Toelichting op toepassing van methoden voor meten en rekenen aan schietgeluid” (TNO 2014 R10135).</w:t>
      </w:r>
    </w:p>
    <w:p w:rsidR="00F43C9B" w:rsidRPr="00AD2CF5" w:rsidRDefault="00F43C9B" w:rsidP="00F43C9B">
      <w:pPr>
        <w:shd w:val="clear" w:color="auto" w:fill="D9D9D9" w:themeFill="background1" w:themeFillShade="D9"/>
        <w:rPr>
          <w:i/>
        </w:rPr>
      </w:pPr>
      <w:r w:rsidRPr="00AD2CF5">
        <w:rPr>
          <w:i/>
        </w:rPr>
        <w:t>Bronniveau van het mondingsgeluid</w:t>
      </w:r>
      <w:r w:rsidRPr="00AD2CF5">
        <w:rPr>
          <w:i/>
        </w:rPr>
        <w:fldChar w:fldCharType="begin"/>
      </w:r>
      <w:r w:rsidRPr="00AD2CF5">
        <w:rPr>
          <w:i/>
        </w:rPr>
        <w:instrText xml:space="preserve"> XE "</w:instrText>
      </w:r>
      <w:r w:rsidRPr="00AD2CF5">
        <w:instrText>mondingsgeluid"</w:instrText>
      </w:r>
      <w:r w:rsidRPr="00AD2CF5">
        <w:rPr>
          <w:i/>
        </w:rPr>
        <w:instrText xml:space="preserve"> </w:instrText>
      </w:r>
      <w:r w:rsidRPr="00AD2CF5">
        <w:rPr>
          <w:i/>
        </w:rPr>
        <w:fldChar w:fldCharType="end"/>
      </w:r>
      <w:r w:rsidRPr="00AD2CF5">
        <w:rPr>
          <w:i/>
        </w:rPr>
        <w:t xml:space="preserve"> en detonatiegeluid</w:t>
      </w:r>
      <w:r w:rsidRPr="00AD2CF5">
        <w:rPr>
          <w:i/>
        </w:rPr>
        <w:br/>
      </w:r>
      <w:r w:rsidRPr="00AD2CF5">
        <w:t>Het gegevensbestand</w:t>
      </w:r>
      <w:r w:rsidRPr="00AD2CF5">
        <w:fldChar w:fldCharType="begin"/>
      </w:r>
      <w:r w:rsidRPr="00AD2CF5">
        <w:instrText xml:space="preserve"> XE "gegevensbestand" </w:instrText>
      </w:r>
      <w:r w:rsidRPr="00AD2CF5">
        <w:fldChar w:fldCharType="end"/>
      </w:r>
      <w:r w:rsidRPr="00AD2CF5">
        <w:t xml:space="preserve"> bevat octaafbandspectra van het bronniveau</w:t>
      </w:r>
      <w:r w:rsidRPr="00AD2CF5">
        <w:fldChar w:fldCharType="begin"/>
      </w:r>
      <w:r w:rsidRPr="00AD2CF5">
        <w:instrText xml:space="preserve"> XE "bronniveau" </w:instrText>
      </w:r>
      <w:r w:rsidRPr="00AD2CF5">
        <w:fldChar w:fldCharType="end"/>
      </w:r>
      <w:r w:rsidRPr="00AD2CF5">
        <w:t xml:space="preserve"> van mondings</w:t>
      </w:r>
      <w:r w:rsidRPr="00AD2CF5">
        <w:softHyphen/>
        <w:t>geluid</w:t>
      </w:r>
      <w:r w:rsidRPr="00AD2CF5">
        <w:fldChar w:fldCharType="begin"/>
      </w:r>
      <w:r w:rsidRPr="00AD2CF5">
        <w:instrText xml:space="preserve"> XE "mondingsgeluid" </w:instrText>
      </w:r>
      <w:r w:rsidRPr="00AD2CF5">
        <w:fldChar w:fldCharType="end"/>
      </w:r>
      <w:r w:rsidRPr="00AD2CF5">
        <w:t xml:space="preserve"> en detonatiegeluid, voor een aantal richtingen. De spectra zijn geordend als een matrix </w:t>
      </w:r>
      <w:r w:rsidRPr="00AD2CF5">
        <w:rPr>
          <w:i/>
        </w:rPr>
        <w:t>L</w:t>
      </w:r>
      <w:r w:rsidRPr="00AD2CF5">
        <w:rPr>
          <w:i/>
          <w:vertAlign w:val="subscript"/>
        </w:rPr>
        <w:t>Eb</w:t>
      </w:r>
      <w:r w:rsidRPr="00AD2CF5">
        <w:t>(</w:t>
      </w:r>
      <w:r w:rsidRPr="00AD2CF5">
        <w:rPr>
          <w:i/>
        </w:rPr>
        <w:sym w:font="Symbol" w:char="F06A"/>
      </w:r>
      <w:r w:rsidRPr="00AD2CF5">
        <w:rPr>
          <w:i/>
          <w:vertAlign w:val="subscript"/>
        </w:rPr>
        <w:t>j</w:t>
      </w:r>
      <w:r w:rsidRPr="00AD2CF5">
        <w:t>,</w:t>
      </w:r>
      <w:r w:rsidRPr="00AD2CF5">
        <w:rPr>
          <w:i/>
        </w:rPr>
        <w:t>f</w:t>
      </w:r>
      <w:r w:rsidRPr="00AD2CF5">
        <w:t xml:space="preserve">), voor de octaafbanden met middenfrequenties </w:t>
      </w:r>
      <w:r w:rsidRPr="00AD2CF5">
        <w:rPr>
          <w:i/>
        </w:rPr>
        <w:t>f</w:t>
      </w:r>
      <w:r w:rsidRPr="00AD2CF5">
        <w:rPr>
          <w:i/>
          <w:vertAlign w:val="subscript"/>
        </w:rPr>
        <w:t>k</w:t>
      </w:r>
      <w:r w:rsidRPr="00AD2CF5">
        <w:t xml:space="preserve"> = 16 Hz, 31,5 Hz, …, 4000 Hz en </w:t>
      </w:r>
      <w:r w:rsidRPr="00AD2CF5">
        <w:rPr>
          <w:i/>
        </w:rPr>
        <w:t>N</w:t>
      </w:r>
      <w:r w:rsidRPr="00AD2CF5">
        <w:t xml:space="preserve"> hoeken </w:t>
      </w:r>
      <w:r w:rsidRPr="00AD2CF5">
        <w:rPr>
          <w:i/>
        </w:rPr>
        <w:sym w:font="Symbol" w:char="F06A"/>
      </w:r>
      <w:r w:rsidRPr="00AD2CF5">
        <w:rPr>
          <w:i/>
          <w:vertAlign w:val="subscript"/>
        </w:rPr>
        <w:t>j</w:t>
      </w:r>
      <w:r w:rsidRPr="00AD2CF5">
        <w:rPr>
          <w:i/>
        </w:rPr>
        <w:t xml:space="preserve"> </w:t>
      </w:r>
      <w:r w:rsidRPr="00AD2CF5">
        <w:t xml:space="preserve">met </w:t>
      </w:r>
      <w:r w:rsidRPr="00AD2CF5">
        <w:rPr>
          <w:i/>
        </w:rPr>
        <w:t>j</w:t>
      </w:r>
      <w:r w:rsidRPr="00AD2CF5">
        <w:t> = 1, 2, …, </w:t>
      </w:r>
      <w:r w:rsidRPr="00AD2CF5">
        <w:rPr>
          <w:i/>
        </w:rPr>
        <w:t>N</w:t>
      </w:r>
      <w:r w:rsidRPr="00AD2CF5">
        <w:t xml:space="preserve">. De hoek </w:t>
      </w:r>
      <w:r w:rsidRPr="00AD2CF5">
        <w:rPr>
          <w:i/>
        </w:rPr>
        <w:sym w:font="Symbol" w:char="F06A"/>
      </w:r>
      <w:r w:rsidRPr="00AD2CF5">
        <w:rPr>
          <w:i/>
          <w:vertAlign w:val="subscript"/>
        </w:rPr>
        <w:t>j</w:t>
      </w:r>
      <w:r w:rsidRPr="00AD2CF5">
        <w:t xml:space="preserve"> is hierbij gedefinieerd als de hoek tussen de lijn van bron naar rekenpunt en de vuurlijn (vanuit de bron met de klok mee gemeten, in een bovenaanzicht). De waarde </w:t>
      </w:r>
      <w:r w:rsidRPr="00AD2CF5">
        <w:rPr>
          <w:i/>
        </w:rPr>
        <w:sym w:font="Symbol" w:char="F06A"/>
      </w:r>
      <w:r w:rsidRPr="00AD2CF5">
        <w:t> = 0</w:t>
      </w:r>
      <w:r w:rsidRPr="00AD2CF5">
        <w:rPr>
          <w:vertAlign w:val="superscript"/>
        </w:rPr>
        <w:t>o</w:t>
      </w:r>
      <w:r w:rsidRPr="00AD2CF5">
        <w:t xml:space="preserve"> komt dus overeen met de schiet</w:t>
      </w:r>
      <w:r w:rsidRPr="00AD2CF5">
        <w:softHyphen/>
        <w:t>richting.</w:t>
      </w:r>
      <w:r w:rsidRPr="00AD2CF5">
        <w:fldChar w:fldCharType="begin"/>
      </w:r>
      <w:r w:rsidRPr="00AD2CF5">
        <w:instrText xml:space="preserve"> XE "schietrichting" </w:instrText>
      </w:r>
      <w:r w:rsidRPr="00AD2CF5">
        <w:fldChar w:fldCharType="end"/>
      </w:r>
      <w:r w:rsidRPr="00AD2CF5">
        <w:t xml:space="preserve"> Indien er in het bronnen</w:t>
      </w:r>
      <w:r w:rsidRPr="00AD2CF5">
        <w:softHyphen/>
        <w:t>bestand voor een bepaalde wapen-munitie</w:t>
      </w:r>
      <w:r w:rsidRPr="00AD2CF5">
        <w:softHyphen/>
        <w:t>com</w:t>
      </w:r>
      <w:r w:rsidRPr="00AD2CF5">
        <w:softHyphen/>
        <w:t>binatie geen bronniveaus opge</w:t>
      </w:r>
      <w:r w:rsidRPr="00AD2CF5">
        <w:softHyphen/>
        <w:t>nomen zijn voor hoeken groter dan 180</w:t>
      </w:r>
      <w:r w:rsidRPr="00AD2CF5">
        <w:rPr>
          <w:rFonts w:ascii="Symbol" w:hAnsi="Symbol"/>
        </w:rPr>
        <w:t></w:t>
      </w:r>
      <w:r w:rsidRPr="00AD2CF5">
        <w:rPr>
          <w:rFonts w:ascii="Symbol" w:hAnsi="Symbol"/>
        </w:rPr>
        <w:t></w:t>
      </w:r>
      <w:r w:rsidRPr="00AD2CF5">
        <w:t xml:space="preserve"> wordt uit</w:t>
      </w:r>
      <w:r w:rsidRPr="00AD2CF5">
        <w:softHyphen/>
        <w:t>gegaan van een sym</w:t>
      </w:r>
      <w:r w:rsidRPr="00AD2CF5">
        <w:softHyphen/>
        <w:t>metrische uitstraling rond de schiet</w:t>
      </w:r>
      <w:r w:rsidRPr="00AD2CF5">
        <w:softHyphen/>
        <w:t>richting. Bronniveaus in richtingen die niet in het gegevensbestand zijn opgenomen worden door inter</w:t>
      </w:r>
      <w:r w:rsidRPr="00AD2CF5">
        <w:softHyphen/>
        <w:t>po</w:t>
      </w:r>
      <w:r w:rsidRPr="00AD2CF5">
        <w:softHyphen/>
        <w:t>latie bepaald.</w:t>
      </w:r>
    </w:p>
    <w:p w:rsidR="00F43C9B" w:rsidRPr="00AD2CF5" w:rsidRDefault="00F43C9B" w:rsidP="00F43C9B">
      <w:pPr>
        <w:pStyle w:val="Plattetekstinspringen"/>
        <w:shd w:val="clear" w:color="auto" w:fill="D9D9D9" w:themeFill="background1" w:themeFillShade="D9"/>
        <w:ind w:firstLine="0"/>
      </w:pPr>
      <w:r w:rsidRPr="00AD2CF5">
        <w:t>Indien in het gegevensbestand</w:t>
      </w:r>
      <w:r w:rsidRPr="00AD2CF5">
        <w:fldChar w:fldCharType="begin"/>
      </w:r>
      <w:r w:rsidRPr="00AD2CF5">
        <w:instrText xml:space="preserve"> XE "gegevensbestand" </w:instrText>
      </w:r>
      <w:r w:rsidRPr="00AD2CF5">
        <w:fldChar w:fldCharType="end"/>
      </w:r>
      <w:r w:rsidRPr="00AD2CF5">
        <w:t xml:space="preserve"> de bron</w:t>
      </w:r>
      <w:r w:rsidRPr="00AD2CF5">
        <w:softHyphen/>
        <w:t xml:space="preserve">sterkte alleen voor </w:t>
      </w:r>
      <w:r w:rsidRPr="00AD2CF5">
        <w:rPr>
          <w:lang w:val="nl-NL"/>
        </w:rPr>
        <w:t>0</w:t>
      </w:r>
      <w:r w:rsidRPr="00AD2CF5">
        <w:rPr>
          <w:rFonts w:ascii="Symbol" w:hAnsi="Symbol"/>
          <w:lang w:val="nl-NL"/>
        </w:rPr>
        <w:t></w:t>
      </w:r>
      <w:r w:rsidRPr="00AD2CF5">
        <w:rPr>
          <w:rFonts w:ascii="Symbol" w:hAnsi="Symbol"/>
          <w:lang w:val="nl-NL"/>
        </w:rPr>
        <w:t></w:t>
      </w:r>
      <w:r w:rsidRPr="00AD2CF5">
        <w:t>gegeven is, betekent dit dat deze bron richtingsonafhankelijk is. De gegeven bronsterkte geldt dan voor alle hoeken.</w:t>
      </w:r>
    </w:p>
    <w:p w:rsidR="00F43C9B" w:rsidRPr="00AD2CF5" w:rsidRDefault="00F43C9B" w:rsidP="00F43C9B">
      <w:pPr>
        <w:shd w:val="clear" w:color="auto" w:fill="D9D9D9" w:themeFill="background1" w:themeFillShade="D9"/>
      </w:pPr>
      <w:r w:rsidRPr="00AD2CF5">
        <w:t>In die gevallen waarbij de schietrichting</w:t>
      </w:r>
      <w:r w:rsidRPr="00AD2CF5">
        <w:fldChar w:fldCharType="begin"/>
      </w:r>
      <w:r w:rsidRPr="00AD2CF5">
        <w:instrText xml:space="preserve"> XE "schietrichting" </w:instrText>
      </w:r>
      <w:r w:rsidRPr="00AD2CF5">
        <w:fldChar w:fldCharType="end"/>
      </w:r>
      <w:r w:rsidRPr="00AD2CF5">
        <w:t xml:space="preserve"> niet bepaald is (bijvoorbeeld op oefen</w:t>
      </w:r>
      <w:r w:rsidRPr="00AD2CF5">
        <w:softHyphen/>
        <w:t>terreinen</w:t>
      </w:r>
      <w:r w:rsidRPr="00AD2CF5">
        <w:fldChar w:fldCharType="begin"/>
      </w:r>
      <w:r w:rsidRPr="00AD2CF5">
        <w:instrText xml:space="preserve"> XE "schietinrichtingen:oefenterreinen" </w:instrText>
      </w:r>
      <w:r w:rsidRPr="00AD2CF5">
        <w:fldChar w:fldCharType="end"/>
      </w:r>
      <w:r w:rsidRPr="00AD2CF5">
        <w:t>) wordt de bron als een richtingsonafhankelijke puntbron</w:t>
      </w:r>
      <w:r w:rsidRPr="00AD2CF5">
        <w:fldChar w:fldCharType="begin"/>
      </w:r>
      <w:r w:rsidRPr="00AD2CF5">
        <w:instrText xml:space="preserve"> XE "puntbron" </w:instrText>
      </w:r>
      <w:r w:rsidRPr="00AD2CF5">
        <w:fldChar w:fldCharType="end"/>
      </w:r>
      <w:r w:rsidRPr="00AD2CF5">
        <w:t xml:space="preserve"> gemodelleerd. Het richtingsonafhankelijke spectrum</w:t>
      </w:r>
      <w:r w:rsidRPr="00AD2CF5">
        <w:fldChar w:fldCharType="begin"/>
      </w:r>
      <w:r w:rsidRPr="00AD2CF5">
        <w:instrText xml:space="preserve"> XE "spectrum" </w:instrText>
      </w:r>
      <w:r w:rsidRPr="00AD2CF5">
        <w:fldChar w:fldCharType="end"/>
      </w:r>
      <w:r w:rsidRPr="00AD2CF5">
        <w:t xml:space="preserve"> wordt uit het hoekafhankelijke bronspectrum bepaald door een gewogen energetische middeling:</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tabs>
          <w:tab w:val="left" w:pos="567"/>
          <w:tab w:val="right" w:pos="7371"/>
        </w:tabs>
        <w:spacing w:line="240" w:lineRule="auto"/>
      </w:pPr>
      <w:r w:rsidRPr="00AD2CF5">
        <w:rPr>
          <w:position w:val="-30"/>
        </w:rPr>
        <w:object w:dxaOrig="3220" w:dyaOrig="700">
          <v:shape id="_x0000_i1043" type="#_x0000_t75" style="width:161.25pt;height:34.5pt" o:ole="" fillcolor="window">
            <v:imagedata r:id="rId113" o:title=""/>
          </v:shape>
          <o:OLEObject Type="Embed" ProgID="Equation.3" ShapeID="_x0000_i1043" DrawAspect="Content" ObjectID="_1511255381" r:id="rId114"/>
        </w:object>
      </w:r>
      <w:r w:rsidRPr="00AD2CF5">
        <w:tab/>
      </w:r>
      <w:r w:rsidRPr="00AD2CF5">
        <w:rPr>
          <w:b/>
        </w:rPr>
        <w:t xml:space="preserve">(4. </w:t>
      </w:r>
      <w:r w:rsidRPr="00AD2CF5">
        <w:rPr>
          <w:b/>
        </w:rPr>
        <w:fldChar w:fldCharType="begin"/>
      </w:r>
      <w:r w:rsidRPr="00AD2CF5">
        <w:rPr>
          <w:b/>
        </w:rPr>
        <w:instrText xml:space="preserve"> SEQ (4. \* ARABIC </w:instrText>
      </w:r>
      <w:r w:rsidRPr="00AD2CF5">
        <w:rPr>
          <w:b/>
        </w:rPr>
        <w:fldChar w:fldCharType="separate"/>
      </w:r>
      <w:r>
        <w:rPr>
          <w:b/>
          <w:noProof/>
        </w:rPr>
        <w:t>6</w:t>
      </w:r>
      <w:r w:rsidRPr="00AD2CF5">
        <w:rPr>
          <w:b/>
        </w:rPr>
        <w:fldChar w:fldCharType="end"/>
      </w:r>
      <w:r w:rsidRPr="00AD2CF5">
        <w:rPr>
          <w:b/>
        </w:rPr>
        <w:t>)</w:t>
      </w:r>
    </w:p>
    <w:p w:rsidR="00F43C9B" w:rsidRPr="00AD2CF5" w:rsidRDefault="00F43C9B" w:rsidP="00F43C9B">
      <w:pPr>
        <w:shd w:val="clear" w:color="auto" w:fill="D9D9D9" w:themeFill="background1" w:themeFillShade="D9"/>
      </w:pPr>
      <w:r w:rsidRPr="00AD2CF5">
        <w:t>met:</w:t>
      </w:r>
    </w:p>
    <w:p w:rsidR="00F43C9B" w:rsidRPr="00AD2CF5" w:rsidRDefault="00F43C9B" w:rsidP="00F43C9B">
      <w:pPr>
        <w:shd w:val="clear" w:color="auto" w:fill="D9D9D9" w:themeFill="background1" w:themeFillShade="D9"/>
        <w:tabs>
          <w:tab w:val="left" w:pos="567"/>
          <w:tab w:val="left" w:pos="1418"/>
        </w:tabs>
      </w:pPr>
      <w:r w:rsidRPr="00AD2CF5">
        <w:rPr>
          <w:i/>
        </w:rPr>
        <w:t>L</w:t>
      </w:r>
      <w:r w:rsidRPr="00AD2CF5">
        <w:rPr>
          <w:i/>
          <w:vertAlign w:val="subscript"/>
        </w:rPr>
        <w:t>Eb</w:t>
      </w:r>
      <w:r w:rsidRPr="00AD2CF5">
        <w:t>(</w:t>
      </w:r>
      <w:r w:rsidRPr="00AD2CF5">
        <w:rPr>
          <w:i/>
        </w:rPr>
        <w:t>f</w:t>
      </w:r>
      <w:r w:rsidRPr="00AD2CF5">
        <w:rPr>
          <w:i/>
          <w:vertAlign w:val="subscript"/>
        </w:rPr>
        <w:t>k</w:t>
      </w:r>
      <w:r w:rsidRPr="00AD2CF5">
        <w:t>)</w:t>
      </w:r>
      <w:r w:rsidRPr="00AD2CF5">
        <w:tab/>
      </w:r>
      <w:r w:rsidRPr="00AD2CF5">
        <w:tab/>
        <w:t>het energetisch gemiddelde bronniveau</w:t>
      </w:r>
      <w:r w:rsidRPr="00AD2CF5">
        <w:fldChar w:fldCharType="begin"/>
      </w:r>
      <w:r w:rsidRPr="00AD2CF5">
        <w:instrText xml:space="preserve"> XE "bronniveau" </w:instrText>
      </w:r>
      <w:r w:rsidRPr="00AD2CF5">
        <w:fldChar w:fldCharType="end"/>
      </w:r>
    </w:p>
    <w:p w:rsidR="00F43C9B" w:rsidRPr="00AD2CF5" w:rsidRDefault="00F43C9B" w:rsidP="00F43C9B">
      <w:pPr>
        <w:shd w:val="clear" w:color="auto" w:fill="D9D9D9" w:themeFill="background1" w:themeFillShade="D9"/>
        <w:tabs>
          <w:tab w:val="left" w:pos="567"/>
          <w:tab w:val="left" w:pos="1418"/>
        </w:tabs>
      </w:pPr>
      <w:r w:rsidRPr="00AD2CF5">
        <w:rPr>
          <w:i/>
        </w:rPr>
        <w:t>L</w:t>
      </w:r>
      <w:r w:rsidRPr="00AD2CF5">
        <w:rPr>
          <w:i/>
          <w:vertAlign w:val="subscript"/>
        </w:rPr>
        <w:t>Eb</w:t>
      </w:r>
      <w:r w:rsidRPr="00AD2CF5">
        <w:t>(</w:t>
      </w:r>
      <w:r w:rsidRPr="00AD2CF5">
        <w:rPr>
          <w:i/>
        </w:rPr>
        <w:sym w:font="Symbol" w:char="F06A"/>
      </w:r>
      <w:r w:rsidRPr="00AD2CF5">
        <w:rPr>
          <w:i/>
          <w:vertAlign w:val="subscript"/>
        </w:rPr>
        <w:t>j</w:t>
      </w:r>
      <w:r w:rsidRPr="00AD2CF5">
        <w:rPr>
          <w:i/>
        </w:rPr>
        <w:t>,f</w:t>
      </w:r>
      <w:r w:rsidRPr="00AD2CF5">
        <w:rPr>
          <w:vertAlign w:val="subscript"/>
        </w:rPr>
        <w:t>k</w:t>
      </w:r>
      <w:r w:rsidRPr="00AD2CF5">
        <w:t>)</w:t>
      </w:r>
      <w:r w:rsidRPr="00AD2CF5">
        <w:tab/>
      </w:r>
      <w:r w:rsidRPr="00AD2CF5">
        <w:tab/>
        <w:t>het bronniveau</w:t>
      </w:r>
      <w:r w:rsidRPr="00AD2CF5">
        <w:fldChar w:fldCharType="begin"/>
      </w:r>
      <w:r w:rsidRPr="00AD2CF5">
        <w:instrText xml:space="preserve"> XE "bronniveau" </w:instrText>
      </w:r>
      <w:r w:rsidRPr="00AD2CF5">
        <w:fldChar w:fldCharType="end"/>
      </w:r>
      <w:r w:rsidRPr="00AD2CF5">
        <w:t xml:space="preserve"> in richting </w:t>
      </w:r>
      <w:r w:rsidRPr="00AD2CF5">
        <w:rPr>
          <w:i/>
        </w:rPr>
        <w:sym w:font="Symbol" w:char="F06A"/>
      </w:r>
      <w:r w:rsidRPr="00AD2CF5">
        <w:rPr>
          <w:i/>
          <w:vertAlign w:val="subscript"/>
        </w:rPr>
        <w:t>i</w:t>
      </w:r>
      <w:r w:rsidRPr="00AD2CF5">
        <w:t xml:space="preserve"> t.o.v. de schietrichting</w:t>
      </w:r>
      <w:r w:rsidRPr="00AD2CF5">
        <w:fldChar w:fldCharType="begin"/>
      </w:r>
      <w:r w:rsidRPr="00AD2CF5">
        <w:instrText xml:space="preserve"> XE "schietrichting" </w:instrText>
      </w:r>
      <w:r w:rsidRPr="00AD2CF5">
        <w:fldChar w:fldCharType="end"/>
      </w:r>
    </w:p>
    <w:p w:rsidR="00F43C9B" w:rsidRPr="00AD2CF5" w:rsidRDefault="00F43C9B" w:rsidP="00F43C9B">
      <w:pPr>
        <w:shd w:val="clear" w:color="auto" w:fill="D9D9D9" w:themeFill="background1" w:themeFillShade="D9"/>
        <w:tabs>
          <w:tab w:val="left" w:pos="567"/>
          <w:tab w:val="left" w:pos="1418"/>
        </w:tabs>
      </w:pPr>
      <w:r w:rsidRPr="00AD2CF5">
        <w:rPr>
          <w:i/>
        </w:rPr>
        <w:t>N</w:t>
      </w:r>
      <w:r w:rsidRPr="00AD2CF5">
        <w:rPr>
          <w:i/>
        </w:rPr>
        <w:tab/>
      </w:r>
      <w:r w:rsidRPr="00AD2CF5">
        <w:tab/>
        <w:t>aantal beschikbare hoeken</w:t>
      </w:r>
    </w:p>
    <w:p w:rsidR="00F43C9B" w:rsidRPr="00AD2CF5" w:rsidRDefault="00F43C9B" w:rsidP="00F43C9B">
      <w:pPr>
        <w:shd w:val="clear" w:color="auto" w:fill="D9D9D9" w:themeFill="background1" w:themeFillShade="D9"/>
        <w:tabs>
          <w:tab w:val="left" w:pos="567"/>
          <w:tab w:val="left" w:pos="1418"/>
        </w:tabs>
      </w:pPr>
      <w:r w:rsidRPr="00AD2CF5">
        <w:rPr>
          <w:i/>
          <w:iCs/>
        </w:rPr>
        <w:t>g</w:t>
      </w:r>
      <w:r w:rsidRPr="00AD2CF5">
        <w:rPr>
          <w:i/>
          <w:iCs/>
          <w:vertAlign w:val="subscript"/>
        </w:rPr>
        <w:t>j</w:t>
      </w:r>
      <w:r w:rsidRPr="00AD2CF5">
        <w:rPr>
          <w:i/>
        </w:rPr>
        <w:tab/>
      </w:r>
      <w:r w:rsidRPr="00AD2CF5">
        <w:tab/>
        <w:t>gewichtsfactor</w:t>
      </w:r>
    </w:p>
    <w:p w:rsidR="00F43C9B" w:rsidRPr="00AD2CF5" w:rsidRDefault="00F43C9B" w:rsidP="00F43C9B">
      <w:pPr>
        <w:pStyle w:val="Inhopg1"/>
        <w:shd w:val="clear" w:color="auto" w:fill="D9D9D9" w:themeFill="background1" w:themeFillShade="D9"/>
        <w:spacing w:after="0"/>
      </w:pPr>
    </w:p>
    <w:p w:rsidR="00F43C9B" w:rsidRPr="00AD2CF5" w:rsidRDefault="00F43C9B" w:rsidP="00F43C9B">
      <w:pPr>
        <w:shd w:val="clear" w:color="auto" w:fill="D9D9D9" w:themeFill="background1" w:themeFillShade="D9"/>
      </w:pPr>
      <w:r w:rsidRPr="00AD2CF5">
        <w:t>De gewichtsfactor wordt bepaald door:</w:t>
      </w:r>
    </w:p>
    <w:p w:rsidR="00F43C9B" w:rsidRPr="00AD2CF5" w:rsidRDefault="00F43C9B" w:rsidP="00F43C9B">
      <w:pPr>
        <w:shd w:val="clear" w:color="auto" w:fill="D9D9D9" w:themeFill="background1" w:themeFillShade="D9"/>
        <w:spacing w:line="240" w:lineRule="auto"/>
      </w:pPr>
    </w:p>
    <w:p w:rsidR="00F43C9B" w:rsidRPr="00AD2CF5" w:rsidRDefault="00F43C9B" w:rsidP="00F43C9B">
      <w:pPr>
        <w:shd w:val="clear" w:color="auto" w:fill="D9D9D9" w:themeFill="background1" w:themeFillShade="D9"/>
        <w:tabs>
          <w:tab w:val="left" w:pos="567"/>
        </w:tabs>
        <w:spacing w:line="240" w:lineRule="auto"/>
      </w:pPr>
      <w:r w:rsidRPr="00AD2CF5">
        <w:rPr>
          <w:position w:val="-80"/>
        </w:rPr>
        <w:object w:dxaOrig="1960" w:dyaOrig="1719">
          <v:shape id="_x0000_i1044" type="#_x0000_t75" style="width:99pt;height:85.5pt" o:ole="" fillcolor="window">
            <v:imagedata r:id="rId115" o:title=""/>
          </v:shape>
          <o:OLEObject Type="Embed" ProgID="Equation.3" ShapeID="_x0000_i1044" DrawAspect="Content" ObjectID="_1511255382" r:id="rId116"/>
        </w:object>
      </w:r>
    </w:p>
    <w:p w:rsidR="00F43C9B" w:rsidRPr="00AD2CF5" w:rsidRDefault="00F43C9B" w:rsidP="00F43C9B">
      <w:pPr>
        <w:shd w:val="clear" w:color="auto" w:fill="D9D9D9" w:themeFill="background1" w:themeFillShade="D9"/>
        <w:rPr>
          <w:i/>
        </w:rPr>
      </w:pPr>
      <w:r w:rsidRPr="00AD2CF5">
        <w:rPr>
          <w:i/>
        </w:rPr>
        <w:t>Interpolatiemethode</w:t>
      </w:r>
      <w:r w:rsidRPr="00AD2CF5">
        <w:rPr>
          <w:i/>
        </w:rPr>
        <w:br/>
      </w:r>
      <w:r w:rsidRPr="00AD2CF5">
        <w:t xml:space="preserve">Met behulp van de matrix </w:t>
      </w:r>
      <w:r w:rsidRPr="00AD2CF5">
        <w:rPr>
          <w:i/>
        </w:rPr>
        <w:t>L</w:t>
      </w:r>
      <w:r w:rsidRPr="00AD2CF5">
        <w:rPr>
          <w:i/>
          <w:vertAlign w:val="subscript"/>
        </w:rPr>
        <w:t>Eb</w:t>
      </w:r>
      <w:r w:rsidRPr="00AD2CF5">
        <w:t>(</w:t>
      </w:r>
      <w:r w:rsidRPr="00AD2CF5">
        <w:rPr>
          <w:i/>
        </w:rPr>
        <w:sym w:font="Symbol" w:char="F06A"/>
      </w:r>
      <w:r w:rsidRPr="00AD2CF5">
        <w:rPr>
          <w:i/>
          <w:vertAlign w:val="subscript"/>
        </w:rPr>
        <w:t>j</w:t>
      </w:r>
      <w:r w:rsidRPr="00AD2CF5">
        <w:t>,</w:t>
      </w:r>
      <w:r w:rsidRPr="00AD2CF5">
        <w:rPr>
          <w:i/>
        </w:rPr>
        <w:t>f</w:t>
      </w:r>
      <w:r w:rsidRPr="00AD2CF5">
        <w:rPr>
          <w:i/>
          <w:vertAlign w:val="subscript"/>
        </w:rPr>
        <w:t>k</w:t>
      </w:r>
      <w:r w:rsidRPr="00AD2CF5">
        <w:t>) kan het octaafbandspectrum van het bron</w:t>
      </w:r>
      <w:r w:rsidRPr="00AD2CF5">
        <w:softHyphen/>
        <w:t>niveau</w:t>
      </w:r>
      <w:r w:rsidRPr="00AD2CF5">
        <w:fldChar w:fldCharType="begin"/>
      </w:r>
      <w:r w:rsidRPr="00AD2CF5">
        <w:instrText xml:space="preserve"> XE "bronniveau" </w:instrText>
      </w:r>
      <w:r w:rsidRPr="00AD2CF5">
        <w:fldChar w:fldCharType="end"/>
      </w:r>
      <w:r w:rsidRPr="00AD2CF5">
        <w:t xml:space="preserve"> voor een willekeurige hoek </w:t>
      </w:r>
      <w:r w:rsidRPr="00AD2CF5">
        <w:rPr>
          <w:i/>
        </w:rPr>
        <w:sym w:font="Symbol" w:char="F06A"/>
      </w:r>
      <w:r w:rsidRPr="00AD2CF5">
        <w:t xml:space="preserve"> berekend worden door middel van inter</w:t>
      </w:r>
      <w:r w:rsidRPr="00AD2CF5">
        <w:softHyphen/>
        <w:t>polatie. Hier</w:t>
      </w:r>
      <w:r w:rsidRPr="00AD2CF5">
        <w:softHyphen/>
        <w:t xml:space="preserve">voor wordt de zogenaamde </w:t>
      </w:r>
      <w:r w:rsidRPr="00AD2CF5">
        <w:rPr>
          <w:i/>
        </w:rPr>
        <w:t>cubic spline</w:t>
      </w:r>
      <w:r w:rsidRPr="00AD2CF5">
        <w:t xml:space="preserve"> interpolatiemethode gebruikt. De methode is hieronder beschreven voor een willekeurige octaafband.</w:t>
      </w:r>
      <w:r w:rsidRPr="00AD2CF5">
        <w:fldChar w:fldCharType="begin"/>
      </w:r>
      <w:r w:rsidRPr="00AD2CF5">
        <w:instrText xml:space="preserve"> XE "octaafband" </w:instrText>
      </w:r>
      <w:r w:rsidRPr="00AD2CF5">
        <w:fldChar w:fldCharType="end"/>
      </w:r>
      <w:r w:rsidRPr="00AD2CF5">
        <w:t xml:space="preserve"> Er is hierbij uitgegaan van een symmetrische geluid</w:t>
      </w:r>
      <w:r w:rsidRPr="00AD2CF5">
        <w:softHyphen/>
        <w:t xml:space="preserve">emissie. Voor het gemak is het argument </w:t>
      </w:r>
      <w:r w:rsidRPr="00AD2CF5">
        <w:rPr>
          <w:i/>
        </w:rPr>
        <w:t>f</w:t>
      </w:r>
      <w:r w:rsidRPr="00AD2CF5">
        <w:rPr>
          <w:i/>
          <w:vertAlign w:val="subscript"/>
        </w:rPr>
        <w:t>k</w:t>
      </w:r>
      <w:r w:rsidRPr="00AD2CF5">
        <w:t xml:space="preserve"> in </w:t>
      </w:r>
      <w:r w:rsidRPr="00AD2CF5">
        <w:rPr>
          <w:i/>
        </w:rPr>
        <w:t>L</w:t>
      </w:r>
      <w:r w:rsidRPr="00AD2CF5">
        <w:rPr>
          <w:i/>
          <w:vertAlign w:val="subscript"/>
        </w:rPr>
        <w:t>Eb</w:t>
      </w:r>
      <w:r w:rsidRPr="00AD2CF5">
        <w:t>(</w:t>
      </w:r>
      <w:r w:rsidRPr="00AD2CF5">
        <w:rPr>
          <w:i/>
        </w:rPr>
        <w:sym w:font="Symbol" w:char="F06A"/>
      </w:r>
      <w:r w:rsidRPr="00AD2CF5">
        <w:rPr>
          <w:i/>
          <w:vertAlign w:val="subscript"/>
        </w:rPr>
        <w:t>j</w:t>
      </w:r>
      <w:r w:rsidRPr="00AD2CF5">
        <w:t>,</w:t>
      </w:r>
      <w:r w:rsidRPr="00AD2CF5">
        <w:rPr>
          <w:i/>
        </w:rPr>
        <w:t>f</w:t>
      </w:r>
      <w:r w:rsidRPr="00AD2CF5">
        <w:rPr>
          <w:i/>
          <w:vertAlign w:val="subscript"/>
        </w:rPr>
        <w:t>k</w:t>
      </w:r>
      <w:r w:rsidRPr="00AD2CF5">
        <w:t>) weggelaten. Drie gevallen worden onderscheiden:</w:t>
      </w:r>
    </w:p>
    <w:p w:rsidR="00F43C9B" w:rsidRPr="00AD2CF5" w:rsidRDefault="00F43C9B" w:rsidP="00EB7F6B">
      <w:pPr>
        <w:numPr>
          <w:ilvl w:val="0"/>
          <w:numId w:val="9"/>
        </w:numPr>
        <w:shd w:val="clear" w:color="auto" w:fill="D9D9D9" w:themeFill="background1" w:themeFillShade="D9"/>
        <w:spacing w:line="280" w:lineRule="exact"/>
        <w:rPr>
          <w:lang w:val="en-US"/>
        </w:rPr>
      </w:pPr>
      <w:r w:rsidRPr="00AD2CF5">
        <w:rPr>
          <w:lang w:val="en-US"/>
        </w:rPr>
        <w:t>0</w:t>
      </w:r>
      <w:r w:rsidRPr="00AD2CF5">
        <w:rPr>
          <w:vertAlign w:val="superscript"/>
          <w:lang w:val="en-US"/>
        </w:rPr>
        <w:t>o</w:t>
      </w:r>
      <w:r w:rsidRPr="00AD2CF5">
        <w:rPr>
          <w:lang w:val="en-US"/>
        </w:rPr>
        <w:t xml:space="preserve"> </w:t>
      </w:r>
      <w:r w:rsidRPr="00AD2CF5">
        <w:sym w:font="Symbol" w:char="F0A3"/>
      </w:r>
      <w:r w:rsidRPr="00AD2CF5">
        <w:rPr>
          <w:lang w:val="en-US"/>
        </w:rPr>
        <w:t xml:space="preserve"> </w:t>
      </w:r>
      <w:r w:rsidRPr="00AD2CF5">
        <w:rPr>
          <w:i/>
        </w:rPr>
        <w:sym w:font="Symbol" w:char="F06A"/>
      </w:r>
      <w:r w:rsidRPr="00AD2CF5">
        <w:rPr>
          <w:lang w:val="en-US"/>
        </w:rPr>
        <w:t xml:space="preserve"> &lt; </w:t>
      </w:r>
      <w:r w:rsidRPr="00AD2CF5">
        <w:rPr>
          <w:i/>
        </w:rPr>
        <w:sym w:font="Symbol" w:char="F06A"/>
      </w:r>
      <w:r w:rsidRPr="00AD2CF5">
        <w:rPr>
          <w:vertAlign w:val="subscript"/>
          <w:lang w:val="en-US"/>
        </w:rPr>
        <w:t>1</w:t>
      </w:r>
      <w:r w:rsidRPr="00AD2CF5">
        <w:rPr>
          <w:lang w:val="en-US"/>
        </w:rPr>
        <w:t>;</w:t>
      </w:r>
    </w:p>
    <w:p w:rsidR="00F43C9B" w:rsidRPr="00AD2CF5" w:rsidRDefault="00F43C9B" w:rsidP="00EB7F6B">
      <w:pPr>
        <w:numPr>
          <w:ilvl w:val="0"/>
          <w:numId w:val="9"/>
        </w:numPr>
        <w:shd w:val="clear" w:color="auto" w:fill="D9D9D9" w:themeFill="background1" w:themeFillShade="D9"/>
        <w:spacing w:line="280" w:lineRule="exact"/>
        <w:rPr>
          <w:lang w:val="en-US"/>
        </w:rPr>
      </w:pPr>
      <w:r w:rsidRPr="00AD2CF5">
        <w:rPr>
          <w:i/>
        </w:rPr>
        <w:sym w:font="Symbol" w:char="F06A"/>
      </w:r>
      <w:r w:rsidRPr="00AD2CF5">
        <w:rPr>
          <w:i/>
          <w:vertAlign w:val="subscript"/>
          <w:lang w:val="en-US"/>
        </w:rPr>
        <w:t>N</w:t>
      </w:r>
      <w:r w:rsidRPr="00AD2CF5">
        <w:rPr>
          <w:lang w:val="en-US"/>
        </w:rPr>
        <w:t xml:space="preserve"> &lt; </w:t>
      </w:r>
      <w:r w:rsidRPr="00AD2CF5">
        <w:rPr>
          <w:i/>
        </w:rPr>
        <w:sym w:font="Symbol" w:char="F06A"/>
      </w:r>
      <w:r w:rsidRPr="00AD2CF5">
        <w:rPr>
          <w:lang w:val="en-US"/>
        </w:rPr>
        <w:t xml:space="preserve"> </w:t>
      </w:r>
      <w:r w:rsidRPr="00AD2CF5">
        <w:sym w:font="Symbol" w:char="F0A3"/>
      </w:r>
      <w:r w:rsidRPr="00AD2CF5">
        <w:rPr>
          <w:lang w:val="en-US"/>
        </w:rPr>
        <w:t xml:space="preserve"> 180</w:t>
      </w:r>
      <w:r w:rsidRPr="00AD2CF5">
        <w:rPr>
          <w:vertAlign w:val="superscript"/>
          <w:lang w:val="en-US"/>
        </w:rPr>
        <w:t>o</w:t>
      </w:r>
      <w:r w:rsidRPr="00AD2CF5">
        <w:rPr>
          <w:lang w:val="en-US"/>
        </w:rPr>
        <w:t>;</w:t>
      </w:r>
    </w:p>
    <w:p w:rsidR="00F43C9B" w:rsidRPr="00AD2CF5" w:rsidRDefault="00F43C9B" w:rsidP="00EB7F6B">
      <w:pPr>
        <w:numPr>
          <w:ilvl w:val="0"/>
          <w:numId w:val="9"/>
        </w:numPr>
        <w:shd w:val="clear" w:color="auto" w:fill="D9D9D9" w:themeFill="background1" w:themeFillShade="D9"/>
        <w:spacing w:line="280" w:lineRule="exact"/>
      </w:pPr>
      <w:r w:rsidRPr="00AD2CF5">
        <w:rPr>
          <w:i/>
        </w:rPr>
        <w:sym w:font="Symbol" w:char="F06A"/>
      </w:r>
      <w:r w:rsidRPr="00AD2CF5">
        <w:rPr>
          <w:i/>
          <w:vertAlign w:val="subscript"/>
        </w:rPr>
        <w:t>j</w:t>
      </w:r>
      <w:r w:rsidRPr="00AD2CF5">
        <w:t xml:space="preserve"> &lt; </w:t>
      </w:r>
      <w:r w:rsidRPr="00AD2CF5">
        <w:rPr>
          <w:i/>
        </w:rPr>
        <w:sym w:font="Symbol" w:char="F06A"/>
      </w:r>
      <w:r w:rsidRPr="00AD2CF5">
        <w:t xml:space="preserve"> &lt; </w:t>
      </w:r>
      <w:r w:rsidRPr="00AD2CF5">
        <w:rPr>
          <w:i/>
        </w:rPr>
        <w:sym w:font="Symbol" w:char="F06A"/>
      </w:r>
      <w:r w:rsidRPr="00AD2CF5">
        <w:rPr>
          <w:i/>
          <w:vertAlign w:val="subscript"/>
        </w:rPr>
        <w:t>j</w:t>
      </w:r>
      <w:r w:rsidRPr="00AD2CF5">
        <w:rPr>
          <w:vertAlign w:val="subscript"/>
        </w:rPr>
        <w:t>+1</w:t>
      </w:r>
      <w:r w:rsidRPr="00AD2CF5">
        <w:t xml:space="preserve"> voor een index  </w:t>
      </w:r>
      <w:r w:rsidRPr="00AD2CF5">
        <w:rPr>
          <w:i/>
        </w:rPr>
        <w:t>j</w:t>
      </w:r>
      <w:r w:rsidRPr="00AD2CF5">
        <w:t xml:space="preserve"> &lt; </w:t>
      </w:r>
      <w:r w:rsidRPr="00AD2CF5">
        <w:rPr>
          <w:i/>
        </w:rPr>
        <w:t>N</w:t>
      </w:r>
      <w:r w:rsidRPr="00AD2CF5">
        <w:t>.</w:t>
      </w:r>
    </w:p>
    <w:p w:rsidR="00F43C9B" w:rsidRPr="00AD2CF5" w:rsidRDefault="00F43C9B" w:rsidP="00F43C9B">
      <w:pPr>
        <w:pStyle w:val="Plattetekstinspringen"/>
        <w:shd w:val="clear" w:color="auto" w:fill="D9D9D9" w:themeFill="background1" w:themeFillShade="D9"/>
        <w:rPr>
          <w:rFonts w:asciiTheme="minorHAnsi" w:hAnsiTheme="minorHAnsi"/>
        </w:rPr>
      </w:pPr>
    </w:p>
    <w:p w:rsidR="00F43C9B" w:rsidRPr="00AD2CF5" w:rsidRDefault="00F43C9B" w:rsidP="00F43C9B">
      <w:pPr>
        <w:pStyle w:val="Plattetekstinspringen"/>
        <w:shd w:val="clear" w:color="auto" w:fill="D9D9D9" w:themeFill="background1" w:themeFillShade="D9"/>
      </w:pPr>
      <w:r w:rsidRPr="00AD2CF5">
        <w:rPr>
          <w:rFonts w:asciiTheme="minorHAnsi" w:hAnsiTheme="minorHAnsi"/>
        </w:rPr>
        <w:br w:type="page"/>
      </w:r>
      <w:r w:rsidRPr="00AD2CF5">
        <w:t>In de eerste twee gevallen is interpolatie niet mogelijk. De bronsterkte wordt dan bepaald door:</w:t>
      </w:r>
    </w:p>
    <w:p w:rsidR="00F43C9B" w:rsidRPr="00AD2CF5" w:rsidRDefault="00F43C9B" w:rsidP="00F43C9B">
      <w:pPr>
        <w:shd w:val="clear" w:color="auto" w:fill="D9D9D9" w:themeFill="background1" w:themeFillShade="D9"/>
        <w:tabs>
          <w:tab w:val="left" w:pos="1134"/>
          <w:tab w:val="left" w:pos="3544"/>
          <w:tab w:val="left" w:pos="4253"/>
        </w:tabs>
        <w:spacing w:line="240" w:lineRule="auto"/>
        <w:ind w:left="709"/>
      </w:pPr>
      <w:r w:rsidRPr="00AD2CF5">
        <w:rPr>
          <w:position w:val="-10"/>
        </w:rPr>
        <w:object w:dxaOrig="1700" w:dyaOrig="320">
          <v:shape id="_x0000_i1045" type="#_x0000_t75" style="width:84.75pt;height:16.5pt" o:ole="">
            <v:imagedata r:id="rId117" o:title=""/>
          </v:shape>
          <o:OLEObject Type="Embed" ProgID="Equation.2" ShapeID="_x0000_i1045" DrawAspect="Content" ObjectID="_1511255383" r:id="rId118"/>
        </w:object>
      </w:r>
      <w:r w:rsidRPr="00AD2CF5">
        <w:tab/>
        <w:t>voor</w:t>
      </w:r>
      <w:r w:rsidRPr="00AD2CF5">
        <w:tab/>
      </w:r>
      <w:r w:rsidRPr="00AD2CF5">
        <w:rPr>
          <w:position w:val="-10"/>
        </w:rPr>
        <w:object w:dxaOrig="1020" w:dyaOrig="320">
          <v:shape id="_x0000_i1046" type="#_x0000_t75" style="width:49.5pt;height:16.5pt" o:ole="">
            <v:imagedata r:id="rId119" o:title=""/>
          </v:shape>
          <o:OLEObject Type="Embed" ProgID="Equation.2" ShapeID="_x0000_i1046" DrawAspect="Content" ObjectID="_1511255384" r:id="rId120"/>
        </w:object>
      </w:r>
    </w:p>
    <w:p w:rsidR="00F43C9B" w:rsidRPr="00AD2CF5" w:rsidRDefault="00F43C9B" w:rsidP="00F43C9B">
      <w:pPr>
        <w:shd w:val="clear" w:color="auto" w:fill="D9D9D9" w:themeFill="background1" w:themeFillShade="D9"/>
        <w:tabs>
          <w:tab w:val="left" w:pos="1134"/>
          <w:tab w:val="left" w:pos="3544"/>
          <w:tab w:val="left" w:pos="4253"/>
        </w:tabs>
        <w:spacing w:line="240" w:lineRule="auto"/>
        <w:ind w:left="709"/>
      </w:pPr>
      <w:r w:rsidRPr="00AD2CF5">
        <w:rPr>
          <w:position w:val="-10"/>
        </w:rPr>
        <w:object w:dxaOrig="1760" w:dyaOrig="320">
          <v:shape id="_x0000_i1047" type="#_x0000_t75" style="width:88.5pt;height:16.5pt" o:ole="">
            <v:imagedata r:id="rId121" o:title=""/>
          </v:shape>
          <o:OLEObject Type="Embed" ProgID="Equation.2" ShapeID="_x0000_i1047" DrawAspect="Content" ObjectID="_1511255385" r:id="rId122"/>
        </w:object>
      </w:r>
      <w:r w:rsidRPr="00AD2CF5">
        <w:tab/>
        <w:t>voor</w:t>
      </w:r>
      <w:r w:rsidRPr="00AD2CF5">
        <w:tab/>
      </w:r>
      <w:r w:rsidRPr="00AD2CF5">
        <w:rPr>
          <w:position w:val="-12"/>
        </w:rPr>
        <w:object w:dxaOrig="1400" w:dyaOrig="360">
          <v:shape id="_x0000_i1048" type="#_x0000_t75" style="width:70.5pt;height:18pt" o:ole="">
            <v:imagedata r:id="rId123" o:title=""/>
          </v:shape>
          <o:OLEObject Type="Embed" ProgID="Equation.3" ShapeID="_x0000_i1048" DrawAspect="Content" ObjectID="_1511255386" r:id="rId124"/>
        </w:object>
      </w:r>
    </w:p>
    <w:p w:rsidR="00F43C9B" w:rsidRPr="00AD2CF5" w:rsidRDefault="00F43C9B" w:rsidP="00F43C9B">
      <w:pPr>
        <w:shd w:val="clear" w:color="auto" w:fill="D9D9D9" w:themeFill="background1" w:themeFillShade="D9"/>
        <w:suppressAutoHyphens/>
        <w:spacing w:line="240" w:lineRule="auto"/>
      </w:pPr>
    </w:p>
    <w:p w:rsidR="00F43C9B" w:rsidRPr="00AD2CF5" w:rsidRDefault="00F43C9B" w:rsidP="00F43C9B">
      <w:pPr>
        <w:pStyle w:val="Plattetekstinspringen"/>
        <w:shd w:val="clear" w:color="auto" w:fill="D9D9D9" w:themeFill="background1" w:themeFillShade="D9"/>
        <w:ind w:firstLine="0"/>
      </w:pPr>
      <w:r w:rsidRPr="00AD2CF5">
        <w:t>In het derde geval wordt de bronsterkte bepaald door:</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tabs>
          <w:tab w:val="right" w:pos="7371"/>
        </w:tabs>
        <w:spacing w:line="240" w:lineRule="auto"/>
        <w:ind w:left="567" w:firstLine="1"/>
      </w:pPr>
      <w:r w:rsidRPr="00AD2CF5">
        <w:object w:dxaOrig="5580" w:dyaOrig="400">
          <v:shape id="_x0000_i1049" type="#_x0000_t75" style="width:279.75pt;height:21pt" o:ole="">
            <v:imagedata r:id="rId125" o:title=""/>
          </v:shape>
          <o:OLEObject Type="Embed" ProgID="Equation.2" ShapeID="_x0000_i1049" DrawAspect="Content" ObjectID="_1511255387" r:id="rId126"/>
        </w:object>
      </w:r>
      <w:r w:rsidRPr="00AD2CF5">
        <w:tab/>
      </w:r>
      <w:r w:rsidRPr="00AD2CF5">
        <w:rPr>
          <w:b/>
        </w:rPr>
        <w:t xml:space="preserve">(4. </w:t>
      </w:r>
      <w:r w:rsidRPr="00AD2CF5">
        <w:rPr>
          <w:b/>
        </w:rPr>
        <w:fldChar w:fldCharType="begin"/>
      </w:r>
      <w:r w:rsidRPr="00AD2CF5">
        <w:rPr>
          <w:b/>
        </w:rPr>
        <w:instrText xml:space="preserve"> SEQ (4. \* ARABIC </w:instrText>
      </w:r>
      <w:r w:rsidRPr="00AD2CF5">
        <w:rPr>
          <w:b/>
        </w:rPr>
        <w:fldChar w:fldCharType="separate"/>
      </w:r>
      <w:r>
        <w:rPr>
          <w:b/>
          <w:noProof/>
        </w:rPr>
        <w:t>7</w:t>
      </w:r>
      <w:r w:rsidRPr="00AD2CF5">
        <w:rPr>
          <w:b/>
        </w:rPr>
        <w:fldChar w:fldCharType="end"/>
      </w:r>
      <w:r w:rsidRPr="00AD2CF5">
        <w:rPr>
          <w:b/>
        </w:rPr>
        <w:t>)</w:t>
      </w:r>
    </w:p>
    <w:p w:rsidR="00F43C9B" w:rsidRPr="00AD2CF5" w:rsidRDefault="00F43C9B" w:rsidP="00F43C9B">
      <w:pPr>
        <w:shd w:val="clear" w:color="auto" w:fill="D9D9D9" w:themeFill="background1" w:themeFillShade="D9"/>
        <w:spacing w:line="240" w:lineRule="auto"/>
        <w:ind w:left="709" w:firstLine="1"/>
      </w:pPr>
    </w:p>
    <w:p w:rsidR="00F43C9B" w:rsidRPr="00AD2CF5" w:rsidRDefault="00F43C9B" w:rsidP="00F43C9B">
      <w:pPr>
        <w:shd w:val="clear" w:color="auto" w:fill="D9D9D9" w:themeFill="background1" w:themeFillShade="D9"/>
      </w:pPr>
      <w:r w:rsidRPr="00AD2CF5">
        <w:t>met</w:t>
      </w:r>
    </w:p>
    <w:p w:rsidR="00F43C9B" w:rsidRPr="00AD2CF5" w:rsidRDefault="00F43C9B" w:rsidP="00F43C9B">
      <w:pPr>
        <w:shd w:val="clear" w:color="auto" w:fill="D9D9D9" w:themeFill="background1" w:themeFillShade="D9"/>
        <w:spacing w:line="240" w:lineRule="auto"/>
        <w:ind w:left="567" w:firstLine="1"/>
      </w:pPr>
      <w:r w:rsidRPr="00AD2CF5">
        <w:rPr>
          <w:position w:val="-32"/>
        </w:rPr>
        <w:object w:dxaOrig="1400" w:dyaOrig="740">
          <v:shape id="_x0000_i1050" type="#_x0000_t75" style="width:70.5pt;height:36.75pt" o:ole="">
            <v:imagedata r:id="rId127" o:title=""/>
          </v:shape>
          <o:OLEObject Type="Embed" ProgID="Equation.2" ShapeID="_x0000_i1050" DrawAspect="Content" ObjectID="_1511255388" r:id="rId128"/>
        </w:object>
      </w:r>
      <w:r w:rsidRPr="00AD2CF5">
        <w:tab/>
      </w:r>
      <w:r w:rsidRPr="00AD2CF5">
        <w:tab/>
      </w:r>
      <w:r w:rsidRPr="00AD2CF5">
        <w:tab/>
      </w:r>
      <w:r w:rsidRPr="00AD2CF5">
        <w:rPr>
          <w:position w:val="-4"/>
        </w:rPr>
        <w:object w:dxaOrig="980" w:dyaOrig="260">
          <v:shape id="_x0000_i1051" type="#_x0000_t75" style="width:49.5pt;height:13.5pt" o:ole="">
            <v:imagedata r:id="rId129" o:title=""/>
          </v:shape>
          <o:OLEObject Type="Embed" ProgID="Equation.2" ShapeID="_x0000_i1051" DrawAspect="Content" ObjectID="_1511255389" r:id="rId130"/>
        </w:object>
      </w:r>
    </w:p>
    <w:p w:rsidR="00F43C9B" w:rsidRPr="00AD2CF5" w:rsidRDefault="00F43C9B" w:rsidP="00F43C9B">
      <w:pPr>
        <w:shd w:val="clear" w:color="auto" w:fill="D9D9D9" w:themeFill="background1" w:themeFillShade="D9"/>
        <w:spacing w:line="240" w:lineRule="auto"/>
        <w:ind w:left="567" w:firstLine="11"/>
      </w:pPr>
      <w:r w:rsidRPr="00AD2CF5">
        <w:rPr>
          <w:position w:val="-14"/>
        </w:rPr>
        <w:object w:dxaOrig="2600" w:dyaOrig="400">
          <v:shape id="_x0000_i1052" type="#_x0000_t75" style="width:129.75pt;height:21pt" o:ole="">
            <v:imagedata r:id="rId131" o:title=""/>
          </v:shape>
          <o:OLEObject Type="Embed" ProgID="Equation.2" ShapeID="_x0000_i1052" DrawAspect="Content" ObjectID="_1511255390" r:id="rId132"/>
        </w:object>
      </w:r>
      <w:r w:rsidRPr="00AD2CF5">
        <w:tab/>
      </w:r>
      <w:r w:rsidRPr="00AD2CF5">
        <w:rPr>
          <w:position w:val="-14"/>
        </w:rPr>
        <w:object w:dxaOrig="2620" w:dyaOrig="400">
          <v:shape id="_x0000_i1053" type="#_x0000_t75" style="width:131.25pt;height:21pt" o:ole="">
            <v:imagedata r:id="rId133" o:title=""/>
          </v:shape>
          <o:OLEObject Type="Embed" ProgID="Equation.2" ShapeID="_x0000_i1053" DrawAspect="Content" ObjectID="_1511255391" r:id="rId134"/>
        </w:object>
      </w:r>
    </w:p>
    <w:p w:rsidR="00F43C9B" w:rsidRPr="00AD2CF5" w:rsidRDefault="00F43C9B" w:rsidP="00F43C9B">
      <w:pPr>
        <w:shd w:val="clear" w:color="auto" w:fill="D9D9D9" w:themeFill="background1" w:themeFillShade="D9"/>
        <w:spacing w:line="240" w:lineRule="auto"/>
      </w:pPr>
    </w:p>
    <w:p w:rsidR="00F43C9B" w:rsidRPr="00AD2CF5" w:rsidRDefault="00F43C9B" w:rsidP="00F43C9B">
      <w:pPr>
        <w:shd w:val="clear" w:color="auto" w:fill="D9D9D9" w:themeFill="background1" w:themeFillShade="D9"/>
        <w:spacing w:line="240" w:lineRule="auto"/>
      </w:pPr>
      <w:r w:rsidRPr="00AD2CF5">
        <w:rPr>
          <w:position w:val="-14"/>
        </w:rPr>
        <w:object w:dxaOrig="820" w:dyaOrig="400">
          <v:shape id="_x0000_i1054" type="#_x0000_t75" style="width:40.5pt;height:21pt" o:ole="">
            <v:imagedata r:id="rId135" o:title=""/>
          </v:shape>
          <o:OLEObject Type="Embed" ProgID="Equation.2" ShapeID="_x0000_i1054" DrawAspect="Content" ObjectID="_1511255392" r:id="rId136"/>
        </w:object>
      </w:r>
      <w:r w:rsidRPr="00AD2CF5">
        <w:t xml:space="preserve"> is de tweede-orde afgeleide van de functie </w:t>
      </w:r>
      <w:r w:rsidRPr="00AD2CF5">
        <w:rPr>
          <w:i/>
        </w:rPr>
        <w:t>L</w:t>
      </w:r>
      <w:r w:rsidRPr="00AD2CF5">
        <w:rPr>
          <w:i/>
          <w:vertAlign w:val="subscript"/>
        </w:rPr>
        <w:t>Eb</w:t>
      </w:r>
      <w:r w:rsidRPr="00AD2CF5">
        <w:t>(</w:t>
      </w:r>
      <w:r w:rsidRPr="00AD2CF5">
        <w:rPr>
          <w:i/>
        </w:rPr>
        <w:sym w:font="Symbol" w:char="F06A"/>
      </w:r>
      <w:r w:rsidRPr="00AD2CF5">
        <w:t xml:space="preserve">) voor </w:t>
      </w:r>
      <w:r w:rsidRPr="00AD2CF5">
        <w:rPr>
          <w:i/>
        </w:rPr>
        <w:sym w:font="Symbol" w:char="F06A"/>
      </w:r>
      <w:r w:rsidRPr="00AD2CF5">
        <w:rPr>
          <w:i/>
        </w:rPr>
        <w:t xml:space="preserve"> = </w:t>
      </w:r>
      <w:r w:rsidRPr="00AD2CF5">
        <w:rPr>
          <w:i/>
        </w:rPr>
        <w:sym w:font="Symbol" w:char="F06A"/>
      </w:r>
      <w:r w:rsidRPr="00AD2CF5">
        <w:rPr>
          <w:i/>
          <w:vertAlign w:val="subscript"/>
        </w:rPr>
        <w:t>j</w:t>
      </w:r>
      <w:r w:rsidRPr="00AD2CF5">
        <w:rPr>
          <w:i/>
        </w:rPr>
        <w:t xml:space="preserve"> </w:t>
      </w:r>
      <w:r w:rsidRPr="00AD2CF5">
        <w:t>. Voor</w:t>
      </w:r>
      <w:r w:rsidRPr="00AD2CF5">
        <w:rPr>
          <w:i/>
          <w:iCs/>
        </w:rPr>
        <w:t xml:space="preserve"> j</w:t>
      </w:r>
      <w:r w:rsidRPr="00AD2CF5">
        <w:t xml:space="preserve">=1 tot </w:t>
      </w:r>
      <w:r w:rsidRPr="00AD2CF5">
        <w:rPr>
          <w:i/>
          <w:iCs/>
        </w:rPr>
        <w:t xml:space="preserve">N </w:t>
      </w:r>
      <w:r w:rsidRPr="00AD2CF5">
        <w:t>zijn deze waarden in het gegevensbestand</w:t>
      </w:r>
      <w:r w:rsidRPr="00AD2CF5">
        <w:fldChar w:fldCharType="begin"/>
      </w:r>
      <w:r w:rsidRPr="00AD2CF5">
        <w:instrText xml:space="preserve"> XE "gegevensbestand" </w:instrText>
      </w:r>
      <w:r w:rsidRPr="00AD2CF5">
        <w:fldChar w:fldCharType="end"/>
      </w:r>
      <w:r w:rsidRPr="00AD2CF5">
        <w:t xml:space="preserve"> opgenomen.</w:t>
      </w:r>
    </w:p>
    <w:p w:rsidR="00F43C9B" w:rsidRPr="00AD2CF5" w:rsidRDefault="00F43C9B" w:rsidP="00F43C9B">
      <w:pPr>
        <w:shd w:val="clear" w:color="auto" w:fill="D9D9D9" w:themeFill="background1" w:themeFillShade="D9"/>
        <w:tabs>
          <w:tab w:val="left" w:pos="567"/>
          <w:tab w:val="right" w:pos="7371"/>
        </w:tabs>
        <w:spacing w:line="240" w:lineRule="auto"/>
        <w:ind w:firstLine="11"/>
      </w:pPr>
    </w:p>
    <w:p w:rsidR="00F43C9B" w:rsidRPr="00AD2CF5" w:rsidRDefault="00C428B8" w:rsidP="00F43C9B">
      <w:pPr>
        <w:pStyle w:val="Kop3"/>
        <w:shd w:val="clear" w:color="auto" w:fill="D9D9D9" w:themeFill="background1" w:themeFillShade="D9"/>
      </w:pPr>
      <w:r>
        <w:fldChar w:fldCharType="begin"/>
      </w:r>
      <w:r>
        <w:instrText xml:space="preserve"> SEQ numchaplev1 \c \* MERGEFORMAT </w:instrText>
      </w:r>
      <w:r>
        <w:fldChar w:fldCharType="separate"/>
      </w:r>
      <w:bookmarkStart w:id="560" w:name="_Toc413945832"/>
      <w:bookmarkStart w:id="561" w:name="_Toc431375845"/>
      <w:r w:rsidR="00F43C9B" w:rsidRPr="00B15E90">
        <w:rPr>
          <w:noProof/>
        </w:rPr>
        <w:t>4</w:t>
      </w:r>
      <w:r>
        <w:rPr>
          <w:noProof/>
        </w:rPr>
        <w:fldChar w:fldCharType="end"/>
      </w:r>
      <w:r w:rsidR="00F43C9B" w:rsidRPr="00AD2CF5">
        <w:t>.</w:t>
      </w:r>
      <w:r>
        <w:fldChar w:fldCharType="begin"/>
      </w:r>
      <w:r>
        <w:instrText xml:space="preserve"> SEQ numch</w:instrText>
      </w:r>
      <w:r>
        <w:instrText xml:space="preserve">aplev2 \c \* MERGEFORMAT </w:instrText>
      </w:r>
      <w:r>
        <w:fldChar w:fldCharType="separate"/>
      </w:r>
      <w:r w:rsidR="00F43C9B" w:rsidRPr="00B15E90">
        <w:rPr>
          <w:noProof/>
        </w:rPr>
        <w:t>4</w:t>
      </w:r>
      <w:r>
        <w:rPr>
          <w:noProof/>
        </w:rPr>
        <w:fldChar w:fldCharType="end"/>
      </w:r>
      <w:r w:rsidR="00F43C9B" w:rsidRPr="00AD2CF5">
        <w:t>.</w:t>
      </w:r>
      <w:r>
        <w:fldChar w:fldCharType="begin"/>
      </w:r>
      <w:r>
        <w:instrText xml:space="preserve"> SEQ numchaplev3 \n \* MERGEFORMAT </w:instrText>
      </w:r>
      <w:r>
        <w:fldChar w:fldCharType="separate"/>
      </w:r>
      <w:r w:rsidR="00F43C9B" w:rsidRPr="00B15E90">
        <w:rPr>
          <w:noProof/>
        </w:rPr>
        <w:t>2</w:t>
      </w:r>
      <w:r>
        <w:rPr>
          <w:noProof/>
        </w:rPr>
        <w:fldChar w:fldCharType="end"/>
      </w:r>
      <w:r w:rsidR="00F43C9B" w:rsidRPr="00AD2CF5">
        <w:fldChar w:fldCharType="begin"/>
      </w:r>
      <w:r w:rsidR="00F43C9B" w:rsidRPr="00AD2CF5">
        <w:instrText xml:space="preserve"> SEQ numchaplev4 \r0\h \* MERGEFORMAT </w:instrText>
      </w:r>
      <w:r w:rsidR="00F43C9B" w:rsidRPr="00AD2CF5">
        <w:fldChar w:fldCharType="end"/>
      </w:r>
      <w:r w:rsidR="00F43C9B" w:rsidRPr="00AD2CF5">
        <w:tab/>
        <w:t>Gegegevensbestand voor bepaling bodemdemping</w:t>
      </w:r>
      <w:bookmarkEnd w:id="560"/>
      <w:bookmarkEnd w:id="561"/>
      <w:r w:rsidR="00F43C9B" w:rsidRPr="00AD2CF5">
        <w:fldChar w:fldCharType="begin"/>
      </w:r>
      <w:r w:rsidR="00F43C9B" w:rsidRPr="00AD2CF5">
        <w:instrText xml:space="preserve"> XE "bodemdemping" </w:instrText>
      </w:r>
      <w:r w:rsidR="00F43C9B" w:rsidRPr="00AD2CF5">
        <w:fldChar w:fldCharType="end"/>
      </w:r>
    </w:p>
    <w:p w:rsidR="00F43C9B" w:rsidRPr="00AD2CF5" w:rsidRDefault="00F43C9B" w:rsidP="00F43C9B">
      <w:pPr>
        <w:shd w:val="clear" w:color="auto" w:fill="D9D9D9" w:themeFill="background1" w:themeFillShade="D9"/>
      </w:pPr>
      <w:r w:rsidRPr="00AD2CF5">
        <w:t>Het gegevensbestand</w:t>
      </w:r>
      <w:r w:rsidRPr="00AD2CF5">
        <w:fldChar w:fldCharType="begin"/>
      </w:r>
      <w:r w:rsidRPr="00AD2CF5">
        <w:instrText xml:space="preserve"> XE "gegevensbestand" </w:instrText>
      </w:r>
      <w:r w:rsidRPr="00AD2CF5">
        <w:fldChar w:fldCharType="end"/>
      </w:r>
      <w:r w:rsidRPr="00AD2CF5">
        <w:t xml:space="preserve"> voor de bepaling van de bodemdemping</w:t>
      </w:r>
      <w:r w:rsidRPr="00AD2CF5">
        <w:fldChar w:fldCharType="begin"/>
      </w:r>
      <w:r w:rsidRPr="00AD2CF5">
        <w:instrText xml:space="preserve"> XE "bodemdemping" </w:instrText>
      </w:r>
      <w:r w:rsidRPr="00AD2CF5">
        <w:fldChar w:fldCharType="end"/>
      </w:r>
      <w:r w:rsidRPr="00AD2CF5">
        <w:t xml:space="preserve"> bevat resultaten van berekeningen met een numeriek rekenmodel voor geluidoverdracht,</w:t>
      </w:r>
      <w:r w:rsidRPr="00AD2CF5">
        <w:fldChar w:fldCharType="begin"/>
      </w:r>
      <w:r w:rsidRPr="00AD2CF5">
        <w:instrText xml:space="preserve"> XE "geluidoverdracht" </w:instrText>
      </w:r>
      <w:r w:rsidRPr="00AD2CF5">
        <w:fldChar w:fldCharType="end"/>
      </w:r>
      <w:r w:rsidRPr="00AD2CF5">
        <w:t xml:space="preserve"> het Parabolic-Equation model (PE model). Het betreft berekeningen van de bodemdemping voor de 27 meteorologische klassen</w:t>
      </w:r>
      <w:r w:rsidRPr="00AD2CF5">
        <w:fldChar w:fldCharType="begin"/>
      </w:r>
      <w:r w:rsidRPr="00AD2CF5">
        <w:instrText xml:space="preserve"> XE "meteorologische klasse" </w:instrText>
      </w:r>
      <w:r w:rsidRPr="00AD2CF5">
        <w:fldChar w:fldCharType="end"/>
      </w:r>
      <w:r w:rsidRPr="00AD2CF5">
        <w:t xml:space="preserve"> exclusief geome</w:t>
      </w:r>
      <w:r w:rsidRPr="00AD2CF5">
        <w:softHyphen/>
        <w:t>trische demping</w:t>
      </w:r>
      <w:r w:rsidRPr="00AD2CF5">
        <w:fldChar w:fldCharType="begin"/>
      </w:r>
      <w:r w:rsidRPr="00AD2CF5">
        <w:instrText xml:space="preserve"> XE "geometrische demping" </w:instrText>
      </w:r>
      <w:r w:rsidRPr="00AD2CF5">
        <w:fldChar w:fldCharType="end"/>
      </w:r>
      <w:r w:rsidRPr="00AD2CF5">
        <w:t xml:space="preserve"> en luchtdemping</w:t>
      </w:r>
      <w:r w:rsidRPr="00AD2CF5">
        <w:fldChar w:fldCharType="begin"/>
      </w:r>
      <w:r w:rsidRPr="00AD2CF5">
        <w:instrText xml:space="preserve"> XE "luchtdemping" </w:instrText>
      </w:r>
      <w:r w:rsidRPr="00AD2CF5">
        <w:fldChar w:fldCharType="end"/>
      </w:r>
      <w:r w:rsidRPr="00AD2CF5">
        <w:t xml:space="preserve"> . De berekeningsresultaten zijn gegeven als coëfficiënten van een twintigste-orde polynoom. De bodemdemping voor een specifieke situatie wordt bepaald door:</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28"/>
        </w:rPr>
        <w:object w:dxaOrig="2700" w:dyaOrig="680">
          <v:shape id="_x0000_i1055" type="#_x0000_t75" style="width:136.5pt;height:34.5pt" o:ole="" fillcolor="window">
            <v:imagedata r:id="rId137" o:title=""/>
          </v:shape>
          <o:OLEObject Type="Embed" ProgID="Equation.3" ShapeID="_x0000_i1055" DrawAspect="Content" ObjectID="_1511255393" r:id="rId138"/>
        </w:object>
      </w:r>
      <w:r w:rsidRPr="00AD2CF5">
        <w:rPr>
          <w:rStyle w:val="EquationCaption"/>
          <w:lang w:val="nl-NL"/>
        </w:rPr>
        <w:tab/>
      </w:r>
      <w:r w:rsidRPr="00AD2CF5">
        <w:rPr>
          <w:lang w:val="nl-NL"/>
        </w:rPr>
        <w:t xml:space="preserve">(4. </w:t>
      </w:r>
      <w:r w:rsidRPr="00AD2CF5">
        <w:fldChar w:fldCharType="begin"/>
      </w:r>
      <w:r w:rsidRPr="00AD2CF5">
        <w:rPr>
          <w:lang w:val="nl-NL"/>
        </w:rPr>
        <w:instrText xml:space="preserve"> SEQ (4. \* ARABIC </w:instrText>
      </w:r>
      <w:r w:rsidRPr="00AD2CF5">
        <w:fldChar w:fldCharType="separate"/>
      </w:r>
      <w:r>
        <w:rPr>
          <w:noProof/>
          <w:lang w:val="nl-NL"/>
        </w:rPr>
        <w:t>8</w:t>
      </w:r>
      <w:r w:rsidRPr="00AD2CF5">
        <w:rPr>
          <w:noProof/>
        </w:rPr>
        <w:fldChar w:fldCharType="end"/>
      </w:r>
      <w:r w:rsidRPr="00AD2CF5">
        <w:rPr>
          <w:lang w:val="nl-NL"/>
        </w:rPr>
        <w:t>)</w:t>
      </w:r>
    </w:p>
    <w:p w:rsidR="00F43C9B" w:rsidRPr="00AD2CF5" w:rsidRDefault="00F43C9B" w:rsidP="00F43C9B">
      <w:pPr>
        <w:shd w:val="clear" w:color="auto" w:fill="D9D9D9" w:themeFill="background1" w:themeFillShade="D9"/>
        <w:tabs>
          <w:tab w:val="left" w:pos="-108"/>
          <w:tab w:val="left" w:pos="743"/>
          <w:tab w:val="left" w:pos="1819"/>
          <w:tab w:val="left" w:pos="2557"/>
        </w:tabs>
        <w:suppressAutoHyphens/>
        <w:spacing w:line="240" w:lineRule="auto"/>
      </w:pPr>
      <w:r w:rsidRPr="00AD2CF5">
        <w:t>waarin:</w:t>
      </w:r>
    </w:p>
    <w:p w:rsidR="00F43C9B" w:rsidRPr="00AD2CF5" w:rsidRDefault="00F43C9B" w:rsidP="00F43C9B">
      <w:pPr>
        <w:shd w:val="clear" w:color="auto" w:fill="D9D9D9" w:themeFill="background1" w:themeFillShade="D9"/>
        <w:tabs>
          <w:tab w:val="left" w:pos="-108"/>
          <w:tab w:val="left" w:pos="567"/>
          <w:tab w:val="left" w:pos="1366"/>
          <w:tab w:val="left" w:pos="2557"/>
        </w:tabs>
        <w:suppressAutoHyphens/>
        <w:spacing w:line="240" w:lineRule="auto"/>
        <w:ind w:left="1365" w:hanging="1365"/>
      </w:pPr>
      <w:r w:rsidRPr="00AD2CF5">
        <w:rPr>
          <w:i/>
        </w:rPr>
        <w:t>c</w:t>
      </w:r>
      <w:r w:rsidRPr="00AD2CF5">
        <w:rPr>
          <w:i/>
          <w:vertAlign w:val="subscript"/>
        </w:rPr>
        <w:t>i</w:t>
      </w:r>
      <w:r w:rsidRPr="00AD2CF5">
        <w:t xml:space="preserve"> </w:t>
      </w:r>
      <w:r w:rsidRPr="00AD2CF5">
        <w:tab/>
        <w:t>coëfficiënten van twintigste-orde polynoom;</w:t>
      </w:r>
    </w:p>
    <w:p w:rsidR="00F43C9B" w:rsidRPr="00AD2CF5" w:rsidRDefault="00F43C9B" w:rsidP="00F43C9B">
      <w:pPr>
        <w:shd w:val="clear" w:color="auto" w:fill="D9D9D9" w:themeFill="background1" w:themeFillShade="D9"/>
        <w:tabs>
          <w:tab w:val="left" w:pos="-108"/>
          <w:tab w:val="left" w:pos="567"/>
          <w:tab w:val="left" w:pos="1366"/>
          <w:tab w:val="left" w:pos="2557"/>
        </w:tabs>
        <w:suppressAutoHyphens/>
        <w:spacing w:line="240" w:lineRule="auto"/>
        <w:ind w:left="742" w:hanging="742"/>
      </w:pPr>
      <w:r w:rsidRPr="00AD2CF5">
        <w:rPr>
          <w:i/>
        </w:rPr>
        <w:t>R</w:t>
      </w:r>
      <w:r w:rsidRPr="00AD2CF5">
        <w:rPr>
          <w:i/>
        </w:rPr>
        <w:tab/>
      </w:r>
      <w:r w:rsidRPr="00AD2CF5">
        <w:t xml:space="preserve"> </w:t>
      </w:r>
      <w:r w:rsidRPr="00AD2CF5">
        <w:tab/>
        <w:t>horizontale afstand van bronpunt naar rekenpunt.</w:t>
      </w:r>
    </w:p>
    <w:p w:rsidR="00F43C9B" w:rsidRPr="00AD2CF5" w:rsidRDefault="00F43C9B" w:rsidP="00F43C9B">
      <w:pPr>
        <w:pStyle w:val="Inhopg1"/>
        <w:shd w:val="clear" w:color="auto" w:fill="D9D9D9" w:themeFill="background1" w:themeFillShade="D9"/>
        <w:tabs>
          <w:tab w:val="left" w:pos="-108"/>
          <w:tab w:val="left" w:pos="743"/>
          <w:tab w:val="left" w:pos="1366"/>
          <w:tab w:val="left" w:pos="2557"/>
        </w:tabs>
        <w:suppressAutoHyphens/>
        <w:spacing w:after="0" w:line="240" w:lineRule="auto"/>
      </w:pP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r w:rsidRPr="00AD2CF5">
        <w:t>De 21 coëfficiënten van de polynoom zijn in het bestand gegeven voor:</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ind w:left="572" w:hanging="572"/>
      </w:pPr>
      <w:r w:rsidRPr="00AD2CF5">
        <w:t>-</w:t>
      </w:r>
      <w:r w:rsidRPr="00AD2CF5">
        <w:tab/>
        <w:t>27 meteorologische klasse</w:t>
      </w:r>
      <w:r w:rsidRPr="00AD2CF5">
        <w:fldChar w:fldCharType="begin"/>
      </w:r>
      <w:r w:rsidRPr="00AD2CF5">
        <w:instrText xml:space="preserve"> XE "meteorologische klasse" </w:instrText>
      </w:r>
      <w:r w:rsidRPr="00AD2CF5">
        <w:fldChar w:fldCharType="end"/>
      </w:r>
      <w:r w:rsidRPr="00AD2CF5">
        <w:t>n;</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ind w:left="572" w:hanging="572"/>
      </w:pPr>
      <w:r w:rsidRPr="00AD2CF5">
        <w:t>-</w:t>
      </w:r>
      <w:r w:rsidRPr="00AD2CF5">
        <w:tab/>
        <w:t>3 waarden voor de akoestische bodemhardheid</w:t>
      </w:r>
      <w:r w:rsidRPr="00AD2CF5">
        <w:fldChar w:fldCharType="begin"/>
      </w:r>
      <w:r w:rsidRPr="00AD2CF5">
        <w:instrText xml:space="preserve"> XE "bodemhardheid" </w:instrText>
      </w:r>
      <w:r w:rsidRPr="00AD2CF5">
        <w:fldChar w:fldCharType="end"/>
      </w:r>
      <w:r w:rsidRPr="00AD2CF5">
        <w:t xml:space="preserve"> (reflecterend, absorberend en zeer absorberend);</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ind w:left="572" w:hanging="572"/>
      </w:pPr>
      <w:r w:rsidRPr="00AD2CF5">
        <w:t>-</w:t>
      </w:r>
      <w:r w:rsidRPr="00AD2CF5">
        <w:tab/>
        <w:t>12 hoogten van rekenpunten (0.1; 0.5; 1; 1.5; 2; 3; 4; 5; 6; 8; 10 en 15 m);</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ind w:left="572" w:hanging="572"/>
      </w:pPr>
      <w:r w:rsidRPr="00AD2CF5">
        <w:t>-</w:t>
      </w:r>
      <w:r w:rsidRPr="00AD2CF5">
        <w:tab/>
        <w:t>16 bronhoogten (0.1; 0.5; 1; 1.5; 2; 3; 4; 5; 6; 8; 10; 15; 20; 30; 40 en 50 m);</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ind w:left="572" w:hanging="572"/>
      </w:pPr>
      <w:r w:rsidRPr="00AD2CF5">
        <w:t>-</w:t>
      </w:r>
      <w:r w:rsidRPr="00AD2CF5">
        <w:tab/>
        <w:t>9 octaafbanden (16 Hz t/m 4000 Hz).</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r w:rsidRPr="00AD2CF5">
        <w:t>Totaal bevat dit bestand derhalve 21</w:t>
      </w:r>
      <w:r w:rsidRPr="00AD2CF5">
        <w:rPr>
          <w:rFonts w:ascii="Symbol" w:hAnsi="Symbol"/>
        </w:rPr>
        <w:t></w:t>
      </w:r>
      <w:r w:rsidRPr="00AD2CF5">
        <w:t>27</w:t>
      </w:r>
      <w:r w:rsidRPr="00AD2CF5">
        <w:rPr>
          <w:rFonts w:ascii="Symbol" w:hAnsi="Symbol"/>
        </w:rPr>
        <w:t></w:t>
      </w:r>
      <w:r w:rsidRPr="00AD2CF5">
        <w:t>3</w:t>
      </w:r>
      <w:r w:rsidRPr="00AD2CF5">
        <w:rPr>
          <w:rFonts w:ascii="Symbol" w:hAnsi="Symbol"/>
        </w:rPr>
        <w:t></w:t>
      </w:r>
      <w:r w:rsidRPr="00AD2CF5">
        <w:t>12</w:t>
      </w:r>
      <w:r w:rsidRPr="00AD2CF5">
        <w:rPr>
          <w:rFonts w:ascii="Symbol" w:hAnsi="Symbol"/>
        </w:rPr>
        <w:t></w:t>
      </w:r>
      <w:r w:rsidRPr="00AD2CF5">
        <w:t>16</w:t>
      </w:r>
      <w:r w:rsidRPr="00AD2CF5">
        <w:rPr>
          <w:rFonts w:ascii="Symbol" w:hAnsi="Symbol"/>
        </w:rPr>
        <w:t></w:t>
      </w:r>
      <w:r w:rsidRPr="00AD2CF5">
        <w:t>9= 2.939.328 coëf</w:t>
      </w:r>
      <w:r w:rsidRPr="00AD2CF5">
        <w:softHyphen/>
        <w:t>ficiënten.</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rPr>
          <w:i/>
        </w:rPr>
      </w:pPr>
      <w:r w:rsidRPr="00AD2CF5">
        <w:rPr>
          <w:i/>
        </w:rPr>
        <w:t>Meteorologische klassen</w:t>
      </w:r>
      <w:r w:rsidRPr="00AD2CF5">
        <w:rPr>
          <w:i/>
        </w:rPr>
        <w:br/>
      </w:r>
      <w:r w:rsidRPr="00AD2CF5">
        <w:t>In deze methode worden 27 meteorologische klasse</w:t>
      </w:r>
      <w:r w:rsidRPr="00AD2CF5">
        <w:fldChar w:fldCharType="begin"/>
      </w:r>
      <w:r w:rsidRPr="00AD2CF5">
        <w:instrText xml:space="preserve"> XE "meteorologische klasse" </w:instrText>
      </w:r>
      <w:r w:rsidRPr="00AD2CF5">
        <w:fldChar w:fldCharType="end"/>
      </w:r>
      <w:r w:rsidRPr="00AD2CF5">
        <w:t>n onderscheiden. Een klasse wordt gerepresenteerd door een functie, die de geluidsnelheid</w:t>
      </w:r>
      <w:r w:rsidRPr="00AD2CF5">
        <w:fldChar w:fldCharType="begin"/>
      </w:r>
      <w:r w:rsidRPr="00AD2CF5">
        <w:instrText xml:space="preserve"> XE "geluidsnelheid" </w:instrText>
      </w:r>
      <w:r w:rsidRPr="00AD2CF5">
        <w:fldChar w:fldCharType="end"/>
      </w:r>
      <w:r w:rsidRPr="00AD2CF5">
        <w:t xml:space="preserve"> beschrijft als functie van de hoogte; het zogenaamde geluidsnelheidsprofiel</w:t>
      </w:r>
      <w:r w:rsidRPr="00AD2CF5">
        <w:fldChar w:fldCharType="begin"/>
      </w:r>
      <w:r w:rsidRPr="00AD2CF5">
        <w:instrText xml:space="preserve"> XE "geluidsnelheidsprofiel" </w:instrText>
      </w:r>
      <w:r w:rsidRPr="00AD2CF5">
        <w:fldChar w:fldCharType="end"/>
      </w:r>
      <w:r w:rsidRPr="00AD2CF5">
        <w:t>. Deze profielen zijn in drie groepen onderverdeeld:</w:t>
      </w:r>
    </w:p>
    <w:p w:rsidR="00F43C9B" w:rsidRPr="00AD2CF5" w:rsidRDefault="00F43C9B" w:rsidP="00F43C9B">
      <w:pPr>
        <w:pStyle w:val="Bijschrift"/>
        <w:shd w:val="clear" w:color="auto" w:fill="D9D9D9" w:themeFill="background1" w:themeFillShade="D9"/>
        <w:tabs>
          <w:tab w:val="left" w:pos="1134"/>
          <w:tab w:val="left" w:pos="4820"/>
          <w:tab w:val="right" w:pos="7371"/>
        </w:tabs>
        <w:rPr>
          <w:b w:val="0"/>
          <w:lang w:val="nl-NL"/>
        </w:rPr>
      </w:pPr>
      <w:r w:rsidRPr="00AD2CF5">
        <w:rPr>
          <w:b w:val="0"/>
          <w:lang w:val="nl-NL"/>
        </w:rPr>
        <w:t>groep 1:</w:t>
      </w:r>
      <w:r w:rsidRPr="00AD2CF5">
        <w:rPr>
          <w:b w:val="0"/>
          <w:lang w:val="nl-NL"/>
        </w:rPr>
        <w:tab/>
      </w:r>
      <w:r w:rsidRPr="00AD2CF5">
        <w:rPr>
          <w:b w:val="0"/>
          <w:position w:val="-12"/>
        </w:rPr>
        <w:object w:dxaOrig="3120" w:dyaOrig="380">
          <v:shape id="_x0000_i1056" type="#_x0000_t75" style="width:156pt;height:19.5pt" o:ole="" fillcolor="window">
            <v:imagedata r:id="rId139" o:title=""/>
          </v:shape>
          <o:OLEObject Type="Embed" ProgID="Equation.3" ShapeID="_x0000_i1056" DrawAspect="Content" ObjectID="_1511255394" r:id="rId140"/>
        </w:object>
      </w:r>
      <w:r w:rsidRPr="00AD2CF5">
        <w:rPr>
          <w:b w:val="0"/>
          <w:lang w:val="nl-NL"/>
        </w:rPr>
        <w:tab/>
        <w:t xml:space="preserve">voor </w:t>
      </w:r>
      <w:r w:rsidRPr="00AD2CF5">
        <w:rPr>
          <w:b w:val="0"/>
          <w:i/>
          <w:iCs/>
          <w:lang w:val="nl-NL"/>
        </w:rPr>
        <w:t>n</w:t>
      </w:r>
      <w:r w:rsidRPr="00AD2CF5">
        <w:rPr>
          <w:b w:val="0"/>
          <w:lang w:val="nl-NL"/>
        </w:rPr>
        <w:t xml:space="preserve"> =   1 …  7;</w:t>
      </w:r>
    </w:p>
    <w:p w:rsidR="00F43C9B" w:rsidRPr="00AD2CF5" w:rsidRDefault="00F43C9B" w:rsidP="00F43C9B">
      <w:pPr>
        <w:pStyle w:val="Bijschrift"/>
        <w:shd w:val="clear" w:color="auto" w:fill="D9D9D9" w:themeFill="background1" w:themeFillShade="D9"/>
        <w:tabs>
          <w:tab w:val="left" w:pos="1134"/>
          <w:tab w:val="left" w:pos="4820"/>
          <w:tab w:val="right" w:pos="7371"/>
        </w:tabs>
        <w:rPr>
          <w:b w:val="0"/>
          <w:noProof/>
          <w:lang w:val="nl-NL"/>
        </w:rPr>
      </w:pPr>
      <w:r w:rsidRPr="00AD2CF5">
        <w:rPr>
          <w:b w:val="0"/>
          <w:lang w:val="nl-NL"/>
        </w:rPr>
        <w:t>groep 2:</w:t>
      </w:r>
      <w:r w:rsidRPr="00AD2CF5">
        <w:rPr>
          <w:rStyle w:val="EquationCaption"/>
          <w:lang w:val="nl-NL"/>
        </w:rPr>
        <w:tab/>
      </w:r>
      <w:r w:rsidRPr="00AD2CF5">
        <w:rPr>
          <w:b w:val="0"/>
          <w:position w:val="-12"/>
        </w:rPr>
        <w:object w:dxaOrig="2620" w:dyaOrig="360">
          <v:shape id="_x0000_i1057" type="#_x0000_t75" style="width:131.25pt;height:18pt" o:ole="" fillcolor="window">
            <v:imagedata r:id="rId141" o:title=""/>
          </v:shape>
          <o:OLEObject Type="Embed" ProgID="Equation.3" ShapeID="_x0000_i1057" DrawAspect="Content" ObjectID="_1511255395" r:id="rId142"/>
        </w:object>
      </w:r>
      <w:r w:rsidRPr="00AD2CF5">
        <w:rPr>
          <w:rStyle w:val="EquationCaption"/>
          <w:lang w:val="nl-NL"/>
        </w:rPr>
        <w:tab/>
        <w:t xml:space="preserve">voor </w:t>
      </w:r>
      <w:r w:rsidRPr="00AD2CF5">
        <w:rPr>
          <w:rStyle w:val="EquationCaption"/>
          <w:i/>
          <w:iCs/>
          <w:lang w:val="nl-NL"/>
        </w:rPr>
        <w:t>n</w:t>
      </w:r>
      <w:r w:rsidRPr="00AD2CF5">
        <w:rPr>
          <w:rStyle w:val="EquationCaption"/>
          <w:lang w:val="nl-NL"/>
        </w:rPr>
        <w:t xml:space="preserve"> =   8 … 18;</w:t>
      </w:r>
      <w:r w:rsidRPr="00AD2CF5">
        <w:rPr>
          <w:rStyle w:val="EquationCaption"/>
          <w:lang w:val="nl-NL"/>
        </w:rPr>
        <w:tab/>
      </w:r>
      <w:r w:rsidRPr="00AD2CF5">
        <w:rPr>
          <w:lang w:val="nl-NL"/>
        </w:rPr>
        <w:t xml:space="preserve">(4. </w:t>
      </w:r>
      <w:r w:rsidRPr="00AD2CF5">
        <w:fldChar w:fldCharType="begin"/>
      </w:r>
      <w:r w:rsidRPr="00AD2CF5">
        <w:rPr>
          <w:lang w:val="nl-NL"/>
        </w:rPr>
        <w:instrText xml:space="preserve"> SEQ (4. \* ARABIC </w:instrText>
      </w:r>
      <w:r w:rsidRPr="00AD2CF5">
        <w:fldChar w:fldCharType="separate"/>
      </w:r>
      <w:r>
        <w:rPr>
          <w:noProof/>
          <w:lang w:val="nl-NL"/>
        </w:rPr>
        <w:t>9</w:t>
      </w:r>
      <w:r w:rsidRPr="00AD2CF5">
        <w:rPr>
          <w:noProof/>
        </w:rPr>
        <w:fldChar w:fldCharType="end"/>
      </w:r>
      <w:r w:rsidRPr="00AD2CF5">
        <w:rPr>
          <w:noProof/>
          <w:lang w:val="nl-NL"/>
        </w:rPr>
        <w:t>)</w:t>
      </w:r>
    </w:p>
    <w:p w:rsidR="00F43C9B" w:rsidRPr="00AD2CF5" w:rsidRDefault="00F43C9B" w:rsidP="00F43C9B">
      <w:pPr>
        <w:shd w:val="clear" w:color="auto" w:fill="D9D9D9" w:themeFill="background1" w:themeFillShade="D9"/>
        <w:tabs>
          <w:tab w:val="left" w:pos="1134"/>
          <w:tab w:val="left" w:pos="4820"/>
          <w:tab w:val="right" w:pos="7371"/>
        </w:tabs>
        <w:spacing w:line="240" w:lineRule="auto"/>
      </w:pPr>
      <w:r w:rsidRPr="00AD2CF5">
        <w:t>groep 3:</w:t>
      </w:r>
      <w:r w:rsidRPr="00AD2CF5">
        <w:tab/>
      </w:r>
      <w:r w:rsidRPr="00AD2CF5">
        <w:rPr>
          <w:b/>
          <w:position w:val="-12"/>
        </w:rPr>
        <w:object w:dxaOrig="3120" w:dyaOrig="380">
          <v:shape id="_x0000_i1058" type="#_x0000_t75" style="width:156pt;height:19.5pt" o:ole="" fillcolor="window">
            <v:imagedata r:id="rId143" o:title=""/>
          </v:shape>
          <o:OLEObject Type="Embed" ProgID="Equation.3" ShapeID="_x0000_i1058" DrawAspect="Content" ObjectID="_1511255396" r:id="rId144"/>
        </w:object>
      </w:r>
      <w:r w:rsidRPr="00AD2CF5">
        <w:rPr>
          <w:b/>
        </w:rPr>
        <w:tab/>
      </w:r>
      <w:r w:rsidRPr="00AD2CF5">
        <w:t xml:space="preserve">voor </w:t>
      </w:r>
      <w:r w:rsidRPr="00AD2CF5">
        <w:rPr>
          <w:i/>
          <w:iCs/>
        </w:rPr>
        <w:t>n</w:t>
      </w:r>
      <w:r w:rsidRPr="00AD2CF5">
        <w:t xml:space="preserve"> = 19  ... 27.</w:t>
      </w:r>
    </w:p>
    <w:p w:rsidR="00F43C9B" w:rsidRPr="00AD2CF5" w:rsidRDefault="00F43C9B" w:rsidP="00F43C9B">
      <w:pPr>
        <w:pStyle w:val="Inhopg1"/>
        <w:shd w:val="clear" w:color="auto" w:fill="D9D9D9" w:themeFill="background1" w:themeFillShade="D9"/>
        <w:spacing w:after="0"/>
      </w:pP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r w:rsidRPr="00AD2CF5">
        <w:t>waarin:</w:t>
      </w:r>
    </w:p>
    <w:p w:rsidR="00F43C9B" w:rsidRPr="00AD2CF5" w:rsidRDefault="00F43C9B" w:rsidP="00F43C9B">
      <w:pPr>
        <w:shd w:val="clear" w:color="auto" w:fill="D9D9D9" w:themeFill="background1" w:themeFillShade="D9"/>
        <w:tabs>
          <w:tab w:val="left" w:pos="-108"/>
          <w:tab w:val="left" w:pos="573"/>
          <w:tab w:val="left" w:pos="1418"/>
          <w:tab w:val="left" w:pos="3975"/>
        </w:tabs>
        <w:suppressAutoHyphens/>
        <w:spacing w:line="240" w:lineRule="auto"/>
        <w:ind w:left="572" w:hanging="572"/>
      </w:pPr>
      <w:r w:rsidRPr="00AD2CF5">
        <w:rPr>
          <w:i/>
        </w:rPr>
        <w:t>c</w:t>
      </w:r>
      <w:r w:rsidRPr="00AD2CF5">
        <w:rPr>
          <w:i/>
          <w:vertAlign w:val="subscript"/>
        </w:rPr>
        <w:t>n</w:t>
      </w:r>
      <w:r w:rsidRPr="00AD2CF5">
        <w:rPr>
          <w:i/>
        </w:rPr>
        <w:t>(h)</w:t>
      </w:r>
      <w:r w:rsidRPr="00AD2CF5">
        <w:tab/>
        <w:t>geluidsnelheidsprofiel</w:t>
      </w:r>
      <w:r w:rsidRPr="00AD2CF5">
        <w:fldChar w:fldCharType="begin"/>
      </w:r>
      <w:r w:rsidRPr="00AD2CF5">
        <w:instrText xml:space="preserve"> XE "geluidsnelheidsprofiel" </w:instrText>
      </w:r>
      <w:r w:rsidRPr="00AD2CF5">
        <w:fldChar w:fldCharType="end"/>
      </w:r>
      <w:r w:rsidRPr="00AD2CF5">
        <w:t>;</w:t>
      </w:r>
    </w:p>
    <w:p w:rsidR="00F43C9B" w:rsidRPr="00AD2CF5" w:rsidRDefault="00F43C9B" w:rsidP="00F43C9B">
      <w:pPr>
        <w:shd w:val="clear" w:color="auto" w:fill="D9D9D9" w:themeFill="background1" w:themeFillShade="D9"/>
        <w:tabs>
          <w:tab w:val="left" w:pos="-108"/>
          <w:tab w:val="left" w:pos="573"/>
          <w:tab w:val="left" w:pos="1418"/>
          <w:tab w:val="left" w:pos="3975"/>
        </w:tabs>
        <w:suppressAutoHyphens/>
        <w:spacing w:line="240" w:lineRule="auto"/>
        <w:ind w:left="1706" w:hanging="1706"/>
      </w:pPr>
      <w:r w:rsidRPr="00AD2CF5">
        <w:rPr>
          <w:i/>
        </w:rPr>
        <w:t>h</w:t>
      </w:r>
      <w:r w:rsidRPr="00AD2CF5">
        <w:tab/>
        <w:t>hoogte t.o.v. plaatselijk maaiveld;</w:t>
      </w:r>
    </w:p>
    <w:p w:rsidR="00F43C9B" w:rsidRPr="00AD2CF5" w:rsidRDefault="00F43C9B" w:rsidP="00F43C9B">
      <w:pPr>
        <w:shd w:val="clear" w:color="auto" w:fill="D9D9D9" w:themeFill="background1" w:themeFillShade="D9"/>
        <w:tabs>
          <w:tab w:val="left" w:pos="-108"/>
          <w:tab w:val="left" w:pos="573"/>
          <w:tab w:val="left" w:pos="1418"/>
          <w:tab w:val="left" w:pos="3975"/>
        </w:tabs>
        <w:suppressAutoHyphens/>
        <w:spacing w:line="240" w:lineRule="auto"/>
        <w:ind w:left="1706" w:hanging="1706"/>
        <w:rPr>
          <w:vertAlign w:val="subscript"/>
        </w:rPr>
      </w:pPr>
      <w:r w:rsidRPr="00AD2CF5">
        <w:rPr>
          <w:i/>
        </w:rPr>
        <w:t>h</w:t>
      </w:r>
      <w:r w:rsidRPr="00AD2CF5">
        <w:rPr>
          <w:vertAlign w:val="subscript"/>
        </w:rPr>
        <w:t>0</w:t>
      </w:r>
      <w:r w:rsidRPr="00AD2CF5">
        <w:rPr>
          <w:i/>
          <w:vertAlign w:val="subscript"/>
        </w:rPr>
        <w:tab/>
      </w:r>
      <w:r w:rsidRPr="00AD2CF5">
        <w:t>referentiehoogte h</w:t>
      </w:r>
      <w:r w:rsidRPr="00AD2CF5">
        <w:rPr>
          <w:vertAlign w:val="subscript"/>
        </w:rPr>
        <w:t xml:space="preserve">0 </w:t>
      </w:r>
      <w:r w:rsidRPr="00AD2CF5">
        <w:t>= 0.1 m;</w:t>
      </w:r>
    </w:p>
    <w:p w:rsidR="00F43C9B" w:rsidRPr="00AD2CF5" w:rsidRDefault="00F43C9B" w:rsidP="00F43C9B">
      <w:pPr>
        <w:shd w:val="clear" w:color="auto" w:fill="D9D9D9" w:themeFill="background1" w:themeFillShade="D9"/>
        <w:tabs>
          <w:tab w:val="left" w:pos="-108"/>
          <w:tab w:val="left" w:pos="567"/>
          <w:tab w:val="left" w:pos="1418"/>
          <w:tab w:val="left" w:pos="3975"/>
        </w:tabs>
        <w:suppressAutoHyphens/>
        <w:spacing w:line="240" w:lineRule="auto"/>
        <w:ind w:left="1706" w:hanging="1706"/>
      </w:pPr>
      <w:r w:rsidRPr="00AD2CF5">
        <w:rPr>
          <w:i/>
        </w:rPr>
        <w:t>c</w:t>
      </w:r>
      <w:r w:rsidRPr="00AD2CF5">
        <w:rPr>
          <w:vertAlign w:val="subscript"/>
        </w:rPr>
        <w:t>10</w:t>
      </w:r>
      <w:r w:rsidRPr="00AD2CF5">
        <w:tab/>
        <w:t>geluidsnelheid</w:t>
      </w:r>
      <w:r w:rsidRPr="00AD2CF5">
        <w:fldChar w:fldCharType="begin"/>
      </w:r>
      <w:r w:rsidRPr="00AD2CF5">
        <w:instrText xml:space="preserve"> XE "geluidsnelheid" </w:instrText>
      </w:r>
      <w:r w:rsidRPr="00AD2CF5">
        <w:fldChar w:fldCharType="end"/>
      </w:r>
      <w:r w:rsidRPr="00AD2CF5">
        <w:t xml:space="preserve"> bij 10</w:t>
      </w:r>
      <w:r w:rsidRPr="00AD2CF5">
        <w:rPr>
          <w:rFonts w:ascii="Symbol" w:hAnsi="Symbol"/>
        </w:rPr>
        <w:t></w:t>
      </w:r>
      <w:r w:rsidRPr="00AD2CF5">
        <w:t xml:space="preserve"> C en 1 atmosfeer</w:t>
      </w:r>
      <w:r w:rsidRPr="00AD2CF5">
        <w:fldChar w:fldCharType="begin"/>
      </w:r>
      <w:r w:rsidRPr="00AD2CF5">
        <w:instrText xml:space="preserve"> XE "atmosfeer" </w:instrText>
      </w:r>
      <w:r w:rsidRPr="00AD2CF5">
        <w:fldChar w:fldCharType="end"/>
      </w:r>
      <w:r w:rsidRPr="00AD2CF5">
        <w:t xml:space="preserve"> (zie § 2.10);</w:t>
      </w:r>
    </w:p>
    <w:p w:rsidR="00F43C9B" w:rsidRPr="00AD2CF5" w:rsidRDefault="00F43C9B" w:rsidP="00F43C9B">
      <w:pPr>
        <w:shd w:val="clear" w:color="auto" w:fill="D9D9D9" w:themeFill="background1" w:themeFillShade="D9"/>
        <w:tabs>
          <w:tab w:val="left" w:pos="-108"/>
          <w:tab w:val="left" w:pos="567"/>
          <w:tab w:val="left" w:pos="1418"/>
          <w:tab w:val="left" w:pos="3975"/>
        </w:tabs>
        <w:suppressAutoHyphens/>
        <w:spacing w:line="240" w:lineRule="auto"/>
        <w:ind w:left="1706" w:hanging="1706"/>
      </w:pPr>
      <w:r w:rsidRPr="00AD2CF5">
        <w:rPr>
          <w:i/>
        </w:rPr>
        <w:t>b</w:t>
      </w:r>
      <w:r w:rsidRPr="00AD2CF5">
        <w:rPr>
          <w:i/>
          <w:vertAlign w:val="subscript"/>
        </w:rPr>
        <w:t>n</w:t>
      </w:r>
      <w:r w:rsidRPr="00AD2CF5">
        <w:tab/>
        <w:t>parameter van het geluidsnelheidsprofiel</w:t>
      </w:r>
      <w:r w:rsidRPr="00AD2CF5">
        <w:fldChar w:fldCharType="begin"/>
      </w:r>
      <w:r w:rsidRPr="00AD2CF5">
        <w:instrText xml:space="preserve"> XE "geluidsnelheidsprofiel" </w:instrText>
      </w:r>
      <w:r w:rsidRPr="00AD2CF5">
        <w:fldChar w:fldCharType="end"/>
      </w:r>
      <w:r w:rsidRPr="00AD2CF5">
        <w:t xml:space="preserve"> zie tabel 4.1.</w:t>
      </w:r>
    </w:p>
    <w:p w:rsidR="00F43C9B" w:rsidRPr="00AD2CF5" w:rsidRDefault="00F43C9B" w:rsidP="00F43C9B">
      <w:pPr>
        <w:keepNext/>
        <w:keepLines/>
        <w:shd w:val="clear" w:color="auto" w:fill="D9D9D9" w:themeFill="background1" w:themeFillShade="D9"/>
        <w:tabs>
          <w:tab w:val="left" w:pos="-108"/>
          <w:tab w:val="left" w:pos="1418"/>
          <w:tab w:val="left" w:pos="3975"/>
        </w:tabs>
        <w:suppressAutoHyphens/>
        <w:spacing w:line="240" w:lineRule="auto"/>
        <w:ind w:left="1418" w:hanging="1418"/>
        <w:rPr>
          <w:b/>
        </w:rPr>
      </w:pPr>
    </w:p>
    <w:p w:rsidR="00F43C9B" w:rsidRPr="00AD2CF5" w:rsidRDefault="00F43C9B" w:rsidP="00F43C9B">
      <w:pPr>
        <w:keepNext/>
        <w:keepLines/>
        <w:shd w:val="clear" w:color="auto" w:fill="D9D9D9" w:themeFill="background1" w:themeFillShade="D9"/>
        <w:tabs>
          <w:tab w:val="left" w:pos="-108"/>
        </w:tabs>
        <w:suppressAutoHyphens/>
        <w:spacing w:line="240" w:lineRule="auto"/>
        <w:ind w:right="-284"/>
      </w:pPr>
      <w:r w:rsidRPr="00AD2CF5">
        <w:rPr>
          <w:b/>
        </w:rPr>
        <w:t>Tabel 4.1</w:t>
      </w:r>
      <w:r w:rsidRPr="00AD2CF5">
        <w:t xml:space="preserve"> </w:t>
      </w:r>
      <w:r w:rsidRPr="00AD2CF5">
        <w:tab/>
        <w:t xml:space="preserve">Waarden van de parameters </w:t>
      </w:r>
      <w:r w:rsidRPr="00AD2CF5">
        <w:rPr>
          <w:i/>
          <w:iCs/>
        </w:rPr>
        <w:t>b</w:t>
      </w:r>
      <w:r w:rsidRPr="00AD2CF5">
        <w:rPr>
          <w:i/>
          <w:iCs/>
          <w:vertAlign w:val="subscript"/>
        </w:rPr>
        <w:t>n</w:t>
      </w:r>
      <w:r w:rsidRPr="00AD2CF5">
        <w:rPr>
          <w:i/>
          <w:iCs/>
        </w:rPr>
        <w:t xml:space="preserve"> </w:t>
      </w:r>
      <w:r w:rsidRPr="00AD2CF5">
        <w:t>(in m/s) uit de formules (4.9). Tegenwind en neutrale situaties zijn grijs gemarkeerd.</w:t>
      </w:r>
    </w:p>
    <w:tbl>
      <w:tblPr>
        <w:tblW w:w="7938" w:type="dxa"/>
        <w:tblLayout w:type="fixed"/>
        <w:tblCellMar>
          <w:left w:w="148" w:type="dxa"/>
          <w:right w:w="0" w:type="dxa"/>
        </w:tblCellMar>
        <w:tblLook w:val="0000" w:firstRow="0" w:lastRow="0" w:firstColumn="0" w:lastColumn="0" w:noHBand="0" w:noVBand="0"/>
      </w:tblPr>
      <w:tblGrid>
        <w:gridCol w:w="993"/>
        <w:gridCol w:w="992"/>
        <w:gridCol w:w="992"/>
        <w:gridCol w:w="992"/>
        <w:gridCol w:w="993"/>
        <w:gridCol w:w="992"/>
        <w:gridCol w:w="992"/>
        <w:gridCol w:w="992"/>
      </w:tblGrid>
      <w:tr w:rsidR="00F43C9B" w:rsidRPr="00AD2CF5" w:rsidTr="00F43C9B">
        <w:tc>
          <w:tcPr>
            <w:tcW w:w="993" w:type="dxa"/>
            <w:tcBorders>
              <w:top w:val="double" w:sz="6" w:space="0" w:color="auto"/>
              <w:left w:val="double" w:sz="6" w:space="0" w:color="auto"/>
              <w:bottom w:val="double" w:sz="6" w:space="0" w:color="auto"/>
            </w:tcBorders>
          </w:tcPr>
          <w:p w:rsidR="00F43C9B" w:rsidRPr="00AD2CF5" w:rsidRDefault="00F43C9B" w:rsidP="00F43C9B">
            <w:pPr>
              <w:shd w:val="clear" w:color="auto" w:fill="D9D9D9" w:themeFill="background1" w:themeFillShade="D9"/>
              <w:tabs>
                <w:tab w:val="left" w:pos="-256"/>
                <w:tab w:val="left" w:pos="425"/>
                <w:tab w:val="left" w:pos="1559"/>
              </w:tabs>
              <w:suppressAutoHyphens/>
              <w:spacing w:before="109" w:after="54" w:line="240" w:lineRule="auto"/>
            </w:pPr>
            <w:r w:rsidRPr="00AD2CF5">
              <w:t>Groep 1</w:t>
            </w:r>
          </w:p>
        </w:tc>
        <w:tc>
          <w:tcPr>
            <w:tcW w:w="992" w:type="dxa"/>
            <w:tcBorders>
              <w:top w:val="double" w:sz="6" w:space="0" w:color="auto"/>
              <w:left w:val="doub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1344"/>
                <w:tab w:val="left" w:pos="-663"/>
                <w:tab w:val="left" w:pos="471"/>
                <w:tab w:val="left" w:pos="2739"/>
              </w:tabs>
              <w:suppressAutoHyphens/>
              <w:spacing w:before="109" w:after="54" w:line="240" w:lineRule="auto"/>
            </w:pPr>
            <w:r w:rsidRPr="00AD2CF5">
              <w:t>b</w:t>
            </w:r>
            <w:r w:rsidRPr="00AD2CF5">
              <w:rPr>
                <w:vertAlign w:val="subscript"/>
              </w:rPr>
              <w:t xml:space="preserve">1 </w:t>
            </w:r>
            <w:r w:rsidRPr="00AD2CF5">
              <w:t>= 10</w:t>
            </w:r>
          </w:p>
        </w:tc>
        <w:tc>
          <w:tcPr>
            <w:tcW w:w="992" w:type="dxa"/>
            <w:tcBorders>
              <w:top w:val="double" w:sz="6" w:space="0" w:color="auto"/>
              <w:left w:val="single" w:sz="6" w:space="0" w:color="auto"/>
              <w:bottom w:val="double" w:sz="6" w:space="0" w:color="auto"/>
            </w:tcBorders>
            <w:shd w:val="pct10" w:color="auto" w:fill="auto"/>
            <w:noWrap/>
          </w:tcPr>
          <w:p w:rsidR="00F43C9B" w:rsidRPr="00AD2CF5" w:rsidRDefault="00F43C9B" w:rsidP="00F43C9B">
            <w:pPr>
              <w:shd w:val="clear" w:color="auto" w:fill="D9D9D9" w:themeFill="background1" w:themeFillShade="D9"/>
              <w:tabs>
                <w:tab w:val="left" w:pos="-2432"/>
                <w:tab w:val="left" w:pos="-1751"/>
                <w:tab w:val="left" w:pos="-617"/>
                <w:tab w:val="left" w:pos="1651"/>
              </w:tabs>
              <w:suppressAutoHyphens/>
              <w:spacing w:before="109" w:after="54" w:line="240" w:lineRule="auto"/>
            </w:pPr>
            <w:r w:rsidRPr="00AD2CF5">
              <w:t>b</w:t>
            </w:r>
            <w:r w:rsidRPr="00AD2CF5">
              <w:rPr>
                <w:vertAlign w:val="subscript"/>
              </w:rPr>
              <w:t xml:space="preserve">2 </w:t>
            </w:r>
            <w:r w:rsidRPr="00AD2CF5">
              <w:t>=3</w:t>
            </w:r>
          </w:p>
        </w:tc>
        <w:tc>
          <w:tcPr>
            <w:tcW w:w="992" w:type="dxa"/>
            <w:tcBorders>
              <w:top w:val="double" w:sz="6" w:space="0" w:color="auto"/>
              <w:left w:val="single" w:sz="6" w:space="0" w:color="auto"/>
              <w:bottom w:val="double" w:sz="6" w:space="0" w:color="auto"/>
            </w:tcBorders>
            <w:shd w:val="clear" w:color="auto" w:fill="E6E6E6"/>
          </w:tcPr>
          <w:p w:rsidR="00F43C9B" w:rsidRPr="00AD2CF5" w:rsidRDefault="00F43C9B" w:rsidP="00F43C9B">
            <w:pPr>
              <w:shd w:val="clear" w:color="auto" w:fill="D9D9D9" w:themeFill="background1" w:themeFillShade="D9"/>
              <w:tabs>
                <w:tab w:val="left" w:pos="-3520"/>
                <w:tab w:val="left" w:pos="-2839"/>
                <w:tab w:val="left" w:pos="-1705"/>
                <w:tab w:val="left" w:pos="563"/>
              </w:tabs>
              <w:suppressAutoHyphens/>
              <w:spacing w:before="109" w:after="54" w:line="240" w:lineRule="auto"/>
            </w:pPr>
            <w:r w:rsidRPr="00AD2CF5">
              <w:t>b</w:t>
            </w:r>
            <w:r w:rsidRPr="00AD2CF5">
              <w:rPr>
                <w:vertAlign w:val="subscript"/>
              </w:rPr>
              <w:t xml:space="preserve">3 </w:t>
            </w:r>
            <w:r w:rsidRPr="00AD2CF5">
              <w:t>= 1</w:t>
            </w:r>
          </w:p>
        </w:tc>
        <w:tc>
          <w:tcPr>
            <w:tcW w:w="993" w:type="dxa"/>
            <w:tcBorders>
              <w:top w:val="double" w:sz="6" w:space="0" w:color="auto"/>
              <w:left w:val="single" w:sz="6" w:space="0" w:color="auto"/>
            </w:tcBorders>
          </w:tcPr>
          <w:p w:rsidR="00F43C9B" w:rsidRPr="00AD2CF5" w:rsidRDefault="00F43C9B" w:rsidP="00F43C9B">
            <w:pPr>
              <w:shd w:val="clear" w:color="auto" w:fill="D9D9D9" w:themeFill="background1" w:themeFillShade="D9"/>
              <w:tabs>
                <w:tab w:val="left" w:pos="-3520"/>
                <w:tab w:val="left" w:pos="-2839"/>
                <w:tab w:val="left" w:pos="-1705"/>
                <w:tab w:val="left" w:pos="563"/>
              </w:tabs>
              <w:suppressAutoHyphens/>
              <w:spacing w:before="109" w:after="54" w:line="240" w:lineRule="auto"/>
            </w:pPr>
            <w:r w:rsidRPr="00AD2CF5">
              <w:t>b</w:t>
            </w:r>
            <w:r w:rsidRPr="00AD2CF5">
              <w:rPr>
                <w:vertAlign w:val="subscript"/>
              </w:rPr>
              <w:t xml:space="preserve">4 </w:t>
            </w:r>
            <w:r w:rsidRPr="00AD2CF5">
              <w:t>= -1</w:t>
            </w:r>
          </w:p>
        </w:tc>
        <w:tc>
          <w:tcPr>
            <w:tcW w:w="992" w:type="dxa"/>
            <w:tcBorders>
              <w:top w:val="doub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5696"/>
                <w:tab w:val="left" w:pos="-5015"/>
                <w:tab w:val="left" w:pos="-3881"/>
                <w:tab w:val="left" w:pos="-1613"/>
              </w:tabs>
              <w:suppressAutoHyphens/>
              <w:spacing w:before="109" w:after="54" w:line="240" w:lineRule="auto"/>
            </w:pPr>
            <w:r w:rsidRPr="00AD2CF5">
              <w:t>b</w:t>
            </w:r>
            <w:r w:rsidRPr="00AD2CF5">
              <w:rPr>
                <w:vertAlign w:val="subscript"/>
              </w:rPr>
              <w:t xml:space="preserve">5 </w:t>
            </w:r>
            <w:r w:rsidRPr="00AD2CF5">
              <w:t>= -3</w:t>
            </w:r>
          </w:p>
        </w:tc>
        <w:tc>
          <w:tcPr>
            <w:tcW w:w="992" w:type="dxa"/>
            <w:tcBorders>
              <w:top w:val="doub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6784"/>
                <w:tab w:val="left" w:pos="-6103"/>
                <w:tab w:val="left" w:pos="-4969"/>
                <w:tab w:val="left" w:pos="-2701"/>
              </w:tabs>
              <w:suppressAutoHyphens/>
              <w:spacing w:before="109" w:after="54" w:line="240" w:lineRule="auto"/>
              <w:ind w:right="-148"/>
            </w:pPr>
            <w:r w:rsidRPr="00AD2CF5">
              <w:t>b</w:t>
            </w:r>
            <w:r w:rsidRPr="00AD2CF5">
              <w:rPr>
                <w:vertAlign w:val="subscript"/>
              </w:rPr>
              <w:t xml:space="preserve">6 </w:t>
            </w:r>
            <w:r w:rsidRPr="00AD2CF5">
              <w:t>= -6</w:t>
            </w:r>
          </w:p>
        </w:tc>
        <w:tc>
          <w:tcPr>
            <w:tcW w:w="992" w:type="dxa"/>
            <w:tcBorders>
              <w:top w:val="double" w:sz="6" w:space="0" w:color="auto"/>
              <w:left w:val="single" w:sz="6" w:space="0" w:color="auto"/>
              <w:bottom w:val="double" w:sz="6" w:space="0" w:color="auto"/>
              <w:right w:val="double" w:sz="6" w:space="0" w:color="auto"/>
            </w:tcBorders>
          </w:tcPr>
          <w:p w:rsidR="00F43C9B" w:rsidRPr="00AD2CF5" w:rsidRDefault="00F43C9B" w:rsidP="00F43C9B">
            <w:pPr>
              <w:shd w:val="clear" w:color="auto" w:fill="D9D9D9" w:themeFill="background1" w:themeFillShade="D9"/>
              <w:tabs>
                <w:tab w:val="left" w:pos="-6784"/>
                <w:tab w:val="left" w:pos="-6103"/>
                <w:tab w:val="left" w:pos="-4969"/>
                <w:tab w:val="left" w:pos="-2701"/>
              </w:tabs>
              <w:suppressAutoHyphens/>
              <w:spacing w:before="109" w:after="54" w:line="240" w:lineRule="auto"/>
            </w:pPr>
            <w:r w:rsidRPr="00AD2CF5">
              <w:t>b</w:t>
            </w:r>
            <w:r w:rsidRPr="00AD2CF5">
              <w:rPr>
                <w:vertAlign w:val="subscript"/>
              </w:rPr>
              <w:t xml:space="preserve">7 </w:t>
            </w:r>
            <w:r w:rsidRPr="00AD2CF5">
              <w:t>= -10</w:t>
            </w:r>
          </w:p>
        </w:tc>
      </w:tr>
      <w:tr w:rsidR="00F43C9B" w:rsidRPr="00AD2CF5" w:rsidTr="00F43C9B">
        <w:tc>
          <w:tcPr>
            <w:tcW w:w="993" w:type="dxa"/>
            <w:tcBorders>
              <w:top w:val="single" w:sz="24" w:space="0" w:color="auto"/>
              <w:left w:val="double" w:sz="6" w:space="0" w:color="auto"/>
            </w:tcBorders>
          </w:tcPr>
          <w:p w:rsidR="00F43C9B" w:rsidRPr="00AD2CF5" w:rsidRDefault="00F43C9B" w:rsidP="00F43C9B">
            <w:pPr>
              <w:shd w:val="clear" w:color="auto" w:fill="D9D9D9" w:themeFill="background1" w:themeFillShade="D9"/>
              <w:tabs>
                <w:tab w:val="left" w:pos="-256"/>
                <w:tab w:val="left" w:pos="425"/>
                <w:tab w:val="left" w:pos="1559"/>
              </w:tabs>
              <w:suppressAutoHyphens/>
              <w:spacing w:before="109" w:line="240" w:lineRule="auto"/>
            </w:pPr>
            <w:r w:rsidRPr="00AD2CF5">
              <w:t>Groep 2</w:t>
            </w:r>
          </w:p>
        </w:tc>
        <w:tc>
          <w:tcPr>
            <w:tcW w:w="992" w:type="dxa"/>
            <w:tcBorders>
              <w:top w:val="single" w:sz="24" w:space="0" w:color="auto"/>
              <w:left w:val="double" w:sz="6" w:space="0" w:color="auto"/>
            </w:tcBorders>
            <w:shd w:val="pct10" w:color="auto" w:fill="auto"/>
          </w:tcPr>
          <w:p w:rsidR="00F43C9B" w:rsidRPr="00AD2CF5" w:rsidRDefault="00F43C9B" w:rsidP="00F43C9B">
            <w:pPr>
              <w:shd w:val="clear" w:color="auto" w:fill="D9D9D9" w:themeFill="background1" w:themeFillShade="D9"/>
              <w:tabs>
                <w:tab w:val="left" w:pos="-1344"/>
                <w:tab w:val="left" w:pos="-663"/>
                <w:tab w:val="left" w:pos="471"/>
                <w:tab w:val="left" w:pos="2739"/>
              </w:tabs>
              <w:suppressAutoHyphens/>
              <w:spacing w:before="109" w:after="54" w:line="240" w:lineRule="auto"/>
            </w:pPr>
            <w:r w:rsidRPr="00AD2CF5">
              <w:t>b</w:t>
            </w:r>
            <w:r w:rsidRPr="00AD2CF5">
              <w:rPr>
                <w:vertAlign w:val="subscript"/>
              </w:rPr>
              <w:t xml:space="preserve">8 </w:t>
            </w:r>
            <w:r w:rsidRPr="00AD2CF5">
              <w:t>= -1</w:t>
            </w:r>
          </w:p>
        </w:tc>
        <w:tc>
          <w:tcPr>
            <w:tcW w:w="992" w:type="dxa"/>
            <w:tcBorders>
              <w:top w:val="single" w:sz="24"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2432"/>
                <w:tab w:val="left" w:pos="-1751"/>
                <w:tab w:val="left" w:pos="-617"/>
                <w:tab w:val="left" w:pos="1651"/>
              </w:tabs>
              <w:suppressAutoHyphens/>
              <w:spacing w:before="109" w:after="54" w:line="240" w:lineRule="auto"/>
            </w:pPr>
            <w:r w:rsidRPr="00AD2CF5">
              <w:t>b</w:t>
            </w:r>
            <w:r w:rsidRPr="00AD2CF5">
              <w:rPr>
                <w:vertAlign w:val="subscript"/>
              </w:rPr>
              <w:t xml:space="preserve">9 </w:t>
            </w:r>
            <w:r w:rsidRPr="00AD2CF5">
              <w:t>= -0.4</w:t>
            </w:r>
          </w:p>
        </w:tc>
        <w:tc>
          <w:tcPr>
            <w:tcW w:w="992" w:type="dxa"/>
            <w:tcBorders>
              <w:top w:val="single" w:sz="24"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3520"/>
                <w:tab w:val="left" w:pos="-2839"/>
                <w:tab w:val="left" w:pos="-1705"/>
                <w:tab w:val="left" w:pos="563"/>
              </w:tabs>
              <w:suppressAutoHyphens/>
              <w:spacing w:before="109" w:after="54" w:line="240" w:lineRule="auto"/>
            </w:pPr>
            <w:r w:rsidRPr="00AD2CF5">
              <w:t>b</w:t>
            </w:r>
            <w:r w:rsidRPr="00AD2CF5">
              <w:rPr>
                <w:vertAlign w:val="subscript"/>
              </w:rPr>
              <w:t xml:space="preserve">10 </w:t>
            </w:r>
            <w:r w:rsidRPr="00AD2CF5">
              <w:t>= -0.2</w:t>
            </w:r>
          </w:p>
        </w:tc>
        <w:tc>
          <w:tcPr>
            <w:tcW w:w="993" w:type="dxa"/>
            <w:tcBorders>
              <w:top w:val="single" w:sz="24"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4608"/>
                <w:tab w:val="left" w:pos="-3927"/>
                <w:tab w:val="left" w:pos="-2793"/>
                <w:tab w:val="left" w:pos="-525"/>
              </w:tabs>
              <w:suppressAutoHyphens/>
              <w:spacing w:before="109" w:after="54" w:line="240" w:lineRule="auto"/>
            </w:pPr>
            <w:r w:rsidRPr="00AD2CF5">
              <w:t>b</w:t>
            </w:r>
            <w:r w:rsidRPr="00AD2CF5">
              <w:rPr>
                <w:vertAlign w:val="subscript"/>
              </w:rPr>
              <w:t xml:space="preserve">11 </w:t>
            </w:r>
            <w:r w:rsidRPr="00AD2CF5">
              <w:t>= 0</w:t>
            </w:r>
          </w:p>
        </w:tc>
        <w:tc>
          <w:tcPr>
            <w:tcW w:w="992" w:type="dxa"/>
            <w:tcBorders>
              <w:top w:val="single" w:sz="24" w:space="0" w:color="auto"/>
              <w:left w:val="single" w:sz="6" w:space="0" w:color="auto"/>
            </w:tcBorders>
          </w:tcPr>
          <w:p w:rsidR="00F43C9B" w:rsidRPr="00AD2CF5" w:rsidRDefault="00F43C9B" w:rsidP="00F43C9B">
            <w:pPr>
              <w:shd w:val="clear" w:color="auto" w:fill="D9D9D9" w:themeFill="background1" w:themeFillShade="D9"/>
              <w:tabs>
                <w:tab w:val="left" w:pos="-5696"/>
                <w:tab w:val="left" w:pos="-5015"/>
                <w:tab w:val="left" w:pos="-3881"/>
                <w:tab w:val="left" w:pos="-1613"/>
              </w:tabs>
              <w:suppressAutoHyphens/>
              <w:spacing w:before="109" w:after="54" w:line="240" w:lineRule="auto"/>
            </w:pPr>
            <w:r w:rsidRPr="00AD2CF5">
              <w:t>b</w:t>
            </w:r>
            <w:r w:rsidRPr="00AD2CF5">
              <w:rPr>
                <w:vertAlign w:val="subscript"/>
              </w:rPr>
              <w:t xml:space="preserve">12 </w:t>
            </w:r>
            <w:r w:rsidRPr="00AD2CF5">
              <w:t>= 0.2</w:t>
            </w:r>
          </w:p>
        </w:tc>
        <w:tc>
          <w:tcPr>
            <w:tcW w:w="992" w:type="dxa"/>
            <w:tcBorders>
              <w:top w:val="single" w:sz="24" w:space="0" w:color="auto"/>
              <w:left w:val="single" w:sz="6" w:space="0" w:color="auto"/>
            </w:tcBorders>
          </w:tcPr>
          <w:p w:rsidR="00F43C9B" w:rsidRPr="00AD2CF5" w:rsidRDefault="00F43C9B" w:rsidP="00F43C9B">
            <w:pPr>
              <w:shd w:val="clear" w:color="auto" w:fill="D9D9D9" w:themeFill="background1" w:themeFillShade="D9"/>
              <w:tabs>
                <w:tab w:val="left" w:pos="-6784"/>
                <w:tab w:val="left" w:pos="-6103"/>
                <w:tab w:val="left" w:pos="-4969"/>
                <w:tab w:val="left" w:pos="-2701"/>
              </w:tabs>
              <w:suppressAutoHyphens/>
              <w:spacing w:before="109" w:after="54" w:line="240" w:lineRule="auto"/>
              <w:ind w:right="-148"/>
            </w:pPr>
            <w:r w:rsidRPr="00AD2CF5">
              <w:t>b</w:t>
            </w:r>
            <w:r w:rsidRPr="00AD2CF5">
              <w:rPr>
                <w:vertAlign w:val="subscript"/>
              </w:rPr>
              <w:t xml:space="preserve">13 </w:t>
            </w:r>
            <w:r w:rsidRPr="00AD2CF5">
              <w:t>= 0.4</w:t>
            </w:r>
          </w:p>
        </w:tc>
        <w:tc>
          <w:tcPr>
            <w:tcW w:w="992" w:type="dxa"/>
            <w:tcBorders>
              <w:top w:val="single" w:sz="24"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6784"/>
                <w:tab w:val="left" w:pos="-6103"/>
                <w:tab w:val="left" w:pos="-4969"/>
                <w:tab w:val="left" w:pos="-2701"/>
              </w:tabs>
              <w:suppressAutoHyphens/>
              <w:spacing w:before="109" w:after="54" w:line="240" w:lineRule="auto"/>
            </w:pPr>
            <w:r w:rsidRPr="00AD2CF5">
              <w:t>b</w:t>
            </w:r>
            <w:r w:rsidRPr="00AD2CF5">
              <w:rPr>
                <w:vertAlign w:val="subscript"/>
              </w:rPr>
              <w:t xml:space="preserve">14 </w:t>
            </w:r>
            <w:r w:rsidRPr="00AD2CF5">
              <w:t>= 0.7</w:t>
            </w:r>
          </w:p>
        </w:tc>
      </w:tr>
      <w:tr w:rsidR="00F43C9B" w:rsidRPr="00AD2CF5" w:rsidTr="00F43C9B">
        <w:tc>
          <w:tcPr>
            <w:tcW w:w="993" w:type="dxa"/>
            <w:tcBorders>
              <w:left w:val="double" w:sz="6" w:space="0" w:color="auto"/>
              <w:bottom w:val="double" w:sz="6" w:space="0" w:color="auto"/>
            </w:tcBorders>
          </w:tcPr>
          <w:p w:rsidR="00F43C9B" w:rsidRPr="00AD2CF5" w:rsidRDefault="00F43C9B" w:rsidP="00F43C9B">
            <w:pPr>
              <w:shd w:val="clear" w:color="auto" w:fill="D9D9D9" w:themeFill="background1" w:themeFillShade="D9"/>
              <w:tabs>
                <w:tab w:val="left" w:pos="-256"/>
                <w:tab w:val="left" w:pos="425"/>
                <w:tab w:val="left" w:pos="1559"/>
              </w:tabs>
              <w:suppressAutoHyphens/>
              <w:spacing w:before="109" w:after="54" w:line="240" w:lineRule="auto"/>
            </w:pPr>
          </w:p>
        </w:tc>
        <w:tc>
          <w:tcPr>
            <w:tcW w:w="992" w:type="dxa"/>
            <w:tcBorders>
              <w:top w:val="single" w:sz="6" w:space="0" w:color="auto"/>
              <w:left w:val="double" w:sz="6" w:space="0" w:color="auto"/>
            </w:tcBorders>
          </w:tcPr>
          <w:p w:rsidR="00F43C9B" w:rsidRPr="00AD2CF5" w:rsidRDefault="00F43C9B" w:rsidP="00F43C9B">
            <w:pPr>
              <w:shd w:val="clear" w:color="auto" w:fill="D9D9D9" w:themeFill="background1" w:themeFillShade="D9"/>
              <w:tabs>
                <w:tab w:val="left" w:pos="-1344"/>
                <w:tab w:val="left" w:pos="-663"/>
                <w:tab w:val="left" w:pos="471"/>
                <w:tab w:val="left" w:pos="2739"/>
              </w:tabs>
              <w:suppressAutoHyphens/>
              <w:spacing w:before="109" w:after="54" w:line="240" w:lineRule="auto"/>
            </w:pPr>
            <w:r w:rsidRPr="00AD2CF5">
              <w:t>b</w:t>
            </w:r>
            <w:r w:rsidRPr="00AD2CF5">
              <w:rPr>
                <w:vertAlign w:val="subscript"/>
              </w:rPr>
              <w:t xml:space="preserve">15 </w:t>
            </w:r>
            <w:r w:rsidRPr="00AD2CF5">
              <w:t>= 1.1</w:t>
            </w:r>
          </w:p>
        </w:tc>
        <w:tc>
          <w:tcPr>
            <w:tcW w:w="992"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2432"/>
                <w:tab w:val="left" w:pos="-1751"/>
                <w:tab w:val="left" w:pos="-617"/>
                <w:tab w:val="left" w:pos="1651"/>
              </w:tabs>
              <w:suppressAutoHyphens/>
              <w:spacing w:before="109" w:after="54" w:line="240" w:lineRule="auto"/>
            </w:pPr>
            <w:r w:rsidRPr="00AD2CF5">
              <w:t>b</w:t>
            </w:r>
            <w:r w:rsidRPr="00AD2CF5">
              <w:rPr>
                <w:vertAlign w:val="subscript"/>
              </w:rPr>
              <w:t xml:space="preserve">16 </w:t>
            </w:r>
            <w:r w:rsidRPr="00AD2CF5">
              <w:t>=1.5</w:t>
            </w:r>
          </w:p>
        </w:tc>
        <w:tc>
          <w:tcPr>
            <w:tcW w:w="992"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3520"/>
                <w:tab w:val="left" w:pos="-2839"/>
                <w:tab w:val="left" w:pos="-1705"/>
                <w:tab w:val="left" w:pos="563"/>
              </w:tabs>
              <w:suppressAutoHyphens/>
              <w:spacing w:before="109" w:after="54" w:line="240" w:lineRule="auto"/>
            </w:pPr>
            <w:r w:rsidRPr="00AD2CF5">
              <w:t>b</w:t>
            </w:r>
            <w:r w:rsidRPr="00AD2CF5">
              <w:rPr>
                <w:vertAlign w:val="subscript"/>
              </w:rPr>
              <w:t xml:space="preserve">17 </w:t>
            </w:r>
            <w:r w:rsidRPr="00AD2CF5">
              <w:t>= 2</w:t>
            </w:r>
          </w:p>
        </w:tc>
        <w:tc>
          <w:tcPr>
            <w:tcW w:w="993"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4608"/>
                <w:tab w:val="left" w:pos="-3927"/>
                <w:tab w:val="left" w:pos="-2793"/>
                <w:tab w:val="left" w:pos="-525"/>
              </w:tabs>
              <w:suppressAutoHyphens/>
              <w:spacing w:before="109" w:after="54" w:line="240" w:lineRule="auto"/>
            </w:pPr>
            <w:r w:rsidRPr="00AD2CF5">
              <w:t>b</w:t>
            </w:r>
            <w:r w:rsidRPr="00AD2CF5">
              <w:rPr>
                <w:vertAlign w:val="subscript"/>
              </w:rPr>
              <w:t xml:space="preserve">18 </w:t>
            </w:r>
            <w:r w:rsidRPr="00AD2CF5">
              <w:t>= 2.5</w:t>
            </w:r>
          </w:p>
        </w:tc>
        <w:tc>
          <w:tcPr>
            <w:tcW w:w="992"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5696"/>
                <w:tab w:val="left" w:pos="-5015"/>
                <w:tab w:val="left" w:pos="-3881"/>
                <w:tab w:val="left" w:pos="-1613"/>
              </w:tabs>
              <w:suppressAutoHyphens/>
              <w:spacing w:before="109" w:after="54" w:line="240" w:lineRule="auto"/>
            </w:pPr>
          </w:p>
        </w:tc>
        <w:tc>
          <w:tcPr>
            <w:tcW w:w="992"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6784"/>
                <w:tab w:val="left" w:pos="-6103"/>
                <w:tab w:val="left" w:pos="-4969"/>
                <w:tab w:val="left" w:pos="-2701"/>
              </w:tabs>
              <w:suppressAutoHyphens/>
              <w:spacing w:before="109" w:after="54" w:line="240" w:lineRule="auto"/>
              <w:ind w:right="-148"/>
            </w:pPr>
          </w:p>
        </w:tc>
        <w:tc>
          <w:tcPr>
            <w:tcW w:w="992" w:type="dxa"/>
            <w:tcBorders>
              <w:top w:val="single" w:sz="6" w:space="0" w:color="auto"/>
              <w:left w:val="single" w:sz="6" w:space="0" w:color="auto"/>
              <w:bottom w:val="double" w:sz="6" w:space="0" w:color="auto"/>
              <w:right w:val="double" w:sz="6" w:space="0" w:color="auto"/>
            </w:tcBorders>
          </w:tcPr>
          <w:p w:rsidR="00F43C9B" w:rsidRPr="00AD2CF5" w:rsidRDefault="00F43C9B" w:rsidP="00F43C9B">
            <w:pPr>
              <w:shd w:val="clear" w:color="auto" w:fill="D9D9D9" w:themeFill="background1" w:themeFillShade="D9"/>
              <w:tabs>
                <w:tab w:val="left" w:pos="-6784"/>
                <w:tab w:val="left" w:pos="-6103"/>
                <w:tab w:val="left" w:pos="-4969"/>
                <w:tab w:val="left" w:pos="-2701"/>
              </w:tabs>
              <w:suppressAutoHyphens/>
              <w:spacing w:before="109" w:after="54" w:line="240" w:lineRule="auto"/>
            </w:pPr>
          </w:p>
        </w:tc>
      </w:tr>
      <w:tr w:rsidR="00F43C9B" w:rsidRPr="00AD2CF5" w:rsidTr="00F43C9B">
        <w:tc>
          <w:tcPr>
            <w:tcW w:w="993" w:type="dxa"/>
            <w:tcBorders>
              <w:top w:val="single" w:sz="24" w:space="0" w:color="auto"/>
              <w:left w:val="double" w:sz="6" w:space="0" w:color="auto"/>
            </w:tcBorders>
          </w:tcPr>
          <w:p w:rsidR="00F43C9B" w:rsidRPr="00AD2CF5" w:rsidRDefault="00F43C9B" w:rsidP="00F43C9B">
            <w:pPr>
              <w:shd w:val="clear" w:color="auto" w:fill="D9D9D9" w:themeFill="background1" w:themeFillShade="D9"/>
              <w:tabs>
                <w:tab w:val="left" w:pos="-256"/>
                <w:tab w:val="left" w:pos="425"/>
                <w:tab w:val="left" w:pos="1559"/>
              </w:tabs>
              <w:suppressAutoHyphens/>
              <w:spacing w:before="109" w:line="240" w:lineRule="auto"/>
            </w:pPr>
            <w:r w:rsidRPr="00AD2CF5">
              <w:t>Groep 3</w:t>
            </w:r>
          </w:p>
        </w:tc>
        <w:tc>
          <w:tcPr>
            <w:tcW w:w="992" w:type="dxa"/>
            <w:tcBorders>
              <w:top w:val="single" w:sz="24" w:space="0" w:color="auto"/>
              <w:left w:val="double" w:sz="6" w:space="0" w:color="auto"/>
            </w:tcBorders>
            <w:shd w:val="pct10" w:color="auto" w:fill="auto"/>
          </w:tcPr>
          <w:p w:rsidR="00F43C9B" w:rsidRPr="00AD2CF5" w:rsidRDefault="00F43C9B" w:rsidP="00F43C9B">
            <w:pPr>
              <w:shd w:val="clear" w:color="auto" w:fill="D9D9D9" w:themeFill="background1" w:themeFillShade="D9"/>
              <w:tabs>
                <w:tab w:val="left" w:pos="-1344"/>
                <w:tab w:val="left" w:pos="-663"/>
                <w:tab w:val="left" w:pos="471"/>
                <w:tab w:val="left" w:pos="2739"/>
              </w:tabs>
              <w:suppressAutoHyphens/>
              <w:spacing w:before="109" w:after="54" w:line="240" w:lineRule="auto"/>
            </w:pPr>
            <w:r w:rsidRPr="00AD2CF5">
              <w:t>b</w:t>
            </w:r>
            <w:r w:rsidRPr="00AD2CF5">
              <w:rPr>
                <w:vertAlign w:val="subscript"/>
              </w:rPr>
              <w:t xml:space="preserve">19 </w:t>
            </w:r>
            <w:r w:rsidRPr="00AD2CF5">
              <w:t>= -1</w:t>
            </w:r>
          </w:p>
        </w:tc>
        <w:tc>
          <w:tcPr>
            <w:tcW w:w="992" w:type="dxa"/>
            <w:tcBorders>
              <w:top w:val="single" w:sz="24"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2432"/>
                <w:tab w:val="left" w:pos="-1751"/>
                <w:tab w:val="left" w:pos="-617"/>
                <w:tab w:val="left" w:pos="1651"/>
              </w:tabs>
              <w:suppressAutoHyphens/>
              <w:spacing w:before="109" w:after="54" w:line="240" w:lineRule="auto"/>
            </w:pPr>
            <w:r w:rsidRPr="00AD2CF5">
              <w:t>b</w:t>
            </w:r>
            <w:r w:rsidRPr="00AD2CF5">
              <w:rPr>
                <w:vertAlign w:val="subscript"/>
              </w:rPr>
              <w:t xml:space="preserve">20 </w:t>
            </w:r>
            <w:r w:rsidRPr="00AD2CF5">
              <w:t>= -0.5</w:t>
            </w:r>
          </w:p>
        </w:tc>
        <w:tc>
          <w:tcPr>
            <w:tcW w:w="992" w:type="dxa"/>
            <w:tcBorders>
              <w:top w:val="single" w:sz="24"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3520"/>
                <w:tab w:val="left" w:pos="-2839"/>
                <w:tab w:val="left" w:pos="-1705"/>
                <w:tab w:val="left" w:pos="563"/>
              </w:tabs>
              <w:suppressAutoHyphens/>
              <w:spacing w:before="109" w:after="54" w:line="240" w:lineRule="auto"/>
            </w:pPr>
            <w:r w:rsidRPr="00AD2CF5">
              <w:t>b</w:t>
            </w:r>
            <w:r w:rsidRPr="00AD2CF5">
              <w:rPr>
                <w:vertAlign w:val="subscript"/>
              </w:rPr>
              <w:t xml:space="preserve">21 </w:t>
            </w:r>
            <w:r w:rsidRPr="00AD2CF5">
              <w:t>= -0.2</w:t>
            </w:r>
          </w:p>
        </w:tc>
        <w:tc>
          <w:tcPr>
            <w:tcW w:w="993" w:type="dxa"/>
            <w:tcBorders>
              <w:top w:val="single" w:sz="24" w:space="0" w:color="auto"/>
              <w:left w:val="single" w:sz="6" w:space="0" w:color="auto"/>
            </w:tcBorders>
          </w:tcPr>
          <w:p w:rsidR="00F43C9B" w:rsidRPr="00AD2CF5" w:rsidRDefault="00F43C9B" w:rsidP="00F43C9B">
            <w:pPr>
              <w:shd w:val="clear" w:color="auto" w:fill="D9D9D9" w:themeFill="background1" w:themeFillShade="D9"/>
              <w:tabs>
                <w:tab w:val="left" w:pos="-4608"/>
                <w:tab w:val="left" w:pos="-3927"/>
                <w:tab w:val="left" w:pos="-2793"/>
                <w:tab w:val="left" w:pos="-525"/>
              </w:tabs>
              <w:suppressAutoHyphens/>
              <w:spacing w:before="109" w:after="54" w:line="240" w:lineRule="auto"/>
            </w:pPr>
            <w:r w:rsidRPr="00AD2CF5">
              <w:t>b</w:t>
            </w:r>
            <w:r w:rsidRPr="00AD2CF5">
              <w:rPr>
                <w:vertAlign w:val="subscript"/>
              </w:rPr>
              <w:t xml:space="preserve">22 </w:t>
            </w:r>
            <w:r w:rsidRPr="00AD2CF5">
              <w:t>= 0.2</w:t>
            </w:r>
          </w:p>
        </w:tc>
        <w:tc>
          <w:tcPr>
            <w:tcW w:w="992" w:type="dxa"/>
            <w:tcBorders>
              <w:top w:val="single" w:sz="24" w:space="0" w:color="auto"/>
              <w:left w:val="single" w:sz="6" w:space="0" w:color="auto"/>
            </w:tcBorders>
          </w:tcPr>
          <w:p w:rsidR="00F43C9B" w:rsidRPr="00AD2CF5" w:rsidRDefault="00F43C9B" w:rsidP="00F43C9B">
            <w:pPr>
              <w:shd w:val="clear" w:color="auto" w:fill="D9D9D9" w:themeFill="background1" w:themeFillShade="D9"/>
              <w:tabs>
                <w:tab w:val="left" w:pos="-5696"/>
                <w:tab w:val="left" w:pos="-5015"/>
                <w:tab w:val="left" w:pos="-3881"/>
                <w:tab w:val="left" w:pos="-1613"/>
              </w:tabs>
              <w:suppressAutoHyphens/>
              <w:spacing w:before="109" w:after="54" w:line="240" w:lineRule="auto"/>
            </w:pPr>
            <w:r w:rsidRPr="00AD2CF5">
              <w:t>b</w:t>
            </w:r>
            <w:r w:rsidRPr="00AD2CF5">
              <w:rPr>
                <w:vertAlign w:val="subscript"/>
              </w:rPr>
              <w:t xml:space="preserve">23 </w:t>
            </w:r>
            <w:r w:rsidRPr="00AD2CF5">
              <w:t>= 0.4</w:t>
            </w:r>
          </w:p>
        </w:tc>
        <w:tc>
          <w:tcPr>
            <w:tcW w:w="992" w:type="dxa"/>
            <w:tcBorders>
              <w:top w:val="single" w:sz="24" w:space="0" w:color="auto"/>
              <w:left w:val="single" w:sz="6" w:space="0" w:color="auto"/>
            </w:tcBorders>
          </w:tcPr>
          <w:p w:rsidR="00F43C9B" w:rsidRPr="00AD2CF5" w:rsidRDefault="00F43C9B" w:rsidP="00F43C9B">
            <w:pPr>
              <w:shd w:val="clear" w:color="auto" w:fill="D9D9D9" w:themeFill="background1" w:themeFillShade="D9"/>
              <w:tabs>
                <w:tab w:val="left" w:pos="-6784"/>
                <w:tab w:val="left" w:pos="-6103"/>
                <w:tab w:val="left" w:pos="-4969"/>
                <w:tab w:val="left" w:pos="-2701"/>
              </w:tabs>
              <w:suppressAutoHyphens/>
              <w:spacing w:before="109" w:after="54" w:line="240" w:lineRule="auto"/>
              <w:ind w:right="-148"/>
            </w:pPr>
            <w:r w:rsidRPr="00AD2CF5">
              <w:t>b</w:t>
            </w:r>
            <w:r w:rsidRPr="00AD2CF5">
              <w:rPr>
                <w:vertAlign w:val="subscript"/>
              </w:rPr>
              <w:t xml:space="preserve">24 </w:t>
            </w:r>
            <w:r w:rsidRPr="00AD2CF5">
              <w:t>= 0.65</w:t>
            </w:r>
          </w:p>
        </w:tc>
        <w:tc>
          <w:tcPr>
            <w:tcW w:w="992" w:type="dxa"/>
            <w:tcBorders>
              <w:top w:val="single" w:sz="24"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6784"/>
                <w:tab w:val="left" w:pos="-6103"/>
                <w:tab w:val="left" w:pos="-4969"/>
                <w:tab w:val="left" w:pos="-2701"/>
              </w:tabs>
              <w:suppressAutoHyphens/>
              <w:spacing w:before="109" w:after="54" w:line="240" w:lineRule="auto"/>
            </w:pPr>
            <w:r w:rsidRPr="00AD2CF5">
              <w:t>b</w:t>
            </w:r>
            <w:r w:rsidRPr="00AD2CF5">
              <w:rPr>
                <w:vertAlign w:val="subscript"/>
              </w:rPr>
              <w:t xml:space="preserve">25 </w:t>
            </w:r>
            <w:r w:rsidRPr="00AD2CF5">
              <w:t>= 1</w:t>
            </w:r>
          </w:p>
        </w:tc>
      </w:tr>
      <w:tr w:rsidR="00F43C9B" w:rsidRPr="00AD2CF5" w:rsidTr="00F43C9B">
        <w:tc>
          <w:tcPr>
            <w:tcW w:w="993" w:type="dxa"/>
            <w:tcBorders>
              <w:left w:val="double" w:sz="6" w:space="0" w:color="auto"/>
              <w:bottom w:val="double" w:sz="6" w:space="0" w:color="auto"/>
            </w:tcBorders>
          </w:tcPr>
          <w:p w:rsidR="00F43C9B" w:rsidRPr="00AD2CF5" w:rsidRDefault="00F43C9B" w:rsidP="00F43C9B">
            <w:pPr>
              <w:shd w:val="clear" w:color="auto" w:fill="D9D9D9" w:themeFill="background1" w:themeFillShade="D9"/>
              <w:tabs>
                <w:tab w:val="left" w:pos="-256"/>
                <w:tab w:val="left" w:pos="425"/>
                <w:tab w:val="left" w:pos="1559"/>
              </w:tabs>
              <w:suppressAutoHyphens/>
              <w:spacing w:before="109" w:after="54" w:line="240" w:lineRule="auto"/>
            </w:pPr>
          </w:p>
        </w:tc>
        <w:tc>
          <w:tcPr>
            <w:tcW w:w="992" w:type="dxa"/>
            <w:tcBorders>
              <w:top w:val="single" w:sz="6" w:space="0" w:color="auto"/>
              <w:left w:val="double" w:sz="6" w:space="0" w:color="auto"/>
              <w:bottom w:val="double" w:sz="6" w:space="0" w:color="auto"/>
            </w:tcBorders>
          </w:tcPr>
          <w:p w:rsidR="00F43C9B" w:rsidRPr="00AD2CF5" w:rsidRDefault="00F43C9B" w:rsidP="00F43C9B">
            <w:pPr>
              <w:shd w:val="clear" w:color="auto" w:fill="D9D9D9" w:themeFill="background1" w:themeFillShade="D9"/>
              <w:tabs>
                <w:tab w:val="left" w:pos="-1344"/>
                <w:tab w:val="left" w:pos="-663"/>
                <w:tab w:val="left" w:pos="471"/>
                <w:tab w:val="left" w:pos="2739"/>
              </w:tabs>
              <w:suppressAutoHyphens/>
              <w:spacing w:before="109" w:after="54" w:line="240" w:lineRule="auto"/>
            </w:pPr>
            <w:r w:rsidRPr="00AD2CF5">
              <w:t>b</w:t>
            </w:r>
            <w:r w:rsidRPr="00AD2CF5">
              <w:rPr>
                <w:vertAlign w:val="subscript"/>
              </w:rPr>
              <w:t xml:space="preserve">26 </w:t>
            </w:r>
            <w:r w:rsidRPr="00AD2CF5">
              <w:t>= 1.4</w:t>
            </w:r>
          </w:p>
        </w:tc>
        <w:tc>
          <w:tcPr>
            <w:tcW w:w="992"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2432"/>
                <w:tab w:val="left" w:pos="-1751"/>
                <w:tab w:val="left" w:pos="-617"/>
                <w:tab w:val="left" w:pos="1651"/>
              </w:tabs>
              <w:suppressAutoHyphens/>
              <w:spacing w:before="109" w:after="54" w:line="240" w:lineRule="auto"/>
            </w:pPr>
            <w:r w:rsidRPr="00AD2CF5">
              <w:t>b</w:t>
            </w:r>
            <w:r w:rsidRPr="00AD2CF5">
              <w:rPr>
                <w:vertAlign w:val="subscript"/>
              </w:rPr>
              <w:t xml:space="preserve">27 </w:t>
            </w:r>
            <w:r w:rsidRPr="00AD2CF5">
              <w:t>= 2</w:t>
            </w:r>
          </w:p>
        </w:tc>
        <w:tc>
          <w:tcPr>
            <w:tcW w:w="992"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3520"/>
                <w:tab w:val="left" w:pos="-2839"/>
                <w:tab w:val="left" w:pos="-1705"/>
                <w:tab w:val="left" w:pos="563"/>
              </w:tabs>
              <w:suppressAutoHyphens/>
              <w:spacing w:before="109" w:after="54" w:line="240" w:lineRule="auto"/>
            </w:pPr>
          </w:p>
        </w:tc>
        <w:tc>
          <w:tcPr>
            <w:tcW w:w="993"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4608"/>
                <w:tab w:val="left" w:pos="-3927"/>
                <w:tab w:val="left" w:pos="-2793"/>
                <w:tab w:val="left" w:pos="-525"/>
              </w:tabs>
              <w:suppressAutoHyphens/>
              <w:spacing w:before="109" w:after="54" w:line="240" w:lineRule="auto"/>
            </w:pPr>
          </w:p>
        </w:tc>
        <w:tc>
          <w:tcPr>
            <w:tcW w:w="992"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5696"/>
                <w:tab w:val="left" w:pos="-5015"/>
                <w:tab w:val="left" w:pos="-3881"/>
                <w:tab w:val="left" w:pos="-1613"/>
              </w:tabs>
              <w:suppressAutoHyphens/>
              <w:spacing w:before="109" w:after="54" w:line="240" w:lineRule="auto"/>
            </w:pPr>
          </w:p>
        </w:tc>
        <w:tc>
          <w:tcPr>
            <w:tcW w:w="992"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6784"/>
                <w:tab w:val="left" w:pos="-6103"/>
                <w:tab w:val="left" w:pos="-4969"/>
                <w:tab w:val="left" w:pos="-2701"/>
              </w:tabs>
              <w:suppressAutoHyphens/>
              <w:spacing w:before="109" w:after="54" w:line="240" w:lineRule="auto"/>
              <w:ind w:right="-148"/>
            </w:pPr>
          </w:p>
        </w:tc>
        <w:tc>
          <w:tcPr>
            <w:tcW w:w="992" w:type="dxa"/>
            <w:tcBorders>
              <w:top w:val="single" w:sz="6" w:space="0" w:color="auto"/>
              <w:left w:val="single" w:sz="6" w:space="0" w:color="auto"/>
              <w:bottom w:val="double" w:sz="6" w:space="0" w:color="auto"/>
              <w:right w:val="double" w:sz="6" w:space="0" w:color="auto"/>
            </w:tcBorders>
          </w:tcPr>
          <w:p w:rsidR="00F43C9B" w:rsidRPr="00AD2CF5" w:rsidRDefault="00F43C9B" w:rsidP="00F43C9B">
            <w:pPr>
              <w:shd w:val="clear" w:color="auto" w:fill="D9D9D9" w:themeFill="background1" w:themeFillShade="D9"/>
              <w:tabs>
                <w:tab w:val="left" w:pos="-6784"/>
                <w:tab w:val="left" w:pos="-6103"/>
                <w:tab w:val="left" w:pos="-4969"/>
                <w:tab w:val="left" w:pos="-2701"/>
              </w:tabs>
              <w:suppressAutoHyphens/>
              <w:spacing w:before="109" w:after="54" w:line="240" w:lineRule="auto"/>
            </w:pPr>
          </w:p>
        </w:tc>
      </w:tr>
    </w:tbl>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p>
    <w:p w:rsidR="00F43C9B" w:rsidRPr="00AD2CF5" w:rsidRDefault="00F43C9B" w:rsidP="00F43C9B">
      <w:pPr>
        <w:shd w:val="clear" w:color="auto" w:fill="D9D9D9" w:themeFill="background1" w:themeFillShade="D9"/>
      </w:pPr>
      <w:r w:rsidRPr="00AD2CF5">
        <w:t>Formule (4.8) is vanaf 15 m tot een bepaalde maxi</w:t>
      </w:r>
      <w:r w:rsidRPr="00AD2CF5">
        <w:softHyphen/>
        <w:t>mum afstand geldig. De minimale en maximale afstand zijn in het gegevensbestand</w:t>
      </w:r>
      <w:r w:rsidRPr="00AD2CF5">
        <w:fldChar w:fldCharType="begin"/>
      </w:r>
      <w:r w:rsidRPr="00AD2CF5">
        <w:instrText xml:space="preserve"> XE "gegevensbestand" </w:instrText>
      </w:r>
      <w:r w:rsidRPr="00AD2CF5">
        <w:fldChar w:fldCharType="end"/>
      </w:r>
      <w:r w:rsidRPr="00AD2CF5">
        <w:t xml:space="preserve"> opgenomen. Voor afstanden groter dan de maximale afstand wordt de waarde op de maximale afstand genomen. Voor afstanden kleiner dan 15 m kan formule 4.8 niet worden toegepast. Indien echter het geluidpad over verschillende bodemtypen loopt kan het voorkomen dat een bronpunt op korte afstand van een bodemovergang ligt en over een afstand kleiner dan 15 m de bodemdemping</w:t>
      </w:r>
      <w:r w:rsidRPr="00AD2CF5">
        <w:fldChar w:fldCharType="begin"/>
      </w:r>
      <w:r w:rsidRPr="00AD2CF5">
        <w:instrText xml:space="preserve"> XE "bodemdemping" </w:instrText>
      </w:r>
      <w:r w:rsidRPr="00AD2CF5">
        <w:fldChar w:fldCharType="end"/>
      </w:r>
      <w:r w:rsidRPr="00AD2CF5">
        <w:t xml:space="preserve"> bepaald moet worden (zie ook § 4.6.4).</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r w:rsidRPr="00AD2CF5">
        <w:t>In dat geval moet gebruik gemaakt worden van onderstaande interpolatieformule:</w:t>
      </w:r>
    </w:p>
    <w:p w:rsidR="00F43C9B" w:rsidRPr="00AD2CF5" w:rsidRDefault="00F43C9B" w:rsidP="00F43C9B">
      <w:pPr>
        <w:pStyle w:val="Bijschrift"/>
        <w:shd w:val="clear" w:color="auto" w:fill="D9D9D9" w:themeFill="background1" w:themeFillShade="D9"/>
        <w:tabs>
          <w:tab w:val="left" w:pos="567"/>
          <w:tab w:val="left" w:pos="4820"/>
          <w:tab w:val="right" w:pos="7371"/>
        </w:tabs>
        <w:rPr>
          <w:b w:val="0"/>
          <w:noProof/>
          <w:lang w:val="nl-NL"/>
        </w:rPr>
      </w:pPr>
      <w:r w:rsidRPr="00AD2CF5">
        <w:rPr>
          <w:position w:val="-24"/>
        </w:rPr>
        <w:object w:dxaOrig="5200" w:dyaOrig="620">
          <v:shape id="_x0000_i1059" type="#_x0000_t75" style="width:260.25pt;height:31.5pt" o:ole="" fillcolor="window">
            <v:imagedata r:id="rId145" o:title=""/>
          </v:shape>
          <o:OLEObject Type="Embed" ProgID="Equation.3" ShapeID="_x0000_i1059" DrawAspect="Content" ObjectID="_1511255397" r:id="rId146"/>
        </w:object>
      </w:r>
      <w:r w:rsidRPr="00AD2CF5">
        <w:rPr>
          <w:lang w:val="nl-NL"/>
        </w:rPr>
        <w:tab/>
        <w:t>(4. 10</w:t>
      </w:r>
      <w:r w:rsidRPr="00AD2CF5">
        <w:rPr>
          <w:noProof/>
          <w:lang w:val="nl-NL"/>
        </w:rPr>
        <w:t>)</w:t>
      </w:r>
    </w:p>
    <w:p w:rsidR="00F43C9B" w:rsidRPr="00AD2CF5" w:rsidRDefault="00F43C9B" w:rsidP="00F43C9B">
      <w:pPr>
        <w:keepNext/>
        <w:keepLines/>
        <w:shd w:val="clear" w:color="auto" w:fill="D9D9D9" w:themeFill="background1" w:themeFillShade="D9"/>
        <w:tabs>
          <w:tab w:val="left" w:pos="-108"/>
          <w:tab w:val="left" w:pos="573"/>
          <w:tab w:val="left" w:pos="1707"/>
          <w:tab w:val="left" w:pos="3975"/>
        </w:tabs>
        <w:suppressAutoHyphens/>
        <w:spacing w:line="240" w:lineRule="auto"/>
        <w:rPr>
          <w:i/>
        </w:rPr>
      </w:pPr>
    </w:p>
    <w:p w:rsidR="00F43C9B" w:rsidRPr="00AD2CF5" w:rsidRDefault="00F43C9B" w:rsidP="00F43C9B">
      <w:pPr>
        <w:keepNext/>
        <w:keepLines/>
        <w:shd w:val="clear" w:color="auto" w:fill="D9D9D9" w:themeFill="background1" w:themeFillShade="D9"/>
        <w:tabs>
          <w:tab w:val="left" w:pos="-108"/>
          <w:tab w:val="left" w:pos="573"/>
          <w:tab w:val="left" w:pos="1707"/>
          <w:tab w:val="left" w:pos="3975"/>
        </w:tabs>
        <w:suppressAutoHyphens/>
        <w:spacing w:line="240" w:lineRule="auto"/>
        <w:rPr>
          <w:i/>
        </w:rPr>
      </w:pPr>
      <w:r w:rsidRPr="00AD2CF5">
        <w:rPr>
          <w:i/>
        </w:rPr>
        <w:t>Interpolatie en extrapolatie</w:t>
      </w:r>
      <w:r w:rsidRPr="00AD2CF5">
        <w:rPr>
          <w:i/>
        </w:rPr>
        <w:br/>
      </w:r>
      <w:r w:rsidRPr="00AD2CF5">
        <w:t>Het gegevensbestand</w:t>
      </w:r>
      <w:r w:rsidRPr="00AD2CF5">
        <w:fldChar w:fldCharType="begin"/>
      </w:r>
      <w:r w:rsidRPr="00AD2CF5">
        <w:instrText xml:space="preserve"> XE "gegevensbestand" </w:instrText>
      </w:r>
      <w:r w:rsidRPr="00AD2CF5">
        <w:fldChar w:fldCharType="end"/>
      </w:r>
      <w:r w:rsidRPr="00AD2CF5">
        <w:t xml:space="preserve"> is gevuld voor een gekozen verzameling van combinaties van hoogtes van het bron- en rekenpunt. Deze verzameling kan worden uitgebreid met de reciproque combinaties. Het reciprociteitsprincipe houdt in dat de waarde van de bodemdemping</w:t>
      </w:r>
      <w:r w:rsidRPr="00AD2CF5">
        <w:fldChar w:fldCharType="begin"/>
      </w:r>
      <w:r w:rsidRPr="00AD2CF5">
        <w:instrText xml:space="preserve"> XE "bodemdemping" </w:instrText>
      </w:r>
      <w:r w:rsidRPr="00AD2CF5">
        <w:fldChar w:fldCharType="end"/>
      </w:r>
      <w:r w:rsidRPr="00AD2CF5">
        <w:t xml:space="preserve"> niet verandert als bron- en rekenpunt worden omge</w:t>
      </w:r>
      <w:r w:rsidRPr="00AD2CF5">
        <w:softHyphen/>
        <w:t>wis</w:t>
      </w:r>
      <w:r w:rsidRPr="00AD2CF5">
        <w:softHyphen/>
        <w:t>seld. In formule:</w:t>
      </w:r>
    </w:p>
    <w:p w:rsidR="00F43C9B" w:rsidRPr="00AD2CF5" w:rsidRDefault="00F43C9B" w:rsidP="00F43C9B">
      <w:pPr>
        <w:pStyle w:val="Bijschrift"/>
        <w:shd w:val="clear" w:color="auto" w:fill="D9D9D9" w:themeFill="background1" w:themeFillShade="D9"/>
        <w:tabs>
          <w:tab w:val="left" w:pos="567"/>
          <w:tab w:val="right" w:pos="7371"/>
        </w:tabs>
      </w:pPr>
      <w:r w:rsidRPr="00AD2CF5">
        <w:rPr>
          <w:position w:val="-10"/>
        </w:rPr>
        <w:object w:dxaOrig="3060" w:dyaOrig="320">
          <v:shape id="_x0000_i1060" type="#_x0000_t75" style="width:154.5pt;height:16.5pt" o:ole="">
            <v:imagedata r:id="rId147" o:title=""/>
          </v:shape>
          <o:OLEObject Type="Embed" ProgID="Equation.2" ShapeID="_x0000_i1060" DrawAspect="Content" ObjectID="_1511255398" r:id="rId148"/>
        </w:object>
      </w:r>
      <w:r w:rsidRPr="00AD2CF5">
        <w:tab/>
        <w:t>(4. 11)</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r w:rsidRPr="00AD2CF5">
        <w:rPr>
          <w:b/>
          <w:noProof/>
          <w:sz w:val="21"/>
          <w:lang w:eastAsia="nl-NL"/>
        </w:rPr>
        <w:drawing>
          <wp:inline distT="0" distB="0" distL="0" distR="0" wp14:anchorId="6DDC1B8B" wp14:editId="3019977A">
            <wp:extent cx="4981575" cy="5019675"/>
            <wp:effectExtent l="19050" t="0" r="9525" b="0"/>
            <wp:docPr id="49" name="Afbeelding 61" descr="fig42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42ak"/>
                    <pic:cNvPicPr>
                      <a:picLocks noChangeAspect="1" noChangeArrowheads="1"/>
                    </pic:cNvPicPr>
                  </pic:nvPicPr>
                  <pic:blipFill>
                    <a:blip r:embed="rId149" cstate="print"/>
                    <a:srcRect/>
                    <a:stretch>
                      <a:fillRect/>
                    </a:stretch>
                  </pic:blipFill>
                  <pic:spPr bwMode="auto">
                    <a:xfrm>
                      <a:off x="0" y="0"/>
                      <a:ext cx="4981575" cy="5019675"/>
                    </a:xfrm>
                    <a:prstGeom prst="rect">
                      <a:avLst/>
                    </a:prstGeom>
                    <a:noFill/>
                    <a:ln w="9525">
                      <a:noFill/>
                      <a:miter lim="800000"/>
                      <a:headEnd/>
                      <a:tailEnd/>
                    </a:ln>
                  </pic:spPr>
                </pic:pic>
              </a:graphicData>
            </a:graphic>
          </wp:inline>
        </w:drawing>
      </w:r>
    </w:p>
    <w:p w:rsidR="00F43C9B" w:rsidRPr="00AD2CF5" w:rsidRDefault="00F43C9B" w:rsidP="00F43C9B">
      <w:pPr>
        <w:pStyle w:val="Bijschrift"/>
        <w:shd w:val="clear" w:color="auto" w:fill="D9D9D9" w:themeFill="background1" w:themeFillShade="D9"/>
        <w:rPr>
          <w:b w:val="0"/>
          <w:lang w:val="nl-NL"/>
        </w:rPr>
      </w:pPr>
      <w:r w:rsidRPr="00AD2CF5">
        <w:rPr>
          <w:lang w:val="nl-NL"/>
        </w:rPr>
        <w:t xml:space="preserve">Figuur 4. </w:t>
      </w:r>
      <w:r w:rsidRPr="00AD2CF5">
        <w:fldChar w:fldCharType="begin"/>
      </w:r>
      <w:r w:rsidRPr="00AD2CF5">
        <w:rPr>
          <w:lang w:val="nl-NL"/>
        </w:rPr>
        <w:instrText xml:space="preserve"> SEQ Figuur_4. \* ARABIC </w:instrText>
      </w:r>
      <w:r w:rsidRPr="00AD2CF5">
        <w:fldChar w:fldCharType="separate"/>
      </w:r>
      <w:r>
        <w:rPr>
          <w:noProof/>
          <w:lang w:val="nl-NL"/>
        </w:rPr>
        <w:t>2</w:t>
      </w:r>
      <w:r w:rsidRPr="00AD2CF5">
        <w:rPr>
          <w:noProof/>
        </w:rPr>
        <w:fldChar w:fldCharType="end"/>
      </w:r>
      <w:r w:rsidRPr="00AD2CF5">
        <w:rPr>
          <w:lang w:val="nl-NL"/>
        </w:rPr>
        <w:t>a:</w:t>
      </w:r>
      <w:r w:rsidRPr="00AD2CF5">
        <w:rPr>
          <w:b w:val="0"/>
          <w:lang w:val="nl-NL"/>
        </w:rPr>
        <w:t xml:space="preserve"> </w:t>
      </w:r>
      <w:r w:rsidRPr="00AD2CF5">
        <w:rPr>
          <w:b w:val="0"/>
          <w:lang w:val="nl-NL"/>
        </w:rPr>
        <w:tab/>
        <w:t>Overzicht van combinaties van bronhoogte en hoogte van het rekenpunt die in het gegevensbestand</w:t>
      </w:r>
      <w:r w:rsidRPr="00AD2CF5">
        <w:rPr>
          <w:b w:val="0"/>
        </w:rPr>
        <w:fldChar w:fldCharType="begin"/>
      </w:r>
      <w:r w:rsidRPr="00AD2CF5">
        <w:rPr>
          <w:b w:val="0"/>
          <w:lang w:val="nl-NL"/>
        </w:rPr>
        <w:instrText xml:space="preserve"> XE "</w:instrText>
      </w:r>
      <w:r w:rsidRPr="00AD2CF5">
        <w:rPr>
          <w:lang w:val="nl-NL"/>
        </w:rPr>
        <w:instrText>gegevensbestand"</w:instrText>
      </w:r>
      <w:r w:rsidRPr="00AD2CF5">
        <w:rPr>
          <w:b w:val="0"/>
          <w:lang w:val="nl-NL"/>
        </w:rPr>
        <w:instrText xml:space="preserve"> </w:instrText>
      </w:r>
      <w:r w:rsidRPr="00AD2CF5">
        <w:rPr>
          <w:b w:val="0"/>
        </w:rPr>
        <w:fldChar w:fldCharType="end"/>
      </w:r>
      <w:r w:rsidRPr="00AD2CF5">
        <w:rPr>
          <w:b w:val="0"/>
          <w:lang w:val="nl-NL"/>
        </w:rPr>
        <w:t xml:space="preserve"> zijn opgenomen of die door toepassing van het reciprociteitsprincipe kunnen worden verkregen.</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r w:rsidRPr="00AD2CF5">
        <w:t>Indien een combinatie van bron en rekenpunt binnen het grijs gemarkeerde gebied van figuur 4.2a ligt maar niet in het gegevensbestand</w:t>
      </w:r>
      <w:r w:rsidRPr="00AD2CF5">
        <w:fldChar w:fldCharType="begin"/>
      </w:r>
      <w:r w:rsidRPr="00AD2CF5">
        <w:instrText xml:space="preserve"> XE "gegevensbestand" </w:instrText>
      </w:r>
      <w:r w:rsidRPr="00AD2CF5">
        <w:fldChar w:fldCharType="end"/>
      </w:r>
      <w:r w:rsidRPr="00AD2CF5">
        <w:t xml:space="preserve"> voorkomt en ook niet als reciproque combinatie bestaat, zal voor deze combinatie de bodemdemping</w:t>
      </w:r>
      <w:r w:rsidRPr="00AD2CF5">
        <w:fldChar w:fldCharType="begin"/>
      </w:r>
      <w:r w:rsidRPr="00AD2CF5">
        <w:instrText xml:space="preserve"> XE "bodemdemping" </w:instrText>
      </w:r>
      <w:r w:rsidRPr="00AD2CF5">
        <w:fldChar w:fldCharType="end"/>
      </w:r>
      <w:r w:rsidRPr="00AD2CF5">
        <w:t xml:space="preserve"> door interpolatie bepaald moeten worden. Hiervoor worden die vier punten gebruikt, die op de hoekpunten liggen van een rechthoek rond het te interpoleren punt [h</w:t>
      </w:r>
      <w:r w:rsidRPr="00AD2CF5">
        <w:rPr>
          <w:vertAlign w:val="subscript"/>
        </w:rPr>
        <w:t>s</w:t>
      </w:r>
      <w:r w:rsidRPr="00AD2CF5">
        <w:t>,h</w:t>
      </w:r>
      <w:r w:rsidRPr="00AD2CF5">
        <w:rPr>
          <w:vertAlign w:val="subscript"/>
        </w:rPr>
        <w:t>r</w:t>
      </w:r>
      <w:r w:rsidRPr="00AD2CF5">
        <w:t>] (zie figuur 4.2.b). De overdracht voor de gewenste combinatie van bronhoogte en hoogte van het rekenpunt wordt vervolgens gegeven door:</w:t>
      </w:r>
    </w:p>
    <w:p w:rsidR="00F43C9B" w:rsidRPr="00AD2CF5" w:rsidRDefault="00F43C9B" w:rsidP="00F43C9B">
      <w:pPr>
        <w:shd w:val="clear" w:color="auto" w:fill="D9D9D9" w:themeFill="background1" w:themeFillShade="D9"/>
        <w:tabs>
          <w:tab w:val="left" w:pos="-108"/>
        </w:tabs>
        <w:suppressAutoHyphens/>
        <w:spacing w:line="240" w:lineRule="auto"/>
        <w:ind w:hanging="5"/>
      </w:pPr>
    </w:p>
    <w:p w:rsidR="00F43C9B" w:rsidRPr="00AD2CF5" w:rsidRDefault="00F43C9B" w:rsidP="00F43C9B">
      <w:pPr>
        <w:shd w:val="clear" w:color="auto" w:fill="D9D9D9" w:themeFill="background1" w:themeFillShade="D9"/>
        <w:tabs>
          <w:tab w:val="left" w:pos="567"/>
          <w:tab w:val="right" w:pos="7371"/>
        </w:tabs>
        <w:spacing w:line="240" w:lineRule="auto"/>
        <w:rPr>
          <w:b/>
        </w:rPr>
      </w:pPr>
      <w:r w:rsidRPr="00AD2CF5">
        <w:rPr>
          <w:position w:val="-70"/>
        </w:rPr>
        <w:object w:dxaOrig="4560" w:dyaOrig="1520">
          <v:shape id="_x0000_i1061" type="#_x0000_t75" style="width:228pt;height:76.5pt" o:ole="" fillcolor="window">
            <v:imagedata r:id="rId150" o:title=""/>
          </v:shape>
          <o:OLEObject Type="Embed" ProgID="Equation.3" ShapeID="_x0000_i1061" DrawAspect="Content" ObjectID="_1511255399" r:id="rId151"/>
        </w:object>
      </w:r>
      <w:r w:rsidRPr="00AD2CF5">
        <w:tab/>
      </w:r>
      <w:r w:rsidRPr="00AD2CF5">
        <w:rPr>
          <w:b/>
        </w:rPr>
        <w:t>(4.12)</w:t>
      </w:r>
    </w:p>
    <w:p w:rsidR="00F43C9B" w:rsidRPr="00AD2CF5" w:rsidRDefault="00F43C9B" w:rsidP="00F43C9B">
      <w:pPr>
        <w:shd w:val="clear" w:color="auto" w:fill="D9D9D9" w:themeFill="background1" w:themeFillShade="D9"/>
        <w:spacing w:line="240" w:lineRule="auto"/>
      </w:pPr>
      <w:r w:rsidRPr="00AD2CF5">
        <w:t>met</w:t>
      </w:r>
    </w:p>
    <w:p w:rsidR="00F43C9B" w:rsidRPr="00AD2CF5" w:rsidRDefault="00F43C9B" w:rsidP="00F43C9B">
      <w:pPr>
        <w:shd w:val="clear" w:color="auto" w:fill="D9D9D9" w:themeFill="background1" w:themeFillShade="D9"/>
        <w:tabs>
          <w:tab w:val="right" w:pos="567"/>
        </w:tabs>
        <w:spacing w:line="240" w:lineRule="auto"/>
      </w:pPr>
      <w:r w:rsidRPr="00AD2CF5">
        <w:rPr>
          <w:position w:val="-32"/>
        </w:rPr>
        <w:object w:dxaOrig="1320" w:dyaOrig="740">
          <v:shape id="_x0000_i1062" type="#_x0000_t75" style="width:66pt;height:36.75pt" o:ole="" fillcolor="window">
            <v:imagedata r:id="rId152" o:title=""/>
          </v:shape>
          <o:OLEObject Type="Embed" ProgID="Equation.3" ShapeID="_x0000_i1062" DrawAspect="Content" ObjectID="_1511255400" r:id="rId153"/>
        </w:object>
      </w:r>
      <w:r w:rsidRPr="00AD2CF5">
        <w:tab/>
      </w:r>
      <w:r w:rsidRPr="00AD2CF5">
        <w:tab/>
      </w:r>
      <w:r w:rsidRPr="00AD2CF5">
        <w:rPr>
          <w:position w:val="-32"/>
        </w:rPr>
        <w:object w:dxaOrig="1359" w:dyaOrig="740">
          <v:shape id="_x0000_i1063" type="#_x0000_t75" style="width:67.5pt;height:36.75pt" o:ole="" fillcolor="window">
            <v:imagedata r:id="rId154" o:title=""/>
          </v:shape>
          <o:OLEObject Type="Embed" ProgID="Equation.3" ShapeID="_x0000_i1063" DrawAspect="Content" ObjectID="_1511255401" r:id="rId155"/>
        </w:objec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ind w:left="572" w:hanging="572"/>
      </w:pPr>
      <w:r w:rsidRPr="00AD2CF5">
        <w:t>waarin:</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ind w:left="572" w:hanging="572"/>
      </w:pPr>
      <w:r w:rsidRPr="00AD2CF5">
        <w:rPr>
          <w:i/>
        </w:rPr>
        <w:t>h</w:t>
      </w:r>
      <w:r w:rsidRPr="00AD2CF5">
        <w:rPr>
          <w:i/>
          <w:vertAlign w:val="subscript"/>
        </w:rPr>
        <w:t>s</w:t>
      </w:r>
      <w:r w:rsidRPr="00AD2CF5">
        <w:rPr>
          <w:i/>
        </w:rPr>
        <w:tab/>
      </w:r>
      <w:r w:rsidRPr="00AD2CF5">
        <w:t>hoogte bronpunt boven plaatselijk maaiveld;</w:t>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ind w:left="572" w:hanging="572"/>
      </w:pPr>
      <w:r w:rsidRPr="00AD2CF5">
        <w:rPr>
          <w:i/>
        </w:rPr>
        <w:t>h</w:t>
      </w:r>
      <w:r w:rsidRPr="00AD2CF5">
        <w:rPr>
          <w:i/>
          <w:vertAlign w:val="subscript"/>
        </w:rPr>
        <w:t>r</w:t>
      </w:r>
      <w:r w:rsidRPr="00AD2CF5">
        <w:rPr>
          <w:i/>
        </w:rPr>
        <w:tab/>
      </w:r>
      <w:r w:rsidRPr="00AD2CF5">
        <w:t>hoogte rekenpunt boven plaatselijk maaiveld;</w:t>
      </w:r>
    </w:p>
    <w:p w:rsidR="00F43C9B" w:rsidRPr="00AD2CF5" w:rsidRDefault="00F43C9B" w:rsidP="00F43C9B">
      <w:pPr>
        <w:shd w:val="clear" w:color="auto" w:fill="D9D9D9" w:themeFill="background1" w:themeFillShade="D9"/>
        <w:tabs>
          <w:tab w:val="left" w:pos="573"/>
          <w:tab w:val="left" w:pos="1707"/>
          <w:tab w:val="left" w:pos="3975"/>
        </w:tabs>
        <w:suppressAutoHyphens/>
        <w:spacing w:line="240" w:lineRule="auto"/>
        <w:ind w:left="1701" w:hanging="1701"/>
      </w:pPr>
      <w:r w:rsidRPr="00AD2CF5">
        <w:rPr>
          <w:i/>
        </w:rPr>
        <w:t>h</w:t>
      </w:r>
      <w:r w:rsidRPr="00AD2CF5">
        <w:rPr>
          <w:i/>
          <w:vertAlign w:val="subscript"/>
        </w:rPr>
        <w:t xml:space="preserve">s,k </w:t>
      </w:r>
      <w:r w:rsidRPr="00AD2CF5">
        <w:rPr>
          <w:i/>
        </w:rPr>
        <w:t>, h</w:t>
      </w:r>
      <w:r w:rsidRPr="00AD2CF5">
        <w:rPr>
          <w:i/>
          <w:vertAlign w:val="subscript"/>
        </w:rPr>
        <w:t>r,n</w:t>
      </w:r>
      <w:r w:rsidRPr="00AD2CF5">
        <w:rPr>
          <w:i/>
        </w:rPr>
        <w:tab/>
      </w:r>
      <w:r w:rsidRPr="00AD2CF5">
        <w:t>hoogte van bronpunt resp. rekenpunt voor (</w:t>
      </w:r>
      <w:r w:rsidRPr="00AD2CF5">
        <w:rPr>
          <w:i/>
          <w:iCs/>
        </w:rPr>
        <w:t>k</w:t>
      </w:r>
      <w:r w:rsidRPr="00AD2CF5">
        <w:t>,</w:t>
      </w:r>
      <w:r w:rsidRPr="00AD2CF5">
        <w:rPr>
          <w:i/>
          <w:iCs/>
        </w:rPr>
        <w:t>n</w:t>
      </w:r>
      <w:r w:rsidRPr="00AD2CF5">
        <w:t>) = (1,1), (1,2), (2,1), en (2,2) waarvan de combinatie wel in het gegevensbestand</w:t>
      </w:r>
      <w:r w:rsidRPr="00AD2CF5">
        <w:fldChar w:fldCharType="begin"/>
      </w:r>
      <w:r w:rsidRPr="00AD2CF5">
        <w:instrText xml:space="preserve"> XE "gegevensbestand" </w:instrText>
      </w:r>
      <w:r w:rsidRPr="00AD2CF5">
        <w:fldChar w:fldCharType="end"/>
      </w:r>
      <w:r w:rsidRPr="00AD2CF5">
        <w:t xml:space="preserve"> is opgenomen (zie figuur 4.2b).</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r w:rsidRPr="00AD2CF5">
        <w:rPr>
          <w:noProof/>
          <w:lang w:eastAsia="nl-NL"/>
        </w:rPr>
        <w:drawing>
          <wp:inline distT="0" distB="0" distL="0" distR="0" wp14:anchorId="60D4F4EA" wp14:editId="64C4ADCA">
            <wp:extent cx="4581525" cy="3276600"/>
            <wp:effectExtent l="19050" t="0" r="9525" b="0"/>
            <wp:docPr id="50" name="Afbeelding 65" descr="fig42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42bk"/>
                    <pic:cNvPicPr>
                      <a:picLocks noChangeAspect="1" noChangeArrowheads="1"/>
                    </pic:cNvPicPr>
                  </pic:nvPicPr>
                  <pic:blipFill>
                    <a:blip r:embed="rId156" cstate="print"/>
                    <a:srcRect/>
                    <a:stretch>
                      <a:fillRect/>
                    </a:stretch>
                  </pic:blipFill>
                  <pic:spPr bwMode="auto">
                    <a:xfrm>
                      <a:off x="0" y="0"/>
                      <a:ext cx="4581525" cy="3276600"/>
                    </a:xfrm>
                    <a:prstGeom prst="rect">
                      <a:avLst/>
                    </a:prstGeom>
                    <a:noFill/>
                    <a:ln w="9525">
                      <a:noFill/>
                      <a:miter lim="800000"/>
                      <a:headEnd/>
                      <a:tailEnd/>
                    </a:ln>
                  </pic:spPr>
                </pic:pic>
              </a:graphicData>
            </a:graphic>
          </wp:inline>
        </w:drawing>
      </w:r>
    </w:p>
    <w:p w:rsidR="00F43C9B" w:rsidRPr="00AD2CF5" w:rsidRDefault="00F43C9B" w:rsidP="00F43C9B">
      <w:pPr>
        <w:shd w:val="clear" w:color="auto" w:fill="D9D9D9" w:themeFill="background1" w:themeFillShade="D9"/>
        <w:tabs>
          <w:tab w:val="left" w:pos="-108"/>
          <w:tab w:val="left" w:pos="573"/>
          <w:tab w:val="left" w:pos="1707"/>
          <w:tab w:val="left" w:pos="3975"/>
        </w:tabs>
        <w:suppressAutoHyphens/>
        <w:spacing w:line="240" w:lineRule="auto"/>
      </w:pPr>
      <w:r w:rsidRPr="00AD2CF5">
        <w:rPr>
          <w:b/>
        </w:rPr>
        <w:t xml:space="preserve">Figuur 4.2b: </w:t>
      </w:r>
      <w:r w:rsidRPr="00AD2CF5">
        <w:t>Detail van figuur 4.2a. Aangegeven is hoe de geluidoverdracht</w:t>
      </w:r>
      <w:r w:rsidRPr="00AD2CF5">
        <w:fldChar w:fldCharType="begin"/>
      </w:r>
      <w:r w:rsidRPr="00AD2CF5">
        <w:instrText xml:space="preserve"> XE "geluidoverdracht" </w:instrText>
      </w:r>
      <w:r w:rsidRPr="00AD2CF5">
        <w:fldChar w:fldCharType="end"/>
      </w:r>
      <w:r w:rsidRPr="00AD2CF5">
        <w:t xml:space="preserve"> door interpolatie bepaald kan worden.</w:t>
      </w:r>
    </w:p>
    <w:p w:rsidR="00F43C9B" w:rsidRPr="00AD2CF5" w:rsidRDefault="00F43C9B" w:rsidP="00F43C9B">
      <w:pPr>
        <w:keepNext/>
        <w:keepLines/>
        <w:shd w:val="clear" w:color="auto" w:fill="D9D9D9" w:themeFill="background1" w:themeFillShade="D9"/>
        <w:tabs>
          <w:tab w:val="left" w:pos="-108"/>
          <w:tab w:val="left" w:pos="573"/>
          <w:tab w:val="left" w:pos="1309"/>
          <w:tab w:val="left" w:pos="2387"/>
        </w:tabs>
        <w:suppressAutoHyphens/>
        <w:spacing w:line="240" w:lineRule="auto"/>
      </w:pPr>
      <w:r w:rsidRPr="00AD2CF5">
        <w:t>Als een combinatie niet binnen het grijs gemarkeerde gebied van figuur 4.2a ligt dient de bodemdemping</w:t>
      </w:r>
      <w:r w:rsidRPr="00AD2CF5">
        <w:fldChar w:fldCharType="begin"/>
      </w:r>
      <w:r w:rsidRPr="00AD2CF5">
        <w:instrText xml:space="preserve"> XE "bodemdemping" </w:instrText>
      </w:r>
      <w:r w:rsidRPr="00AD2CF5">
        <w:fldChar w:fldCharType="end"/>
      </w:r>
      <w:r w:rsidRPr="00AD2CF5">
        <w:t xml:space="preserve"> door extrapolatie te worden bepaald met behulp van onderstaande relatie:</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position w:val="-12"/>
        </w:rPr>
        <w:object w:dxaOrig="5899" w:dyaOrig="360">
          <v:shape id="_x0000_i1064" type="#_x0000_t75" style="width:295.5pt;height:18pt" o:ole="" fillcolor="window">
            <v:imagedata r:id="rId157" o:title=""/>
          </v:shape>
          <o:OLEObject Type="Embed" ProgID="Equation.3" ShapeID="_x0000_i1064" DrawAspect="Content" ObjectID="_1511255402" r:id="rId158"/>
        </w:object>
      </w:r>
      <w:r w:rsidRPr="00AD2CF5">
        <w:rPr>
          <w:lang w:val="nl-NL"/>
        </w:rPr>
        <w:tab/>
        <w:t>(4. 13)</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Indien de hoogte van de bron of van het rekenpunt kleiner is dan 0,1 m moet 0,1 m aangehouden worden. Voor hoogten groter dan 50 m heeft dit gegevensbestand</w:t>
      </w:r>
      <w:r w:rsidRPr="00AD2CF5">
        <w:fldChar w:fldCharType="begin"/>
      </w:r>
      <w:r w:rsidRPr="00AD2CF5">
        <w:instrText xml:space="preserve"> XE "gegevensbestand" </w:instrText>
      </w:r>
      <w:r w:rsidRPr="00AD2CF5">
        <w:fldChar w:fldCharType="end"/>
      </w:r>
      <w:r w:rsidRPr="00AD2CF5">
        <w:t xml:space="preserve"> geen geldigheid meer.</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C428B8" w:rsidP="00F43C9B">
      <w:pPr>
        <w:pStyle w:val="Kop3"/>
        <w:shd w:val="clear" w:color="auto" w:fill="D9D9D9" w:themeFill="background1" w:themeFillShade="D9"/>
      </w:pPr>
      <w:r>
        <w:fldChar w:fldCharType="begin"/>
      </w:r>
      <w:r>
        <w:instrText xml:space="preserve"> SEQ numchaplev1 \c \* MERGEFORMAT </w:instrText>
      </w:r>
      <w:r>
        <w:fldChar w:fldCharType="separate"/>
      </w:r>
      <w:bookmarkStart w:id="562" w:name="_Toc413945833"/>
      <w:bookmarkStart w:id="563" w:name="_Toc431375846"/>
      <w:r w:rsidR="00F43C9B" w:rsidRPr="00B15E90">
        <w:rPr>
          <w:noProof/>
        </w:rPr>
        <w:t>4</w:t>
      </w:r>
      <w:r>
        <w:rPr>
          <w:noProof/>
        </w:rPr>
        <w:fldChar w:fldCharType="end"/>
      </w:r>
      <w:r w:rsidR="00F43C9B" w:rsidRPr="00AD2CF5">
        <w:t>.</w:t>
      </w:r>
      <w:r>
        <w:fldChar w:fldCharType="begin"/>
      </w:r>
      <w:r>
        <w:instrText xml:space="preserve"> SEQ numchaplev2 \c \* MERGEFORMAT </w:instrText>
      </w:r>
      <w:r>
        <w:fldChar w:fldCharType="separate"/>
      </w:r>
      <w:r w:rsidR="00F43C9B" w:rsidRPr="00B15E90">
        <w:rPr>
          <w:noProof/>
        </w:rPr>
        <w:t>4</w:t>
      </w:r>
      <w:r>
        <w:rPr>
          <w:noProof/>
        </w:rPr>
        <w:fldChar w:fldCharType="end"/>
      </w:r>
      <w:r w:rsidR="00F43C9B" w:rsidRPr="00AD2CF5">
        <w:t>.</w:t>
      </w:r>
      <w:r>
        <w:fldChar w:fldCharType="begin"/>
      </w:r>
      <w:r>
        <w:instrText xml:space="preserve"> SEQ numchaplev3 \n \* MERGEFORMAT </w:instrText>
      </w:r>
      <w:r>
        <w:fldChar w:fldCharType="separate"/>
      </w:r>
      <w:r w:rsidR="00F43C9B" w:rsidRPr="00B15E90">
        <w:rPr>
          <w:noProof/>
        </w:rPr>
        <w:t>3</w:t>
      </w:r>
      <w:r>
        <w:rPr>
          <w:noProof/>
        </w:rPr>
        <w:fldChar w:fldCharType="end"/>
      </w:r>
      <w:r w:rsidR="00F43C9B" w:rsidRPr="00AD2CF5">
        <w:fldChar w:fldCharType="begin"/>
      </w:r>
      <w:r w:rsidR="00F43C9B" w:rsidRPr="00AD2CF5">
        <w:instrText xml:space="preserve"> SEQ numchaplev4 \r0\h \* MERGEFORMAT </w:instrText>
      </w:r>
      <w:r w:rsidR="00F43C9B" w:rsidRPr="00AD2CF5">
        <w:fldChar w:fldCharType="end"/>
      </w:r>
      <w:r w:rsidR="00F43C9B" w:rsidRPr="00AD2CF5">
        <w:tab/>
        <w:t>Gegevensbestand met statistische gewichten</w:t>
      </w:r>
      <w:bookmarkEnd w:id="562"/>
      <w:bookmarkEnd w:id="563"/>
      <w:r w:rsidR="00F43C9B" w:rsidRPr="00AD2CF5">
        <w:fldChar w:fldCharType="begin"/>
      </w:r>
      <w:r w:rsidR="00F43C9B" w:rsidRPr="00AD2CF5">
        <w:instrText xml:space="preserve"> XE "statistische gewichten" </w:instrText>
      </w:r>
      <w:r w:rsidR="00F43C9B" w:rsidRPr="00AD2CF5">
        <w:fldChar w:fldCharType="end"/>
      </w:r>
    </w:p>
    <w:p w:rsidR="00F43C9B" w:rsidRPr="00AD2CF5" w:rsidRDefault="00F43C9B" w:rsidP="00F43C9B">
      <w:pPr>
        <w:shd w:val="clear" w:color="auto" w:fill="D9D9D9" w:themeFill="background1" w:themeFillShade="D9"/>
      </w:pPr>
      <w:r w:rsidRPr="00AD2CF5">
        <w:t>Een statistisch gewicht geeft de kans aan dat een meteo</w:t>
      </w:r>
      <w:r w:rsidRPr="00AD2CF5">
        <w:softHyphen/>
        <w:t xml:space="preserve">rologische situatie van een klasse </w:t>
      </w:r>
      <w:r w:rsidRPr="00AD2CF5">
        <w:rPr>
          <w:i/>
        </w:rPr>
        <w:t>m</w:t>
      </w:r>
      <w:r w:rsidRPr="00AD2CF5">
        <w:t xml:space="preserve"> voorkomt. Deze kans hangt van verschillende factoren af. Zo is de kans afhankelijk van het dagdeel (meteorologische dag</w:t>
      </w:r>
      <w:r w:rsidRPr="00AD2CF5">
        <w:fldChar w:fldCharType="begin"/>
      </w:r>
      <w:r w:rsidRPr="00AD2CF5">
        <w:instrText xml:space="preserve"> XE "meteorologische dag" </w:instrText>
      </w:r>
      <w:r w:rsidRPr="00AD2CF5">
        <w:fldChar w:fldCharType="end"/>
      </w:r>
      <w:r w:rsidRPr="00AD2CF5">
        <w:t xml:space="preserve"> of meteoro</w:t>
      </w:r>
      <w:r w:rsidRPr="00AD2CF5">
        <w:softHyphen/>
        <w:t>lo</w:t>
      </w:r>
      <w:r w:rsidRPr="00AD2CF5">
        <w:softHyphen/>
        <w:t>gische nacht</w:t>
      </w:r>
      <w:r w:rsidRPr="00AD2CF5">
        <w:fldChar w:fldCharType="begin"/>
      </w:r>
      <w:r w:rsidRPr="00AD2CF5">
        <w:instrText xml:space="preserve"> XE "meteorologische nacht" </w:instrText>
      </w:r>
      <w:r w:rsidRPr="00AD2CF5">
        <w:fldChar w:fldCharType="end"/>
      </w:r>
      <w:r w:rsidRPr="00AD2CF5">
        <w:t xml:space="preserve">) respectievelijk aangegeven met het symbool </w:t>
      </w:r>
      <w:r w:rsidRPr="00AD2CF5">
        <w:rPr>
          <w:i/>
        </w:rPr>
        <w:t>g</w:t>
      </w:r>
      <w:r w:rsidRPr="00AD2CF5">
        <w:rPr>
          <w:i/>
          <w:vertAlign w:val="subscript"/>
        </w:rPr>
        <w:t>d</w:t>
      </w:r>
      <w:r w:rsidRPr="00AD2CF5">
        <w:rPr>
          <w:i/>
        </w:rPr>
        <w:t>(m,</w:t>
      </w:r>
      <w:r w:rsidRPr="00AD2CF5">
        <w:rPr>
          <w:i/>
        </w:rPr>
        <w:sym w:font="Symbol" w:char="F071"/>
      </w:r>
      <w:r w:rsidRPr="00AD2CF5">
        <w:rPr>
          <w:i/>
        </w:rPr>
        <w:t>)</w:t>
      </w:r>
      <w:r w:rsidRPr="00AD2CF5">
        <w:t xml:space="preserve"> en </w:t>
      </w:r>
      <w:r w:rsidRPr="00AD2CF5">
        <w:rPr>
          <w:i/>
        </w:rPr>
        <w:t>g</w:t>
      </w:r>
      <w:r w:rsidRPr="00AD2CF5">
        <w:rPr>
          <w:i/>
          <w:vertAlign w:val="subscript"/>
        </w:rPr>
        <w:t>n</w:t>
      </w:r>
      <w:r w:rsidRPr="00AD2CF5">
        <w:rPr>
          <w:i/>
        </w:rPr>
        <w:t>(m,</w:t>
      </w:r>
      <w:r w:rsidRPr="00AD2CF5">
        <w:rPr>
          <w:i/>
        </w:rPr>
        <w:sym w:font="Symbol" w:char="F071"/>
      </w:r>
      <w:r w:rsidRPr="00AD2CF5">
        <w:rPr>
          <w:i/>
        </w:rPr>
        <w:t>)</w:t>
      </w:r>
      <w:r w:rsidRPr="00AD2CF5">
        <w:t xml:space="preserve">. De kans is bovendien afhankelijk van de hoek </w:t>
      </w:r>
      <w:r w:rsidRPr="00AD2CF5">
        <w:rPr>
          <w:i/>
        </w:rPr>
        <w:sym w:font="Symbol" w:char="F071"/>
      </w:r>
      <w:r w:rsidRPr="00AD2CF5">
        <w:t xml:space="preserve"> die de lijn van bron naar rekenpunt maakt met het geografische noorden en tot slot ook van de gemiddelde bodemruwheid</w:t>
      </w:r>
      <w:r w:rsidRPr="00AD2CF5">
        <w:fldChar w:fldCharType="begin"/>
      </w:r>
      <w:r w:rsidRPr="00AD2CF5">
        <w:instrText xml:space="preserve"> XE "bodemruwheid" </w:instrText>
      </w:r>
      <w:r w:rsidRPr="00AD2CF5">
        <w:fldChar w:fldCharType="end"/>
      </w:r>
      <w:r w:rsidRPr="00AD2CF5">
        <w:t xml:space="preserve"> onder het geluidpad (zie ook §4.6.7 en §4.6.8).</w:t>
      </w:r>
    </w:p>
    <w:p w:rsidR="00F43C9B" w:rsidRPr="00AD2CF5" w:rsidRDefault="00F43C9B" w:rsidP="00F43C9B">
      <w:pPr>
        <w:shd w:val="clear" w:color="auto" w:fill="D9D9D9" w:themeFill="background1" w:themeFillShade="D9"/>
      </w:pPr>
      <w:r w:rsidRPr="00AD2CF5">
        <w:t>Een maat voor de bodemruwheid</w:t>
      </w:r>
      <w:r w:rsidRPr="00AD2CF5">
        <w:fldChar w:fldCharType="begin"/>
      </w:r>
      <w:r w:rsidRPr="00AD2CF5">
        <w:instrText xml:space="preserve"> XE "bodemruwheid" </w:instrText>
      </w:r>
      <w:r w:rsidRPr="00AD2CF5">
        <w:fldChar w:fldCharType="end"/>
      </w:r>
      <w:r w:rsidRPr="00AD2CF5">
        <w:t xml:space="preserve"> is de ruwheidslengte</w:t>
      </w:r>
      <w:r w:rsidRPr="00AD2CF5">
        <w:fldChar w:fldCharType="begin"/>
      </w:r>
      <w:r w:rsidRPr="00AD2CF5">
        <w:instrText xml:space="preserve"> XE "ruwheidslengte" </w:instrText>
      </w:r>
      <w:r w:rsidRPr="00AD2CF5">
        <w:fldChar w:fldCharType="end"/>
      </w:r>
      <w:r w:rsidRPr="00AD2CF5">
        <w:t xml:space="preserve"> </w:t>
      </w:r>
      <w:r w:rsidRPr="00AD2CF5">
        <w:rPr>
          <w:i/>
        </w:rPr>
        <w:t>z</w:t>
      </w:r>
      <w:r w:rsidRPr="00AD2CF5">
        <w:rPr>
          <w:i/>
          <w:vertAlign w:val="subscript"/>
        </w:rPr>
        <w:t>0</w:t>
      </w:r>
      <w:r w:rsidRPr="00AD2CF5">
        <w:t>. In tabel 4.2 zijn de ruwheidslengtes gegeven waarvoor de statistische gewichten</w:t>
      </w:r>
      <w:r w:rsidRPr="00AD2CF5">
        <w:fldChar w:fldCharType="begin"/>
      </w:r>
      <w:r w:rsidRPr="00AD2CF5">
        <w:instrText xml:space="preserve"> XE "statistische gewichten" </w:instrText>
      </w:r>
      <w:r w:rsidRPr="00AD2CF5">
        <w:fldChar w:fldCharType="end"/>
      </w:r>
      <w:r w:rsidRPr="00AD2CF5">
        <w:t xml:space="preserve"> bepaald zijn.</w:t>
      </w:r>
    </w:p>
    <w:p w:rsidR="00F43C9B" w:rsidRPr="00AD2CF5" w:rsidRDefault="00F43C9B" w:rsidP="00F43C9B">
      <w:pPr>
        <w:shd w:val="clear" w:color="auto" w:fill="D9D9D9" w:themeFill="background1" w:themeFillShade="D9"/>
        <w:tabs>
          <w:tab w:val="left" w:pos="573"/>
          <w:tab w:val="left" w:pos="1309"/>
          <w:tab w:val="left" w:pos="2387"/>
        </w:tabs>
        <w:suppressAutoHyphens/>
        <w:spacing w:line="240" w:lineRule="auto"/>
        <w:rPr>
          <w:b/>
        </w:rPr>
      </w:pPr>
    </w:p>
    <w:p w:rsidR="00F43C9B" w:rsidRPr="00AD2CF5" w:rsidRDefault="00F43C9B" w:rsidP="00F43C9B">
      <w:pPr>
        <w:shd w:val="clear" w:color="auto" w:fill="D9D9D9" w:themeFill="background1" w:themeFillShade="D9"/>
        <w:tabs>
          <w:tab w:val="left" w:pos="573"/>
          <w:tab w:val="left" w:pos="1309"/>
          <w:tab w:val="left" w:pos="2387"/>
        </w:tabs>
        <w:suppressAutoHyphens/>
        <w:spacing w:line="240" w:lineRule="auto"/>
      </w:pPr>
      <w:r w:rsidRPr="00AD2CF5">
        <w:rPr>
          <w:b/>
        </w:rPr>
        <w:t>Tabel 4.2:</w:t>
      </w:r>
      <w:r w:rsidRPr="00AD2CF5">
        <w:t xml:space="preserve"> Ruwheidslengtes </w:t>
      </w:r>
      <w:r w:rsidRPr="00AD2CF5">
        <w:rPr>
          <w:i/>
        </w:rPr>
        <w:t>z</w:t>
      </w:r>
      <w:r w:rsidRPr="00AD2CF5">
        <w:rPr>
          <w:i/>
          <w:vertAlign w:val="subscript"/>
        </w:rPr>
        <w:t>0</w:t>
      </w:r>
      <w:r w:rsidRPr="00AD2CF5">
        <w:t xml:space="preserve"> waarvoor in het gegevensbestand</w:t>
      </w:r>
      <w:r w:rsidRPr="00AD2CF5">
        <w:fldChar w:fldCharType="begin"/>
      </w:r>
      <w:r w:rsidRPr="00AD2CF5">
        <w:instrText xml:space="preserve"> XE "gegevensbestand" </w:instrText>
      </w:r>
      <w:r w:rsidRPr="00AD2CF5">
        <w:fldChar w:fldCharType="end"/>
      </w:r>
      <w:r w:rsidRPr="00AD2CF5">
        <w:t xml:space="preserve"> statistische gewichtsfactoren</w:t>
      </w:r>
      <w:r w:rsidRPr="00AD2CF5">
        <w:fldChar w:fldCharType="begin"/>
      </w:r>
      <w:r w:rsidRPr="00AD2CF5">
        <w:instrText xml:space="preserve"> XE "gewichtsfactoren" </w:instrText>
      </w:r>
      <w:r w:rsidRPr="00AD2CF5">
        <w:fldChar w:fldCharType="end"/>
      </w:r>
      <w:r w:rsidRPr="00AD2CF5">
        <w:t xml:space="preserve"> zijn opgenomen.</w:t>
      </w:r>
    </w:p>
    <w:tbl>
      <w:tblPr>
        <w:tblW w:w="7480" w:type="dxa"/>
        <w:tblInd w:w="108" w:type="dxa"/>
        <w:tblLayout w:type="fixed"/>
        <w:tblCellMar>
          <w:left w:w="0" w:type="dxa"/>
          <w:right w:w="0" w:type="dxa"/>
        </w:tblCellMar>
        <w:tblLook w:val="0000" w:firstRow="0" w:lastRow="0" w:firstColumn="0" w:lastColumn="0" w:noHBand="0" w:noVBand="0"/>
      </w:tblPr>
      <w:tblGrid>
        <w:gridCol w:w="680"/>
        <w:gridCol w:w="680"/>
        <w:gridCol w:w="680"/>
        <w:gridCol w:w="680"/>
        <w:gridCol w:w="680"/>
        <w:gridCol w:w="680"/>
        <w:gridCol w:w="680"/>
        <w:gridCol w:w="680"/>
        <w:gridCol w:w="680"/>
        <w:gridCol w:w="680"/>
        <w:gridCol w:w="680"/>
      </w:tblGrid>
      <w:tr w:rsidR="00F43C9B" w:rsidRPr="00AD2CF5" w:rsidTr="00F43C9B">
        <w:trPr>
          <w:trHeight w:hRule="exact" w:val="362"/>
        </w:trPr>
        <w:tc>
          <w:tcPr>
            <w:tcW w:w="680" w:type="dxa"/>
            <w:tcBorders>
              <w:top w:val="double" w:sz="6" w:space="0" w:color="auto"/>
              <w:left w:val="doub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193"/>
                <w:tab w:val="left" w:pos="488"/>
                <w:tab w:val="left" w:pos="1224"/>
                <w:tab w:val="left" w:pos="2302"/>
              </w:tabs>
              <w:suppressAutoHyphens/>
              <w:spacing w:before="21" w:after="54" w:line="240" w:lineRule="auto"/>
            </w:pPr>
          </w:p>
        </w:tc>
        <w:tc>
          <w:tcPr>
            <w:tcW w:w="680" w:type="dxa"/>
            <w:tcBorders>
              <w:top w:val="doub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983"/>
                <w:tab w:val="left" w:pos="-302"/>
                <w:tab w:val="left" w:pos="434"/>
                <w:tab w:val="left" w:pos="1512"/>
              </w:tabs>
              <w:suppressAutoHyphens/>
              <w:spacing w:before="21" w:after="54" w:line="240" w:lineRule="auto"/>
            </w:pPr>
            <w:r w:rsidRPr="00AD2CF5">
              <w:t>1</w:t>
            </w:r>
          </w:p>
        </w:tc>
        <w:tc>
          <w:tcPr>
            <w:tcW w:w="680" w:type="dxa"/>
            <w:tcBorders>
              <w:top w:val="doub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1773"/>
                <w:tab w:val="left" w:pos="-1092"/>
                <w:tab w:val="left" w:pos="-356"/>
                <w:tab w:val="left" w:pos="722"/>
              </w:tabs>
              <w:suppressAutoHyphens/>
              <w:spacing w:before="21" w:after="54" w:line="240" w:lineRule="auto"/>
            </w:pPr>
            <w:r w:rsidRPr="00AD2CF5">
              <w:t>2</w:t>
            </w:r>
          </w:p>
        </w:tc>
        <w:tc>
          <w:tcPr>
            <w:tcW w:w="680" w:type="dxa"/>
            <w:tcBorders>
              <w:top w:val="doub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2563"/>
                <w:tab w:val="left" w:pos="-1882"/>
                <w:tab w:val="left" w:pos="-1146"/>
                <w:tab w:val="left" w:pos="-68"/>
              </w:tabs>
              <w:suppressAutoHyphens/>
              <w:spacing w:before="21" w:after="54" w:line="240" w:lineRule="auto"/>
            </w:pPr>
            <w:r w:rsidRPr="00AD2CF5">
              <w:t>3</w:t>
            </w:r>
          </w:p>
        </w:tc>
        <w:tc>
          <w:tcPr>
            <w:tcW w:w="680" w:type="dxa"/>
            <w:tcBorders>
              <w:top w:val="doub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3353"/>
                <w:tab w:val="left" w:pos="-2672"/>
                <w:tab w:val="left" w:pos="-1936"/>
                <w:tab w:val="left" w:pos="-858"/>
              </w:tabs>
              <w:suppressAutoHyphens/>
              <w:spacing w:before="21" w:after="54" w:line="240" w:lineRule="auto"/>
            </w:pPr>
            <w:r w:rsidRPr="00AD2CF5">
              <w:t>4</w:t>
            </w:r>
          </w:p>
        </w:tc>
        <w:tc>
          <w:tcPr>
            <w:tcW w:w="680" w:type="dxa"/>
            <w:tcBorders>
              <w:top w:val="doub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4143"/>
                <w:tab w:val="left" w:pos="-3462"/>
                <w:tab w:val="left" w:pos="-2726"/>
                <w:tab w:val="left" w:pos="-1648"/>
              </w:tabs>
              <w:suppressAutoHyphens/>
              <w:spacing w:before="21" w:after="54" w:line="240" w:lineRule="auto"/>
            </w:pPr>
            <w:r w:rsidRPr="00AD2CF5">
              <w:t>5</w:t>
            </w:r>
          </w:p>
        </w:tc>
        <w:tc>
          <w:tcPr>
            <w:tcW w:w="680" w:type="dxa"/>
            <w:tcBorders>
              <w:top w:val="doub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4933"/>
                <w:tab w:val="left" w:pos="-4252"/>
                <w:tab w:val="left" w:pos="-3516"/>
                <w:tab w:val="left" w:pos="-2438"/>
              </w:tabs>
              <w:suppressAutoHyphens/>
              <w:spacing w:before="21" w:after="54" w:line="240" w:lineRule="auto"/>
            </w:pPr>
            <w:r w:rsidRPr="00AD2CF5">
              <w:t>6</w:t>
            </w:r>
          </w:p>
        </w:tc>
        <w:tc>
          <w:tcPr>
            <w:tcW w:w="680" w:type="dxa"/>
            <w:tcBorders>
              <w:top w:val="doub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5723"/>
                <w:tab w:val="left" w:pos="-5042"/>
                <w:tab w:val="left" w:pos="-4306"/>
                <w:tab w:val="left" w:pos="-3228"/>
              </w:tabs>
              <w:suppressAutoHyphens/>
              <w:spacing w:before="21" w:after="54" w:line="240" w:lineRule="auto"/>
            </w:pPr>
            <w:r w:rsidRPr="00AD2CF5">
              <w:t>7</w:t>
            </w:r>
          </w:p>
        </w:tc>
        <w:tc>
          <w:tcPr>
            <w:tcW w:w="680" w:type="dxa"/>
            <w:tcBorders>
              <w:top w:val="doub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6513"/>
                <w:tab w:val="left" w:pos="-5832"/>
                <w:tab w:val="left" w:pos="-5096"/>
                <w:tab w:val="left" w:pos="-4018"/>
              </w:tabs>
              <w:suppressAutoHyphens/>
              <w:spacing w:before="21" w:after="54" w:line="240" w:lineRule="auto"/>
            </w:pPr>
            <w:r w:rsidRPr="00AD2CF5">
              <w:t>8</w:t>
            </w:r>
          </w:p>
        </w:tc>
        <w:tc>
          <w:tcPr>
            <w:tcW w:w="680" w:type="dxa"/>
            <w:tcBorders>
              <w:top w:val="doub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7303"/>
                <w:tab w:val="left" w:pos="-6622"/>
                <w:tab w:val="left" w:pos="-5886"/>
                <w:tab w:val="left" w:pos="-4808"/>
              </w:tabs>
              <w:suppressAutoHyphens/>
              <w:spacing w:before="21" w:after="54" w:line="240" w:lineRule="auto"/>
            </w:pPr>
            <w:r w:rsidRPr="00AD2CF5">
              <w:t>9</w:t>
            </w:r>
          </w:p>
        </w:tc>
        <w:tc>
          <w:tcPr>
            <w:tcW w:w="680" w:type="dxa"/>
            <w:tcBorders>
              <w:top w:val="double" w:sz="6" w:space="0" w:color="auto"/>
              <w:left w:val="single" w:sz="6" w:space="0" w:color="auto"/>
              <w:bottom w:val="double" w:sz="6" w:space="0" w:color="auto"/>
              <w:right w:val="double" w:sz="6" w:space="0" w:color="auto"/>
            </w:tcBorders>
            <w:shd w:val="pct10" w:color="auto" w:fill="auto"/>
          </w:tcPr>
          <w:p w:rsidR="00F43C9B" w:rsidRPr="00AD2CF5" w:rsidRDefault="00F43C9B" w:rsidP="00F43C9B">
            <w:pPr>
              <w:shd w:val="clear" w:color="auto" w:fill="D9D9D9" w:themeFill="background1" w:themeFillShade="D9"/>
              <w:tabs>
                <w:tab w:val="left" w:pos="-7303"/>
                <w:tab w:val="left" w:pos="-6622"/>
                <w:tab w:val="left" w:pos="-5886"/>
                <w:tab w:val="left" w:pos="-4808"/>
              </w:tabs>
              <w:suppressAutoHyphens/>
              <w:spacing w:before="21" w:after="54" w:line="240" w:lineRule="auto"/>
            </w:pPr>
            <w:r w:rsidRPr="00AD2CF5">
              <w:t>10</w:t>
            </w:r>
          </w:p>
        </w:tc>
      </w:tr>
      <w:tr w:rsidR="00F43C9B" w:rsidRPr="00AD2CF5" w:rsidTr="00F43C9B">
        <w:trPr>
          <w:trHeight w:hRule="exact" w:val="308"/>
        </w:trPr>
        <w:tc>
          <w:tcPr>
            <w:tcW w:w="680" w:type="dxa"/>
            <w:tcBorders>
              <w:left w:val="double" w:sz="6" w:space="0" w:color="auto"/>
              <w:bottom w:val="double" w:sz="6" w:space="0" w:color="auto"/>
            </w:tcBorders>
          </w:tcPr>
          <w:p w:rsidR="00F43C9B" w:rsidRPr="00AD2CF5" w:rsidRDefault="00F43C9B" w:rsidP="00F43C9B">
            <w:pPr>
              <w:shd w:val="clear" w:color="auto" w:fill="D9D9D9" w:themeFill="background1" w:themeFillShade="D9"/>
              <w:tabs>
                <w:tab w:val="left" w:pos="-193"/>
                <w:tab w:val="left" w:pos="488"/>
                <w:tab w:val="left" w:pos="1224"/>
                <w:tab w:val="left" w:pos="2302"/>
              </w:tabs>
              <w:suppressAutoHyphens/>
              <w:spacing w:before="21" w:after="54" w:line="240" w:lineRule="auto"/>
            </w:pPr>
            <w:r w:rsidRPr="00AD2CF5">
              <w:t>z</w:t>
            </w:r>
            <w:r w:rsidRPr="00AD2CF5">
              <w:rPr>
                <w:vertAlign w:val="subscript"/>
              </w:rPr>
              <w:t>0</w:t>
            </w:r>
            <w:r w:rsidRPr="00AD2CF5">
              <w:t xml:space="preserve"> (cm)</w:t>
            </w:r>
          </w:p>
        </w:tc>
        <w:tc>
          <w:tcPr>
            <w:tcW w:w="680" w:type="dxa"/>
            <w:tcBorders>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983"/>
                <w:tab w:val="left" w:pos="-302"/>
                <w:tab w:val="left" w:pos="434"/>
                <w:tab w:val="left" w:pos="1512"/>
              </w:tabs>
              <w:suppressAutoHyphens/>
              <w:spacing w:before="21" w:after="54" w:line="240" w:lineRule="auto"/>
            </w:pPr>
            <w:r w:rsidRPr="00AD2CF5">
              <w:t>0.02</w:t>
            </w:r>
          </w:p>
        </w:tc>
        <w:tc>
          <w:tcPr>
            <w:tcW w:w="680" w:type="dxa"/>
            <w:tcBorders>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1773"/>
                <w:tab w:val="left" w:pos="-1092"/>
                <w:tab w:val="left" w:pos="-356"/>
                <w:tab w:val="left" w:pos="722"/>
              </w:tabs>
              <w:suppressAutoHyphens/>
              <w:spacing w:before="21" w:after="54" w:line="240" w:lineRule="auto"/>
            </w:pPr>
            <w:r w:rsidRPr="00AD2CF5">
              <w:t>0,1</w:t>
            </w:r>
          </w:p>
        </w:tc>
        <w:tc>
          <w:tcPr>
            <w:tcW w:w="680" w:type="dxa"/>
            <w:tcBorders>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2563"/>
                <w:tab w:val="left" w:pos="-1882"/>
                <w:tab w:val="left" w:pos="-1146"/>
                <w:tab w:val="left" w:pos="-68"/>
              </w:tabs>
              <w:suppressAutoHyphens/>
              <w:spacing w:before="21" w:after="54" w:line="240" w:lineRule="auto"/>
            </w:pPr>
            <w:r w:rsidRPr="00AD2CF5">
              <w:t>0,5</w:t>
            </w:r>
          </w:p>
        </w:tc>
        <w:tc>
          <w:tcPr>
            <w:tcW w:w="680" w:type="dxa"/>
            <w:tcBorders>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3353"/>
                <w:tab w:val="left" w:pos="-2672"/>
                <w:tab w:val="left" w:pos="-1936"/>
                <w:tab w:val="left" w:pos="-858"/>
              </w:tabs>
              <w:suppressAutoHyphens/>
              <w:spacing w:before="21" w:after="54" w:line="240" w:lineRule="auto"/>
            </w:pPr>
            <w:r w:rsidRPr="00AD2CF5">
              <w:t>1,2</w:t>
            </w:r>
          </w:p>
        </w:tc>
        <w:tc>
          <w:tcPr>
            <w:tcW w:w="680" w:type="dxa"/>
            <w:tcBorders>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4143"/>
                <w:tab w:val="left" w:pos="-3462"/>
                <w:tab w:val="left" w:pos="-2726"/>
                <w:tab w:val="left" w:pos="-1648"/>
              </w:tabs>
              <w:suppressAutoHyphens/>
              <w:spacing w:before="21" w:after="54" w:line="240" w:lineRule="auto"/>
            </w:pPr>
            <w:r w:rsidRPr="00AD2CF5">
              <w:t>3</w:t>
            </w:r>
          </w:p>
        </w:tc>
        <w:tc>
          <w:tcPr>
            <w:tcW w:w="680" w:type="dxa"/>
            <w:tcBorders>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4933"/>
                <w:tab w:val="left" w:pos="-4252"/>
                <w:tab w:val="left" w:pos="-3516"/>
                <w:tab w:val="left" w:pos="-2438"/>
              </w:tabs>
              <w:suppressAutoHyphens/>
              <w:spacing w:before="21" w:after="54" w:line="240" w:lineRule="auto"/>
            </w:pPr>
            <w:r w:rsidRPr="00AD2CF5">
              <w:t>6</w:t>
            </w:r>
          </w:p>
        </w:tc>
        <w:tc>
          <w:tcPr>
            <w:tcW w:w="680" w:type="dxa"/>
            <w:tcBorders>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5723"/>
                <w:tab w:val="left" w:pos="-5042"/>
                <w:tab w:val="left" w:pos="-4306"/>
                <w:tab w:val="left" w:pos="-3228"/>
              </w:tabs>
              <w:suppressAutoHyphens/>
              <w:spacing w:before="21" w:after="54" w:line="240" w:lineRule="auto"/>
            </w:pPr>
            <w:r w:rsidRPr="00AD2CF5">
              <w:t>10</w:t>
            </w:r>
          </w:p>
        </w:tc>
        <w:tc>
          <w:tcPr>
            <w:tcW w:w="680" w:type="dxa"/>
            <w:tcBorders>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6513"/>
                <w:tab w:val="left" w:pos="-5832"/>
                <w:tab w:val="left" w:pos="-5096"/>
                <w:tab w:val="left" w:pos="-4018"/>
              </w:tabs>
              <w:suppressAutoHyphens/>
              <w:spacing w:before="21" w:after="54" w:line="240" w:lineRule="auto"/>
            </w:pPr>
            <w:r w:rsidRPr="00AD2CF5">
              <w:t>15</w:t>
            </w:r>
          </w:p>
        </w:tc>
        <w:tc>
          <w:tcPr>
            <w:tcW w:w="680" w:type="dxa"/>
            <w:tcBorders>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7303"/>
                <w:tab w:val="left" w:pos="-6622"/>
                <w:tab w:val="left" w:pos="-5886"/>
                <w:tab w:val="left" w:pos="-4808"/>
              </w:tabs>
              <w:suppressAutoHyphens/>
              <w:spacing w:before="21" w:after="54" w:line="240" w:lineRule="auto"/>
            </w:pPr>
            <w:r w:rsidRPr="00AD2CF5">
              <w:t>20</w:t>
            </w:r>
          </w:p>
        </w:tc>
        <w:tc>
          <w:tcPr>
            <w:tcW w:w="680" w:type="dxa"/>
            <w:tcBorders>
              <w:left w:val="single" w:sz="6" w:space="0" w:color="auto"/>
              <w:bottom w:val="double" w:sz="6" w:space="0" w:color="auto"/>
              <w:right w:val="double" w:sz="6" w:space="0" w:color="auto"/>
            </w:tcBorders>
          </w:tcPr>
          <w:p w:rsidR="00F43C9B" w:rsidRPr="00AD2CF5" w:rsidRDefault="00F43C9B" w:rsidP="00F43C9B">
            <w:pPr>
              <w:shd w:val="clear" w:color="auto" w:fill="D9D9D9" w:themeFill="background1" w:themeFillShade="D9"/>
              <w:tabs>
                <w:tab w:val="left" w:pos="-7303"/>
                <w:tab w:val="left" w:pos="-6622"/>
                <w:tab w:val="left" w:pos="-5886"/>
                <w:tab w:val="left" w:pos="-4808"/>
              </w:tabs>
              <w:suppressAutoHyphens/>
              <w:spacing w:before="21" w:after="54" w:line="240" w:lineRule="auto"/>
            </w:pPr>
            <w:r w:rsidRPr="00AD2CF5">
              <w:t>25</w:t>
            </w:r>
          </w:p>
        </w:tc>
      </w:tr>
    </w:tbl>
    <w:p w:rsidR="00F43C9B" w:rsidRPr="00AD2CF5" w:rsidRDefault="00F43C9B" w:rsidP="00F43C9B">
      <w:pPr>
        <w:keepNext/>
        <w:keepLines/>
        <w:shd w:val="clear" w:color="auto" w:fill="D9D9D9" w:themeFill="background1" w:themeFillShade="D9"/>
        <w:tabs>
          <w:tab w:val="left" w:pos="-108"/>
          <w:tab w:val="left" w:pos="743"/>
          <w:tab w:val="left" w:pos="1134"/>
          <w:tab w:val="left" w:pos="3975"/>
        </w:tabs>
        <w:suppressAutoHyphens/>
        <w:spacing w:line="240" w:lineRule="auto"/>
        <w:ind w:left="742" w:hanging="742"/>
      </w:pPr>
    </w:p>
    <w:p w:rsidR="00F43C9B" w:rsidRPr="00AD2CF5" w:rsidRDefault="00F43C9B" w:rsidP="00F43C9B">
      <w:pPr>
        <w:keepNext/>
        <w:keepLines/>
        <w:shd w:val="clear" w:color="auto" w:fill="D9D9D9" w:themeFill="background1" w:themeFillShade="D9"/>
        <w:tabs>
          <w:tab w:val="left" w:pos="-108"/>
          <w:tab w:val="left" w:pos="573"/>
          <w:tab w:val="left" w:pos="1309"/>
          <w:tab w:val="left" w:pos="2387"/>
        </w:tabs>
        <w:suppressAutoHyphens/>
        <w:spacing w:line="240" w:lineRule="auto"/>
      </w:pPr>
      <w:r w:rsidRPr="00AD2CF5">
        <w:t>De gemiddelde ruwheid van de bodem wordt bepaald als gewogen gemiddelde van de ruwheidslengtes van de gebieden langs het geluidpad.</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position w:val="-30"/>
        </w:rPr>
        <w:object w:dxaOrig="2620" w:dyaOrig="700">
          <v:shape id="_x0000_i1065" type="#_x0000_t75" style="width:131.25pt;height:34.5pt" o:ole="" fillcolor="window">
            <v:imagedata r:id="rId159" o:title=""/>
          </v:shape>
          <o:OLEObject Type="Embed" ProgID="Equation.3" ShapeID="_x0000_i1065" DrawAspect="Content" ObjectID="_1511255403" r:id="rId160"/>
        </w:object>
      </w:r>
      <w:r w:rsidRPr="00AD2CF5">
        <w:rPr>
          <w:lang w:val="nl-NL"/>
        </w:rPr>
        <w:tab/>
        <w:t>(4. 14)</w:t>
      </w:r>
    </w:p>
    <w:p w:rsidR="00F43C9B" w:rsidRPr="00AD2CF5" w:rsidRDefault="00F43C9B" w:rsidP="00F43C9B">
      <w:pPr>
        <w:keepNext/>
        <w:keepLines/>
        <w:shd w:val="clear" w:color="auto" w:fill="D9D9D9" w:themeFill="background1" w:themeFillShade="D9"/>
        <w:tabs>
          <w:tab w:val="left" w:pos="-108"/>
          <w:tab w:val="left" w:pos="573"/>
          <w:tab w:val="left" w:pos="1309"/>
          <w:tab w:val="left" w:pos="2387"/>
        </w:tabs>
        <w:suppressAutoHyphens/>
        <w:spacing w:line="240" w:lineRule="auto"/>
      </w:pPr>
      <w:r w:rsidRPr="00AD2CF5">
        <w:t>waarin (zie ook figuur 4.3):</w:t>
      </w:r>
    </w:p>
    <w:p w:rsidR="00F43C9B" w:rsidRPr="00AD2CF5" w:rsidRDefault="00F43C9B" w:rsidP="00F43C9B">
      <w:pPr>
        <w:keepNext/>
        <w:keepLines/>
        <w:shd w:val="clear" w:color="auto" w:fill="D9D9D9" w:themeFill="background1" w:themeFillShade="D9"/>
        <w:tabs>
          <w:tab w:val="left" w:pos="-108"/>
          <w:tab w:val="left" w:pos="284"/>
          <w:tab w:val="left" w:pos="709"/>
          <w:tab w:val="left" w:pos="1309"/>
          <w:tab w:val="left" w:pos="2387"/>
        </w:tabs>
        <w:suppressAutoHyphens/>
        <w:spacing w:line="240" w:lineRule="auto"/>
      </w:pPr>
      <w:r w:rsidRPr="00AD2CF5">
        <w:rPr>
          <w:i/>
        </w:rPr>
        <w:t>z</w:t>
      </w:r>
      <w:r w:rsidRPr="00AD2CF5">
        <w:rPr>
          <w:i/>
          <w:vertAlign w:val="subscript"/>
        </w:rPr>
        <w:t>0,j</w:t>
      </w:r>
      <w:r w:rsidRPr="00AD2CF5">
        <w:tab/>
        <w:t>ruwheidslengte</w:t>
      </w:r>
      <w:r w:rsidRPr="00AD2CF5">
        <w:fldChar w:fldCharType="begin"/>
      </w:r>
      <w:r w:rsidRPr="00AD2CF5">
        <w:instrText xml:space="preserve"> XE "ruwheidslengte" </w:instrText>
      </w:r>
      <w:r w:rsidRPr="00AD2CF5">
        <w:fldChar w:fldCharType="end"/>
      </w:r>
      <w:r w:rsidRPr="00AD2CF5">
        <w:t xml:space="preserve"> van doorlopen deelgebied </w:t>
      </w:r>
      <w:r w:rsidRPr="00AD2CF5">
        <w:rPr>
          <w:i/>
          <w:iCs/>
        </w:rPr>
        <w:t>j</w:t>
      </w:r>
      <w:r w:rsidRPr="00AD2CF5">
        <w:t>;</w:t>
      </w:r>
    </w:p>
    <w:p w:rsidR="00F43C9B" w:rsidRPr="00AD2CF5" w:rsidRDefault="00F43C9B" w:rsidP="00F43C9B">
      <w:pPr>
        <w:keepNext/>
        <w:keepLines/>
        <w:shd w:val="clear" w:color="auto" w:fill="D9D9D9" w:themeFill="background1" w:themeFillShade="D9"/>
        <w:tabs>
          <w:tab w:val="left" w:pos="-108"/>
          <w:tab w:val="left" w:pos="284"/>
          <w:tab w:val="left" w:pos="709"/>
          <w:tab w:val="left" w:pos="1309"/>
          <w:tab w:val="left" w:pos="2387"/>
        </w:tabs>
        <w:suppressAutoHyphens/>
        <w:spacing w:line="240" w:lineRule="auto"/>
      </w:pPr>
      <w:r w:rsidRPr="00AD2CF5">
        <w:rPr>
          <w:i/>
        </w:rPr>
        <w:t>r</w:t>
      </w:r>
      <w:r w:rsidRPr="00AD2CF5">
        <w:rPr>
          <w:i/>
          <w:vertAlign w:val="subscript"/>
        </w:rPr>
        <w:t>min,j</w:t>
      </w:r>
      <w:r w:rsidRPr="00AD2CF5">
        <w:tab/>
        <w:t>kortste horizontale afstand van bron tot grens deelgebied langs geluidpad;</w:t>
      </w:r>
    </w:p>
    <w:p w:rsidR="00F43C9B" w:rsidRPr="00AD2CF5" w:rsidRDefault="00F43C9B" w:rsidP="00F43C9B">
      <w:pPr>
        <w:keepNext/>
        <w:keepLines/>
        <w:shd w:val="clear" w:color="auto" w:fill="D9D9D9" w:themeFill="background1" w:themeFillShade="D9"/>
        <w:tabs>
          <w:tab w:val="left" w:pos="-108"/>
          <w:tab w:val="left" w:pos="284"/>
          <w:tab w:val="left" w:pos="709"/>
          <w:tab w:val="left" w:pos="1309"/>
          <w:tab w:val="left" w:pos="2387"/>
        </w:tabs>
        <w:suppressAutoHyphens/>
        <w:spacing w:line="240" w:lineRule="auto"/>
      </w:pPr>
      <w:r w:rsidRPr="00AD2CF5">
        <w:rPr>
          <w:i/>
        </w:rPr>
        <w:t>r</w:t>
      </w:r>
      <w:r w:rsidRPr="00AD2CF5">
        <w:rPr>
          <w:i/>
          <w:vertAlign w:val="subscript"/>
        </w:rPr>
        <w:t>max,j</w:t>
      </w:r>
      <w:r w:rsidRPr="00AD2CF5">
        <w:tab/>
        <w:t>grootste horizontale afstand van bron tot grens deelgebied langs geluidpad;</w:t>
      </w:r>
    </w:p>
    <w:p w:rsidR="00F43C9B" w:rsidRPr="00AD2CF5" w:rsidRDefault="00F43C9B" w:rsidP="00F43C9B">
      <w:pPr>
        <w:keepNext/>
        <w:keepLines/>
        <w:shd w:val="clear" w:color="auto" w:fill="D9D9D9" w:themeFill="background1" w:themeFillShade="D9"/>
        <w:tabs>
          <w:tab w:val="left" w:pos="-108"/>
          <w:tab w:val="left" w:pos="284"/>
          <w:tab w:val="left" w:pos="709"/>
          <w:tab w:val="left" w:pos="1309"/>
          <w:tab w:val="left" w:pos="2387"/>
        </w:tabs>
        <w:suppressAutoHyphens/>
        <w:spacing w:line="240" w:lineRule="auto"/>
      </w:pPr>
      <w:r w:rsidRPr="00AD2CF5">
        <w:rPr>
          <w:i/>
        </w:rPr>
        <w:t>r</w:t>
      </w:r>
      <w:r w:rsidRPr="00AD2CF5">
        <w:tab/>
        <w:t>horizontale afstand van bron naar rekenpunt langs geluidpad;</w:t>
      </w:r>
    </w:p>
    <w:p w:rsidR="00F43C9B" w:rsidRPr="00AD2CF5" w:rsidRDefault="00F43C9B" w:rsidP="00F43C9B">
      <w:pPr>
        <w:keepNext/>
        <w:keepLines/>
        <w:shd w:val="clear" w:color="auto" w:fill="D9D9D9" w:themeFill="background1" w:themeFillShade="D9"/>
        <w:tabs>
          <w:tab w:val="left" w:pos="-108"/>
          <w:tab w:val="left" w:pos="284"/>
          <w:tab w:val="left" w:pos="709"/>
          <w:tab w:val="left" w:pos="1309"/>
          <w:tab w:val="left" w:pos="2387"/>
        </w:tabs>
        <w:suppressAutoHyphens/>
        <w:spacing w:line="240" w:lineRule="auto"/>
      </w:pPr>
      <w:r w:rsidRPr="00AD2CF5">
        <w:rPr>
          <w:i/>
        </w:rPr>
        <w:t>N</w:t>
      </w:r>
      <w:r w:rsidRPr="00AD2CF5">
        <w:rPr>
          <w:i/>
        </w:rPr>
        <w:tab/>
      </w:r>
      <w:r w:rsidRPr="00AD2CF5">
        <w:t>aantal door het geluidpad doorsneden deelgebieden.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keepNext/>
        <w:keepLines/>
        <w:shd w:val="clear" w:color="auto" w:fill="D9D9D9" w:themeFill="background1" w:themeFillShade="D9"/>
        <w:tabs>
          <w:tab w:val="left" w:pos="-108"/>
          <w:tab w:val="left" w:pos="743"/>
          <w:tab w:val="left" w:pos="1707"/>
          <w:tab w:val="left" w:pos="3975"/>
        </w:tabs>
        <w:suppressAutoHyphens/>
        <w:spacing w:line="240" w:lineRule="auto"/>
        <w:ind w:left="742" w:hanging="742"/>
      </w:pPr>
    </w:p>
    <w:p w:rsidR="00F43C9B" w:rsidRPr="00AD2CF5" w:rsidRDefault="00F43C9B" w:rsidP="00F43C9B">
      <w:pPr>
        <w:pStyle w:val="Bijschrift"/>
        <w:shd w:val="clear" w:color="auto" w:fill="D9D9D9" w:themeFill="background1" w:themeFillShade="D9"/>
        <w:tabs>
          <w:tab w:val="left" w:pos="1276"/>
        </w:tabs>
        <w:ind w:left="1276" w:hanging="1276"/>
        <w:rPr>
          <w:i/>
          <w:sz w:val="2"/>
        </w:rPr>
      </w:pPr>
      <w:r w:rsidRPr="00AD2CF5">
        <w:rPr>
          <w:noProof/>
          <w:lang w:val="nl-NL" w:eastAsia="nl-NL" w:bidi="ar-SA"/>
        </w:rPr>
        <w:drawing>
          <wp:inline distT="0" distB="0" distL="0" distR="0" wp14:anchorId="684C1717" wp14:editId="4A1EBF19">
            <wp:extent cx="4695825" cy="1619250"/>
            <wp:effectExtent l="19050" t="0" r="0" b="0"/>
            <wp:docPr id="51" name="Afbeelding 68" descr="ru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uw (2)"/>
                    <pic:cNvPicPr>
                      <a:picLocks noChangeAspect="1" noChangeArrowheads="1"/>
                    </pic:cNvPicPr>
                  </pic:nvPicPr>
                  <pic:blipFill>
                    <a:blip r:embed="rId161" cstate="print"/>
                    <a:srcRect/>
                    <a:stretch>
                      <a:fillRect/>
                    </a:stretch>
                  </pic:blipFill>
                  <pic:spPr bwMode="auto">
                    <a:xfrm>
                      <a:off x="0" y="0"/>
                      <a:ext cx="4695825" cy="1619250"/>
                    </a:xfrm>
                    <a:prstGeom prst="rect">
                      <a:avLst/>
                    </a:prstGeom>
                    <a:noFill/>
                    <a:ln w="9525">
                      <a:noFill/>
                      <a:miter lim="800000"/>
                      <a:headEnd/>
                      <a:tailEnd/>
                    </a:ln>
                  </pic:spPr>
                </pic:pic>
              </a:graphicData>
            </a:graphic>
          </wp:inline>
        </w:drawing>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b/>
        </w:rPr>
        <w:t xml:space="preserve">Figuur 4. </w:t>
      </w:r>
      <w:r w:rsidRPr="00AD2CF5">
        <w:rPr>
          <w:b/>
        </w:rPr>
        <w:fldChar w:fldCharType="begin"/>
      </w:r>
      <w:r w:rsidRPr="00AD2CF5">
        <w:rPr>
          <w:b/>
        </w:rPr>
        <w:instrText xml:space="preserve"> SEQ Figuur_4. \* ARABIC </w:instrText>
      </w:r>
      <w:r w:rsidRPr="00AD2CF5">
        <w:rPr>
          <w:b/>
        </w:rPr>
        <w:fldChar w:fldCharType="separate"/>
      </w:r>
      <w:r>
        <w:rPr>
          <w:b/>
          <w:noProof/>
        </w:rPr>
        <w:t>3</w:t>
      </w:r>
      <w:r w:rsidRPr="00AD2CF5">
        <w:rPr>
          <w:b/>
        </w:rPr>
        <w:fldChar w:fldCharType="end"/>
      </w:r>
      <w:r w:rsidRPr="00AD2CF5">
        <w:rPr>
          <w:b/>
        </w:rPr>
        <w:t>:</w:t>
      </w:r>
      <w:r w:rsidRPr="00AD2CF5">
        <w:tab/>
        <w:t>Definitie van grenzen van ruwheidsgebieden bij bepaling van de gemiddelde ruwheid.</w:t>
      </w:r>
    </w:p>
    <w:p w:rsidR="00F43C9B" w:rsidRPr="00AD2CF5" w:rsidRDefault="00F43C9B" w:rsidP="00F43C9B">
      <w:pPr>
        <w:pStyle w:val="Inhopg1"/>
        <w:shd w:val="clear" w:color="auto" w:fill="D9D9D9" w:themeFill="background1" w:themeFillShade="D9"/>
        <w:tabs>
          <w:tab w:val="left" w:pos="-108"/>
          <w:tab w:val="left" w:pos="573"/>
          <w:tab w:val="left" w:pos="1309"/>
          <w:tab w:val="left" w:pos="2387"/>
        </w:tabs>
        <w:suppressAutoHyphens/>
        <w:spacing w:after="0" w:line="240" w:lineRule="auto"/>
      </w:pPr>
    </w:p>
    <w:p w:rsidR="00F43C9B" w:rsidRPr="00AD2CF5" w:rsidRDefault="00F43C9B" w:rsidP="00F43C9B">
      <w:pPr>
        <w:shd w:val="clear" w:color="auto" w:fill="D9D9D9" w:themeFill="background1" w:themeFillShade="D9"/>
      </w:pPr>
      <w:r w:rsidRPr="00AD2CF5">
        <w:t>In het gegevensbestand</w:t>
      </w:r>
      <w:r w:rsidRPr="00AD2CF5">
        <w:fldChar w:fldCharType="begin"/>
      </w:r>
      <w:r w:rsidRPr="00AD2CF5">
        <w:instrText xml:space="preserve"> XE "gegevensbestand" </w:instrText>
      </w:r>
      <w:r w:rsidRPr="00AD2CF5">
        <w:fldChar w:fldCharType="end"/>
      </w:r>
      <w:r w:rsidRPr="00AD2CF5">
        <w:t xml:space="preserve"> </w:t>
      </w:r>
      <w:r w:rsidRPr="00AD2CF5">
        <w:rPr>
          <w:i/>
        </w:rPr>
        <w:t>statgew.bin</w:t>
      </w:r>
      <w:r w:rsidRPr="00AD2CF5">
        <w:t xml:space="preserve"> zijn voor 10 verschillende waarden van de ruwheid (zie tabel 4.2), voor 60 verschillende hoeken (in stappen van 6</w:t>
      </w:r>
      <w:r w:rsidRPr="00AD2CF5">
        <w:sym w:font="Symbol" w:char="F0B0"/>
      </w:r>
      <w:r w:rsidRPr="00AD2CF5">
        <w:t>) en voor de 27 meteo</w:t>
      </w:r>
      <w:r w:rsidRPr="00AD2CF5">
        <w:softHyphen/>
        <w:t>ro</w:t>
      </w:r>
      <w:r w:rsidRPr="00AD2CF5">
        <w:softHyphen/>
        <w:t>lo</w:t>
      </w:r>
      <w:r w:rsidRPr="00AD2CF5">
        <w:softHyphen/>
        <w:t>gische klasse</w:t>
      </w:r>
      <w:r w:rsidRPr="00AD2CF5">
        <w:fldChar w:fldCharType="begin"/>
      </w:r>
      <w:r w:rsidRPr="00AD2CF5">
        <w:instrText xml:space="preserve"> XE "meteorologische klasse" </w:instrText>
      </w:r>
      <w:r w:rsidRPr="00AD2CF5">
        <w:fldChar w:fldCharType="end"/>
      </w:r>
      <w:r w:rsidRPr="00AD2CF5">
        <w:t>n de statistische gewichten</w:t>
      </w:r>
      <w:r w:rsidRPr="00AD2CF5">
        <w:fldChar w:fldCharType="begin"/>
      </w:r>
      <w:r w:rsidRPr="00AD2CF5">
        <w:instrText xml:space="preserve"> XE "statistische gewichten" </w:instrText>
      </w:r>
      <w:r w:rsidRPr="00AD2CF5">
        <w:fldChar w:fldCharType="end"/>
      </w:r>
      <w:r w:rsidRPr="00AD2CF5">
        <w:t xml:space="preserve"> gegeven voor de meteorologische dag en de nacht. Voor waarden van de ruwheid waarvoor in het gegevensbestand geen gewicht is opgenomen wordt het gewicht van de dichtstbijgelegen ruwheidswaarde gebruikt. Voor waarden van de hoek waarvoor geen gewicht is opgenomen wordt een geïnterpoleerde waarde berekend conform onderstaande formule:</w:t>
      </w:r>
    </w:p>
    <w:p w:rsidR="00F43C9B" w:rsidRPr="00AD2CF5" w:rsidRDefault="00F43C9B" w:rsidP="00F43C9B">
      <w:pPr>
        <w:shd w:val="clear" w:color="auto" w:fill="D9D9D9" w:themeFill="background1" w:themeFillShade="D9"/>
      </w:pPr>
      <w:r w:rsidRPr="00AD2CF5">
        <w:rPr>
          <w:position w:val="-30"/>
        </w:rPr>
        <w:object w:dxaOrig="4900" w:dyaOrig="700">
          <v:shape id="_x0000_i1066" type="#_x0000_t75" style="width:244.5pt;height:34.5pt" o:ole="">
            <v:imagedata r:id="rId162" o:title=""/>
          </v:shape>
          <o:OLEObject Type="Embed" ProgID="Equation.3" ShapeID="_x0000_i1066" DrawAspect="Content" ObjectID="_1511255404" r:id="rId163"/>
        </w:object>
      </w:r>
    </w:p>
    <w:p w:rsidR="00F43C9B" w:rsidRPr="00AD2CF5" w:rsidRDefault="00F43C9B" w:rsidP="00F43C9B">
      <w:pPr>
        <w:shd w:val="clear" w:color="auto" w:fill="D9D9D9" w:themeFill="background1" w:themeFillShade="D9"/>
      </w:pPr>
      <w:r w:rsidRPr="00AD2CF5">
        <w:t xml:space="preserve">waarin </w:t>
      </w:r>
      <w:r w:rsidRPr="00AD2CF5">
        <w:rPr>
          <w:position w:val="-10"/>
        </w:rPr>
        <w:object w:dxaOrig="240" w:dyaOrig="340">
          <v:shape id="_x0000_i1067" type="#_x0000_t75" style="width:12pt;height:17.25pt" o:ole="">
            <v:imagedata r:id="rId164" o:title=""/>
          </v:shape>
          <o:OLEObject Type="Embed" ProgID="Equation.3" ShapeID="_x0000_i1067" DrawAspect="Content" ObjectID="_1511255405" r:id="rId165"/>
        </w:object>
      </w:r>
      <w:r w:rsidRPr="00AD2CF5">
        <w:t xml:space="preserve">en </w:t>
      </w:r>
      <w:r w:rsidRPr="00AD2CF5">
        <w:rPr>
          <w:position w:val="-10"/>
        </w:rPr>
        <w:object w:dxaOrig="279" w:dyaOrig="340">
          <v:shape id="_x0000_i1068" type="#_x0000_t75" style="width:13.5pt;height:17.25pt" o:ole="">
            <v:imagedata r:id="rId166" o:title=""/>
          </v:shape>
          <o:OLEObject Type="Embed" ProgID="Equation.3" ShapeID="_x0000_i1068" DrawAspect="Content" ObjectID="_1511255406" r:id="rId167"/>
        </w:object>
      </w:r>
      <w:r w:rsidRPr="00AD2CF5">
        <w:t>de dichtstbijgelegen hoeken zijn. Dit gegevensbestand</w:t>
      </w:r>
      <w:r w:rsidRPr="00AD2CF5">
        <w:fldChar w:fldCharType="begin"/>
      </w:r>
      <w:r w:rsidRPr="00AD2CF5">
        <w:instrText xml:space="preserve"> XE "gegevensbestand" </w:instrText>
      </w:r>
      <w:r w:rsidRPr="00AD2CF5">
        <w:fldChar w:fldCharType="end"/>
      </w:r>
      <w:r w:rsidRPr="00AD2CF5">
        <w:t xml:space="preserve"> bevat hiervoor 27x2x10x60 = 32</w:t>
      </w:r>
      <w:r w:rsidR="001A65B1">
        <w:t>.</w:t>
      </w:r>
      <w:r w:rsidRPr="00AD2CF5">
        <w:t>400 verschillende statistische gewichten</w:t>
      </w:r>
      <w:r w:rsidRPr="00AD2CF5">
        <w:fldChar w:fldCharType="begin"/>
      </w:r>
      <w:r w:rsidRPr="00AD2CF5">
        <w:instrText xml:space="preserve"> XE "statistische gewichten" </w:instrText>
      </w:r>
      <w:r w:rsidRPr="00AD2CF5">
        <w:fldChar w:fldCharType="end"/>
      </w:r>
      <w:r w:rsidRPr="00AD2CF5">
        <w:t>.</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t>In het bovenstaande gegevensbestand hebben een aantal statistische gewichten een waarde gelijk aan nul of relatief een lage waarde (&lt;0.01). De bijdrage voor deze profielen zal gering zijn. Eventueel kunnen deze bijdragen toegeschreven worden aan profiel 18 om zo de berekeningen te vereenvoudigenen. Het statistisch gewicht van de profielen met een kleine bijdragen dient dan bij het statisch gewicht van profiel 18 te worden opgeteld zodat de som van de gewichten weer gelijk aan 1 is.</w:t>
      </w:r>
    </w:p>
    <w:p w:rsidR="00F43C9B" w:rsidRPr="00AD2CF5" w:rsidRDefault="00F43C9B" w:rsidP="00F43C9B">
      <w:pPr>
        <w:shd w:val="clear" w:color="auto" w:fill="D9D9D9" w:themeFill="background1" w:themeFillShade="D9"/>
      </w:pPr>
      <w:r w:rsidRPr="00AD2CF5">
        <w:t>Voor het geval dat het gebruik van de schiet</w:t>
      </w:r>
      <w:r w:rsidRPr="00AD2CF5">
        <w:softHyphen/>
        <w:t>inrichting gekoppeld is aan de heersende windrichting</w:t>
      </w:r>
      <w:r w:rsidRPr="00AD2CF5">
        <w:fldChar w:fldCharType="begin"/>
      </w:r>
      <w:r w:rsidRPr="00AD2CF5">
        <w:instrText xml:space="preserve"> XE "windrichting" </w:instrText>
      </w:r>
      <w:r w:rsidRPr="00AD2CF5">
        <w:fldChar w:fldCharType="end"/>
      </w:r>
      <w:r w:rsidRPr="00AD2CF5">
        <w:t xml:space="preserve"> wordt een aangepaste procedure gebruikt. In dit geval is er een zogenaamde windroossector</w:t>
      </w:r>
      <w:r w:rsidRPr="00AD2CF5">
        <w:fldChar w:fldCharType="begin"/>
      </w:r>
      <w:r w:rsidRPr="00AD2CF5">
        <w:instrText xml:space="preserve"> XE "windroossector" </w:instrText>
      </w:r>
      <w:r w:rsidRPr="00AD2CF5">
        <w:fldChar w:fldCharType="end"/>
      </w:r>
      <w:r w:rsidRPr="00AD2CF5">
        <w:t xml:space="preserve"> gedefinieerd waarmee een gedeelte van de windroos</w:t>
      </w:r>
      <w:r w:rsidRPr="00AD2CF5">
        <w:fldChar w:fldCharType="begin"/>
      </w:r>
      <w:r w:rsidRPr="00AD2CF5">
        <w:instrText xml:space="preserve"> XE "windroos" </w:instrText>
      </w:r>
      <w:r w:rsidRPr="00AD2CF5">
        <w:fldChar w:fldCharType="end"/>
      </w:r>
      <w:r w:rsidRPr="00AD2CF5">
        <w:t xml:space="preserve"> wordt aangegeven waarbij schietactiviteiten op de betreffende inrichting kunnen plaatsvinden. Deze windroossector wordt door twee parameters bepaald, die de grootte en positie van de sector aangeven (zie §2.4 en Figuur 4.4). De statistische</w:t>
      </w:r>
      <w:r w:rsidRPr="00AD2CF5">
        <w:rPr>
          <w:b/>
        </w:rPr>
        <w:t xml:space="preserve"> </w:t>
      </w:r>
      <w:r w:rsidRPr="00AD2CF5">
        <w:t>gewichten</w:t>
      </w:r>
      <w:r w:rsidRPr="00AD2CF5">
        <w:fldChar w:fldCharType="begin"/>
      </w:r>
      <w:r w:rsidRPr="00AD2CF5">
        <w:instrText xml:space="preserve"> XE "statistische gewichten" </w:instrText>
      </w:r>
      <w:r w:rsidRPr="00AD2CF5">
        <w:fldChar w:fldCharType="end"/>
      </w:r>
      <w:r w:rsidRPr="00AD2CF5">
        <w:t xml:space="preserve"> zijn van deze twee parameters afhankelijk naast de hiervoor genoemde grootheden (meteorologische klasse</w:t>
      </w:r>
      <w:r w:rsidRPr="00AD2CF5">
        <w:fldChar w:fldCharType="begin"/>
      </w:r>
      <w:r w:rsidRPr="00AD2CF5">
        <w:instrText xml:space="preserve"> XE "meteorologische klasse" </w:instrText>
      </w:r>
      <w:r w:rsidRPr="00AD2CF5">
        <w:fldChar w:fldCharType="end"/>
      </w:r>
      <w:r w:rsidRPr="00AD2CF5">
        <w:t>, dagdeel, hoek van bron naar rekenpunt met geografisch noorden en de gemiddelde ruwheid onder het geluidpad). Omdat het teveel opslagruimte zou vragen om voor alle mogelijke combinaties van al deze parameters de gewichten te geven is een rekenprocedure ontwikkeld waarmee de gewichten op eenvoudige wijze kunnen worden bepaald.</w:t>
      </w:r>
    </w:p>
    <w:p w:rsidR="00F43C9B" w:rsidRPr="00AD2CF5" w:rsidRDefault="00F43C9B" w:rsidP="00F43C9B">
      <w:pPr>
        <w:shd w:val="clear" w:color="auto" w:fill="D9D9D9" w:themeFill="background1" w:themeFillShade="D9"/>
      </w:pPr>
      <w:r w:rsidRPr="00AD2CF5">
        <w:t>Voor de berekening wordt gebruik gemaakt van twee gegevensbestanden (</w:t>
      </w:r>
      <w:r w:rsidRPr="00AD2CF5">
        <w:rPr>
          <w:i/>
        </w:rPr>
        <w:t>statmet.bin</w:t>
      </w:r>
      <w:r w:rsidRPr="00AD2CF5">
        <w:t xml:space="preserve"> en </w:t>
      </w:r>
      <w:r w:rsidRPr="00AD2CF5">
        <w:rPr>
          <w:i/>
        </w:rPr>
        <w:t>metprof.bin</w:t>
      </w:r>
      <w:r w:rsidRPr="00AD2CF5">
        <w:t>).</w:t>
      </w:r>
      <w:r w:rsidRPr="00AD2CF5">
        <w:rPr>
          <w:i/>
        </w:rPr>
        <w:t xml:space="preserve"> </w:t>
      </w:r>
      <w:r w:rsidRPr="00AD2CF5">
        <w:t>In het eerste bestand wordt de kans gegeven dat een bepaalde combinatie van windsnelheid</w:t>
      </w:r>
      <w:r w:rsidRPr="00AD2CF5">
        <w:fldChar w:fldCharType="begin"/>
      </w:r>
      <w:r w:rsidRPr="00AD2CF5">
        <w:instrText xml:space="preserve"> XE "windsnelheid" </w:instrText>
      </w:r>
      <w:r w:rsidRPr="00AD2CF5">
        <w:fldChar w:fldCharType="end"/>
      </w:r>
      <w:r w:rsidRPr="00AD2CF5">
        <w:t>, windrichting</w:t>
      </w:r>
      <w:r w:rsidRPr="00AD2CF5">
        <w:fldChar w:fldCharType="begin"/>
      </w:r>
      <w:r w:rsidRPr="00AD2CF5">
        <w:instrText xml:space="preserve"> XE "windrichting" </w:instrText>
      </w:r>
      <w:r w:rsidRPr="00AD2CF5">
        <w:fldChar w:fldCharType="end"/>
      </w:r>
      <w:r w:rsidRPr="00AD2CF5">
        <w:t xml:space="preserve"> en bewolkingsgraad</w:t>
      </w:r>
      <w:r w:rsidRPr="00AD2CF5">
        <w:fldChar w:fldCharType="begin"/>
      </w:r>
      <w:r w:rsidRPr="00AD2CF5">
        <w:instrText xml:space="preserve"> XE "bewolkingsgraad" </w:instrText>
      </w:r>
      <w:r w:rsidRPr="00AD2CF5">
        <w:fldChar w:fldCharType="end"/>
      </w:r>
      <w:r w:rsidRPr="00AD2CF5">
        <w:t xml:space="preserve"> voorkomt. Voor de meteorologische dag</w:t>
      </w:r>
      <w:r w:rsidRPr="00AD2CF5">
        <w:fldChar w:fldCharType="begin"/>
      </w:r>
      <w:r w:rsidRPr="00AD2CF5">
        <w:instrText xml:space="preserve"> XE "meteorologische dag" </w:instrText>
      </w:r>
      <w:r w:rsidRPr="00AD2CF5">
        <w:fldChar w:fldCharType="end"/>
      </w:r>
      <w:r w:rsidRPr="00AD2CF5">
        <w:t xml:space="preserve"> zijn deze kansen als seizoensgemiddelde gegeven (dus achtereenvolgens voor de lente, zomer, herfst en de winter), voor de meteorologische nacht</w:t>
      </w:r>
      <w:r w:rsidRPr="00AD2CF5">
        <w:fldChar w:fldCharType="begin"/>
      </w:r>
      <w:r w:rsidRPr="00AD2CF5">
        <w:instrText xml:space="preserve"> XE "meteorologische nacht" </w:instrText>
      </w:r>
      <w:r w:rsidRPr="00AD2CF5">
        <w:fldChar w:fldCharType="end"/>
      </w:r>
      <w:r w:rsidRPr="00AD2CF5">
        <w:t xml:space="preserve"> wordt een jaargemiddelde waarde gebruikt. Met het tweede bestand kan bepaald worden bij welke omstandigheden welke meteorologische klasse</w:t>
      </w:r>
      <w:r w:rsidRPr="00AD2CF5">
        <w:fldChar w:fldCharType="begin"/>
      </w:r>
      <w:r w:rsidRPr="00AD2CF5">
        <w:instrText xml:space="preserve"> XE "meteorologische klasse" </w:instrText>
      </w:r>
      <w:r w:rsidRPr="00AD2CF5">
        <w:fldChar w:fldCharType="end"/>
      </w:r>
      <w:r w:rsidRPr="00AD2CF5">
        <w:t xml:space="preserve"> hoort.</w:t>
      </w:r>
    </w:p>
    <w:p w:rsidR="00F43C9B" w:rsidRPr="00AD2CF5" w:rsidRDefault="00F43C9B" w:rsidP="00F43C9B">
      <w:pPr>
        <w:shd w:val="clear" w:color="auto" w:fill="D9D9D9" w:themeFill="background1" w:themeFillShade="D9"/>
      </w:pPr>
      <w:r w:rsidRPr="00AD2CF5">
        <w:t>Het is een groot bestand waarin de meteorologische klasse gegeven wordt als functie van:</w:t>
      </w:r>
    </w:p>
    <w:p w:rsidR="00F43C9B" w:rsidRPr="00AD2CF5" w:rsidRDefault="00F43C9B" w:rsidP="00F43C9B">
      <w:pPr>
        <w:shd w:val="clear" w:color="auto" w:fill="D9D9D9" w:themeFill="background1" w:themeFillShade="D9"/>
        <w:rPr>
          <w:i/>
        </w:rPr>
      </w:pPr>
      <w:r w:rsidRPr="00AD2CF5">
        <w:t>gemiddelde ruwheid onder het geluidpad (voor 10 ruwheden zie Tabel 4.2);</w:t>
      </w:r>
    </w:p>
    <w:p w:rsidR="00F43C9B" w:rsidRPr="00AD2CF5" w:rsidRDefault="00F43C9B" w:rsidP="00F43C9B">
      <w:pPr>
        <w:shd w:val="clear" w:color="auto" w:fill="D9D9D9" w:themeFill="background1" w:themeFillShade="D9"/>
        <w:rPr>
          <w:i/>
        </w:rPr>
      </w:pPr>
      <w:r w:rsidRPr="00AD2CF5">
        <w:t>geluidvoortplantingsrichting (voor 0º tot 354º in stappen van 6º);</w:t>
      </w:r>
    </w:p>
    <w:p w:rsidR="00F43C9B" w:rsidRPr="00AD2CF5" w:rsidRDefault="00F43C9B" w:rsidP="00F43C9B">
      <w:pPr>
        <w:shd w:val="clear" w:color="auto" w:fill="D9D9D9" w:themeFill="background1" w:themeFillShade="D9"/>
        <w:rPr>
          <w:i/>
        </w:rPr>
      </w:pPr>
      <w:r w:rsidRPr="00AD2CF5">
        <w:t>windsnelheid</w:t>
      </w:r>
      <w:r w:rsidRPr="00AD2CF5">
        <w:fldChar w:fldCharType="begin"/>
      </w:r>
      <w:r w:rsidRPr="00AD2CF5">
        <w:instrText xml:space="preserve"> XE "windsnelheid" </w:instrText>
      </w:r>
      <w:r w:rsidRPr="00AD2CF5">
        <w:fldChar w:fldCharType="end"/>
      </w:r>
      <w:r w:rsidRPr="00AD2CF5">
        <w:t xml:space="preserve"> (voor 15 klassen);</w:t>
      </w:r>
    </w:p>
    <w:p w:rsidR="00F43C9B" w:rsidRPr="00AD2CF5" w:rsidRDefault="00F43C9B" w:rsidP="00F43C9B">
      <w:pPr>
        <w:shd w:val="clear" w:color="auto" w:fill="D9D9D9" w:themeFill="background1" w:themeFillShade="D9"/>
        <w:rPr>
          <w:i/>
        </w:rPr>
      </w:pPr>
      <w:r w:rsidRPr="00AD2CF5">
        <w:t>windrichting</w:t>
      </w:r>
      <w:r w:rsidRPr="00AD2CF5">
        <w:fldChar w:fldCharType="begin"/>
      </w:r>
      <w:r w:rsidRPr="00AD2CF5">
        <w:instrText xml:space="preserve"> XE "windrichting" </w:instrText>
      </w:r>
      <w:r w:rsidRPr="00AD2CF5">
        <w:fldChar w:fldCharType="end"/>
      </w:r>
      <w:r w:rsidRPr="00AD2CF5">
        <w:t xml:space="preserve"> (voor 0º tot 354º in stappen van 6º);</w:t>
      </w:r>
    </w:p>
    <w:p w:rsidR="00F43C9B" w:rsidRPr="00AD2CF5" w:rsidRDefault="00F43C9B" w:rsidP="00F43C9B">
      <w:pPr>
        <w:shd w:val="clear" w:color="auto" w:fill="D9D9D9" w:themeFill="background1" w:themeFillShade="D9"/>
        <w:rPr>
          <w:i/>
        </w:rPr>
      </w:pPr>
      <w:r w:rsidRPr="00AD2CF5">
        <w:t>bewolkingsgraad</w:t>
      </w:r>
      <w:r w:rsidRPr="00AD2CF5">
        <w:fldChar w:fldCharType="begin"/>
      </w:r>
      <w:r w:rsidRPr="00AD2CF5">
        <w:instrText xml:space="preserve"> XE "bewolkingsgraad" </w:instrText>
      </w:r>
      <w:r w:rsidRPr="00AD2CF5">
        <w:fldChar w:fldCharType="end"/>
      </w:r>
      <w:r w:rsidRPr="00AD2CF5">
        <w:t xml:space="preserve"> (voor 9 klassen);</w:t>
      </w:r>
    </w:p>
    <w:p w:rsidR="00F43C9B" w:rsidRPr="00AD2CF5" w:rsidRDefault="00F43C9B" w:rsidP="00F43C9B">
      <w:pPr>
        <w:shd w:val="clear" w:color="auto" w:fill="D9D9D9" w:themeFill="background1" w:themeFillShade="D9"/>
        <w:rPr>
          <w:i/>
        </w:rPr>
      </w:pPr>
      <w:r w:rsidRPr="00AD2CF5">
        <w:t>seizoen (voor de meteorologische dag</w:t>
      </w:r>
      <w:r w:rsidRPr="00AD2CF5">
        <w:fldChar w:fldCharType="begin"/>
      </w:r>
      <w:r w:rsidRPr="00AD2CF5">
        <w:instrText xml:space="preserve"> XE "meteorologische dag" </w:instrText>
      </w:r>
      <w:r w:rsidRPr="00AD2CF5">
        <w:fldChar w:fldCharType="end"/>
      </w:r>
      <w:r w:rsidRPr="00AD2CF5">
        <w:t xml:space="preserve"> voor 4 seizoenen; voor de meteoro</w:t>
      </w:r>
      <w:r w:rsidRPr="00AD2CF5">
        <w:softHyphen/>
        <w:t>logische nacht</w:t>
      </w:r>
      <w:r w:rsidRPr="00AD2CF5">
        <w:fldChar w:fldCharType="begin"/>
      </w:r>
      <w:r w:rsidRPr="00AD2CF5">
        <w:instrText xml:space="preserve"> XE "meteorologische nacht" </w:instrText>
      </w:r>
      <w:r w:rsidRPr="00AD2CF5">
        <w:fldChar w:fldCharType="end"/>
      </w:r>
      <w:r w:rsidRPr="00AD2CF5">
        <w:t xml:space="preserve"> is een jaargemiddelde gegeven)</w:t>
      </w:r>
    </w:p>
    <w:p w:rsidR="00F43C9B" w:rsidRPr="00AD2CF5" w:rsidRDefault="00F43C9B" w:rsidP="00F43C9B">
      <w:pPr>
        <w:shd w:val="clear" w:color="auto" w:fill="D9D9D9" w:themeFill="background1" w:themeFillShade="D9"/>
      </w:pPr>
      <w:r w:rsidRPr="00AD2CF5">
        <w:t>De berekening van een statistisch gewicht verloopt dan als volgt: eerst wordt bepaald welke gedigitaliseerde waarden van de windrichting</w:t>
      </w:r>
      <w:r w:rsidRPr="00AD2CF5">
        <w:fldChar w:fldCharType="begin"/>
      </w:r>
      <w:r w:rsidRPr="00AD2CF5">
        <w:instrText xml:space="preserve"> XE "windrichting" </w:instrText>
      </w:r>
      <w:r w:rsidRPr="00AD2CF5">
        <w:fldChar w:fldCharType="end"/>
      </w:r>
      <w:r w:rsidRPr="00AD2CF5">
        <w:t xml:space="preserve"> (lopend van 0º tot 354º in stappen van 6º) binnen de windroossector</w:t>
      </w:r>
      <w:r w:rsidRPr="00AD2CF5">
        <w:fldChar w:fldCharType="begin"/>
      </w:r>
      <w:r w:rsidRPr="00AD2CF5">
        <w:instrText xml:space="preserve"> XE "windroossector" </w:instrText>
      </w:r>
      <w:r w:rsidRPr="00AD2CF5">
        <w:fldChar w:fldCharType="end"/>
      </w:r>
      <w:r w:rsidRPr="00AD2CF5">
        <w:t xml:space="preserve"> liggen. Vervolgens wordt de dichtstbijgelegen ruwheidswaarde uit tabel 4.2 gekozen, die overeenkomt met de gemiddelde ruwheidswaarde onder het geluidpad (zie formule 4.14). Voor deze waarden wordt in bestand </w:t>
      </w:r>
      <w:r w:rsidRPr="00AD2CF5">
        <w:rPr>
          <w:i/>
        </w:rPr>
        <w:t>metprof.bin</w:t>
      </w:r>
      <w:r w:rsidRPr="00AD2CF5">
        <w:t xml:space="preserve"> gezocht naar alle combinaties van windsnelheid</w:t>
      </w:r>
      <w:r w:rsidRPr="00AD2CF5">
        <w:fldChar w:fldCharType="begin"/>
      </w:r>
      <w:r w:rsidRPr="00AD2CF5">
        <w:instrText xml:space="preserve"> XE "windsnelheid" </w:instrText>
      </w:r>
      <w:r w:rsidRPr="00AD2CF5">
        <w:fldChar w:fldCharType="end"/>
      </w:r>
      <w:r w:rsidRPr="00AD2CF5">
        <w:t>, windrichting, bewolkingsgraad</w:t>
      </w:r>
      <w:r w:rsidRPr="00AD2CF5">
        <w:fldChar w:fldCharType="begin"/>
      </w:r>
      <w:r w:rsidRPr="00AD2CF5">
        <w:instrText xml:space="preserve"> XE "bewolkingsgraad" </w:instrText>
      </w:r>
      <w:r w:rsidRPr="00AD2CF5">
        <w:fldChar w:fldCharType="end"/>
      </w:r>
      <w:r w:rsidRPr="00AD2CF5">
        <w:t xml:space="preserve"> en – voor de meteorologische dag</w:t>
      </w:r>
      <w:r w:rsidRPr="00AD2CF5">
        <w:fldChar w:fldCharType="begin"/>
      </w:r>
      <w:r w:rsidRPr="00AD2CF5">
        <w:instrText xml:space="preserve"> XE "meteorologische dag" </w:instrText>
      </w:r>
      <w:r w:rsidRPr="00AD2CF5">
        <w:fldChar w:fldCharType="end"/>
      </w:r>
      <w:r w:rsidRPr="00AD2CF5">
        <w:t xml:space="preserve"> – seizoen, die bij één van de 27 meteorologische klasse</w:t>
      </w:r>
      <w:r w:rsidRPr="00AD2CF5">
        <w:fldChar w:fldCharType="begin"/>
      </w:r>
      <w:r w:rsidRPr="00AD2CF5">
        <w:instrText xml:space="preserve"> XE "meteorologische klasse" </w:instrText>
      </w:r>
      <w:r w:rsidRPr="00AD2CF5">
        <w:fldChar w:fldCharType="end"/>
      </w:r>
      <w:r w:rsidRPr="00AD2CF5">
        <w:t xml:space="preserve">n horen. Met behulp van het bestand </w:t>
      </w:r>
      <w:r w:rsidRPr="00AD2CF5">
        <w:rPr>
          <w:i/>
        </w:rPr>
        <w:t xml:space="preserve">statmet </w:t>
      </w:r>
      <w:r w:rsidRPr="00AD2CF5">
        <w:t>kan de kans bepaald worden dat een dergelijke combinatie optreedt. Per meteorologische klasse worden de kansen gesommeerd van al de combinaties, die bij die klasse horen. Uit de zo verkregen waarden (27 voor de meteorologische dag en 27 voor de meteorologische nacht</w:t>
      </w:r>
      <w:r w:rsidRPr="00AD2CF5">
        <w:fldChar w:fldCharType="begin"/>
      </w:r>
      <w:r w:rsidRPr="00AD2CF5">
        <w:instrText xml:space="preserve"> XE "meteorologische nacht" </w:instrText>
      </w:r>
      <w:r w:rsidRPr="00AD2CF5">
        <w:fldChar w:fldCharType="end"/>
      </w:r>
      <w:r w:rsidRPr="00AD2CF5">
        <w:t>) worden tenslotte de statistische gewichten</w:t>
      </w:r>
      <w:r w:rsidRPr="00AD2CF5">
        <w:fldChar w:fldCharType="begin"/>
      </w:r>
      <w:r w:rsidRPr="00AD2CF5">
        <w:instrText xml:space="preserve"> XE "statistische gewichten" </w:instrText>
      </w:r>
      <w:r w:rsidRPr="00AD2CF5">
        <w:fldChar w:fldCharType="end"/>
      </w:r>
      <w:r w:rsidRPr="00AD2CF5">
        <w:t xml:space="preserve"> bepaald door deze 27 waarden te normeren met hun som voor respectievelijk de dag en de nacht zodat geldt:</w:t>
      </w:r>
    </w:p>
    <w:p w:rsidR="00F43C9B" w:rsidRPr="00AD2CF5" w:rsidRDefault="00F43C9B" w:rsidP="00F43C9B">
      <w:pPr>
        <w:shd w:val="clear" w:color="auto" w:fill="D9D9D9" w:themeFill="background1" w:themeFillShade="D9"/>
      </w:pPr>
      <w:r w:rsidRPr="00AD2CF5">
        <w:rPr>
          <w:position w:val="-28"/>
        </w:rPr>
        <w:object w:dxaOrig="2780" w:dyaOrig="680">
          <v:shape id="_x0000_i1069" type="#_x0000_t75" style="width:138.75pt;height:34.5pt" o:ole="" fillcolor="window">
            <v:imagedata r:id="rId168" o:title=""/>
          </v:shape>
          <o:OLEObject Type="Embed" ProgID="Equation.3" ShapeID="_x0000_i1069" DrawAspect="Content" ObjectID="_1511255407" r:id="rId169"/>
        </w:object>
      </w:r>
      <w:r w:rsidRPr="00AD2CF5">
        <w:tab/>
      </w:r>
      <w:r w:rsidRPr="00AD2CF5">
        <w:rPr>
          <w:b/>
        </w:rPr>
        <w:t>(4.15)</w:t>
      </w:r>
    </w:p>
    <w:p w:rsidR="00F43C9B" w:rsidRPr="00AD2CF5" w:rsidRDefault="00F43C9B" w:rsidP="00F43C9B">
      <w:pPr>
        <w:shd w:val="clear" w:color="auto" w:fill="D9D9D9" w:themeFill="background1" w:themeFillShade="D9"/>
        <w:rPr>
          <w:i/>
        </w:rPr>
      </w:pPr>
    </w:p>
    <w:p w:rsidR="00F43C9B" w:rsidRPr="00AD2CF5" w:rsidRDefault="00F43C9B" w:rsidP="00F43C9B">
      <w:pPr>
        <w:shd w:val="clear" w:color="auto" w:fill="D9D9D9" w:themeFill="background1" w:themeFillShade="D9"/>
        <w:rPr>
          <w:rFonts w:ascii="Times New Roman" w:hAnsi="Times New Roman"/>
          <w:sz w:val="21"/>
        </w:rPr>
      </w:pPr>
    </w:p>
    <w:tbl>
      <w:tblPr>
        <w:tblW w:w="0" w:type="auto"/>
        <w:tblLayout w:type="fixed"/>
        <w:tblCellMar>
          <w:left w:w="70" w:type="dxa"/>
          <w:right w:w="70" w:type="dxa"/>
        </w:tblCellMar>
        <w:tblLook w:val="0000" w:firstRow="0" w:lastRow="0" w:firstColumn="0" w:lastColumn="0" w:noHBand="0" w:noVBand="0"/>
      </w:tblPr>
      <w:tblGrid>
        <w:gridCol w:w="3614"/>
        <w:gridCol w:w="3827"/>
      </w:tblGrid>
      <w:tr w:rsidR="00F43C9B" w:rsidRPr="00AD2CF5" w:rsidTr="00F43C9B">
        <w:tc>
          <w:tcPr>
            <w:tcW w:w="3614" w:type="dxa"/>
          </w:tcPr>
          <w:p w:rsidR="00F43C9B" w:rsidRPr="00AD2CF5" w:rsidRDefault="00F43C9B" w:rsidP="00F43C9B">
            <w:pPr>
              <w:pStyle w:val="bijschrift0"/>
              <w:shd w:val="clear" w:color="auto" w:fill="D9D9D9" w:themeFill="background1" w:themeFillShade="D9"/>
              <w:tabs>
                <w:tab w:val="left" w:pos="-720"/>
              </w:tabs>
              <w:suppressAutoHyphens/>
              <w:ind w:right="-30"/>
              <w:rPr>
                <w:rFonts w:ascii="Times New Roman" w:hAnsi="Times New Roman"/>
                <w:sz w:val="22"/>
              </w:rPr>
            </w:pPr>
            <w:r w:rsidRPr="00AD2CF5">
              <w:rPr>
                <w:sz w:val="21"/>
                <w:lang w:val="nl-NL"/>
              </w:rPr>
              <w:br w:type="page"/>
            </w:r>
            <w:r w:rsidRPr="00AD2CF5">
              <w:rPr>
                <w:sz w:val="21"/>
                <w:lang w:val="nl-NL"/>
              </w:rPr>
              <w:br w:type="page"/>
            </w:r>
            <w:r w:rsidRPr="00AD2CF5">
              <w:rPr>
                <w:noProof/>
                <w:sz w:val="21"/>
                <w:lang w:val="nl-NL" w:eastAsia="nl-NL"/>
              </w:rPr>
              <w:drawing>
                <wp:inline distT="0" distB="0" distL="0" distR="0" wp14:anchorId="1895F195" wp14:editId="4B61B041">
                  <wp:extent cx="2266950" cy="2266950"/>
                  <wp:effectExtent l="0" t="0" r="0" b="0"/>
                  <wp:docPr id="52" name="Afbeelding 73" descr="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oos"/>
                          <pic:cNvPicPr>
                            <a:picLocks noChangeAspect="1" noChangeArrowheads="1"/>
                          </pic:cNvPicPr>
                        </pic:nvPicPr>
                        <pic:blipFill>
                          <a:blip r:embed="rId170" cstate="print"/>
                          <a:srcRect/>
                          <a:stretch>
                            <a:fillRect/>
                          </a:stretch>
                        </pic:blipFill>
                        <pic:spPr bwMode="auto">
                          <a:xfrm>
                            <a:off x="0" y="0"/>
                            <a:ext cx="2266950" cy="2266950"/>
                          </a:xfrm>
                          <a:prstGeom prst="rect">
                            <a:avLst/>
                          </a:prstGeom>
                          <a:noFill/>
                          <a:ln w="9525">
                            <a:noFill/>
                            <a:miter lim="800000"/>
                            <a:headEnd/>
                            <a:tailEnd/>
                          </a:ln>
                        </pic:spPr>
                      </pic:pic>
                    </a:graphicData>
                  </a:graphic>
                </wp:inline>
              </w:drawing>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tc>
        <w:tc>
          <w:tcPr>
            <w:tcW w:w="3827" w:type="dxa"/>
          </w:tcPr>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b/>
              </w:rPr>
              <w:t xml:space="preserve">Figuur 4. </w:t>
            </w:r>
            <w:r w:rsidRPr="00AD2CF5">
              <w:rPr>
                <w:b/>
              </w:rPr>
              <w:fldChar w:fldCharType="begin"/>
            </w:r>
            <w:r w:rsidRPr="00AD2CF5">
              <w:rPr>
                <w:b/>
              </w:rPr>
              <w:instrText xml:space="preserve"> SEQ Figuur_4. \* ARABIC </w:instrText>
            </w:r>
            <w:r w:rsidRPr="00AD2CF5">
              <w:rPr>
                <w:b/>
              </w:rPr>
              <w:fldChar w:fldCharType="separate"/>
            </w:r>
            <w:r>
              <w:rPr>
                <w:b/>
                <w:noProof/>
              </w:rPr>
              <w:t>4</w:t>
            </w:r>
            <w:r w:rsidRPr="00AD2CF5">
              <w:rPr>
                <w:b/>
              </w:rPr>
              <w:fldChar w:fldCharType="end"/>
            </w:r>
            <w:r w:rsidRPr="00AD2CF5">
              <w:rPr>
                <w:b/>
              </w:rPr>
              <w:t>:</w:t>
            </w:r>
            <w:r w:rsidRPr="00AD2CF5">
              <w:t xml:space="preserve"> </w:t>
            </w:r>
            <w:r w:rsidRPr="00AD2CF5">
              <w:tab/>
              <w:t>Een windroossector</w:t>
            </w:r>
            <w:r w:rsidRPr="00AD2CF5">
              <w:fldChar w:fldCharType="begin"/>
            </w:r>
            <w:r w:rsidRPr="00AD2CF5">
              <w:instrText xml:space="preserve"> XE "windroossector" </w:instrText>
            </w:r>
            <w:r w:rsidRPr="00AD2CF5">
              <w:fldChar w:fldCharType="end"/>
            </w:r>
            <w:r w:rsidRPr="00AD2CF5">
              <w:t xml:space="preserve"> [</w:t>
            </w:r>
            <w:r w:rsidRPr="00AD2CF5">
              <w:rPr>
                <w:i/>
              </w:rPr>
              <w:sym w:font="Symbol" w:char="F063"/>
            </w:r>
            <w:r w:rsidRPr="00AD2CF5">
              <w:t xml:space="preserve">, </w:t>
            </w:r>
            <w:r w:rsidRPr="00AD2CF5">
              <w:rPr>
                <w:i/>
              </w:rPr>
              <w:sym w:font="Symbol" w:char="F07A"/>
            </w:r>
            <w:r w:rsidRPr="00AD2CF5">
              <w:t>] betekent dat alleen windrichtingen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i/>
              </w:rPr>
              <w:sym w:font="Symbol" w:char="F07A"/>
            </w:r>
            <w:r w:rsidRPr="00AD2CF5">
              <w:t xml:space="preserve"> </w:t>
            </w:r>
            <w:r w:rsidRPr="00AD2CF5">
              <w:sym w:font="Symbol" w:char="F0B1"/>
            </w:r>
            <w:r w:rsidRPr="00AD2CF5">
              <w:t xml:space="preserve"> </w:t>
            </w:r>
            <w:r w:rsidRPr="00AD2CF5">
              <w:rPr>
                <w:i/>
              </w:rPr>
              <w:sym w:font="Symbol" w:char="F063"/>
            </w:r>
            <w:r w:rsidRPr="00AD2CF5">
              <w:t>/2 relevant zijn (de groene sector in de figuur). Dit voorbeeld toont een wind</w:t>
            </w:r>
            <w:r w:rsidRPr="00AD2CF5">
              <w:softHyphen/>
              <w:t>roos</w:t>
            </w:r>
            <w:r w:rsidRPr="00AD2CF5">
              <w:softHyphen/>
              <w:t>sector</w:t>
            </w:r>
            <w:r w:rsidRPr="00AD2CF5">
              <w:fldChar w:fldCharType="begin"/>
            </w:r>
            <w:r w:rsidRPr="00AD2CF5">
              <w:instrText xml:space="preserve"> XE "windroossector" </w:instrText>
            </w:r>
            <w:r w:rsidRPr="00AD2CF5">
              <w:fldChar w:fldCharType="end"/>
            </w:r>
            <w:r w:rsidRPr="00AD2CF5">
              <w:t xml:space="preserve"> [90°, 270°], waarbij alleen windrichtingen tussen noordwest en zuidwest relevant zijn. De hoek </w:t>
            </w:r>
            <w:r w:rsidRPr="00AD2CF5">
              <w:rPr>
                <w:i/>
              </w:rPr>
              <w:sym w:font="Symbol" w:char="F071"/>
            </w:r>
            <w:r w:rsidRPr="00AD2CF5">
              <w:rPr>
                <w:i/>
              </w:rPr>
              <w:t>,</w:t>
            </w:r>
            <w:r w:rsidRPr="00AD2CF5">
              <w:t xml:space="preserve"> die de lijn van bron- naar rekenpunt maakt met het geografische noorden, is ook aangegeven.</w:t>
            </w:r>
          </w:p>
        </w:tc>
      </w:tr>
    </w:tbl>
    <w:p w:rsidR="00F43C9B" w:rsidRPr="00AD2CF5" w:rsidRDefault="00F43C9B" w:rsidP="00F43C9B">
      <w:pPr>
        <w:shd w:val="clear" w:color="auto" w:fill="D9D9D9" w:themeFill="background1" w:themeFillShade="D9"/>
      </w:pPr>
      <w:bookmarkStart w:id="564" w:name="_Toc428596311"/>
      <w:bookmarkStart w:id="565" w:name="_Toc431793361"/>
      <w:bookmarkEnd w:id="557"/>
      <w:r w:rsidRPr="00AD2CF5">
        <w:t>Indien de geluidvoortplantingsrichting niet gelijk is aan een veelvoud van 6° tussen 0° en 354° dan wordt bovenstaande procedure uitgevoerd voor de twee dichtstbijgelegen waarden voor de richting. Het uiteindelijk gewicht wordt vervolgens (vergelijkbaar zoals dit hiervoor is aangegeven) door lineaire interpolatie bepaald.</w:t>
      </w:r>
    </w:p>
    <w:p w:rsidR="00F43C9B" w:rsidRPr="00AD2CF5" w:rsidRDefault="00F43C9B" w:rsidP="00F43C9B">
      <w:pPr>
        <w:pStyle w:val="Kop2"/>
        <w:shd w:val="clear" w:color="auto" w:fill="D9D9D9" w:themeFill="background1" w:themeFillShade="D9"/>
        <w:spacing w:line="240" w:lineRule="auto"/>
      </w:pPr>
      <w:r w:rsidRPr="00AD2CF5">
        <w:rPr>
          <w:b w:val="0"/>
        </w:rPr>
        <w:br w:type="page"/>
      </w:r>
      <w:r w:rsidR="00C428B8">
        <w:fldChar w:fldCharType="begin"/>
      </w:r>
      <w:r w:rsidR="00C428B8">
        <w:instrText xml:space="preserve"> SEQ numchaplev1 \c \* MERGEFORMAT </w:instrText>
      </w:r>
      <w:r w:rsidR="00C428B8">
        <w:fldChar w:fldCharType="separate"/>
      </w:r>
      <w:bookmarkStart w:id="566" w:name="_Toc413945834"/>
      <w:bookmarkStart w:id="567" w:name="_Toc431375847"/>
      <w:r>
        <w:rPr>
          <w:noProof/>
        </w:rPr>
        <w:t>4</w:t>
      </w:r>
      <w:r w:rsidR="00C428B8">
        <w:rPr>
          <w:noProof/>
        </w:rPr>
        <w:fldChar w:fldCharType="end"/>
      </w:r>
      <w:r w:rsidRPr="00AD2CF5">
        <w:t>.</w:t>
      </w:r>
      <w:r w:rsidR="00C428B8">
        <w:fldChar w:fldCharType="begin"/>
      </w:r>
      <w:r w:rsidR="00C428B8">
        <w:instrText xml:space="preserve"> SEQ numchaplev2 \n \* MERGEFORMAT </w:instrText>
      </w:r>
      <w:r w:rsidR="00C428B8">
        <w:fldChar w:fldCharType="separate"/>
      </w:r>
      <w:r>
        <w:rPr>
          <w:noProof/>
        </w:rPr>
        <w:t>5</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Invoergrootheden rekenmethode</w:t>
      </w:r>
      <w:bookmarkEnd w:id="564"/>
      <w:bookmarkEnd w:id="565"/>
      <w:bookmarkEnd w:id="566"/>
      <w:bookmarkEnd w:id="567"/>
    </w:p>
    <w:p w:rsidR="00F43C9B" w:rsidRPr="00AD2CF5" w:rsidRDefault="00C428B8" w:rsidP="00F43C9B">
      <w:pPr>
        <w:pStyle w:val="Kop3"/>
        <w:shd w:val="clear" w:color="auto" w:fill="D9D9D9" w:themeFill="background1" w:themeFillShade="D9"/>
      </w:pPr>
      <w:r>
        <w:fldChar w:fldCharType="begin"/>
      </w:r>
      <w:r>
        <w:instrText xml:space="preserve"> SEQ numchaplev1 \c \* MERGEFORMAT </w:instrText>
      </w:r>
      <w:r>
        <w:fldChar w:fldCharType="separate"/>
      </w:r>
      <w:bookmarkStart w:id="568" w:name="_Toc413945835"/>
      <w:bookmarkStart w:id="569" w:name="_Toc431375848"/>
      <w:r w:rsidR="00F43C9B" w:rsidRPr="00B15E90">
        <w:rPr>
          <w:noProof/>
        </w:rPr>
        <w:t>4</w:t>
      </w:r>
      <w:r>
        <w:rPr>
          <w:noProof/>
        </w:rPr>
        <w:fldChar w:fldCharType="end"/>
      </w:r>
      <w:r w:rsidR="00F43C9B" w:rsidRPr="00AD2CF5">
        <w:t>.</w:t>
      </w:r>
      <w:r>
        <w:fldChar w:fldCharType="begin"/>
      </w:r>
      <w:r>
        <w:instrText xml:space="preserve"> SEQ numchaplev2 \c \* MERGEFORMAT </w:instrText>
      </w:r>
      <w:r>
        <w:fldChar w:fldCharType="separate"/>
      </w:r>
      <w:r w:rsidR="00F43C9B" w:rsidRPr="00B15E90">
        <w:rPr>
          <w:noProof/>
        </w:rPr>
        <w:t>5</w:t>
      </w:r>
      <w:r>
        <w:rPr>
          <w:noProof/>
        </w:rPr>
        <w:fldChar w:fldCharType="end"/>
      </w:r>
      <w:r w:rsidR="00F43C9B" w:rsidRPr="00AD2CF5">
        <w:t>.</w:t>
      </w:r>
      <w:r>
        <w:fldChar w:fldCharType="begin"/>
      </w:r>
      <w:r>
        <w:instrText xml:space="preserve"> SEQ numchaplev3 \n \* MERGEFORMAT </w:instrText>
      </w:r>
      <w:r>
        <w:fldChar w:fldCharType="separate"/>
      </w:r>
      <w:r w:rsidR="00F43C9B" w:rsidRPr="00B15E90">
        <w:rPr>
          <w:noProof/>
        </w:rPr>
        <w:t>1</w:t>
      </w:r>
      <w:r>
        <w:rPr>
          <w:noProof/>
        </w:rPr>
        <w:fldChar w:fldCharType="end"/>
      </w:r>
      <w:r w:rsidR="00F43C9B" w:rsidRPr="00AD2CF5">
        <w:fldChar w:fldCharType="begin"/>
      </w:r>
      <w:r w:rsidR="00F43C9B" w:rsidRPr="00AD2CF5">
        <w:instrText xml:space="preserve"> SEQ numchaplev4 \r0\h \* MERGEFORMAT </w:instrText>
      </w:r>
      <w:r w:rsidR="00F43C9B" w:rsidRPr="00AD2CF5">
        <w:fldChar w:fldCharType="end"/>
      </w:r>
      <w:r w:rsidR="00F43C9B" w:rsidRPr="00AD2CF5">
        <w:tab/>
        <w:t>Brongegevens</w:t>
      </w:r>
      <w:bookmarkEnd w:id="568"/>
      <w:bookmarkEnd w:id="569"/>
    </w:p>
    <w:p w:rsidR="00F43C9B" w:rsidRPr="00AD2CF5" w:rsidRDefault="00F43C9B" w:rsidP="00F43C9B">
      <w:pPr>
        <w:keepNext/>
        <w:keepLines/>
        <w:shd w:val="clear" w:color="auto" w:fill="D9D9D9" w:themeFill="background1" w:themeFillShade="D9"/>
        <w:tabs>
          <w:tab w:val="left" w:pos="-108"/>
          <w:tab w:val="left" w:pos="573"/>
          <w:tab w:val="left" w:pos="1309"/>
          <w:tab w:val="left" w:pos="2387"/>
        </w:tabs>
        <w:suppressAutoHyphens/>
        <w:spacing w:line="240" w:lineRule="auto"/>
        <w:rPr>
          <w:b/>
        </w:rPr>
      </w:pPr>
    </w:p>
    <w:p w:rsidR="00F43C9B" w:rsidRPr="00AD2CF5" w:rsidRDefault="00F43C9B" w:rsidP="00F43C9B">
      <w:pPr>
        <w:keepNext/>
        <w:keepLines/>
        <w:shd w:val="clear" w:color="auto" w:fill="D9D9D9" w:themeFill="background1" w:themeFillShade="D9"/>
        <w:tabs>
          <w:tab w:val="left" w:pos="-108"/>
          <w:tab w:val="left" w:pos="573"/>
          <w:tab w:val="left" w:pos="1309"/>
          <w:tab w:val="left" w:pos="2387"/>
        </w:tabs>
        <w:suppressAutoHyphens/>
        <w:spacing w:line="240" w:lineRule="auto"/>
      </w:pPr>
      <w:r w:rsidRPr="00AD2CF5">
        <w:rPr>
          <w:i/>
        </w:rPr>
        <w:t>Mondingsgeluid</w:t>
      </w:r>
      <w:r w:rsidRPr="00AD2CF5">
        <w:br/>
        <w:t>Voor de berekening van de geluidbelasting van het mondingsgeluid</w:t>
      </w:r>
      <w:r w:rsidRPr="00AD2CF5">
        <w:fldChar w:fldCharType="begin"/>
      </w:r>
      <w:r w:rsidRPr="00AD2CF5">
        <w:instrText xml:space="preserve"> XE "mondingsgeluid" </w:instrText>
      </w:r>
      <w:r w:rsidRPr="00AD2CF5">
        <w:fldChar w:fldCharType="end"/>
      </w:r>
      <w:r w:rsidRPr="00AD2CF5">
        <w:t xml:space="preserve"> moeten van elke wapen-munitiecombinatie de volgende geometrische parameters bekend zijn:</w:t>
      </w:r>
    </w:p>
    <w:p w:rsidR="00F43C9B" w:rsidRPr="00AD2CF5" w:rsidRDefault="00F43C9B" w:rsidP="00EB7F6B">
      <w:pPr>
        <w:keepLines/>
        <w:numPr>
          <w:ilvl w:val="0"/>
          <w:numId w:val="10"/>
        </w:numPr>
        <w:shd w:val="clear" w:color="auto" w:fill="D9D9D9" w:themeFill="background1" w:themeFillShade="D9"/>
        <w:tabs>
          <w:tab w:val="clear" w:pos="360"/>
          <w:tab w:val="left" w:pos="284"/>
          <w:tab w:val="left" w:pos="1418"/>
        </w:tabs>
        <w:suppressAutoHyphens/>
        <w:spacing w:line="240" w:lineRule="auto"/>
        <w:ind w:left="1418" w:hanging="1418"/>
      </w:pPr>
      <w:r w:rsidRPr="00AD2CF5">
        <w:t>(</w:t>
      </w:r>
      <w:r w:rsidRPr="00AD2CF5">
        <w:rPr>
          <w:i/>
        </w:rPr>
        <w:t>x</w:t>
      </w:r>
      <w:r w:rsidRPr="00AD2CF5">
        <w:rPr>
          <w:i/>
          <w:vertAlign w:val="subscript"/>
        </w:rPr>
        <w:t>s</w:t>
      </w:r>
      <w:r w:rsidRPr="00AD2CF5">
        <w:rPr>
          <w:i/>
        </w:rPr>
        <w:t>,y</w:t>
      </w:r>
      <w:r w:rsidRPr="00AD2CF5">
        <w:rPr>
          <w:i/>
          <w:vertAlign w:val="subscript"/>
        </w:rPr>
        <w:t>s</w:t>
      </w:r>
      <w:r w:rsidRPr="00AD2CF5">
        <w:rPr>
          <w:i/>
        </w:rPr>
        <w:t>,h</w:t>
      </w:r>
      <w:r w:rsidRPr="00AD2CF5">
        <w:rPr>
          <w:i/>
          <w:vertAlign w:val="subscript"/>
        </w:rPr>
        <w:t>wapen</w:t>
      </w:r>
      <w:r w:rsidRPr="00AD2CF5">
        <w:t>)</w:t>
      </w:r>
      <w:r w:rsidRPr="00AD2CF5">
        <w:tab/>
        <w:t xml:space="preserve">wapenpositie, waarbij </w:t>
      </w:r>
      <w:r w:rsidRPr="00AD2CF5">
        <w:rPr>
          <w:i/>
        </w:rPr>
        <w:t>h</w:t>
      </w:r>
      <w:r w:rsidRPr="00AD2CF5">
        <w:rPr>
          <w:i/>
          <w:vertAlign w:val="subscript"/>
        </w:rPr>
        <w:t>wapen</w:t>
      </w:r>
      <w:r w:rsidRPr="00AD2CF5">
        <w:t xml:space="preserve"> de hoogte van het wapen is ten opzichte van het plaatselijke maaiveld;</w:t>
      </w:r>
    </w:p>
    <w:p w:rsidR="00F43C9B" w:rsidRPr="00AD2CF5" w:rsidRDefault="00F43C9B" w:rsidP="00EB7F6B">
      <w:pPr>
        <w:keepLines/>
        <w:numPr>
          <w:ilvl w:val="0"/>
          <w:numId w:val="3"/>
        </w:numPr>
        <w:shd w:val="clear" w:color="auto" w:fill="D9D9D9" w:themeFill="background1" w:themeFillShade="D9"/>
        <w:suppressAutoHyphens/>
        <w:spacing w:line="240" w:lineRule="auto"/>
      </w:pPr>
      <w:r w:rsidRPr="00AD2CF5">
        <w:rPr>
          <w:rFonts w:ascii="Symbol" w:hAnsi="Symbol"/>
          <w:i/>
        </w:rPr>
        <w:t></w:t>
      </w:r>
      <w:r w:rsidRPr="00AD2CF5">
        <w:rPr>
          <w:i/>
          <w:vertAlign w:val="subscript"/>
        </w:rPr>
        <w:t>e</w:t>
      </w:r>
      <w:r w:rsidRPr="00AD2CF5">
        <w:tab/>
      </w:r>
      <w:r w:rsidRPr="00AD2CF5">
        <w:tab/>
        <w:t>elevatie</w:t>
      </w:r>
      <w:r w:rsidRPr="00AD2CF5">
        <w:fldChar w:fldCharType="begin"/>
      </w:r>
      <w:r w:rsidRPr="00AD2CF5">
        <w:instrText xml:space="preserve"> XE "elevatie" </w:instrText>
      </w:r>
      <w:r w:rsidRPr="00AD2CF5">
        <w:fldChar w:fldCharType="end"/>
      </w:r>
      <w:r w:rsidRPr="00AD2CF5">
        <w:t xml:space="preserve"> van wapen;</w:t>
      </w:r>
    </w:p>
    <w:p w:rsidR="00F43C9B" w:rsidRPr="00AD2CF5" w:rsidRDefault="00F43C9B" w:rsidP="00EB7F6B">
      <w:pPr>
        <w:numPr>
          <w:ilvl w:val="0"/>
          <w:numId w:val="3"/>
        </w:numPr>
        <w:shd w:val="clear" w:color="auto" w:fill="D9D9D9" w:themeFill="background1" w:themeFillShade="D9"/>
        <w:suppressAutoHyphens/>
        <w:spacing w:line="240" w:lineRule="auto"/>
      </w:pPr>
      <w:r w:rsidRPr="00AD2CF5">
        <w:rPr>
          <w:rFonts w:ascii="Symbol" w:hAnsi="Symbol"/>
          <w:i/>
        </w:rPr>
        <w:t></w:t>
      </w:r>
      <w:r w:rsidRPr="00AD2CF5">
        <w:tab/>
      </w:r>
      <w:r w:rsidRPr="00AD2CF5">
        <w:tab/>
        <w:t>schietrichting</w:t>
      </w:r>
      <w:r w:rsidRPr="00AD2CF5">
        <w:fldChar w:fldCharType="begin"/>
      </w:r>
      <w:r w:rsidRPr="00AD2CF5">
        <w:instrText xml:space="preserve"> XE "schietrichting" </w:instrText>
      </w:r>
      <w:r w:rsidRPr="00AD2CF5">
        <w:fldChar w:fldCharType="end"/>
      </w:r>
      <w:r w:rsidRPr="00AD2CF5">
        <w:t xml:space="preserve"> t.o.v. het noorden in het horizontale vlak.</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rPr>
          <w:iCs/>
        </w:rPr>
      </w:pPr>
      <w:r w:rsidRPr="00AD2CF5">
        <w:t>De bronnen van het mondingsgeluid</w:t>
      </w:r>
      <w:r w:rsidRPr="00AD2CF5">
        <w:fldChar w:fldCharType="begin"/>
      </w:r>
      <w:r w:rsidRPr="00AD2CF5">
        <w:instrText xml:space="preserve"> XE "mondingsgeluid" </w:instrText>
      </w:r>
      <w:r w:rsidRPr="00AD2CF5">
        <w:fldChar w:fldCharType="end"/>
      </w:r>
      <w:r w:rsidRPr="00AD2CF5">
        <w:t xml:space="preserve"> worden gerepresenteerd als puntbronnen. De positie van de puntbron</w:t>
      </w:r>
      <w:r w:rsidRPr="00AD2CF5">
        <w:fldChar w:fldCharType="begin"/>
      </w:r>
      <w:r w:rsidRPr="00AD2CF5">
        <w:instrText xml:space="preserve"> XE "puntbron" </w:instrText>
      </w:r>
      <w:r w:rsidRPr="00AD2CF5">
        <w:fldChar w:fldCharType="end"/>
      </w:r>
      <w:r w:rsidRPr="00AD2CF5">
        <w:t xml:space="preserve"> ligt voor lichte wapens aan het uiteinde van de loop, voor zwaardere wapens ligt dit punt op enige afstand van de vuurmond in het verlengde van de loop. In het gegevensbestand</w:t>
      </w:r>
      <w:r w:rsidRPr="00AD2CF5">
        <w:fldChar w:fldCharType="begin"/>
      </w:r>
      <w:r w:rsidRPr="00AD2CF5">
        <w:instrText xml:space="preserve"> XE "gegevensbestand" </w:instrText>
      </w:r>
      <w:r w:rsidRPr="00AD2CF5">
        <w:fldChar w:fldCharType="end"/>
      </w:r>
      <w:r w:rsidRPr="00AD2CF5">
        <w:t xml:space="preserve"> van bronnen is hiermee rekening gehouden door de looplengte te definiëren als de afstand van het draaipunt tot aan het bronpunt. De bronpositie kan zo met behulp van eenvoudige geometrische formules uit bovenstaande gegevens berekend worden (zie formule 4.4).</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i/>
        </w:rPr>
        <w:t>Militaire oefenterreinen</w:t>
      </w:r>
      <w:r w:rsidRPr="00AD2CF5">
        <w:rPr>
          <w:i/>
        </w:rPr>
        <w:fldChar w:fldCharType="begin"/>
      </w:r>
      <w:r w:rsidRPr="00AD2CF5">
        <w:rPr>
          <w:i/>
        </w:rPr>
        <w:instrText xml:space="preserve"> XE "</w:instrText>
      </w:r>
      <w:r w:rsidRPr="00AD2CF5">
        <w:instrText>schietinrichtingen:oefenterreinen"</w:instrText>
      </w:r>
      <w:r w:rsidRPr="00AD2CF5">
        <w:rPr>
          <w:i/>
        </w:rPr>
        <w:instrText xml:space="preserve"> </w:instrText>
      </w:r>
      <w:r w:rsidRPr="00AD2CF5">
        <w:rPr>
          <w:i/>
        </w:rPr>
        <w:fldChar w:fldCharType="end"/>
      </w:r>
      <w:r w:rsidRPr="00AD2CF5">
        <w:br/>
        <w:t>Bij militaire oefenterreinen</w:t>
      </w:r>
      <w:r w:rsidRPr="00AD2CF5">
        <w:fldChar w:fldCharType="begin"/>
      </w:r>
      <w:r w:rsidRPr="00AD2CF5">
        <w:instrText xml:space="preserve"> XE "schietinrichtingen:oefenterreinen" </w:instrText>
      </w:r>
      <w:r w:rsidRPr="00AD2CF5">
        <w:fldChar w:fldCharType="end"/>
      </w:r>
      <w:r w:rsidRPr="00AD2CF5">
        <w:t xml:space="preserve"> zijn de exacte bronposities vaak onbekend. Wel kan een gebied aangegeven worden waar mogelijk geschoten wordt. Voor de model</w:t>
      </w:r>
      <w:r w:rsidRPr="00AD2CF5">
        <w:softHyphen/>
        <w:t>lering van een oefenterrein worden daarom gebieden geselecteerd waarbinnen aangenomen kan worden dat de kans dat op een mogelijke positie geschoten wordt uniform over dit gebied verdeeld is en waarbij elke schietrichting</w:t>
      </w:r>
      <w:r w:rsidRPr="00AD2CF5">
        <w:fldChar w:fldCharType="begin"/>
      </w:r>
      <w:r w:rsidRPr="00AD2CF5">
        <w:instrText xml:space="preserve"> XE "schietrichting" </w:instrText>
      </w:r>
      <w:r w:rsidRPr="00AD2CF5">
        <w:fldChar w:fldCharType="end"/>
      </w:r>
      <w:r w:rsidRPr="00AD2CF5">
        <w:t xml:space="preserve"> even waar</w:t>
      </w:r>
      <w:r w:rsidRPr="00AD2CF5">
        <w:softHyphen/>
        <w:t>schijn</w:t>
      </w:r>
      <w:r w:rsidRPr="00AD2CF5">
        <w:softHyphen/>
        <w:t>lijk is. Er is hierbij vanuit gegaan dat alleen met losse patronen wordt geschoten. Indien niet aan deze voorwaarden wordt voldaan, zal van de exacte bronpositie uit moeten worden gegaan.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Voor de modellering van een oefenterrein verdient het aanbeveling van een referentie-oefening uit te gaan. De volgende benaderingen zijn daarbij gebruikelijk om de geluidbelasting door schie</w:t>
      </w:r>
      <w:r w:rsidRPr="00AD2CF5">
        <w:softHyphen/>
        <w:t>ten en knallen te beschrijven:</w:t>
      </w:r>
    </w:p>
    <w:p w:rsidR="00F43C9B" w:rsidRPr="00AD2CF5" w:rsidRDefault="00F43C9B" w:rsidP="00F43C9B">
      <w:pPr>
        <w:shd w:val="clear" w:color="auto" w:fill="D9D9D9" w:themeFill="background1" w:themeFillShade="D9"/>
        <w:tabs>
          <w:tab w:val="left" w:pos="-108"/>
          <w:tab w:val="left" w:pos="1309"/>
          <w:tab w:val="left" w:pos="2387"/>
        </w:tabs>
        <w:suppressAutoHyphens/>
        <w:spacing w:line="240" w:lineRule="auto"/>
        <w:ind w:left="284" w:hanging="284"/>
      </w:pPr>
      <w:r w:rsidRPr="00AD2CF5">
        <w:t>1.</w:t>
      </w:r>
      <w:r w:rsidRPr="00AD2CF5">
        <w:tab/>
        <w:t>Er wordt een referentieoefening gedefinieerd. Deze bestaat uit diver</w:t>
      </w:r>
      <w:r w:rsidRPr="00AD2CF5">
        <w:softHyphen/>
        <w:t>se oefensituaties die aan een gebied worden gekoppeld. Bijvoorbeeld: "Patrouille zuivert bosgebied in dagperiode".</w:t>
      </w:r>
    </w:p>
    <w:p w:rsidR="00F43C9B" w:rsidRPr="00AD2CF5" w:rsidRDefault="00F43C9B" w:rsidP="00F43C9B">
      <w:pPr>
        <w:shd w:val="clear" w:color="auto" w:fill="D9D9D9" w:themeFill="background1" w:themeFillShade="D9"/>
        <w:tabs>
          <w:tab w:val="left" w:pos="-108"/>
          <w:tab w:val="left" w:pos="1309"/>
          <w:tab w:val="left" w:pos="2387"/>
        </w:tabs>
        <w:suppressAutoHyphens/>
        <w:spacing w:line="240" w:lineRule="auto"/>
        <w:ind w:left="284" w:hanging="284"/>
      </w:pPr>
      <w:r w:rsidRPr="00AD2CF5">
        <w:t>2.</w:t>
      </w:r>
      <w:r w:rsidRPr="00AD2CF5">
        <w:tab/>
        <w:t>Het aantal knallen per munitiesoort en wapentype wordt uniform verdeeld ge</w:t>
      </w:r>
      <w:r w:rsidRPr="00AD2CF5">
        <w:softHyphen/>
        <w:t>dacht over de diverse gebieden waarin deze oefening voorkomt, tenzij uitdrukke</w:t>
      </w:r>
      <w:r w:rsidRPr="00AD2CF5">
        <w:softHyphen/>
        <w:t>lijk anders aangegeven.</w:t>
      </w:r>
    </w:p>
    <w:p w:rsidR="00F43C9B" w:rsidRPr="00AD2CF5" w:rsidRDefault="00F43C9B" w:rsidP="00F43C9B">
      <w:pPr>
        <w:shd w:val="clear" w:color="auto" w:fill="D9D9D9" w:themeFill="background1" w:themeFillShade="D9"/>
        <w:tabs>
          <w:tab w:val="left" w:pos="-108"/>
          <w:tab w:val="left" w:pos="1309"/>
          <w:tab w:val="left" w:pos="2387"/>
        </w:tabs>
        <w:suppressAutoHyphens/>
        <w:spacing w:line="240" w:lineRule="auto"/>
        <w:ind w:left="284" w:hanging="284"/>
      </w:pPr>
      <w:r w:rsidRPr="00AD2CF5">
        <w:t>3.</w:t>
      </w:r>
      <w:r w:rsidRPr="00AD2CF5">
        <w:tab/>
        <w:t>Indien niet uitdrukkelijk anders wordt aangegeven, wordt uitgegaan van de ener</w:t>
      </w:r>
      <w:r w:rsidRPr="00AD2CF5">
        <w:softHyphen/>
        <w:t>getisch gemiddelde bronsterkte per wapentype over alle (horizontale) rich</w:t>
      </w:r>
      <w:r w:rsidRPr="00AD2CF5">
        <w:softHyphen/>
        <w:t>tin</w:t>
      </w:r>
      <w:r w:rsidRPr="00AD2CF5">
        <w:softHyphen/>
        <w:t>gen (zie formule 4.6). In het bijzonder geldt dit voor gevallen waarin een aanvallende en verdedi</w:t>
      </w:r>
      <w:r w:rsidRPr="00AD2CF5">
        <w:softHyphen/>
        <w:t>gen</w:t>
      </w:r>
      <w:r w:rsidRPr="00AD2CF5">
        <w:softHyphen/>
        <w:t>de partij is.</w:t>
      </w:r>
    </w:p>
    <w:p w:rsidR="00F43C9B" w:rsidRPr="00AD2CF5" w:rsidRDefault="00F43C9B" w:rsidP="00F43C9B">
      <w:pPr>
        <w:shd w:val="clear" w:color="auto" w:fill="D9D9D9" w:themeFill="background1" w:themeFillShade="D9"/>
        <w:tabs>
          <w:tab w:val="left" w:pos="-108"/>
          <w:tab w:val="left" w:pos="1309"/>
          <w:tab w:val="left" w:pos="2387"/>
        </w:tabs>
        <w:suppressAutoHyphens/>
        <w:spacing w:line="240" w:lineRule="auto"/>
        <w:ind w:left="284" w:hanging="284"/>
      </w:pPr>
      <w:r w:rsidRPr="00AD2CF5">
        <w:t>4.</w:t>
      </w:r>
      <w:r w:rsidRPr="00AD2CF5">
        <w:tab/>
        <w:t>In § 4.6.1 is aangegeven hoe de gebieden moeten wor</w:t>
      </w:r>
      <w:r w:rsidRPr="00AD2CF5">
        <w:softHyphen/>
        <w:t>den opgedeeld ten behoeve van de overdrachtsberekening.</w:t>
      </w:r>
    </w:p>
    <w:p w:rsidR="00F43C9B" w:rsidRDefault="00F43C9B" w:rsidP="00F43C9B">
      <w:pPr>
        <w:shd w:val="clear" w:color="auto" w:fill="D9D9D9" w:themeFill="background1" w:themeFillShade="D9"/>
        <w:tabs>
          <w:tab w:val="left" w:pos="-108"/>
          <w:tab w:val="left" w:pos="1309"/>
          <w:tab w:val="left" w:pos="2387"/>
        </w:tabs>
        <w:suppressAutoHyphens/>
        <w:spacing w:line="240" w:lineRule="auto"/>
        <w:ind w:left="284" w:hanging="284"/>
      </w:pPr>
      <w:r w:rsidRPr="00AD2CF5">
        <w:t>5.</w:t>
      </w:r>
      <w:r w:rsidRPr="00AD2CF5">
        <w:tab/>
        <w:t>Omdat er met losse patronen of simulatoren</w:t>
      </w:r>
      <w:r w:rsidRPr="00AD2CF5">
        <w:fldChar w:fldCharType="begin"/>
      </w:r>
      <w:r w:rsidRPr="00AD2CF5">
        <w:instrText xml:space="preserve"> XE "simulatoren" </w:instrText>
      </w:r>
      <w:r w:rsidRPr="00AD2CF5">
        <w:fldChar w:fldCharType="end"/>
      </w:r>
      <w:r w:rsidRPr="00AD2CF5">
        <w:t xml:space="preserve"> wordt geoefend, speelt kogelgeluid</w:t>
      </w:r>
      <w:r w:rsidRPr="00AD2CF5">
        <w:fldChar w:fldCharType="begin"/>
      </w:r>
      <w:r w:rsidRPr="00AD2CF5">
        <w:instrText xml:space="preserve"> XE "kogelgeluid" </w:instrText>
      </w:r>
      <w:r w:rsidRPr="00AD2CF5">
        <w:fldChar w:fldCharType="end"/>
      </w:r>
      <w:r w:rsidRPr="00AD2CF5">
        <w:t xml:space="preserve"> geen rol.</w:t>
      </w:r>
    </w:p>
    <w:p w:rsidR="00F43C9B" w:rsidRPr="00AD2CF5" w:rsidRDefault="00F43C9B" w:rsidP="00F43C9B">
      <w:pPr>
        <w:shd w:val="clear" w:color="auto" w:fill="D9D9D9" w:themeFill="background1" w:themeFillShade="D9"/>
        <w:tabs>
          <w:tab w:val="left" w:pos="-108"/>
          <w:tab w:val="left" w:pos="1309"/>
          <w:tab w:val="left" w:pos="2387"/>
        </w:tabs>
        <w:suppressAutoHyphens/>
        <w:spacing w:line="240" w:lineRule="auto"/>
      </w:pPr>
      <w:r w:rsidRPr="00AD2CF5">
        <w:rPr>
          <w:i/>
        </w:rPr>
        <w:t>Kogelgeluid</w:t>
      </w:r>
      <w:r w:rsidRPr="00AD2CF5">
        <w:br/>
        <w:t>Uit het bronnenbestand kan gelezen worden of voor een wapen-munitie</w:t>
      </w:r>
      <w:r w:rsidRPr="00AD2CF5">
        <w:softHyphen/>
        <w:t>combi</w:t>
      </w:r>
      <w:r w:rsidRPr="00AD2CF5">
        <w:softHyphen/>
        <w:t>natie de startsnelheid van het te verschieten projectiel supersoon</w:t>
      </w:r>
      <w:r w:rsidRPr="00AD2CF5">
        <w:fldChar w:fldCharType="begin"/>
      </w:r>
      <w:r w:rsidRPr="00AD2CF5">
        <w:instrText xml:space="preserve"> XE "supersoon" </w:instrText>
      </w:r>
      <w:r w:rsidRPr="00AD2CF5">
        <w:fldChar w:fldCharType="end"/>
      </w:r>
      <w:r w:rsidRPr="00AD2CF5">
        <w:t xml:space="preserve"> is. In dit geval kan kogelgeluid</w:t>
      </w:r>
      <w:r w:rsidRPr="00AD2CF5">
        <w:fldChar w:fldCharType="begin"/>
      </w:r>
      <w:r w:rsidRPr="00AD2CF5">
        <w:instrText xml:space="preserve"> XE "kogelgeluid" </w:instrText>
      </w:r>
      <w:r w:rsidRPr="00AD2CF5">
        <w:fldChar w:fldCharType="end"/>
      </w:r>
      <w:r w:rsidRPr="00AD2CF5">
        <w:t xml:space="preserve"> van belang zijn. Voor lichte wapentypen</w:t>
      </w:r>
      <w:r w:rsidRPr="00AD2CF5">
        <w:fldChar w:fldCharType="begin"/>
      </w:r>
      <w:r w:rsidRPr="00AD2CF5">
        <w:instrText xml:space="preserve"> XE "wapentypen" </w:instrText>
      </w:r>
      <w:r w:rsidRPr="00AD2CF5">
        <w:fldChar w:fldCharType="end"/>
      </w:r>
      <w:r w:rsidRPr="00AD2CF5">
        <w:t xml:space="preserve"> wordt er voor de berekening vanuit gegaan dat de kogelbaan</w:t>
      </w:r>
      <w:r w:rsidRPr="00AD2CF5">
        <w:fldChar w:fldCharType="begin"/>
      </w:r>
      <w:r w:rsidRPr="00AD2CF5">
        <w:instrText xml:space="preserve"> XE "kogelbaan" </w:instrText>
      </w:r>
      <w:r w:rsidRPr="00AD2CF5">
        <w:fldChar w:fldCharType="end"/>
      </w:r>
      <w:r w:rsidRPr="00AD2CF5">
        <w:t xml:space="preserve"> evenwijdig aan de bodem loopt. De elevatie</w:t>
      </w:r>
      <w:r w:rsidRPr="00AD2CF5">
        <w:fldChar w:fldCharType="begin"/>
      </w:r>
      <w:r w:rsidRPr="00AD2CF5">
        <w:instrText xml:space="preserve"> XE "elevatie" </w:instrText>
      </w:r>
      <w:r w:rsidRPr="00AD2CF5">
        <w:fldChar w:fldCharType="end"/>
      </w:r>
      <w:r w:rsidRPr="00AD2CF5">
        <w:t xml:space="preserve"> is voor deze wapentypen dus 0º.</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Kogelgeluid van de zwaardere wapentypen</w:t>
      </w:r>
      <w:r w:rsidRPr="00AD2CF5">
        <w:fldChar w:fldCharType="begin"/>
      </w:r>
      <w:r w:rsidRPr="00AD2CF5">
        <w:instrText xml:space="preserve"> XE "wapentypen" </w:instrText>
      </w:r>
      <w:r w:rsidRPr="00AD2CF5">
        <w:fldChar w:fldCharType="end"/>
      </w:r>
      <w:r w:rsidRPr="00AD2CF5">
        <w:t xml:space="preserve"> waarvan het projectiel een kromme baan beschrijft (het zogenaamde krombaangeschut; Houwitser en mortier) moet op een andere wijze worden berekend. Voor de berekening van het kogelgeluid</w:t>
      </w:r>
      <w:r w:rsidRPr="00AD2CF5">
        <w:fldChar w:fldCharType="begin"/>
      </w:r>
      <w:r w:rsidRPr="00AD2CF5">
        <w:instrText xml:space="preserve"> XE "kogelgeluid" </w:instrText>
      </w:r>
      <w:r w:rsidRPr="00AD2CF5">
        <w:fldChar w:fldCharType="end"/>
      </w:r>
      <w:r w:rsidRPr="00AD2CF5">
        <w:t xml:space="preserve"> dient dan rekening te worden gehouden met de sterk variërende hoogte van de kogel.</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Voor banen waarvan gebruik gemaakt wordt van een vervangende puntbron, zie hieronder, wordt de bijdrage van zowel mondingsgeluid als kogelgeluid verdisconteerd. Kogelgeluid wordt dan niet apart berekend.</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Bij hagelgeweren wordt eventueel kogelgeluid verdisconteerd in de bronsterkte van het mondingsgeluid.</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i/>
        </w:rPr>
        <w:t>Detonatiegeluid</w:t>
      </w:r>
      <w:r w:rsidRPr="00AD2CF5">
        <w:rPr>
          <w:i/>
        </w:rPr>
        <w:br/>
      </w:r>
      <w:r w:rsidRPr="00AD2CF5">
        <w:t>Ook het detonatiegeluid wordt in de rekenmethode als een puntbron</w:t>
      </w:r>
      <w:r w:rsidRPr="00AD2CF5">
        <w:fldChar w:fldCharType="begin"/>
      </w:r>
      <w:r w:rsidRPr="00AD2CF5">
        <w:instrText xml:space="preserve"> XE "puntbron" </w:instrText>
      </w:r>
      <w:r w:rsidRPr="00AD2CF5">
        <w:fldChar w:fldCharType="end"/>
      </w:r>
      <w:r w:rsidRPr="00AD2CF5">
        <w:t xml:space="preserve"> gekarak</w:t>
      </w:r>
      <w:r w:rsidRPr="00AD2CF5">
        <w:softHyphen/>
        <w:t>te</w:t>
      </w:r>
      <w:r w:rsidRPr="00AD2CF5">
        <w:softHyphen/>
        <w:t>riseerd. De hoogte van deze puntbron is afhankelijk van de hoogte van detonatie</w:t>
      </w:r>
      <w:r w:rsidRPr="00AD2CF5">
        <w:fldChar w:fldCharType="begin"/>
      </w:r>
      <w:r w:rsidRPr="00AD2CF5">
        <w:instrText xml:space="preserve"> XE "detonatie" </w:instrText>
      </w:r>
      <w:r w:rsidRPr="00AD2CF5">
        <w:fldChar w:fldCharType="end"/>
      </w:r>
      <w:r w:rsidRPr="00AD2CF5">
        <w:t>. Bij een brisantgranaat is het moment (en dus de hoogte) van detonatie afhankelijk van het type ontstekingsbuis dat op een granaat is aangebracht. Dit kan variëren van 10 m hoogte tot in de grond. Indien de detonatie in of op de grond plaatsvindt, wordt voor de berekening een hoogte van 0,5 m+ maaiveld aange</w:t>
      </w:r>
      <w:r w:rsidRPr="00AD2CF5">
        <w:softHyphen/>
        <w:t>hou</w:t>
      </w:r>
      <w:r w:rsidRPr="00AD2CF5">
        <w:softHyphen/>
        <w:t>den.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i/>
        </w:rPr>
        <w:t>Schietbanen (zoals bijvoorbeeld schermenschietbanen)</w:t>
      </w:r>
      <w:r w:rsidRPr="00AD2CF5">
        <w:br/>
        <w:t>In die gevallen waarbij het wapen op korte afstand deels of geheel omsloten is door afschermende en/of reflecterende objecten, kan in principe niet van bron</w:t>
      </w:r>
      <w:r w:rsidRPr="00AD2CF5">
        <w:softHyphen/>
        <w:t>gegevens worden uitgegaan, die voor het vrije veld zijn bepaald. Het geluid</w:t>
      </w:r>
      <w:r w:rsidRPr="00AD2CF5">
        <w:softHyphen/>
        <w:t>veld rond de bron is dermate complex dat het gebruik van reken</w:t>
      </w:r>
      <w:r w:rsidRPr="00AD2CF5">
        <w:softHyphen/>
        <w:t>model</w:t>
      </w:r>
      <w:r w:rsidRPr="00AD2CF5">
        <w:softHyphen/>
        <w:t>len, die vanaf de bron rekenen, beperkt mogelijk is. Voor deze gevallen wordt de situatie van de bron met de omringende afschermende en/of reflec</w:t>
      </w:r>
      <w:r w:rsidRPr="00AD2CF5">
        <w:softHyphen/>
        <w:t>terende objecten gemodelleerd door één of meer vervangende punt</w:t>
      </w:r>
      <w:r w:rsidRPr="00AD2CF5">
        <w:softHyphen/>
        <w:t>bron</w:t>
      </w:r>
      <w:r w:rsidRPr="00AD2CF5">
        <w:softHyphen/>
        <w:t>nen. De bron</w:t>
      </w:r>
      <w:r w:rsidRPr="00AD2CF5">
        <w:softHyphen/>
        <w:t>sterkte van deze vervangende puntbron(nen)</w:t>
      </w:r>
      <w:r w:rsidRPr="00AD2CF5">
        <w:fldChar w:fldCharType="begin"/>
      </w:r>
      <w:r w:rsidRPr="00AD2CF5">
        <w:instrText xml:space="preserve"> XE "puntbron" </w:instrText>
      </w:r>
      <w:r w:rsidRPr="00AD2CF5">
        <w:fldChar w:fldCharType="end"/>
      </w:r>
      <w:r w:rsidRPr="00AD2CF5">
        <w:t xml:space="preserve"> zal door middel van metingen moeten worden vastgesteld. In het rapport “Toelichting op toepassing van methoden voor meten en rekenen aan schietgeluid” (TNO 2014 R10135) wordt een beschrijving van de meetmethode gegeven. Indien geen meetgegevens voorhanden zijn of te verkrijgen zijn, wordt in dit rapport ook een conservatieve inschatting gegeven voor een vervangende puntbron op basis van de vrije-veld bronsterkte. In sommige gevallen kan het gewenst zijn dat de bron</w:t>
      </w:r>
      <w:r w:rsidRPr="00AD2CF5">
        <w:softHyphen/>
        <w:t>sterkte van dergelijke schietbanen door middel van berekeningen wordt vastgesteld, bij</w:t>
      </w:r>
      <w:r w:rsidRPr="00AD2CF5">
        <w:softHyphen/>
        <w:t>voor</w:t>
      </w:r>
      <w:r w:rsidRPr="00AD2CF5">
        <w:softHyphen/>
        <w:t>beeld voor nog niet bestaande schietbanen. Per situatie moet een reken</w:t>
      </w:r>
      <w:r w:rsidRPr="00AD2CF5">
        <w:softHyphen/>
        <w:t>model op zijn geschiktheid worden beoordeeld, een algemeen toepasbaar model is vooralsnog niet te geven.</w:t>
      </w:r>
    </w:p>
    <w:p w:rsidR="00F43C9B"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Voor de modellering van een schietbaan (zoals bijvoorbeeld een kleiduiven</w:t>
      </w:r>
      <w:r w:rsidRPr="00AD2CF5">
        <w:softHyphen/>
        <w:t>schietbaan) verdient het aanbeveling van een standaard gebruiksituatie uit te gaan. In het eerder genoemde rapport (TNO 2014 R10135) wordt voor een aantal type banen aangegeven hoe deze gemodelleerd dienen te worden om de geluidbelasting te berekenen.</w:t>
      </w:r>
    </w:p>
    <w:p w:rsidR="00F43C9B" w:rsidRPr="00AD2CF5" w:rsidRDefault="00C428B8" w:rsidP="00F43C9B">
      <w:pPr>
        <w:pStyle w:val="Kop3"/>
        <w:shd w:val="clear" w:color="auto" w:fill="D9D9D9" w:themeFill="background1" w:themeFillShade="D9"/>
      </w:pPr>
      <w:r>
        <w:fldChar w:fldCharType="begin"/>
      </w:r>
      <w:r>
        <w:instrText xml:space="preserve"> SEQ numchaplev1 \c \* MERGEFORMAT </w:instrText>
      </w:r>
      <w:r>
        <w:fldChar w:fldCharType="separate"/>
      </w:r>
      <w:bookmarkStart w:id="570" w:name="_Toc413945836"/>
      <w:bookmarkStart w:id="571" w:name="_Toc431375849"/>
      <w:r w:rsidR="00F43C9B" w:rsidRPr="00B15E90">
        <w:rPr>
          <w:noProof/>
        </w:rPr>
        <w:t>4</w:t>
      </w:r>
      <w:r>
        <w:rPr>
          <w:noProof/>
        </w:rPr>
        <w:fldChar w:fldCharType="end"/>
      </w:r>
      <w:r w:rsidR="00F43C9B" w:rsidRPr="00AD2CF5">
        <w:t>.</w:t>
      </w:r>
      <w:r>
        <w:fldChar w:fldCharType="begin"/>
      </w:r>
      <w:r>
        <w:instrText xml:space="preserve"> SEQ numchaplev2 \c \* MERGEFORMAT </w:instrText>
      </w:r>
      <w:r>
        <w:fldChar w:fldCharType="separate"/>
      </w:r>
      <w:r w:rsidR="00F43C9B" w:rsidRPr="00B15E90">
        <w:rPr>
          <w:noProof/>
        </w:rPr>
        <w:t>5</w:t>
      </w:r>
      <w:r>
        <w:rPr>
          <w:noProof/>
        </w:rPr>
        <w:fldChar w:fldCharType="end"/>
      </w:r>
      <w:r w:rsidR="00F43C9B" w:rsidRPr="00AD2CF5">
        <w:t>.</w:t>
      </w:r>
      <w:r>
        <w:fldChar w:fldCharType="begin"/>
      </w:r>
      <w:r>
        <w:instrText xml:space="preserve"> SEQ numchaplev3 \n \* MERGEFORMAT </w:instrText>
      </w:r>
      <w:r>
        <w:fldChar w:fldCharType="separate"/>
      </w:r>
      <w:r w:rsidR="00F43C9B" w:rsidRPr="00B15E90">
        <w:rPr>
          <w:noProof/>
        </w:rPr>
        <w:t>2</w:t>
      </w:r>
      <w:r>
        <w:rPr>
          <w:noProof/>
        </w:rPr>
        <w:fldChar w:fldCharType="end"/>
      </w:r>
      <w:r w:rsidR="00F43C9B" w:rsidRPr="00AD2CF5">
        <w:fldChar w:fldCharType="begin"/>
      </w:r>
      <w:r w:rsidR="00F43C9B" w:rsidRPr="00AD2CF5">
        <w:instrText xml:space="preserve"> SEQ numchaplev4 \r0\h \* MERGEFORMAT </w:instrText>
      </w:r>
      <w:r w:rsidR="00F43C9B" w:rsidRPr="00AD2CF5">
        <w:fldChar w:fldCharType="end"/>
      </w:r>
      <w:r w:rsidR="00F43C9B" w:rsidRPr="00AD2CF5">
        <w:tab/>
        <w:t>Bodemtype (hardheid/ruwheid)</w:t>
      </w:r>
      <w:bookmarkEnd w:id="570"/>
      <w:bookmarkEnd w:id="571"/>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In het model worden vier verschillende bodemtypen onderscheiden (zie tabel 4.3). Elk type correspondeert met een andere combinatie van bodemhardheid</w:t>
      </w:r>
      <w:r w:rsidRPr="00AD2CF5">
        <w:fldChar w:fldCharType="begin"/>
      </w:r>
      <w:r w:rsidRPr="00AD2CF5">
        <w:instrText xml:space="preserve"> XE "bodemhardheid" </w:instrText>
      </w:r>
      <w:r w:rsidRPr="00AD2CF5">
        <w:fldChar w:fldCharType="end"/>
      </w:r>
      <w:r w:rsidRPr="00AD2CF5">
        <w:t xml:space="preserve"> en bodem</w:t>
      </w:r>
      <w:r w:rsidRPr="00AD2CF5">
        <w:softHyphen/>
        <w:t>ruwheid</w:t>
      </w:r>
      <w:r w:rsidRPr="00AD2CF5">
        <w:fldChar w:fldCharType="begin"/>
      </w:r>
      <w:r w:rsidRPr="00AD2CF5">
        <w:instrText xml:space="preserve"> XE "bodemruwheid" </w:instrText>
      </w:r>
      <w:r w:rsidRPr="00AD2CF5">
        <w:fldChar w:fldCharType="end"/>
      </w:r>
      <w:r w:rsidRPr="00AD2CF5">
        <w:t xml:space="preserve"> (zie voor definities van deze begrippen § 2.6)</w:t>
      </w:r>
    </w:p>
    <w:p w:rsidR="00F43C9B" w:rsidRPr="00AD2CF5" w:rsidRDefault="00F43C9B" w:rsidP="00F43C9B">
      <w:pPr>
        <w:keepNext/>
        <w:keepLines/>
        <w:shd w:val="clear" w:color="auto" w:fill="D9D9D9" w:themeFill="background1" w:themeFillShade="D9"/>
        <w:suppressAutoHyphens/>
        <w:spacing w:line="240" w:lineRule="auto"/>
      </w:pPr>
      <w:r w:rsidRPr="00AD2CF5">
        <w:rPr>
          <w:b/>
        </w:rPr>
        <w:t>Tabel 4.3</w:t>
      </w:r>
      <w:r w:rsidRPr="00AD2CF5">
        <w:t>. De vier bodemtypen in het rekenmodel voor schietgeluid, met vier verschillende combinaties van de stromingsweerstand</w:t>
      </w:r>
      <w:r w:rsidRPr="00AD2CF5">
        <w:fldChar w:fldCharType="begin"/>
      </w:r>
      <w:r w:rsidRPr="00AD2CF5">
        <w:instrText xml:space="preserve"> XE "stromingsweerstand" </w:instrText>
      </w:r>
      <w:r w:rsidRPr="00AD2CF5">
        <w:fldChar w:fldCharType="end"/>
      </w:r>
      <w:r w:rsidRPr="00AD2CF5">
        <w:t xml:space="preserve"> </w:t>
      </w:r>
      <w:r w:rsidRPr="00AD2CF5">
        <w:rPr>
          <w:rFonts w:ascii="Symbol" w:hAnsi="Symbol"/>
          <w:i/>
        </w:rPr>
        <w:t></w:t>
      </w:r>
      <w:r w:rsidRPr="00AD2CF5">
        <w:t xml:space="preserve"> en de ruwheidslengte</w:t>
      </w:r>
      <w:r w:rsidRPr="00AD2CF5">
        <w:fldChar w:fldCharType="begin"/>
      </w:r>
      <w:r w:rsidRPr="00AD2CF5">
        <w:instrText xml:space="preserve"> XE "ruwheidslengte" </w:instrText>
      </w:r>
      <w:r w:rsidRPr="00AD2CF5">
        <w:fldChar w:fldCharType="end"/>
      </w:r>
      <w:r w:rsidRPr="00AD2CF5">
        <w:t xml:space="preserve"> </w:t>
      </w:r>
      <w:r w:rsidRPr="00AD2CF5">
        <w:rPr>
          <w:i/>
        </w:rPr>
        <w:t>z</w:t>
      </w:r>
      <w:r w:rsidRPr="00AD2CF5">
        <w:rPr>
          <w:i/>
          <w:vertAlign w:val="subscript"/>
        </w:rPr>
        <w:t>0</w:t>
      </w:r>
      <w:r w:rsidRPr="00AD2CF5">
        <w:t>.</w:t>
      </w:r>
    </w:p>
    <w:tbl>
      <w:tblPr>
        <w:tblW w:w="0" w:type="auto"/>
        <w:tblInd w:w="57" w:type="dxa"/>
        <w:tblLayout w:type="fixed"/>
        <w:tblCellMar>
          <w:left w:w="57" w:type="dxa"/>
          <w:right w:w="57" w:type="dxa"/>
        </w:tblCellMar>
        <w:tblLook w:val="0000" w:firstRow="0" w:lastRow="0" w:firstColumn="0" w:lastColumn="0" w:noHBand="0" w:noVBand="0"/>
      </w:tblPr>
      <w:tblGrid>
        <w:gridCol w:w="3119"/>
        <w:gridCol w:w="1843"/>
        <w:gridCol w:w="1489"/>
        <w:gridCol w:w="1062"/>
      </w:tblGrid>
      <w:tr w:rsidR="00F43C9B" w:rsidRPr="00AD2CF5" w:rsidTr="00F43C9B">
        <w:tc>
          <w:tcPr>
            <w:tcW w:w="3119" w:type="dxa"/>
            <w:tcBorders>
              <w:top w:val="double" w:sz="6" w:space="0" w:color="auto"/>
              <w:left w:val="double" w:sz="6" w:space="0" w:color="auto"/>
              <w:bottom w:val="double" w:sz="6" w:space="0" w:color="auto"/>
            </w:tcBorders>
            <w:shd w:val="pct10" w:color="auto" w:fill="auto"/>
          </w:tcPr>
          <w:p w:rsidR="00F43C9B" w:rsidRPr="00AD2CF5" w:rsidRDefault="00F43C9B" w:rsidP="00F43C9B">
            <w:pPr>
              <w:keepNext/>
              <w:keepLines/>
              <w:shd w:val="clear" w:color="auto" w:fill="D9D9D9" w:themeFill="background1" w:themeFillShade="D9"/>
              <w:tabs>
                <w:tab w:val="left" w:pos="-165"/>
                <w:tab w:val="left" w:pos="516"/>
                <w:tab w:val="left" w:pos="1785"/>
                <w:tab w:val="right" w:pos="3005"/>
              </w:tabs>
              <w:suppressAutoHyphens/>
              <w:spacing w:before="2" w:after="54" w:line="240" w:lineRule="auto"/>
            </w:pPr>
            <w:r w:rsidRPr="00AD2CF5">
              <w:t>Bodemtype</w:t>
            </w:r>
          </w:p>
        </w:tc>
        <w:tc>
          <w:tcPr>
            <w:tcW w:w="1843" w:type="dxa"/>
            <w:tcBorders>
              <w:top w:val="double" w:sz="6" w:space="0" w:color="auto"/>
              <w:left w:val="single" w:sz="6" w:space="0" w:color="auto"/>
              <w:bottom w:val="double" w:sz="6" w:space="0" w:color="auto"/>
            </w:tcBorders>
            <w:shd w:val="pct10" w:color="auto" w:fill="auto"/>
          </w:tcPr>
          <w:p w:rsidR="00F43C9B" w:rsidRPr="00AD2CF5" w:rsidRDefault="00F43C9B" w:rsidP="00F43C9B">
            <w:pPr>
              <w:keepNext/>
              <w:keepLines/>
              <w:shd w:val="clear" w:color="auto" w:fill="D9D9D9" w:themeFill="background1" w:themeFillShade="D9"/>
              <w:tabs>
                <w:tab w:val="left" w:pos="-3567"/>
                <w:tab w:val="left" w:pos="-2886"/>
                <w:tab w:val="left" w:pos="-2150"/>
                <w:tab w:val="left" w:pos="-1072"/>
              </w:tabs>
              <w:suppressAutoHyphens/>
              <w:spacing w:before="2" w:after="54" w:line="240" w:lineRule="auto"/>
            </w:pPr>
            <w:r w:rsidRPr="00AD2CF5">
              <w:t>voorbeelden</w:t>
            </w:r>
          </w:p>
        </w:tc>
        <w:tc>
          <w:tcPr>
            <w:tcW w:w="1489" w:type="dxa"/>
            <w:tcBorders>
              <w:top w:val="double" w:sz="6" w:space="0" w:color="auto"/>
              <w:left w:val="single" w:sz="6" w:space="0" w:color="auto"/>
              <w:bottom w:val="double" w:sz="6" w:space="0" w:color="auto"/>
            </w:tcBorders>
            <w:shd w:val="pct10" w:color="auto" w:fill="auto"/>
          </w:tcPr>
          <w:p w:rsidR="00F43C9B" w:rsidRPr="00AD2CF5" w:rsidRDefault="00F43C9B" w:rsidP="00F43C9B">
            <w:pPr>
              <w:keepNext/>
              <w:keepLines/>
              <w:shd w:val="clear" w:color="auto" w:fill="D9D9D9" w:themeFill="background1" w:themeFillShade="D9"/>
              <w:tabs>
                <w:tab w:val="left" w:pos="-5835"/>
                <w:tab w:val="left" w:pos="-5154"/>
                <w:tab w:val="left" w:pos="-4418"/>
                <w:tab w:val="left" w:pos="-3340"/>
              </w:tabs>
              <w:suppressAutoHyphens/>
              <w:spacing w:before="2" w:after="54" w:line="240" w:lineRule="auto"/>
            </w:pPr>
            <w:r w:rsidRPr="00AD2CF5">
              <w:rPr>
                <w:rFonts w:ascii="Symbol" w:hAnsi="Symbol"/>
              </w:rPr>
              <w:t></w:t>
            </w:r>
            <w:r w:rsidRPr="00AD2CF5">
              <w:t xml:space="preserve"> (Nsm</w:t>
            </w:r>
            <w:r w:rsidRPr="00AD2CF5">
              <w:rPr>
                <w:vertAlign w:val="superscript"/>
              </w:rPr>
              <w:t>-4</w:t>
            </w:r>
            <w:r w:rsidRPr="00AD2CF5">
              <w:t>)</w:t>
            </w:r>
          </w:p>
        </w:tc>
        <w:tc>
          <w:tcPr>
            <w:tcW w:w="1062" w:type="dxa"/>
            <w:tcBorders>
              <w:top w:val="double" w:sz="6" w:space="0" w:color="auto"/>
              <w:left w:val="single" w:sz="6" w:space="0" w:color="auto"/>
              <w:bottom w:val="double" w:sz="6" w:space="0" w:color="auto"/>
              <w:right w:val="double" w:sz="6" w:space="0" w:color="auto"/>
            </w:tcBorders>
            <w:shd w:val="pct10" w:color="auto" w:fill="auto"/>
          </w:tcPr>
          <w:p w:rsidR="00F43C9B" w:rsidRPr="00AD2CF5" w:rsidRDefault="00F43C9B" w:rsidP="00F43C9B">
            <w:pPr>
              <w:keepNext/>
              <w:keepLines/>
              <w:shd w:val="clear" w:color="auto" w:fill="D9D9D9" w:themeFill="background1" w:themeFillShade="D9"/>
              <w:tabs>
                <w:tab w:val="left" w:pos="-5835"/>
                <w:tab w:val="left" w:pos="-5154"/>
                <w:tab w:val="left" w:pos="-4418"/>
                <w:tab w:val="left" w:pos="-3340"/>
              </w:tabs>
              <w:suppressAutoHyphens/>
              <w:spacing w:before="2" w:after="54" w:line="240" w:lineRule="auto"/>
            </w:pPr>
            <w:r w:rsidRPr="00AD2CF5">
              <w:t>z</w:t>
            </w:r>
            <w:r w:rsidRPr="00AD2CF5">
              <w:rPr>
                <w:vertAlign w:val="subscript"/>
              </w:rPr>
              <w:t>o</w:t>
            </w:r>
            <w:r w:rsidRPr="00AD2CF5">
              <w:t xml:space="preserve"> (m)</w:t>
            </w:r>
          </w:p>
        </w:tc>
      </w:tr>
      <w:tr w:rsidR="00F43C9B" w:rsidRPr="00AD2CF5" w:rsidTr="00F43C9B">
        <w:tc>
          <w:tcPr>
            <w:tcW w:w="3119" w:type="dxa"/>
            <w:tcBorders>
              <w:left w:val="double" w:sz="6" w:space="0" w:color="auto"/>
            </w:tcBorders>
          </w:tcPr>
          <w:p w:rsidR="00F43C9B" w:rsidRPr="00AD2CF5" w:rsidRDefault="00F43C9B" w:rsidP="00F43C9B">
            <w:pPr>
              <w:keepNext/>
              <w:keepLines/>
              <w:shd w:val="clear" w:color="auto" w:fill="D9D9D9" w:themeFill="background1" w:themeFillShade="D9"/>
              <w:tabs>
                <w:tab w:val="left" w:pos="-165"/>
                <w:tab w:val="left" w:pos="516"/>
                <w:tab w:val="left" w:pos="1252"/>
                <w:tab w:val="left" w:pos="2330"/>
              </w:tabs>
              <w:suppressAutoHyphens/>
              <w:spacing w:before="2" w:after="54" w:line="240" w:lineRule="auto"/>
            </w:pPr>
            <w:r w:rsidRPr="00AD2CF5">
              <w:t>1. glad en reflecterend</w:t>
            </w:r>
          </w:p>
        </w:tc>
        <w:tc>
          <w:tcPr>
            <w:tcW w:w="1843" w:type="dxa"/>
            <w:tcBorders>
              <w:left w:val="single" w:sz="6" w:space="0" w:color="auto"/>
            </w:tcBorders>
          </w:tcPr>
          <w:p w:rsidR="00F43C9B" w:rsidRPr="00AD2CF5" w:rsidRDefault="00F43C9B" w:rsidP="00F43C9B">
            <w:pPr>
              <w:keepNext/>
              <w:keepLines/>
              <w:shd w:val="clear" w:color="auto" w:fill="D9D9D9" w:themeFill="background1" w:themeFillShade="D9"/>
              <w:tabs>
                <w:tab w:val="left" w:pos="-3567"/>
                <w:tab w:val="left" w:pos="-2886"/>
                <w:tab w:val="left" w:pos="-2150"/>
                <w:tab w:val="left" w:pos="-1072"/>
              </w:tabs>
              <w:suppressAutoHyphens/>
              <w:spacing w:before="2" w:after="54" w:line="240" w:lineRule="auto"/>
            </w:pPr>
            <w:r w:rsidRPr="00AD2CF5">
              <w:t>water, beton</w:t>
            </w:r>
          </w:p>
        </w:tc>
        <w:tc>
          <w:tcPr>
            <w:tcW w:w="1489" w:type="dxa"/>
            <w:tcBorders>
              <w:left w:val="single" w:sz="6" w:space="0" w:color="auto"/>
            </w:tcBorders>
          </w:tcPr>
          <w:p w:rsidR="00F43C9B" w:rsidRPr="00AD2CF5" w:rsidRDefault="00F43C9B" w:rsidP="00F43C9B">
            <w:pPr>
              <w:keepNext/>
              <w:keepLines/>
              <w:shd w:val="clear" w:color="auto" w:fill="D9D9D9" w:themeFill="background1" w:themeFillShade="D9"/>
              <w:tabs>
                <w:tab w:val="left" w:pos="-5835"/>
                <w:tab w:val="left" w:pos="-5154"/>
                <w:tab w:val="left" w:pos="-4418"/>
                <w:tab w:val="left" w:pos="-3340"/>
              </w:tabs>
              <w:suppressAutoHyphens/>
              <w:spacing w:before="2" w:after="54" w:line="240" w:lineRule="auto"/>
            </w:pPr>
            <w:r w:rsidRPr="00AD2CF5">
              <w:rPr>
                <w:rFonts w:ascii="Symbol" w:hAnsi="Symbol"/>
              </w:rPr>
              <w:t></w:t>
            </w:r>
          </w:p>
        </w:tc>
        <w:tc>
          <w:tcPr>
            <w:tcW w:w="1062" w:type="dxa"/>
            <w:tcBorders>
              <w:left w:val="single" w:sz="6" w:space="0" w:color="auto"/>
              <w:right w:val="double" w:sz="6" w:space="0" w:color="auto"/>
            </w:tcBorders>
          </w:tcPr>
          <w:p w:rsidR="00F43C9B" w:rsidRPr="00AD2CF5" w:rsidRDefault="00F43C9B" w:rsidP="00F43C9B">
            <w:pPr>
              <w:keepNext/>
              <w:keepLines/>
              <w:shd w:val="clear" w:color="auto" w:fill="D9D9D9" w:themeFill="background1" w:themeFillShade="D9"/>
              <w:tabs>
                <w:tab w:val="left" w:pos="-5835"/>
                <w:tab w:val="left" w:pos="-5154"/>
                <w:tab w:val="left" w:pos="-4418"/>
                <w:tab w:val="left" w:pos="-3340"/>
              </w:tabs>
              <w:suppressAutoHyphens/>
              <w:spacing w:before="2" w:after="54" w:line="240" w:lineRule="auto"/>
            </w:pPr>
            <w:r w:rsidRPr="00AD2CF5">
              <w:t>0.0002</w:t>
            </w:r>
          </w:p>
        </w:tc>
      </w:tr>
      <w:tr w:rsidR="00F43C9B" w:rsidRPr="00AD2CF5" w:rsidTr="00F43C9B">
        <w:tc>
          <w:tcPr>
            <w:tcW w:w="3119" w:type="dxa"/>
            <w:tcBorders>
              <w:left w:val="double" w:sz="6" w:space="0" w:color="auto"/>
            </w:tcBorders>
          </w:tcPr>
          <w:p w:rsidR="00F43C9B" w:rsidRPr="00AD2CF5" w:rsidRDefault="00F43C9B" w:rsidP="00F43C9B">
            <w:pPr>
              <w:keepNext/>
              <w:keepLines/>
              <w:shd w:val="clear" w:color="auto" w:fill="D9D9D9" w:themeFill="background1" w:themeFillShade="D9"/>
              <w:tabs>
                <w:tab w:val="left" w:pos="-165"/>
                <w:tab w:val="left" w:pos="516"/>
                <w:tab w:val="left" w:pos="1252"/>
                <w:tab w:val="left" w:pos="2330"/>
              </w:tabs>
              <w:suppressAutoHyphens/>
              <w:spacing w:before="2" w:after="54" w:line="240" w:lineRule="auto"/>
            </w:pPr>
            <w:r w:rsidRPr="00AD2CF5">
              <w:t>2. ruw en absorberend</w:t>
            </w:r>
          </w:p>
        </w:tc>
        <w:tc>
          <w:tcPr>
            <w:tcW w:w="1843" w:type="dxa"/>
            <w:tcBorders>
              <w:left w:val="single" w:sz="6" w:space="0" w:color="auto"/>
            </w:tcBorders>
          </w:tcPr>
          <w:p w:rsidR="00F43C9B" w:rsidRPr="00AD2CF5" w:rsidRDefault="00F43C9B" w:rsidP="00F43C9B">
            <w:pPr>
              <w:keepNext/>
              <w:keepLines/>
              <w:shd w:val="clear" w:color="auto" w:fill="D9D9D9" w:themeFill="background1" w:themeFillShade="D9"/>
              <w:tabs>
                <w:tab w:val="left" w:pos="-3567"/>
                <w:tab w:val="left" w:pos="-2886"/>
                <w:tab w:val="left" w:pos="-2150"/>
                <w:tab w:val="left" w:pos="-1072"/>
              </w:tabs>
              <w:suppressAutoHyphens/>
              <w:spacing w:before="2" w:after="54" w:line="240" w:lineRule="auto"/>
            </w:pPr>
            <w:r w:rsidRPr="00AD2CF5">
              <w:t>grasland</w:t>
            </w:r>
          </w:p>
        </w:tc>
        <w:tc>
          <w:tcPr>
            <w:tcW w:w="1489" w:type="dxa"/>
            <w:tcBorders>
              <w:left w:val="single" w:sz="6" w:space="0" w:color="auto"/>
            </w:tcBorders>
          </w:tcPr>
          <w:p w:rsidR="00F43C9B" w:rsidRPr="00AD2CF5" w:rsidRDefault="00F43C9B" w:rsidP="00F43C9B">
            <w:pPr>
              <w:keepNext/>
              <w:keepLines/>
              <w:shd w:val="clear" w:color="auto" w:fill="D9D9D9" w:themeFill="background1" w:themeFillShade="D9"/>
              <w:tabs>
                <w:tab w:val="left" w:pos="-5835"/>
                <w:tab w:val="left" w:pos="-5154"/>
                <w:tab w:val="left" w:pos="-4418"/>
                <w:tab w:val="left" w:pos="-3340"/>
              </w:tabs>
              <w:suppressAutoHyphens/>
              <w:spacing w:before="2" w:after="54" w:line="240" w:lineRule="auto"/>
            </w:pPr>
            <w:r w:rsidRPr="00AD2CF5">
              <w:t>3</w:t>
            </w:r>
            <w:r w:rsidRPr="00AD2CF5">
              <w:rPr>
                <w:vertAlign w:val="superscript"/>
              </w:rPr>
              <w:t>.</w:t>
            </w:r>
            <w:r w:rsidRPr="00AD2CF5">
              <w:t>10</w:t>
            </w:r>
            <w:r w:rsidRPr="00AD2CF5">
              <w:rPr>
                <w:vertAlign w:val="superscript"/>
              </w:rPr>
              <w:t>5</w:t>
            </w:r>
          </w:p>
        </w:tc>
        <w:tc>
          <w:tcPr>
            <w:tcW w:w="1062" w:type="dxa"/>
            <w:tcBorders>
              <w:left w:val="single" w:sz="6" w:space="0" w:color="auto"/>
              <w:right w:val="double" w:sz="6" w:space="0" w:color="auto"/>
            </w:tcBorders>
          </w:tcPr>
          <w:p w:rsidR="00F43C9B" w:rsidRPr="00AD2CF5" w:rsidRDefault="00F43C9B" w:rsidP="00F43C9B">
            <w:pPr>
              <w:keepNext/>
              <w:keepLines/>
              <w:shd w:val="clear" w:color="auto" w:fill="D9D9D9" w:themeFill="background1" w:themeFillShade="D9"/>
              <w:tabs>
                <w:tab w:val="left" w:pos="-5835"/>
                <w:tab w:val="left" w:pos="-5154"/>
                <w:tab w:val="left" w:pos="-4418"/>
                <w:tab w:val="left" w:pos="-3340"/>
              </w:tabs>
              <w:suppressAutoHyphens/>
              <w:spacing w:before="2" w:after="54" w:line="240" w:lineRule="auto"/>
            </w:pPr>
            <w:r w:rsidRPr="00AD2CF5">
              <w:t>0.03</w:t>
            </w:r>
          </w:p>
        </w:tc>
      </w:tr>
      <w:tr w:rsidR="00F43C9B" w:rsidRPr="00AD2CF5" w:rsidTr="00F43C9B">
        <w:tc>
          <w:tcPr>
            <w:tcW w:w="3119" w:type="dxa"/>
            <w:tcBorders>
              <w:left w:val="double" w:sz="6" w:space="0" w:color="auto"/>
            </w:tcBorders>
          </w:tcPr>
          <w:p w:rsidR="00F43C9B" w:rsidRPr="00AD2CF5" w:rsidRDefault="00F43C9B" w:rsidP="00F43C9B">
            <w:pPr>
              <w:keepNext/>
              <w:keepLines/>
              <w:shd w:val="clear" w:color="auto" w:fill="D9D9D9" w:themeFill="background1" w:themeFillShade="D9"/>
              <w:tabs>
                <w:tab w:val="left" w:pos="-165"/>
                <w:tab w:val="left" w:pos="516"/>
                <w:tab w:val="left" w:pos="1252"/>
                <w:tab w:val="left" w:pos="2330"/>
              </w:tabs>
              <w:suppressAutoHyphens/>
              <w:spacing w:before="2" w:after="54" w:line="240" w:lineRule="auto"/>
            </w:pPr>
            <w:r w:rsidRPr="00AD2CF5">
              <w:t>3. ruw en zeer absorberend</w:t>
            </w:r>
          </w:p>
        </w:tc>
        <w:tc>
          <w:tcPr>
            <w:tcW w:w="1843" w:type="dxa"/>
            <w:tcBorders>
              <w:left w:val="single" w:sz="6" w:space="0" w:color="auto"/>
            </w:tcBorders>
          </w:tcPr>
          <w:p w:rsidR="00F43C9B" w:rsidRPr="00AD2CF5" w:rsidRDefault="00F43C9B" w:rsidP="00F43C9B">
            <w:pPr>
              <w:keepNext/>
              <w:keepLines/>
              <w:shd w:val="clear" w:color="auto" w:fill="D9D9D9" w:themeFill="background1" w:themeFillShade="D9"/>
              <w:tabs>
                <w:tab w:val="left" w:pos="-3567"/>
                <w:tab w:val="left" w:pos="-2886"/>
                <w:tab w:val="left" w:pos="-2150"/>
                <w:tab w:val="left" w:pos="-1072"/>
              </w:tabs>
              <w:suppressAutoHyphens/>
              <w:spacing w:before="2" w:after="54" w:line="240" w:lineRule="auto"/>
            </w:pPr>
            <w:r w:rsidRPr="00AD2CF5">
              <w:t>zandbodem</w:t>
            </w:r>
          </w:p>
        </w:tc>
        <w:tc>
          <w:tcPr>
            <w:tcW w:w="1489" w:type="dxa"/>
            <w:tcBorders>
              <w:left w:val="single" w:sz="6" w:space="0" w:color="auto"/>
            </w:tcBorders>
          </w:tcPr>
          <w:p w:rsidR="00F43C9B" w:rsidRPr="00AD2CF5" w:rsidRDefault="00F43C9B" w:rsidP="00F43C9B">
            <w:pPr>
              <w:keepNext/>
              <w:keepLines/>
              <w:shd w:val="clear" w:color="auto" w:fill="D9D9D9" w:themeFill="background1" w:themeFillShade="D9"/>
              <w:tabs>
                <w:tab w:val="left" w:pos="-5835"/>
                <w:tab w:val="left" w:pos="-5154"/>
                <w:tab w:val="left" w:pos="-4418"/>
                <w:tab w:val="left" w:pos="-3340"/>
              </w:tabs>
              <w:suppressAutoHyphens/>
              <w:spacing w:before="2" w:after="54" w:line="240" w:lineRule="auto"/>
            </w:pPr>
            <w:r w:rsidRPr="00AD2CF5">
              <w:t>1</w:t>
            </w:r>
            <w:r w:rsidRPr="00AD2CF5">
              <w:rPr>
                <w:vertAlign w:val="superscript"/>
              </w:rPr>
              <w:t>.</w:t>
            </w:r>
            <w:r w:rsidRPr="00AD2CF5">
              <w:t>10</w:t>
            </w:r>
            <w:r w:rsidRPr="00AD2CF5">
              <w:rPr>
                <w:vertAlign w:val="superscript"/>
              </w:rPr>
              <w:t>5</w:t>
            </w:r>
          </w:p>
        </w:tc>
        <w:tc>
          <w:tcPr>
            <w:tcW w:w="1062" w:type="dxa"/>
            <w:tcBorders>
              <w:left w:val="single" w:sz="6" w:space="0" w:color="auto"/>
              <w:right w:val="double" w:sz="6" w:space="0" w:color="auto"/>
            </w:tcBorders>
          </w:tcPr>
          <w:p w:rsidR="00F43C9B" w:rsidRPr="00AD2CF5" w:rsidRDefault="00F43C9B" w:rsidP="00F43C9B">
            <w:pPr>
              <w:keepNext/>
              <w:keepLines/>
              <w:shd w:val="clear" w:color="auto" w:fill="D9D9D9" w:themeFill="background1" w:themeFillShade="D9"/>
              <w:tabs>
                <w:tab w:val="left" w:pos="-5835"/>
                <w:tab w:val="left" w:pos="-5154"/>
                <w:tab w:val="left" w:pos="-4418"/>
                <w:tab w:val="left" w:pos="-3340"/>
              </w:tabs>
              <w:suppressAutoHyphens/>
              <w:spacing w:before="2" w:after="54" w:line="240" w:lineRule="auto"/>
            </w:pPr>
            <w:r w:rsidRPr="00AD2CF5">
              <w:t>0.03</w:t>
            </w:r>
          </w:p>
        </w:tc>
      </w:tr>
      <w:tr w:rsidR="00F43C9B" w:rsidRPr="00AD2CF5" w:rsidTr="00F43C9B">
        <w:tc>
          <w:tcPr>
            <w:tcW w:w="3119" w:type="dxa"/>
            <w:tcBorders>
              <w:left w:val="double" w:sz="6" w:space="0" w:color="auto"/>
              <w:bottom w:val="double" w:sz="6" w:space="0" w:color="auto"/>
            </w:tcBorders>
          </w:tcPr>
          <w:p w:rsidR="00F43C9B" w:rsidRPr="00AD2CF5" w:rsidRDefault="00F43C9B" w:rsidP="00F43C9B">
            <w:pPr>
              <w:keepNext/>
              <w:keepLines/>
              <w:shd w:val="clear" w:color="auto" w:fill="D9D9D9" w:themeFill="background1" w:themeFillShade="D9"/>
              <w:tabs>
                <w:tab w:val="left" w:pos="-165"/>
                <w:tab w:val="left" w:pos="516"/>
                <w:tab w:val="left" w:pos="1252"/>
                <w:tab w:val="left" w:pos="2330"/>
              </w:tabs>
              <w:suppressAutoHyphens/>
              <w:spacing w:before="2" w:after="54" w:line="240" w:lineRule="auto"/>
            </w:pPr>
            <w:r w:rsidRPr="00AD2CF5">
              <w:t>4. zeer ruw en zeer absorberend</w:t>
            </w:r>
          </w:p>
        </w:tc>
        <w:tc>
          <w:tcPr>
            <w:tcW w:w="1843" w:type="dxa"/>
            <w:tcBorders>
              <w:left w:val="single" w:sz="6" w:space="0" w:color="auto"/>
              <w:bottom w:val="double" w:sz="6" w:space="0" w:color="auto"/>
            </w:tcBorders>
          </w:tcPr>
          <w:p w:rsidR="00F43C9B" w:rsidRPr="00AD2CF5" w:rsidRDefault="00F43C9B" w:rsidP="00F43C9B">
            <w:pPr>
              <w:keepNext/>
              <w:keepLines/>
              <w:shd w:val="clear" w:color="auto" w:fill="D9D9D9" w:themeFill="background1" w:themeFillShade="D9"/>
              <w:tabs>
                <w:tab w:val="left" w:pos="-3567"/>
                <w:tab w:val="left" w:pos="-2886"/>
                <w:tab w:val="left" w:pos="-2150"/>
                <w:tab w:val="left" w:pos="-1072"/>
              </w:tabs>
              <w:suppressAutoHyphens/>
              <w:spacing w:before="2" w:after="54" w:line="240" w:lineRule="auto"/>
            </w:pPr>
            <w:r w:rsidRPr="00AD2CF5">
              <w:t>heide, bouwland</w:t>
            </w:r>
          </w:p>
        </w:tc>
        <w:tc>
          <w:tcPr>
            <w:tcW w:w="1489" w:type="dxa"/>
            <w:tcBorders>
              <w:left w:val="single" w:sz="6" w:space="0" w:color="auto"/>
              <w:bottom w:val="double" w:sz="6" w:space="0" w:color="auto"/>
            </w:tcBorders>
          </w:tcPr>
          <w:p w:rsidR="00F43C9B" w:rsidRPr="00AD2CF5" w:rsidRDefault="00F43C9B" w:rsidP="00F43C9B">
            <w:pPr>
              <w:keepNext/>
              <w:keepLines/>
              <w:shd w:val="clear" w:color="auto" w:fill="D9D9D9" w:themeFill="background1" w:themeFillShade="D9"/>
              <w:tabs>
                <w:tab w:val="left" w:pos="-5835"/>
                <w:tab w:val="left" w:pos="-5154"/>
                <w:tab w:val="left" w:pos="-4418"/>
                <w:tab w:val="left" w:pos="-3340"/>
              </w:tabs>
              <w:suppressAutoHyphens/>
              <w:spacing w:before="2" w:after="54" w:line="240" w:lineRule="auto"/>
            </w:pPr>
            <w:r w:rsidRPr="00AD2CF5">
              <w:t>1</w:t>
            </w:r>
            <w:r w:rsidRPr="00AD2CF5">
              <w:rPr>
                <w:vertAlign w:val="superscript"/>
              </w:rPr>
              <w:t>.</w:t>
            </w:r>
            <w:r w:rsidRPr="00AD2CF5">
              <w:t>10</w:t>
            </w:r>
            <w:r w:rsidRPr="00AD2CF5">
              <w:rPr>
                <w:vertAlign w:val="superscript"/>
              </w:rPr>
              <w:t>5</w:t>
            </w:r>
          </w:p>
        </w:tc>
        <w:tc>
          <w:tcPr>
            <w:tcW w:w="1062" w:type="dxa"/>
            <w:tcBorders>
              <w:left w:val="single" w:sz="6" w:space="0" w:color="auto"/>
              <w:bottom w:val="double" w:sz="6" w:space="0" w:color="auto"/>
              <w:right w:val="double" w:sz="6" w:space="0" w:color="auto"/>
            </w:tcBorders>
          </w:tcPr>
          <w:p w:rsidR="00F43C9B" w:rsidRPr="00AD2CF5" w:rsidRDefault="00F43C9B" w:rsidP="00F43C9B">
            <w:pPr>
              <w:keepNext/>
              <w:keepLines/>
              <w:shd w:val="clear" w:color="auto" w:fill="D9D9D9" w:themeFill="background1" w:themeFillShade="D9"/>
              <w:tabs>
                <w:tab w:val="left" w:pos="-5835"/>
                <w:tab w:val="left" w:pos="-5154"/>
                <w:tab w:val="left" w:pos="-4418"/>
                <w:tab w:val="left" w:pos="-3340"/>
              </w:tabs>
              <w:suppressAutoHyphens/>
              <w:spacing w:before="2" w:after="54" w:line="240" w:lineRule="auto"/>
            </w:pPr>
            <w:r w:rsidRPr="00AD2CF5">
              <w:t>0.25</w:t>
            </w:r>
          </w:p>
        </w:tc>
      </w:tr>
    </w:tbl>
    <w:p w:rsidR="00F43C9B" w:rsidRPr="00AD2CF5" w:rsidRDefault="00F43C9B" w:rsidP="00F43C9B">
      <w:pPr>
        <w:keepNext/>
        <w:keepLines/>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keepNext/>
        <w:keepLines/>
        <w:shd w:val="clear" w:color="auto" w:fill="D9D9D9" w:themeFill="background1" w:themeFillShade="D9"/>
        <w:tabs>
          <w:tab w:val="left" w:pos="-108"/>
          <w:tab w:val="left" w:pos="573"/>
          <w:tab w:val="left" w:pos="1309"/>
          <w:tab w:val="left" w:pos="2387"/>
        </w:tabs>
        <w:suppressAutoHyphens/>
        <w:spacing w:line="240" w:lineRule="auto"/>
      </w:pPr>
      <w:r w:rsidRPr="00AD2CF5">
        <w:t>Om het bodemtype</w:t>
      </w:r>
      <w:r w:rsidRPr="00AD2CF5">
        <w:fldChar w:fldCharType="begin"/>
      </w:r>
      <w:r w:rsidRPr="00AD2CF5">
        <w:instrText xml:space="preserve"> XE "bodemtype" </w:instrText>
      </w:r>
      <w:r w:rsidRPr="00AD2CF5">
        <w:fldChar w:fldCharType="end"/>
      </w:r>
      <w:r w:rsidRPr="00AD2CF5">
        <w:t xml:space="preserve"> van een terrein te bepalen moeten eerst de eigenschappen van terrein worden ingeschat. De volgende uitgangspunten moeten hierbij in acht worden genomen:</w:t>
      </w:r>
    </w:p>
    <w:p w:rsidR="00F43C9B" w:rsidRPr="00AD2CF5" w:rsidRDefault="00F43C9B" w:rsidP="00F43C9B">
      <w:pPr>
        <w:keepNext/>
        <w:keepLines/>
        <w:shd w:val="clear" w:color="auto" w:fill="D9D9D9" w:themeFill="background1" w:themeFillShade="D9"/>
        <w:tabs>
          <w:tab w:val="left" w:pos="-108"/>
          <w:tab w:val="left" w:pos="284"/>
          <w:tab w:val="left" w:pos="573"/>
          <w:tab w:val="left" w:pos="1309"/>
          <w:tab w:val="left" w:pos="2387"/>
        </w:tabs>
        <w:suppressAutoHyphens/>
        <w:spacing w:line="240" w:lineRule="auto"/>
      </w:pPr>
      <w:r w:rsidRPr="00AD2CF5">
        <w:t>1.</w:t>
      </w:r>
      <w:r w:rsidRPr="00AD2CF5">
        <w:tab/>
        <w:t>De keuze tussen ruw en zeer ruw.</w:t>
      </w:r>
    </w:p>
    <w:p w:rsidR="00F43C9B" w:rsidRPr="00AD2CF5" w:rsidRDefault="00F43C9B" w:rsidP="00F43C9B">
      <w:pPr>
        <w:keepNext/>
        <w:keepLines/>
        <w:shd w:val="clear" w:color="auto" w:fill="D9D9D9" w:themeFill="background1" w:themeFillShade="D9"/>
        <w:tabs>
          <w:tab w:val="left" w:pos="-108"/>
          <w:tab w:val="left" w:pos="1309"/>
          <w:tab w:val="left" w:pos="2387"/>
        </w:tabs>
        <w:suppressAutoHyphens/>
        <w:spacing w:line="240" w:lineRule="auto"/>
        <w:ind w:left="284" w:hanging="284"/>
      </w:pPr>
      <w:r w:rsidRPr="00AD2CF5">
        <w:t>Het verschil tussen ruw en zeer ruw zit in de begroeiing van de oppervlakte.</w:t>
      </w:r>
    </w:p>
    <w:p w:rsidR="00F43C9B" w:rsidRPr="00AD2CF5" w:rsidRDefault="00F43C9B" w:rsidP="00F43C9B">
      <w:pPr>
        <w:keepNext/>
        <w:keepLines/>
        <w:shd w:val="clear" w:color="auto" w:fill="D9D9D9" w:themeFill="background1" w:themeFillShade="D9"/>
        <w:suppressAutoHyphens/>
        <w:spacing w:line="240" w:lineRule="auto"/>
        <w:ind w:left="284" w:hanging="284"/>
      </w:pPr>
      <w:r w:rsidRPr="00AD2CF5">
        <w:t>Een ruw terrein bevat lage begroeiing (zoals gras), een zeer ruw terrein bevat hogere begroeiing (zoals heide of lage gewassen). Verspreide obstakels (bomen</w:t>
      </w:r>
      <w:r w:rsidRPr="00AD2CF5">
        <w:fldChar w:fldCharType="begin"/>
      </w:r>
      <w:r w:rsidRPr="00AD2CF5">
        <w:instrText xml:space="preserve"> XE "bomen" </w:instrText>
      </w:r>
      <w:r w:rsidRPr="00AD2CF5">
        <w:fldChar w:fldCharType="end"/>
      </w:r>
      <w:r w:rsidRPr="00AD2CF5">
        <w:t>, huizen) worden hierbij buiten beschouwing gelaten.</w:t>
      </w:r>
    </w:p>
    <w:p w:rsidR="00F43C9B" w:rsidRPr="00AD2CF5" w:rsidRDefault="00F43C9B" w:rsidP="00F43C9B">
      <w:pPr>
        <w:keepNext/>
        <w:keepLines/>
        <w:shd w:val="clear" w:color="auto" w:fill="D9D9D9" w:themeFill="background1" w:themeFillShade="D9"/>
        <w:tabs>
          <w:tab w:val="left" w:pos="-108"/>
          <w:tab w:val="left" w:pos="284"/>
          <w:tab w:val="left" w:pos="573"/>
          <w:tab w:val="left" w:pos="1309"/>
          <w:tab w:val="left" w:pos="2387"/>
        </w:tabs>
        <w:suppressAutoHyphens/>
        <w:spacing w:line="240" w:lineRule="auto"/>
      </w:pPr>
      <w:r w:rsidRPr="00AD2CF5">
        <w:t>2.</w:t>
      </w:r>
      <w:r w:rsidRPr="00AD2CF5">
        <w:tab/>
        <w:t>De keuze tussen absorberend en zeer absorberend.</w:t>
      </w:r>
    </w:p>
    <w:p w:rsidR="00F43C9B" w:rsidRPr="00AD2CF5" w:rsidRDefault="00F43C9B" w:rsidP="00F43C9B">
      <w:pPr>
        <w:keepNext/>
        <w:keepLines/>
        <w:shd w:val="clear" w:color="auto" w:fill="D9D9D9" w:themeFill="background1" w:themeFillShade="D9"/>
        <w:suppressAutoHyphens/>
        <w:spacing w:line="240" w:lineRule="auto"/>
        <w:ind w:left="284" w:hanging="284"/>
      </w:pPr>
      <w:r w:rsidRPr="00AD2CF5">
        <w:t>Een bodem wordt absorberend genoemd als de stromingsweerstand</w:t>
      </w:r>
      <w:r w:rsidRPr="00AD2CF5">
        <w:fldChar w:fldCharType="begin"/>
      </w:r>
      <w:r w:rsidRPr="00AD2CF5">
        <w:instrText xml:space="preserve"> XE "stromingsweerstand" </w:instrText>
      </w:r>
      <w:r w:rsidRPr="00AD2CF5">
        <w:fldChar w:fldCharType="end"/>
      </w:r>
      <w:r w:rsidRPr="00AD2CF5">
        <w:t xml:space="preserve"> groter is dan 2</w:t>
      </w:r>
      <w:r w:rsidRPr="00AD2CF5">
        <w:rPr>
          <w:vertAlign w:val="superscript"/>
        </w:rPr>
        <w:t>.</w:t>
      </w:r>
      <w:r w:rsidRPr="00AD2CF5">
        <w:t>10</w:t>
      </w:r>
      <w:r w:rsidRPr="00AD2CF5">
        <w:rPr>
          <w:vertAlign w:val="superscript"/>
        </w:rPr>
        <w:t>5</w:t>
      </w:r>
      <w:r w:rsidRPr="00AD2CF5">
        <w:t> Nsm</w:t>
      </w:r>
      <w:r w:rsidRPr="00AD2CF5">
        <w:rPr>
          <w:vertAlign w:val="superscript"/>
        </w:rPr>
        <w:noBreakHyphen/>
        <w:t>4</w:t>
      </w:r>
      <w:r w:rsidRPr="00AD2CF5">
        <w:t>, en zeer absorberend als de stromingsweerstand kleiner is dan 2</w:t>
      </w:r>
      <w:r w:rsidRPr="00AD2CF5">
        <w:rPr>
          <w:vertAlign w:val="superscript"/>
        </w:rPr>
        <w:t>.</w:t>
      </w:r>
      <w:r w:rsidRPr="00AD2CF5">
        <w:t>10</w:t>
      </w:r>
      <w:r w:rsidRPr="00AD2CF5">
        <w:rPr>
          <w:vertAlign w:val="superscript"/>
        </w:rPr>
        <w:t>5</w:t>
      </w:r>
      <w:r w:rsidRPr="00AD2CF5">
        <w:t xml:space="preserve"> Nsm</w:t>
      </w:r>
      <w:r w:rsidRPr="00AD2CF5">
        <w:rPr>
          <w:vertAlign w:val="superscript"/>
        </w:rPr>
        <w:t>-4</w:t>
      </w:r>
      <w:r w:rsidRPr="00AD2CF5">
        <w:t>. Dit betekent in de praktijk dat grasland absorberend is en dat ruwere bodems zoals heide zeer absorberend zijn.</w:t>
      </w:r>
    </w:p>
    <w:p w:rsidR="00F43C9B" w:rsidRPr="00AD2CF5" w:rsidRDefault="00F43C9B" w:rsidP="00F43C9B">
      <w:pPr>
        <w:keepNext/>
        <w:keepLines/>
        <w:shd w:val="clear" w:color="auto" w:fill="D9D9D9" w:themeFill="background1" w:themeFillShade="D9"/>
        <w:tabs>
          <w:tab w:val="left" w:pos="284"/>
        </w:tabs>
        <w:suppressAutoHyphens/>
        <w:spacing w:line="240" w:lineRule="auto"/>
      </w:pPr>
      <w:r w:rsidRPr="00AD2CF5">
        <w:t>3.</w:t>
      </w:r>
      <w:r w:rsidRPr="00AD2CF5">
        <w:tab/>
        <w:t>Voor bossen en steden moet bodemtype</w:t>
      </w:r>
      <w:r w:rsidRPr="00AD2CF5">
        <w:fldChar w:fldCharType="begin"/>
      </w:r>
      <w:r w:rsidRPr="00AD2CF5">
        <w:instrText xml:space="preserve"> XE "bodemtype" </w:instrText>
      </w:r>
      <w:r w:rsidRPr="00AD2CF5">
        <w:fldChar w:fldCharType="end"/>
      </w:r>
      <w:r w:rsidRPr="00AD2CF5">
        <w:t xml:space="preserve"> 4 worden gekozen.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Default="00F43C9B" w:rsidP="00F43C9B">
      <w:pPr>
        <w:shd w:val="clear" w:color="auto" w:fill="D9D9D9" w:themeFill="background1" w:themeFillShade="D9"/>
        <w:spacing w:line="240" w:lineRule="auto"/>
      </w:pPr>
      <w:r w:rsidRPr="00AD2CF5">
        <w:t>Indien in het overdrachtspad van bron naar rekenpunt verschillende bodemtypen voorkomen, dienen ze ook als zodanig te worden onderscheiden. In § 4.6.4 wordt hier nader op ingegaan.</w:t>
      </w:r>
    </w:p>
    <w:p w:rsidR="00F43C9B" w:rsidRDefault="00F43C9B" w:rsidP="00F43C9B">
      <w:pPr>
        <w:shd w:val="clear" w:color="auto" w:fill="D9D9D9" w:themeFill="background1" w:themeFillShade="D9"/>
        <w:spacing w:line="240" w:lineRule="auto"/>
      </w:pPr>
    </w:p>
    <w:p w:rsidR="00F43C9B" w:rsidRDefault="00F43C9B" w:rsidP="00F43C9B">
      <w:pPr>
        <w:shd w:val="clear" w:color="auto" w:fill="D9D9D9" w:themeFill="background1" w:themeFillShade="D9"/>
        <w:spacing w:line="240" w:lineRule="auto"/>
      </w:pPr>
    </w:p>
    <w:p w:rsidR="00F43C9B" w:rsidRDefault="00F43C9B" w:rsidP="00F43C9B">
      <w:pPr>
        <w:shd w:val="clear" w:color="auto" w:fill="D9D9D9" w:themeFill="background1" w:themeFillShade="D9"/>
        <w:spacing w:line="240" w:lineRule="auto"/>
      </w:pPr>
    </w:p>
    <w:p w:rsidR="00F43C9B" w:rsidRPr="00AD2CF5" w:rsidRDefault="00F43C9B" w:rsidP="00F43C9B">
      <w:pPr>
        <w:shd w:val="clear" w:color="auto" w:fill="D9D9D9" w:themeFill="background1" w:themeFillShade="D9"/>
        <w:spacing w:line="240" w:lineRule="auto"/>
      </w:pPr>
    </w:p>
    <w:p w:rsidR="00F43C9B" w:rsidRPr="00AD2CF5" w:rsidRDefault="00F43C9B" w:rsidP="00F43C9B">
      <w:pPr>
        <w:shd w:val="clear" w:color="auto" w:fill="D9D9D9" w:themeFill="background1" w:themeFillShade="D9"/>
        <w:spacing w:line="240" w:lineRule="auto"/>
      </w:pPr>
    </w:p>
    <w:p w:rsidR="00F43C9B" w:rsidRPr="00AD2CF5" w:rsidRDefault="00C428B8" w:rsidP="00F43C9B">
      <w:pPr>
        <w:pStyle w:val="Kop3"/>
        <w:shd w:val="clear" w:color="auto" w:fill="D9D9D9" w:themeFill="background1" w:themeFillShade="D9"/>
      </w:pPr>
      <w:r>
        <w:fldChar w:fldCharType="begin"/>
      </w:r>
      <w:r>
        <w:instrText xml:space="preserve"> SEQ numchaplev1 \c \* MERGEFORMAT </w:instrText>
      </w:r>
      <w:r>
        <w:fldChar w:fldCharType="separate"/>
      </w:r>
      <w:bookmarkStart w:id="572" w:name="_Toc413945837"/>
      <w:bookmarkStart w:id="573" w:name="_Toc431375850"/>
      <w:r w:rsidR="00F43C9B" w:rsidRPr="00B15E90">
        <w:rPr>
          <w:noProof/>
        </w:rPr>
        <w:t>4</w:t>
      </w:r>
      <w:r>
        <w:rPr>
          <w:noProof/>
        </w:rPr>
        <w:fldChar w:fldCharType="end"/>
      </w:r>
      <w:r w:rsidR="00F43C9B" w:rsidRPr="00AD2CF5">
        <w:t>.</w:t>
      </w:r>
      <w:r>
        <w:fldChar w:fldCharType="begin"/>
      </w:r>
      <w:r>
        <w:instrText xml:space="preserve"> SEQ numchaplev2 \c \* MERGEFORMAT </w:instrText>
      </w:r>
      <w:r>
        <w:fldChar w:fldCharType="separate"/>
      </w:r>
      <w:r w:rsidR="00F43C9B" w:rsidRPr="00B15E90">
        <w:rPr>
          <w:noProof/>
        </w:rPr>
        <w:t>5</w:t>
      </w:r>
      <w:r>
        <w:rPr>
          <w:noProof/>
        </w:rPr>
        <w:fldChar w:fldCharType="end"/>
      </w:r>
      <w:r w:rsidR="00F43C9B" w:rsidRPr="00AD2CF5">
        <w:t>.</w:t>
      </w:r>
      <w:r>
        <w:fldChar w:fldCharType="begin"/>
      </w:r>
      <w:r>
        <w:instrText xml:space="preserve"> SEQ numchaplev3 \n \* MERGEFORMAT </w:instrText>
      </w:r>
      <w:r>
        <w:fldChar w:fldCharType="separate"/>
      </w:r>
      <w:r w:rsidR="00F43C9B" w:rsidRPr="00B15E90">
        <w:rPr>
          <w:noProof/>
        </w:rPr>
        <w:t>3</w:t>
      </w:r>
      <w:r>
        <w:rPr>
          <w:noProof/>
        </w:rPr>
        <w:fldChar w:fldCharType="end"/>
      </w:r>
      <w:r w:rsidR="00F43C9B" w:rsidRPr="00AD2CF5">
        <w:fldChar w:fldCharType="begin"/>
      </w:r>
      <w:r w:rsidR="00F43C9B" w:rsidRPr="00AD2CF5">
        <w:instrText xml:space="preserve"> SEQ numchaplev4 \r0\h \* MERGEFORMAT </w:instrText>
      </w:r>
      <w:r w:rsidR="00F43C9B" w:rsidRPr="00AD2CF5">
        <w:fldChar w:fldCharType="end"/>
      </w:r>
      <w:r w:rsidR="00F43C9B" w:rsidRPr="00AD2CF5">
        <w:tab/>
        <w:t>Afschermende objecten</w:t>
      </w:r>
      <w:bookmarkEnd w:id="572"/>
      <w:bookmarkEnd w:id="573"/>
    </w:p>
    <w:p w:rsidR="00F43C9B" w:rsidRPr="00AD2CF5" w:rsidRDefault="00F43C9B" w:rsidP="00F43C9B">
      <w:pPr>
        <w:keepNext/>
        <w:keepLines/>
        <w:shd w:val="clear" w:color="auto" w:fill="D9D9D9" w:themeFill="background1" w:themeFillShade="D9"/>
        <w:tabs>
          <w:tab w:val="left" w:pos="-108"/>
          <w:tab w:val="left" w:pos="573"/>
          <w:tab w:val="left" w:pos="1309"/>
          <w:tab w:val="left" w:pos="2387"/>
        </w:tabs>
        <w:suppressAutoHyphens/>
        <w:spacing w:line="240" w:lineRule="auto"/>
      </w:pPr>
      <w:bookmarkStart w:id="574" w:name="afscherming"/>
      <w:r w:rsidRPr="00AD2CF5">
        <w:t>Een object moet aan de volgende eisen voldoen om als afschermend object in rekening te worden gebracht:</w:t>
      </w:r>
    </w:p>
    <w:p w:rsidR="00F43C9B" w:rsidRPr="00AD2CF5" w:rsidRDefault="00F43C9B" w:rsidP="00F43C9B">
      <w:pPr>
        <w:keepNext/>
        <w:keepLines/>
        <w:shd w:val="clear" w:color="auto" w:fill="D9D9D9" w:themeFill="background1" w:themeFillShade="D9"/>
        <w:tabs>
          <w:tab w:val="left" w:pos="-108"/>
          <w:tab w:val="left" w:pos="284"/>
          <w:tab w:val="left" w:pos="1309"/>
          <w:tab w:val="left" w:pos="2387"/>
        </w:tabs>
        <w:suppressAutoHyphens/>
        <w:spacing w:line="240" w:lineRule="auto"/>
        <w:ind w:left="284" w:hanging="284"/>
      </w:pPr>
      <w:r w:rsidRPr="00AD2CF5">
        <w:t>-</w:t>
      </w:r>
      <w:r w:rsidRPr="00AD2CF5">
        <w:tab/>
        <w:t>De massa per eenheid van oppervlakte dient tenminste 10 kg/m</w:t>
      </w:r>
      <w:r w:rsidRPr="00AD2CF5">
        <w:rPr>
          <w:vertAlign w:val="superscript"/>
        </w:rPr>
        <w:t>2</w:t>
      </w:r>
      <w:r w:rsidRPr="00AD2CF5">
        <w:t xml:space="preserve"> te bedragen.</w:t>
      </w:r>
    </w:p>
    <w:p w:rsidR="00F43C9B" w:rsidRPr="00AD2CF5" w:rsidRDefault="00F43C9B" w:rsidP="00F43C9B">
      <w:pPr>
        <w:keepLines/>
        <w:shd w:val="clear" w:color="auto" w:fill="D9D9D9" w:themeFill="background1" w:themeFillShade="D9"/>
        <w:tabs>
          <w:tab w:val="left" w:pos="-108"/>
          <w:tab w:val="left" w:pos="284"/>
          <w:tab w:val="left" w:pos="1309"/>
          <w:tab w:val="left" w:pos="2387"/>
        </w:tabs>
        <w:suppressAutoHyphens/>
        <w:spacing w:line="240" w:lineRule="auto"/>
        <w:ind w:left="284" w:hanging="284"/>
      </w:pPr>
      <w:r w:rsidRPr="00AD2CF5">
        <w:t>-</w:t>
      </w:r>
      <w:r w:rsidRPr="00AD2CF5">
        <w:tab/>
        <w:t>Het object mag geen grote kieren of openingen bevatten. Procesinstallaties, bomen</w:t>
      </w:r>
      <w:r w:rsidRPr="00AD2CF5">
        <w:fldChar w:fldCharType="begin"/>
      </w:r>
      <w:r w:rsidRPr="00AD2CF5">
        <w:instrText xml:space="preserve"> XE "bomen" </w:instrText>
      </w:r>
      <w:r w:rsidRPr="00AD2CF5">
        <w:fldChar w:fldCharType="end"/>
      </w:r>
      <w:r w:rsidRPr="00AD2CF5">
        <w:t xml:space="preserve"> e.d. worden dus niet als een afschermend object in rekening gebracht.</w:t>
      </w:r>
    </w:p>
    <w:p w:rsidR="00F43C9B" w:rsidRPr="00AD2CF5" w:rsidRDefault="00F43C9B" w:rsidP="00F43C9B">
      <w:pPr>
        <w:shd w:val="clear" w:color="auto" w:fill="D9D9D9" w:themeFill="background1" w:themeFillShade="D9"/>
        <w:tabs>
          <w:tab w:val="left" w:pos="-108"/>
          <w:tab w:val="left" w:pos="284"/>
          <w:tab w:val="left" w:pos="1309"/>
          <w:tab w:val="left" w:pos="2387"/>
        </w:tabs>
        <w:suppressAutoHyphens/>
        <w:spacing w:line="240" w:lineRule="auto"/>
        <w:ind w:left="284" w:hanging="284"/>
      </w:pPr>
      <w:r w:rsidRPr="00AD2CF5">
        <w:t>-</w:t>
      </w:r>
      <w:r w:rsidRPr="00AD2CF5">
        <w:tab/>
        <w:t>Het object wordt vanuit de bron of vanuit het rekenpunt gezien onder een hoek van tenminste 5</w:t>
      </w:r>
      <w:r w:rsidRPr="00AD2CF5">
        <w:rPr>
          <w:rFonts w:ascii="Symbol" w:hAnsi="Symbol"/>
        </w:rPr>
        <w:t></w:t>
      </w:r>
      <w:r w:rsidRPr="00AD2CF5">
        <w:t xml:space="preserve"> in het horizontale vlak.</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Grote objecten, zoals heuvels en eventueel duinen waarbij het terrein een hellingspercentage kent van minder dan 20%, worden niet als afschermende objecten ingevoerd. Deze kunnen in rekening gebracht worden door een variatie in de maaiveldhoogte van de bodemvlakken.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Drie verschillende afschermende objecten worden onderscheiden:</w:t>
      </w:r>
    </w:p>
    <w:p w:rsidR="00F43C9B" w:rsidRPr="00AD2CF5" w:rsidRDefault="00F43C9B" w:rsidP="00F43C9B">
      <w:pPr>
        <w:shd w:val="clear" w:color="auto" w:fill="D9D9D9" w:themeFill="background1" w:themeFillShade="D9"/>
        <w:suppressAutoHyphens/>
        <w:spacing w:line="240" w:lineRule="auto"/>
        <w:ind w:left="284" w:hanging="284"/>
      </w:pPr>
      <w:r w:rsidRPr="00AD2CF5">
        <w:t>-</w:t>
      </w:r>
      <w:r w:rsidRPr="00AD2CF5">
        <w:tab/>
        <w:t>scherm</w:t>
      </w:r>
      <w:r w:rsidRPr="00AD2CF5">
        <w:fldChar w:fldCharType="begin"/>
      </w:r>
      <w:r w:rsidRPr="00AD2CF5">
        <w:instrText xml:space="preserve"> XE "afschermende objecten:scherm" </w:instrText>
      </w:r>
      <w:r w:rsidRPr="00AD2CF5">
        <w:fldChar w:fldCharType="end"/>
      </w:r>
      <w:r w:rsidRPr="00AD2CF5">
        <w:t>;</w:t>
      </w:r>
    </w:p>
    <w:p w:rsidR="00F43C9B" w:rsidRPr="00AD2CF5" w:rsidRDefault="00F43C9B" w:rsidP="00F43C9B">
      <w:pPr>
        <w:shd w:val="clear" w:color="auto" w:fill="D9D9D9" w:themeFill="background1" w:themeFillShade="D9"/>
        <w:suppressAutoHyphens/>
        <w:spacing w:line="240" w:lineRule="auto"/>
        <w:ind w:left="284" w:hanging="284"/>
      </w:pPr>
      <w:r w:rsidRPr="00AD2CF5">
        <w:t>-</w:t>
      </w:r>
      <w:r w:rsidRPr="00AD2CF5">
        <w:tab/>
        <w:t>wal</w:t>
      </w:r>
      <w:r w:rsidRPr="00AD2CF5">
        <w:fldChar w:fldCharType="begin"/>
      </w:r>
      <w:r w:rsidRPr="00AD2CF5">
        <w:instrText xml:space="preserve"> XE "afschermende objecten:wal" </w:instrText>
      </w:r>
      <w:r w:rsidRPr="00AD2CF5">
        <w:fldChar w:fldCharType="end"/>
      </w:r>
      <w:r w:rsidRPr="00AD2CF5">
        <w:t>;</w:t>
      </w:r>
    </w:p>
    <w:p w:rsidR="00F43C9B" w:rsidRPr="00AD2CF5" w:rsidRDefault="00F43C9B" w:rsidP="00F43C9B">
      <w:pPr>
        <w:shd w:val="clear" w:color="auto" w:fill="D9D9D9" w:themeFill="background1" w:themeFillShade="D9"/>
        <w:suppressAutoHyphens/>
        <w:spacing w:line="240" w:lineRule="auto"/>
        <w:ind w:left="284" w:hanging="284"/>
      </w:pPr>
      <w:r w:rsidRPr="00AD2CF5">
        <w:t>-</w:t>
      </w:r>
      <w:r w:rsidRPr="00AD2CF5">
        <w:tab/>
        <w:t>gebouw</w:t>
      </w:r>
      <w:r w:rsidRPr="00AD2CF5">
        <w:fldChar w:fldCharType="begin"/>
      </w:r>
      <w:r w:rsidRPr="00AD2CF5">
        <w:instrText xml:space="preserve"> XE "afschermende objecten:gebouw" </w:instrText>
      </w:r>
      <w:r w:rsidRPr="00AD2CF5">
        <w:fldChar w:fldCharType="end"/>
      </w:r>
      <w:r w:rsidRPr="00AD2CF5">
        <w: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Een scherm</w:t>
      </w:r>
      <w:r w:rsidRPr="00AD2CF5">
        <w:fldChar w:fldCharType="begin"/>
      </w:r>
      <w:r w:rsidRPr="00AD2CF5">
        <w:instrText xml:space="preserve"> XE "afschermende objecten:scherm" </w:instrText>
      </w:r>
      <w:r w:rsidRPr="00AD2CF5">
        <w:fldChar w:fldCharType="end"/>
      </w:r>
      <w:r w:rsidRPr="00AD2CF5">
        <w:t xml:space="preserve"> en een wal</w:t>
      </w:r>
      <w:r w:rsidRPr="00AD2CF5">
        <w:fldChar w:fldCharType="begin"/>
      </w:r>
      <w:r w:rsidRPr="00AD2CF5">
        <w:instrText xml:space="preserve"> XE "afschermende objecten:wal" </w:instrText>
      </w:r>
      <w:r w:rsidRPr="00AD2CF5">
        <w:fldChar w:fldCharType="end"/>
      </w:r>
      <w:r w:rsidRPr="00AD2CF5">
        <w:t xml:space="preserve"> worden geschematiseerd door een verticaal vlak of keten van verticale vlakken, die onder een hoek met elkaar staan, waarbij er vanuit wordt gegaan dat de bovenrand horizontaal loopt. Bij een wal wordt de positie van het vlak op het snijpunt gekozen van het voor- en achtervlak van de wal. Voor de berekening moet de hoogte bekend zijn, voor een wal moet bovendien de tophoek opgegeven worden. De definitie van de tophoek is in onderstaande figuren gegeven. Indien een scherm op een wal zo laag is dat de gestippelde lijnen in fig 4.5b het talud snijden, wordt de grootte van de tophoek bepaald zoals dit in figuur 4.5a is weergegeven.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tbl>
      <w:tblPr>
        <w:tblW w:w="0" w:type="auto"/>
        <w:tblInd w:w="70" w:type="dxa"/>
        <w:tblLayout w:type="fixed"/>
        <w:tblCellMar>
          <w:left w:w="70" w:type="dxa"/>
          <w:right w:w="70" w:type="dxa"/>
        </w:tblCellMar>
        <w:tblLook w:val="0000" w:firstRow="0" w:lastRow="0" w:firstColumn="0" w:lastColumn="0" w:noHBand="0" w:noVBand="0"/>
      </w:tblPr>
      <w:tblGrid>
        <w:gridCol w:w="3544"/>
        <w:gridCol w:w="3897"/>
      </w:tblGrid>
      <w:tr w:rsidR="00F43C9B" w:rsidRPr="00AD2CF5" w:rsidTr="00F43C9B">
        <w:trPr>
          <w:trHeight w:val="2703"/>
        </w:trPr>
        <w:tc>
          <w:tcPr>
            <w:tcW w:w="3544" w:type="dxa"/>
          </w:tcPr>
          <w:p w:rsidR="00F43C9B" w:rsidRPr="00AD2CF5" w:rsidRDefault="00F43C9B" w:rsidP="00F43C9B">
            <w:pPr>
              <w:pStyle w:val="N3"/>
              <w:keepNext/>
              <w:keepLines/>
              <w:shd w:val="clear" w:color="auto" w:fill="D9D9D9" w:themeFill="background1" w:themeFillShade="D9"/>
              <w:tabs>
                <w:tab w:val="clear" w:pos="1677"/>
              </w:tabs>
              <w:ind w:left="0" w:firstLine="0"/>
              <w:rPr>
                <w:rFonts w:ascii="Times New Roman" w:hAnsi="Times New Roman"/>
                <w:b w:val="0"/>
                <w:lang w:val="nl-NL"/>
              </w:rPr>
            </w:pPr>
            <w:r w:rsidRPr="00AD2CF5">
              <w:rPr>
                <w:rFonts w:ascii="Times New Roman" w:hAnsi="Times New Roman"/>
                <w:b w:val="0"/>
                <w:noProof/>
                <w:lang w:val="nl-NL" w:eastAsia="nl-NL"/>
              </w:rPr>
              <w:drawing>
                <wp:inline distT="0" distB="0" distL="0" distR="0" wp14:anchorId="7DB38041" wp14:editId="6A4C4B3A">
                  <wp:extent cx="2228850" cy="1190625"/>
                  <wp:effectExtent l="19050" t="0" r="0" b="0"/>
                  <wp:docPr id="53"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1" cstate="print"/>
                          <a:srcRect/>
                          <a:stretch>
                            <a:fillRect/>
                          </a:stretch>
                        </pic:blipFill>
                        <pic:spPr bwMode="auto">
                          <a:xfrm>
                            <a:off x="0" y="0"/>
                            <a:ext cx="2228850" cy="1190625"/>
                          </a:xfrm>
                          <a:prstGeom prst="rect">
                            <a:avLst/>
                          </a:prstGeom>
                          <a:noFill/>
                          <a:ln w="9525">
                            <a:noFill/>
                            <a:miter lim="800000"/>
                            <a:headEnd/>
                            <a:tailEnd/>
                          </a:ln>
                        </pic:spPr>
                      </pic:pic>
                    </a:graphicData>
                  </a:graphic>
                </wp:inline>
              </w:drawing>
            </w:r>
          </w:p>
          <w:p w:rsidR="00F43C9B" w:rsidRPr="00851CD8" w:rsidRDefault="00F43C9B" w:rsidP="00F43C9B">
            <w:pPr>
              <w:pStyle w:val="Bijschrift"/>
              <w:shd w:val="clear" w:color="auto" w:fill="D9D9D9" w:themeFill="background1" w:themeFillShade="D9"/>
              <w:rPr>
                <w:b w:val="0"/>
                <w:lang w:val="nl-NL"/>
              </w:rPr>
            </w:pPr>
            <w:r w:rsidRPr="00851CD8">
              <w:rPr>
                <w:lang w:val="nl-NL"/>
              </w:rPr>
              <w:t xml:space="preserve">Figuur 4. </w:t>
            </w:r>
            <w:r>
              <w:fldChar w:fldCharType="begin"/>
            </w:r>
            <w:r w:rsidRPr="00851CD8">
              <w:rPr>
                <w:lang w:val="nl-NL"/>
              </w:rPr>
              <w:instrText xml:space="preserve"> SEQ Figuur_4. \* ARABIC </w:instrText>
            </w:r>
            <w:r>
              <w:fldChar w:fldCharType="separate"/>
            </w:r>
            <w:r>
              <w:rPr>
                <w:noProof/>
                <w:lang w:val="nl-NL"/>
              </w:rPr>
              <w:t>5</w:t>
            </w:r>
            <w:r>
              <w:fldChar w:fldCharType="end"/>
            </w:r>
            <w:r w:rsidRPr="00851CD8">
              <w:rPr>
                <w:lang w:val="nl-NL"/>
              </w:rPr>
              <w:t>a:</w:t>
            </w:r>
            <w:r w:rsidRPr="00851CD8">
              <w:rPr>
                <w:b w:val="0"/>
                <w:lang w:val="nl-NL"/>
              </w:rPr>
              <w:t xml:space="preserve"> Tophoek </w:t>
            </w:r>
            <w:r w:rsidRPr="00AD2CF5">
              <w:rPr>
                <w:rFonts w:ascii="Symbol" w:hAnsi="Symbol"/>
                <w:b w:val="0"/>
                <w:i/>
              </w:rPr>
              <w:t></w:t>
            </w:r>
            <w:r w:rsidRPr="00851CD8">
              <w:rPr>
                <w:b w:val="0"/>
                <w:lang w:val="nl-NL"/>
              </w:rPr>
              <w:t xml:space="preserve"> van wal</w:t>
            </w:r>
            <w:r w:rsidRPr="00AD2CF5">
              <w:rPr>
                <w:b w:val="0"/>
              </w:rPr>
              <w:fldChar w:fldCharType="begin"/>
            </w:r>
            <w:r w:rsidRPr="00851CD8">
              <w:rPr>
                <w:b w:val="0"/>
                <w:lang w:val="nl-NL"/>
              </w:rPr>
              <w:instrText xml:space="preserve"> XE "</w:instrText>
            </w:r>
            <w:r w:rsidRPr="00851CD8">
              <w:rPr>
                <w:lang w:val="nl-NL"/>
              </w:rPr>
              <w:instrText>afschermende objecten:wal"</w:instrText>
            </w:r>
            <w:r w:rsidRPr="00851CD8">
              <w:rPr>
                <w:b w:val="0"/>
                <w:lang w:val="nl-NL"/>
              </w:rPr>
              <w:instrText xml:space="preserve"> </w:instrText>
            </w:r>
            <w:r w:rsidRPr="00AD2CF5">
              <w:rPr>
                <w:b w:val="0"/>
              </w:rPr>
              <w:fldChar w:fldCharType="end"/>
            </w:r>
            <w:r w:rsidRPr="00851CD8">
              <w:rPr>
                <w:b w:val="0"/>
                <w:lang w:val="nl-NL"/>
              </w:rPr>
              <w:t xml:space="preserve"> met platte top</w:t>
            </w:r>
            <w:r w:rsidRPr="00851CD8">
              <w:rPr>
                <w:b w:val="0"/>
                <w:sz w:val="19"/>
                <w:lang w:val="nl-NL"/>
              </w:rPr>
              <w:t>.</w:t>
            </w:r>
          </w:p>
        </w:tc>
        <w:tc>
          <w:tcPr>
            <w:tcW w:w="3897" w:type="dxa"/>
          </w:tcPr>
          <w:p w:rsidR="00F43C9B" w:rsidRPr="00AD2CF5" w:rsidRDefault="00F43C9B" w:rsidP="00F43C9B">
            <w:pPr>
              <w:pStyle w:val="bijschrift0"/>
              <w:shd w:val="clear" w:color="auto" w:fill="D9D9D9" w:themeFill="background1" w:themeFillShade="D9"/>
              <w:tabs>
                <w:tab w:val="left" w:pos="-720"/>
              </w:tabs>
              <w:suppressAutoHyphens/>
              <w:ind w:right="-283"/>
              <w:rPr>
                <w:rFonts w:ascii="Times New Roman" w:hAnsi="Times New Roman"/>
                <w:sz w:val="21"/>
                <w:lang w:val="nl-NL"/>
              </w:rPr>
            </w:pPr>
            <w:r w:rsidRPr="00AD2CF5">
              <w:rPr>
                <w:rFonts w:ascii="Times New Roman" w:hAnsi="Times New Roman"/>
                <w:noProof/>
                <w:lang w:val="nl-NL" w:eastAsia="nl-NL"/>
              </w:rPr>
              <w:drawing>
                <wp:inline distT="0" distB="0" distL="0" distR="0" wp14:anchorId="0BEED59A" wp14:editId="64852D24">
                  <wp:extent cx="2295525" cy="1190625"/>
                  <wp:effectExtent l="19050" t="0" r="9525" b="0"/>
                  <wp:docPr id="54"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2" cstate="print"/>
                          <a:srcRect/>
                          <a:stretch>
                            <a:fillRect/>
                          </a:stretch>
                        </pic:blipFill>
                        <pic:spPr bwMode="auto">
                          <a:xfrm>
                            <a:off x="0" y="0"/>
                            <a:ext cx="2295525" cy="1190625"/>
                          </a:xfrm>
                          <a:prstGeom prst="rect">
                            <a:avLst/>
                          </a:prstGeom>
                          <a:noFill/>
                          <a:ln w="9525">
                            <a:noFill/>
                            <a:miter lim="800000"/>
                            <a:headEnd/>
                            <a:tailEnd/>
                          </a:ln>
                        </pic:spPr>
                      </pic:pic>
                    </a:graphicData>
                  </a:graphic>
                </wp:inline>
              </w:drawing>
            </w:r>
          </w:p>
          <w:p w:rsidR="00F43C9B" w:rsidRPr="00AD2CF5" w:rsidRDefault="00F43C9B" w:rsidP="00F43C9B">
            <w:pPr>
              <w:pStyle w:val="Bijschrift"/>
              <w:shd w:val="clear" w:color="auto" w:fill="D9D9D9" w:themeFill="background1" w:themeFillShade="D9"/>
              <w:rPr>
                <w:b w:val="0"/>
                <w:lang w:val="nl-NL"/>
              </w:rPr>
            </w:pPr>
            <w:r w:rsidRPr="00AD2CF5">
              <w:rPr>
                <w:lang w:val="nl-NL"/>
              </w:rPr>
              <w:t>Figuur 4. 5b:</w:t>
            </w:r>
            <w:r w:rsidRPr="00AD2CF5">
              <w:rPr>
                <w:b w:val="0"/>
                <w:lang w:val="nl-NL"/>
              </w:rPr>
              <w:t xml:space="preserve"> Tophoek </w:t>
            </w:r>
            <w:r w:rsidRPr="00AD2CF5">
              <w:rPr>
                <w:rFonts w:ascii="Symbol" w:hAnsi="Symbol"/>
                <w:b w:val="0"/>
                <w:i/>
              </w:rPr>
              <w:t></w:t>
            </w:r>
            <w:r w:rsidRPr="00AD2CF5">
              <w:rPr>
                <w:b w:val="0"/>
                <w:lang w:val="nl-NL"/>
              </w:rPr>
              <w:t xml:space="preserve"> van wal</w:t>
            </w:r>
            <w:r w:rsidRPr="00AD2CF5">
              <w:rPr>
                <w:b w:val="0"/>
              </w:rPr>
              <w:fldChar w:fldCharType="begin"/>
            </w:r>
            <w:r w:rsidRPr="00AD2CF5">
              <w:rPr>
                <w:b w:val="0"/>
                <w:lang w:val="nl-NL"/>
              </w:rPr>
              <w:instrText xml:space="preserve"> XE "</w:instrText>
            </w:r>
            <w:r w:rsidRPr="00AD2CF5">
              <w:rPr>
                <w:lang w:val="nl-NL"/>
              </w:rPr>
              <w:instrText>afschermende objecten:wal"</w:instrText>
            </w:r>
            <w:r w:rsidRPr="00AD2CF5">
              <w:rPr>
                <w:b w:val="0"/>
                <w:lang w:val="nl-NL"/>
              </w:rPr>
              <w:instrText xml:space="preserve"> </w:instrText>
            </w:r>
            <w:r w:rsidRPr="00AD2CF5">
              <w:rPr>
                <w:b w:val="0"/>
              </w:rPr>
              <w:fldChar w:fldCharType="end"/>
            </w:r>
            <w:r w:rsidRPr="00AD2CF5">
              <w:rPr>
                <w:b w:val="0"/>
                <w:lang w:val="nl-NL"/>
              </w:rPr>
              <w:t xml:space="preserve"> met scherm</w:t>
            </w:r>
            <w:r w:rsidRPr="00AD2CF5">
              <w:rPr>
                <w:b w:val="0"/>
              </w:rPr>
              <w:fldChar w:fldCharType="begin"/>
            </w:r>
            <w:r w:rsidRPr="00AD2CF5">
              <w:rPr>
                <w:b w:val="0"/>
                <w:lang w:val="nl-NL"/>
              </w:rPr>
              <w:instrText xml:space="preserve"> XE "</w:instrText>
            </w:r>
            <w:r w:rsidRPr="00AD2CF5">
              <w:rPr>
                <w:lang w:val="nl-NL"/>
              </w:rPr>
              <w:instrText>afschermende objecten:scherm"</w:instrText>
            </w:r>
            <w:r w:rsidRPr="00AD2CF5">
              <w:rPr>
                <w:b w:val="0"/>
                <w:lang w:val="nl-NL"/>
              </w:rPr>
              <w:instrText xml:space="preserve"> </w:instrText>
            </w:r>
            <w:r w:rsidRPr="00AD2CF5">
              <w:rPr>
                <w:b w:val="0"/>
              </w:rPr>
              <w:fldChar w:fldCharType="end"/>
            </w:r>
          </w:p>
        </w:tc>
      </w:tr>
    </w:tbl>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pPr>
      <w:r w:rsidRPr="00AD2CF5">
        <w:t>Bij een wal</w:t>
      </w:r>
      <w:r w:rsidRPr="00AD2CF5">
        <w:fldChar w:fldCharType="begin"/>
      </w:r>
      <w:r w:rsidRPr="00AD2CF5">
        <w:instrText xml:space="preserve"> XE "afschermende objecten:wal" </w:instrText>
      </w:r>
      <w:r w:rsidRPr="00AD2CF5">
        <w:fldChar w:fldCharType="end"/>
      </w:r>
      <w:r w:rsidRPr="00AD2CF5">
        <w:t xml:space="preserve"> is de absorptiecoëfficiënt van het materiaal waaruit het is opgebouwd van belang voor de berekening van de tophoekcorrectie</w:t>
      </w:r>
      <w:r w:rsidRPr="00AD2CF5">
        <w:fldChar w:fldCharType="begin"/>
      </w:r>
      <w:r w:rsidRPr="00AD2CF5">
        <w:instrText xml:space="preserve"> XE "tophoekcorrectie" </w:instrText>
      </w:r>
      <w:r w:rsidRPr="00AD2CF5">
        <w:fldChar w:fldCharType="end"/>
      </w:r>
      <w:r w:rsidRPr="00AD2CF5">
        <w:t xml:space="preserve"> (formule 4.50). Enkele typerende waarden van de absorptiecoëfficiënt zijn voor verschillende materialen in tabel 4.4 aangegeven.</w:t>
      </w:r>
    </w:p>
    <w:p w:rsidR="00F43C9B" w:rsidRPr="00AD2CF5" w:rsidRDefault="00F43C9B" w:rsidP="00F43C9B">
      <w:pPr>
        <w:shd w:val="clear" w:color="auto" w:fill="D9D9D9" w:themeFill="background1" w:themeFillShade="D9"/>
      </w:pPr>
      <w:r w:rsidRPr="00AD2CF5">
        <w:t>Gebouwen worden geschematiseerd als een keten van verticale vlakken van dezelfde hoogte, waarbij het eerste vlak weer aan het laatste vlak aansluit. Er wordt verondersteld dat de hoogte van al deze vlakken gelijk is.</w:t>
      </w:r>
    </w:p>
    <w:p w:rsidR="00F43C9B" w:rsidRPr="00AD2CF5" w:rsidRDefault="00F43C9B" w:rsidP="00F43C9B">
      <w:pPr>
        <w:shd w:val="clear" w:color="auto" w:fill="D9D9D9" w:themeFill="background1" w:themeFillShade="D9"/>
        <w:rPr>
          <w:b/>
          <w:bCs/>
        </w:rPr>
      </w:pPr>
    </w:p>
    <w:p w:rsidR="00F43C9B" w:rsidRPr="00AD2CF5" w:rsidRDefault="00C428B8" w:rsidP="00F43C9B">
      <w:pPr>
        <w:pStyle w:val="Kop3"/>
        <w:shd w:val="clear" w:color="auto" w:fill="D9D9D9" w:themeFill="background1" w:themeFillShade="D9"/>
      </w:pPr>
      <w:r>
        <w:fldChar w:fldCharType="begin"/>
      </w:r>
      <w:r>
        <w:instrText xml:space="preserve"> SEQ numchapl</w:instrText>
      </w:r>
      <w:r>
        <w:instrText xml:space="preserve">ev1 \c \* MERGEFORMAT </w:instrText>
      </w:r>
      <w:r>
        <w:fldChar w:fldCharType="separate"/>
      </w:r>
      <w:bookmarkStart w:id="575" w:name="_Toc413945838"/>
      <w:bookmarkStart w:id="576" w:name="_Toc431375851"/>
      <w:r w:rsidR="00F43C9B" w:rsidRPr="00B15E90">
        <w:rPr>
          <w:noProof/>
        </w:rPr>
        <w:t>4</w:t>
      </w:r>
      <w:r>
        <w:rPr>
          <w:noProof/>
        </w:rPr>
        <w:fldChar w:fldCharType="end"/>
      </w:r>
      <w:r w:rsidR="00F43C9B" w:rsidRPr="00AD2CF5">
        <w:t>.</w:t>
      </w:r>
      <w:r>
        <w:fldChar w:fldCharType="begin"/>
      </w:r>
      <w:r>
        <w:instrText xml:space="preserve"> SEQ numchaplev2 \c \* MERGEFORMAT </w:instrText>
      </w:r>
      <w:r>
        <w:fldChar w:fldCharType="separate"/>
      </w:r>
      <w:r w:rsidR="00F43C9B" w:rsidRPr="00B15E90">
        <w:rPr>
          <w:noProof/>
        </w:rPr>
        <w:t>5</w:t>
      </w:r>
      <w:r>
        <w:rPr>
          <w:noProof/>
        </w:rPr>
        <w:fldChar w:fldCharType="end"/>
      </w:r>
      <w:r w:rsidR="00F43C9B" w:rsidRPr="00AD2CF5">
        <w:t>.</w:t>
      </w:r>
      <w:r>
        <w:fldChar w:fldCharType="begin"/>
      </w:r>
      <w:r>
        <w:instrText xml:space="preserve"> SEQ numchaplev3 \n \* MERGEFORMAT </w:instrText>
      </w:r>
      <w:r>
        <w:fldChar w:fldCharType="separate"/>
      </w:r>
      <w:r w:rsidR="00F43C9B" w:rsidRPr="00B15E90">
        <w:rPr>
          <w:noProof/>
        </w:rPr>
        <w:t>4</w:t>
      </w:r>
      <w:r>
        <w:rPr>
          <w:noProof/>
        </w:rPr>
        <w:fldChar w:fldCharType="end"/>
      </w:r>
      <w:r w:rsidR="00F43C9B" w:rsidRPr="00AD2CF5">
        <w:fldChar w:fldCharType="begin"/>
      </w:r>
      <w:r w:rsidR="00F43C9B" w:rsidRPr="00AD2CF5">
        <w:instrText xml:space="preserve"> SEQ numchaplev4 \r0\h \* MERGEFORMAT </w:instrText>
      </w:r>
      <w:r w:rsidR="00F43C9B" w:rsidRPr="00AD2CF5">
        <w:fldChar w:fldCharType="end"/>
      </w:r>
      <w:r w:rsidR="00F43C9B" w:rsidRPr="00AD2CF5">
        <w:tab/>
        <w:t>Reflecterende objecten</w:t>
      </w:r>
      <w:bookmarkEnd w:id="575"/>
      <w:bookmarkEnd w:id="576"/>
    </w:p>
    <w:p w:rsidR="00F43C9B" w:rsidRPr="00AD2CF5" w:rsidRDefault="00F43C9B" w:rsidP="00F43C9B">
      <w:pPr>
        <w:shd w:val="clear" w:color="auto" w:fill="D9D9D9" w:themeFill="background1" w:themeFillShade="D9"/>
      </w:pPr>
      <w:r w:rsidRPr="00AD2CF5">
        <w:t>Er worden twee typen reflecties onderscheiden: Spiegelreflecties en diffuse reflectie</w:t>
      </w:r>
      <w:r w:rsidRPr="00AD2CF5">
        <w:fldChar w:fldCharType="begin"/>
      </w:r>
      <w:r w:rsidRPr="00AD2CF5">
        <w:instrText xml:space="preserve"> XE "reflectie:diffuse reflectie" </w:instrText>
      </w:r>
      <w:r w:rsidRPr="00AD2CF5">
        <w:fldChar w:fldCharType="end"/>
      </w:r>
      <w:r w:rsidRPr="00AD2CF5">
        <w:t>s. Voor een spiegelreflectie</w:t>
      </w:r>
      <w:r w:rsidRPr="00AD2CF5">
        <w:fldChar w:fldCharType="begin"/>
      </w:r>
      <w:r w:rsidRPr="00AD2CF5">
        <w:instrText xml:space="preserve"> XE "reflectie:spiegelreflectie" </w:instrText>
      </w:r>
      <w:r w:rsidRPr="00AD2CF5">
        <w:fldChar w:fldCharType="end"/>
      </w:r>
      <w:r w:rsidRPr="00AD2CF5">
        <w:t xml:space="preserve"> geldt dat de hoek van inval van het geluid gelijk is aan de hoek die het gereflecteerde geluid maakt met het spiegelende object, vergelijkbaar met een optische spiegeling. Bij diffuse reflecties wordt het invallende geluid diffuus verstrooid.</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rPr>
          <w:i/>
          <w:iCs/>
        </w:rPr>
        <w:br w:type="page"/>
        <w:t>Spiegelende objecten</w:t>
      </w:r>
      <w:r w:rsidRPr="00AD2CF5">
        <w:br/>
        <w:t>Twee verschillende spiegelende objecten worden onderscheiden:</w:t>
      </w:r>
    </w:p>
    <w:p w:rsidR="00F43C9B" w:rsidRPr="00AD2CF5" w:rsidRDefault="00F43C9B" w:rsidP="00EB7F6B">
      <w:pPr>
        <w:numPr>
          <w:ilvl w:val="0"/>
          <w:numId w:val="15"/>
        </w:numPr>
        <w:shd w:val="clear" w:color="auto" w:fill="D9D9D9" w:themeFill="background1" w:themeFillShade="D9"/>
        <w:spacing w:line="280" w:lineRule="exact"/>
        <w:ind w:left="540" w:hanging="540"/>
      </w:pPr>
      <w:r w:rsidRPr="00AD2CF5">
        <w:t>scherm</w:t>
      </w:r>
      <w:r w:rsidRPr="00AD2CF5">
        <w:fldChar w:fldCharType="begin"/>
      </w:r>
      <w:r w:rsidRPr="00AD2CF5">
        <w:instrText xml:space="preserve"> XE "afschermende objecten:scherm" </w:instrText>
      </w:r>
      <w:r w:rsidRPr="00AD2CF5">
        <w:fldChar w:fldCharType="end"/>
      </w:r>
      <w:r w:rsidRPr="00AD2CF5">
        <w:t>;</w:t>
      </w:r>
    </w:p>
    <w:p w:rsidR="00F43C9B" w:rsidRPr="00AD2CF5" w:rsidRDefault="00F43C9B" w:rsidP="00EB7F6B">
      <w:pPr>
        <w:numPr>
          <w:ilvl w:val="0"/>
          <w:numId w:val="15"/>
        </w:numPr>
        <w:shd w:val="clear" w:color="auto" w:fill="D9D9D9" w:themeFill="background1" w:themeFillShade="D9"/>
        <w:spacing w:line="280" w:lineRule="exact"/>
        <w:ind w:left="540" w:hanging="540"/>
      </w:pPr>
      <w:r w:rsidRPr="00AD2CF5">
        <w:t>gebouw</w:t>
      </w:r>
      <w:r w:rsidRPr="00AD2CF5">
        <w:fldChar w:fldCharType="begin"/>
      </w:r>
      <w:r w:rsidRPr="00AD2CF5">
        <w:instrText xml:space="preserve"> XE "afschermende objecten:gebouw" </w:instrText>
      </w:r>
      <w:r w:rsidRPr="00AD2CF5">
        <w:fldChar w:fldCharType="end"/>
      </w:r>
      <w:r w:rsidRPr="00AD2CF5">
        <w:t>.</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t>Een object moet aan de volgende eisen voldoen om als spiegelend reflecterend object in rekening te worden gebracht:</w:t>
      </w:r>
    </w:p>
    <w:p w:rsidR="00F43C9B" w:rsidRPr="00AD2CF5" w:rsidRDefault="00F43C9B" w:rsidP="00F43C9B">
      <w:pPr>
        <w:keepNext/>
        <w:keepLines/>
        <w:shd w:val="clear" w:color="auto" w:fill="D9D9D9" w:themeFill="background1" w:themeFillShade="D9"/>
        <w:tabs>
          <w:tab w:val="left" w:pos="-108"/>
          <w:tab w:val="left" w:pos="284"/>
          <w:tab w:val="left" w:pos="1309"/>
          <w:tab w:val="left" w:pos="2387"/>
        </w:tabs>
        <w:suppressAutoHyphens/>
        <w:spacing w:line="240" w:lineRule="auto"/>
        <w:ind w:left="284" w:hanging="284"/>
      </w:pPr>
      <w:r w:rsidRPr="00AD2CF5">
        <w:t>-</w:t>
      </w:r>
      <w:r w:rsidRPr="00AD2CF5">
        <w:tab/>
        <w:t>Het object heeft een min of meer vlakke en geluidreflecterende wand;</w:t>
      </w:r>
    </w:p>
    <w:p w:rsidR="00F43C9B" w:rsidRPr="00AD2CF5" w:rsidRDefault="00F43C9B" w:rsidP="00F43C9B">
      <w:pPr>
        <w:keepNext/>
        <w:keepLines/>
        <w:shd w:val="clear" w:color="auto" w:fill="D9D9D9" w:themeFill="background1" w:themeFillShade="D9"/>
        <w:tabs>
          <w:tab w:val="left" w:pos="-108"/>
          <w:tab w:val="left" w:pos="284"/>
          <w:tab w:val="left" w:pos="1309"/>
          <w:tab w:val="left" w:pos="2387"/>
        </w:tabs>
        <w:suppressAutoHyphens/>
        <w:spacing w:line="240" w:lineRule="auto"/>
        <w:ind w:left="284" w:hanging="284"/>
      </w:pPr>
      <w:r w:rsidRPr="00AD2CF5">
        <w:t>-</w:t>
      </w:r>
      <w:r w:rsidRPr="00AD2CF5">
        <w:tab/>
        <w:t>De reflecterende wand moet een dichtheid hebben groter dan 10 kg/m2;</w:t>
      </w:r>
    </w:p>
    <w:p w:rsidR="00F43C9B" w:rsidRPr="00AD2CF5" w:rsidRDefault="00F43C9B" w:rsidP="00F43C9B">
      <w:pPr>
        <w:keepNext/>
        <w:keepLines/>
        <w:shd w:val="clear" w:color="auto" w:fill="D9D9D9" w:themeFill="background1" w:themeFillShade="D9"/>
        <w:tabs>
          <w:tab w:val="left" w:pos="-108"/>
          <w:tab w:val="left" w:pos="284"/>
          <w:tab w:val="left" w:pos="1309"/>
          <w:tab w:val="left" w:pos="2387"/>
        </w:tabs>
        <w:suppressAutoHyphens/>
        <w:spacing w:line="240" w:lineRule="auto"/>
        <w:ind w:left="284" w:hanging="284"/>
      </w:pPr>
      <w:r w:rsidRPr="00AD2CF5">
        <w:t>-</w:t>
      </w:r>
      <w:r w:rsidRPr="00AD2CF5">
        <w:tab/>
        <w:t>De hoek tussen de geluidreflecterende wand en de verticaal moet kleiner zijn dan 10</w:t>
      </w:r>
      <w:r w:rsidRPr="00AD2CF5">
        <w:sym w:font="Symbol" w:char="F0B0"/>
      </w:r>
      <w:r w:rsidRPr="00AD2CF5">
        <w:t>.</w:t>
      </w:r>
    </w:p>
    <w:p w:rsidR="00F43C9B" w:rsidRPr="00AD2CF5" w:rsidRDefault="00F43C9B" w:rsidP="00F43C9B">
      <w:pPr>
        <w:shd w:val="clear" w:color="auto" w:fill="D9D9D9" w:themeFill="background1" w:themeFillShade="D9"/>
      </w:pPr>
      <w:r w:rsidRPr="00AD2CF5">
        <w:t>De spiegelende objecten worden op dezelfde manier geschematiseerd als de overeenkomstige afschermende objecten. Van een reflecterend vlak moet daarnaast ook de reflectiviteit</w:t>
      </w:r>
      <w:r w:rsidRPr="00AD2CF5">
        <w:fldChar w:fldCharType="begin"/>
      </w:r>
      <w:r w:rsidRPr="00AD2CF5">
        <w:instrText xml:space="preserve"> XE "reflectiviteit" </w:instrText>
      </w:r>
      <w:r w:rsidRPr="00AD2CF5">
        <w:fldChar w:fldCharType="end"/>
      </w:r>
      <w:r w:rsidRPr="00AD2CF5">
        <w:t xml:space="preserve"> (0 </w:t>
      </w:r>
      <w:r w:rsidRPr="00AD2CF5">
        <w:sym w:font="Symbol" w:char="F0B3"/>
      </w:r>
      <w:r w:rsidRPr="00AD2CF5">
        <w:t> </w:t>
      </w:r>
      <w:r w:rsidRPr="00AD2CF5">
        <w:rPr>
          <w:rFonts w:ascii="Symbol" w:hAnsi="Symbol"/>
          <w:i/>
          <w:iCs/>
        </w:rPr>
        <w:t></w:t>
      </w:r>
      <w:r w:rsidRPr="00AD2CF5">
        <w:t> </w:t>
      </w:r>
      <w:r w:rsidRPr="00AD2CF5">
        <w:sym w:font="Symbol" w:char="F0B3"/>
      </w:r>
      <w:r w:rsidRPr="00AD2CF5">
        <w:t xml:space="preserve"> 1) gegeven worden. De reflectiviteit </w:t>
      </w:r>
      <w:r w:rsidRPr="00AD2CF5">
        <w:rPr>
          <w:rFonts w:ascii="Symbol" w:hAnsi="Symbol"/>
          <w:i/>
          <w:iCs/>
        </w:rPr>
        <w:t></w:t>
      </w:r>
      <w:r w:rsidRPr="00AD2CF5">
        <w:t xml:space="preserve"> is de reflectiecoëfficiënt</w:t>
      </w:r>
      <w:r w:rsidRPr="00AD2CF5">
        <w:fldChar w:fldCharType="begin"/>
      </w:r>
      <w:r w:rsidRPr="00AD2CF5">
        <w:instrText xml:space="preserve"> XE "reflectiecoëfficiënt" </w:instrText>
      </w:r>
      <w:r w:rsidRPr="00AD2CF5">
        <w:fldChar w:fldCharType="end"/>
      </w:r>
      <w:r w:rsidRPr="00AD2CF5">
        <w:t xml:space="preserve"> voor de geluidenergie en wordt bepaald door de absorptiecoëfficiënt </w:t>
      </w:r>
      <w:r w:rsidRPr="00AD2CF5">
        <w:rPr>
          <w:i/>
          <w:iCs/>
        </w:rPr>
        <w:sym w:font="Symbol" w:char="F061"/>
      </w:r>
      <w:r w:rsidRPr="00AD2CF5">
        <w:rPr>
          <w:i/>
          <w:iCs/>
          <w:vertAlign w:val="subscript"/>
        </w:rPr>
        <w:t>abs</w:t>
      </w:r>
      <w:r w:rsidRPr="00AD2CF5">
        <w:t xml:space="preserve"> van het materiaal waaruit het reflecterende vlak bestaat: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rFonts w:ascii="Symbol" w:hAnsi="Symbol"/>
          <w:i/>
          <w:iCs/>
        </w:rPr>
        <w:t></w:t>
      </w:r>
      <w:r w:rsidRPr="00AD2CF5">
        <w:rPr>
          <w:rFonts w:ascii="Symbol" w:hAnsi="Symbol"/>
          <w:i/>
          <w:iCs/>
        </w:rPr>
        <w:t></w:t>
      </w:r>
      <w:r w:rsidRPr="00AD2CF5">
        <w:rPr>
          <w:rFonts w:ascii="Symbol" w:hAnsi="Symbol"/>
          <w:i/>
          <w:iCs/>
        </w:rPr>
        <w:t></w:t>
      </w:r>
      <w:r w:rsidRPr="00AD2CF5">
        <w:rPr>
          <w:rFonts w:ascii="Symbol" w:hAnsi="Symbol"/>
          <w:i/>
          <w:iCs/>
        </w:rPr>
        <w:t></w:t>
      </w:r>
      <w:r w:rsidRPr="00AD2CF5">
        <w:t>1</w:t>
      </w:r>
      <w:r w:rsidRPr="00AD2CF5">
        <w:rPr>
          <w:i/>
          <w:iCs/>
        </w:rPr>
        <w:t>-</w:t>
      </w:r>
      <w:r w:rsidRPr="00AD2CF5">
        <w:rPr>
          <w:i/>
          <w:iCs/>
        </w:rPr>
        <w:sym w:font="Symbol" w:char="F061"/>
      </w:r>
      <w:r w:rsidRPr="00AD2CF5">
        <w:rPr>
          <w:i/>
          <w:iCs/>
          <w:vertAlign w:val="subscript"/>
        </w:rPr>
        <w:t>abs</w:t>
      </w:r>
      <w:r w:rsidRPr="00AD2CF5">
        <w:t xml:space="preserve">. In het algemeen is </w:t>
      </w:r>
      <w:r w:rsidRPr="00AD2CF5">
        <w:rPr>
          <w:rFonts w:ascii="Symbol" w:hAnsi="Symbol"/>
          <w:i/>
          <w:iCs/>
        </w:rPr>
        <w:t></w:t>
      </w:r>
      <w:r w:rsidRPr="00AD2CF5">
        <w:t xml:space="preserve"> een functie van de frequentie</w:t>
      </w:r>
      <w:r w:rsidRPr="00AD2CF5">
        <w:fldChar w:fldCharType="begin"/>
      </w:r>
      <w:r w:rsidRPr="00AD2CF5">
        <w:instrText xml:space="preserve"> XE "frequentie" </w:instrText>
      </w:r>
      <w:r w:rsidRPr="00AD2CF5">
        <w:fldChar w:fldCharType="end"/>
      </w:r>
      <w:r w:rsidRPr="00AD2CF5">
        <w:t>. Enkele typerende waarden van de absorptiecoëfficiënt zijn voor verschillende materialen in tabel 4.4 aangegeven.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b/>
        </w:rPr>
        <w:t>Tabel 4.4.</w:t>
      </w:r>
      <w:r w:rsidRPr="00AD2CF5">
        <w:t xml:space="preserve"> Typische waarden voor absorptiecoëfficiënten voor verschillende materialen.</w:t>
      </w:r>
    </w:p>
    <w:tbl>
      <w:tblPr>
        <w:tblW w:w="7505" w:type="dxa"/>
        <w:tblInd w:w="17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220"/>
        <w:gridCol w:w="539"/>
        <w:gridCol w:w="593"/>
        <w:gridCol w:w="532"/>
        <w:gridCol w:w="574"/>
        <w:gridCol w:w="574"/>
        <w:gridCol w:w="545"/>
        <w:gridCol w:w="643"/>
        <w:gridCol w:w="642"/>
        <w:gridCol w:w="643"/>
      </w:tblGrid>
      <w:tr w:rsidR="00F43C9B" w:rsidRPr="00AD2CF5" w:rsidTr="00F43C9B">
        <w:tc>
          <w:tcPr>
            <w:tcW w:w="2220" w:type="dxa"/>
            <w:vMerge w:val="restart"/>
            <w:tcBorders>
              <w:top w:val="double" w:sz="6" w:space="0" w:color="auto"/>
              <w:left w:val="double" w:sz="6" w:space="0" w:color="auto"/>
              <w:bottom w:val="nil"/>
              <w:right w:val="single" w:sz="4" w:space="0" w:color="auto"/>
            </w:tcBorders>
            <w:shd w:val="pct10" w:color="auto" w:fill="auto"/>
            <w:vAlign w:val="center"/>
          </w:tcPr>
          <w:p w:rsidR="00F43C9B" w:rsidRPr="00AD2CF5" w:rsidRDefault="00F43C9B" w:rsidP="00F43C9B">
            <w:pPr>
              <w:pStyle w:val="Body"/>
              <w:keepNext/>
              <w:shd w:val="clear" w:color="auto" w:fill="D9D9D9" w:themeFill="background1" w:themeFillShade="D9"/>
              <w:rPr>
                <w:b/>
              </w:rPr>
            </w:pPr>
            <w:r w:rsidRPr="00AD2CF5">
              <w:rPr>
                <w:b/>
              </w:rPr>
              <w:t>Materiaal</w:t>
            </w:r>
          </w:p>
        </w:tc>
        <w:tc>
          <w:tcPr>
            <w:tcW w:w="5285" w:type="dxa"/>
            <w:gridSpan w:val="9"/>
            <w:tcBorders>
              <w:top w:val="double" w:sz="6" w:space="0" w:color="auto"/>
              <w:left w:val="single" w:sz="4" w:space="0" w:color="auto"/>
              <w:bottom w:val="single" w:sz="4" w:space="0" w:color="auto"/>
              <w:right w:val="double" w:sz="6" w:space="0" w:color="auto"/>
            </w:tcBorders>
            <w:shd w:val="pct10" w:color="auto" w:fill="auto"/>
          </w:tcPr>
          <w:p w:rsidR="00F43C9B" w:rsidRPr="00AD2CF5" w:rsidRDefault="00F43C9B" w:rsidP="00F43C9B">
            <w:pPr>
              <w:pStyle w:val="Body"/>
              <w:keepNext/>
              <w:shd w:val="clear" w:color="auto" w:fill="D9D9D9" w:themeFill="background1" w:themeFillShade="D9"/>
            </w:pPr>
            <w:r w:rsidRPr="00AD2CF5">
              <w:t>Geluidabsorptiecoëfficiënt, in oktaafbanden</w:t>
            </w:r>
          </w:p>
        </w:tc>
      </w:tr>
      <w:tr w:rsidR="00F43C9B" w:rsidRPr="00AD2CF5" w:rsidTr="00F43C9B">
        <w:tc>
          <w:tcPr>
            <w:tcW w:w="2220" w:type="dxa"/>
            <w:vMerge/>
            <w:tcBorders>
              <w:top w:val="nil"/>
              <w:left w:val="double" w:sz="6" w:space="0" w:color="auto"/>
              <w:bottom w:val="double" w:sz="6" w:space="0" w:color="auto"/>
              <w:right w:val="single" w:sz="4" w:space="0" w:color="auto"/>
            </w:tcBorders>
            <w:shd w:val="pct10" w:color="auto" w:fill="auto"/>
          </w:tcPr>
          <w:p w:rsidR="00F43C9B" w:rsidRPr="00AD2CF5" w:rsidRDefault="00F43C9B" w:rsidP="00F43C9B">
            <w:pPr>
              <w:pStyle w:val="Body"/>
              <w:keepNext/>
              <w:shd w:val="clear" w:color="auto" w:fill="D9D9D9" w:themeFill="background1" w:themeFillShade="D9"/>
            </w:pPr>
          </w:p>
        </w:tc>
        <w:tc>
          <w:tcPr>
            <w:tcW w:w="539" w:type="dxa"/>
            <w:tcBorders>
              <w:top w:val="single" w:sz="4" w:space="0" w:color="auto"/>
              <w:left w:val="single" w:sz="4" w:space="0" w:color="auto"/>
              <w:bottom w:val="double" w:sz="6" w:space="0" w:color="auto"/>
            </w:tcBorders>
            <w:shd w:val="pct10" w:color="auto" w:fill="auto"/>
          </w:tcPr>
          <w:p w:rsidR="00F43C9B" w:rsidRPr="00AD2CF5" w:rsidRDefault="00F43C9B" w:rsidP="00F43C9B">
            <w:pPr>
              <w:pStyle w:val="Body"/>
              <w:keepNext/>
              <w:shd w:val="clear" w:color="auto" w:fill="D9D9D9" w:themeFill="background1" w:themeFillShade="D9"/>
              <w:rPr>
                <w:b/>
              </w:rPr>
            </w:pPr>
            <w:r w:rsidRPr="00AD2CF5">
              <w:rPr>
                <w:b/>
              </w:rPr>
              <w:t>16</w:t>
            </w:r>
          </w:p>
        </w:tc>
        <w:tc>
          <w:tcPr>
            <w:tcW w:w="593" w:type="dxa"/>
            <w:tcBorders>
              <w:top w:val="single" w:sz="4" w:space="0" w:color="auto"/>
              <w:bottom w:val="double" w:sz="6" w:space="0" w:color="auto"/>
            </w:tcBorders>
            <w:shd w:val="pct10" w:color="auto" w:fill="auto"/>
          </w:tcPr>
          <w:p w:rsidR="00F43C9B" w:rsidRPr="00AD2CF5" w:rsidRDefault="00F43C9B" w:rsidP="00F43C9B">
            <w:pPr>
              <w:pStyle w:val="Body"/>
              <w:keepNext/>
              <w:shd w:val="clear" w:color="auto" w:fill="D9D9D9" w:themeFill="background1" w:themeFillShade="D9"/>
              <w:rPr>
                <w:b/>
              </w:rPr>
            </w:pPr>
            <w:r w:rsidRPr="00AD2CF5">
              <w:rPr>
                <w:b/>
              </w:rPr>
              <w:t>31.5</w:t>
            </w:r>
          </w:p>
        </w:tc>
        <w:tc>
          <w:tcPr>
            <w:tcW w:w="532" w:type="dxa"/>
            <w:tcBorders>
              <w:top w:val="single" w:sz="4" w:space="0" w:color="auto"/>
              <w:bottom w:val="double" w:sz="6" w:space="0" w:color="auto"/>
            </w:tcBorders>
            <w:shd w:val="pct10" w:color="auto" w:fill="auto"/>
          </w:tcPr>
          <w:p w:rsidR="00F43C9B" w:rsidRPr="00AD2CF5" w:rsidRDefault="00F43C9B" w:rsidP="00F43C9B">
            <w:pPr>
              <w:pStyle w:val="Body"/>
              <w:keepNext/>
              <w:shd w:val="clear" w:color="auto" w:fill="D9D9D9" w:themeFill="background1" w:themeFillShade="D9"/>
              <w:rPr>
                <w:b/>
              </w:rPr>
            </w:pPr>
            <w:r w:rsidRPr="00AD2CF5">
              <w:rPr>
                <w:b/>
              </w:rPr>
              <w:t>63</w:t>
            </w:r>
          </w:p>
        </w:tc>
        <w:tc>
          <w:tcPr>
            <w:tcW w:w="574" w:type="dxa"/>
            <w:tcBorders>
              <w:top w:val="single" w:sz="4" w:space="0" w:color="auto"/>
              <w:bottom w:val="double" w:sz="6" w:space="0" w:color="auto"/>
            </w:tcBorders>
            <w:shd w:val="pct10" w:color="auto" w:fill="auto"/>
          </w:tcPr>
          <w:p w:rsidR="00F43C9B" w:rsidRPr="00AD2CF5" w:rsidRDefault="00F43C9B" w:rsidP="00F43C9B">
            <w:pPr>
              <w:pStyle w:val="Body"/>
              <w:keepNext/>
              <w:shd w:val="clear" w:color="auto" w:fill="D9D9D9" w:themeFill="background1" w:themeFillShade="D9"/>
              <w:rPr>
                <w:b/>
              </w:rPr>
            </w:pPr>
            <w:r w:rsidRPr="00AD2CF5">
              <w:rPr>
                <w:b/>
              </w:rPr>
              <w:t>125</w:t>
            </w:r>
          </w:p>
        </w:tc>
        <w:tc>
          <w:tcPr>
            <w:tcW w:w="574" w:type="dxa"/>
            <w:tcBorders>
              <w:top w:val="single" w:sz="4" w:space="0" w:color="auto"/>
              <w:bottom w:val="double" w:sz="6" w:space="0" w:color="auto"/>
            </w:tcBorders>
            <w:shd w:val="pct10" w:color="auto" w:fill="auto"/>
          </w:tcPr>
          <w:p w:rsidR="00F43C9B" w:rsidRPr="00AD2CF5" w:rsidRDefault="00F43C9B" w:rsidP="00F43C9B">
            <w:pPr>
              <w:pStyle w:val="Body"/>
              <w:keepNext/>
              <w:shd w:val="clear" w:color="auto" w:fill="D9D9D9" w:themeFill="background1" w:themeFillShade="D9"/>
              <w:rPr>
                <w:b/>
              </w:rPr>
            </w:pPr>
            <w:r w:rsidRPr="00AD2CF5">
              <w:rPr>
                <w:b/>
              </w:rPr>
              <w:t>250</w:t>
            </w:r>
          </w:p>
        </w:tc>
        <w:tc>
          <w:tcPr>
            <w:tcW w:w="545" w:type="dxa"/>
            <w:tcBorders>
              <w:top w:val="single" w:sz="4" w:space="0" w:color="auto"/>
              <w:bottom w:val="double" w:sz="6" w:space="0" w:color="auto"/>
            </w:tcBorders>
            <w:shd w:val="pct10" w:color="auto" w:fill="auto"/>
          </w:tcPr>
          <w:p w:rsidR="00F43C9B" w:rsidRPr="00AD2CF5" w:rsidRDefault="00F43C9B" w:rsidP="00F43C9B">
            <w:pPr>
              <w:pStyle w:val="Body"/>
              <w:keepNext/>
              <w:shd w:val="clear" w:color="auto" w:fill="D9D9D9" w:themeFill="background1" w:themeFillShade="D9"/>
              <w:rPr>
                <w:b/>
              </w:rPr>
            </w:pPr>
            <w:r w:rsidRPr="00AD2CF5">
              <w:rPr>
                <w:b/>
              </w:rPr>
              <w:t>500</w:t>
            </w:r>
          </w:p>
        </w:tc>
        <w:tc>
          <w:tcPr>
            <w:tcW w:w="643" w:type="dxa"/>
            <w:tcBorders>
              <w:top w:val="single" w:sz="4" w:space="0" w:color="auto"/>
              <w:bottom w:val="double" w:sz="6" w:space="0" w:color="auto"/>
            </w:tcBorders>
            <w:shd w:val="pct10" w:color="auto" w:fill="auto"/>
          </w:tcPr>
          <w:p w:rsidR="00F43C9B" w:rsidRPr="00AD2CF5" w:rsidRDefault="00F43C9B" w:rsidP="00F43C9B">
            <w:pPr>
              <w:pStyle w:val="Body"/>
              <w:keepNext/>
              <w:shd w:val="clear" w:color="auto" w:fill="D9D9D9" w:themeFill="background1" w:themeFillShade="D9"/>
              <w:rPr>
                <w:b/>
              </w:rPr>
            </w:pPr>
            <w:r w:rsidRPr="00AD2CF5">
              <w:rPr>
                <w:b/>
              </w:rPr>
              <w:t>1000</w:t>
            </w:r>
          </w:p>
        </w:tc>
        <w:tc>
          <w:tcPr>
            <w:tcW w:w="642" w:type="dxa"/>
            <w:tcBorders>
              <w:top w:val="single" w:sz="4" w:space="0" w:color="auto"/>
              <w:bottom w:val="double" w:sz="6" w:space="0" w:color="auto"/>
            </w:tcBorders>
            <w:shd w:val="pct10" w:color="auto" w:fill="auto"/>
          </w:tcPr>
          <w:p w:rsidR="00F43C9B" w:rsidRPr="00AD2CF5" w:rsidRDefault="00F43C9B" w:rsidP="00F43C9B">
            <w:pPr>
              <w:pStyle w:val="Body"/>
              <w:keepNext/>
              <w:shd w:val="clear" w:color="auto" w:fill="D9D9D9" w:themeFill="background1" w:themeFillShade="D9"/>
              <w:rPr>
                <w:b/>
              </w:rPr>
            </w:pPr>
            <w:r w:rsidRPr="00AD2CF5">
              <w:rPr>
                <w:b/>
              </w:rPr>
              <w:t>2000</w:t>
            </w:r>
          </w:p>
        </w:tc>
        <w:tc>
          <w:tcPr>
            <w:tcW w:w="643" w:type="dxa"/>
            <w:tcBorders>
              <w:top w:val="single" w:sz="4" w:space="0" w:color="auto"/>
              <w:bottom w:val="double" w:sz="6" w:space="0" w:color="auto"/>
              <w:right w:val="double" w:sz="6" w:space="0" w:color="auto"/>
            </w:tcBorders>
            <w:shd w:val="pct10" w:color="auto" w:fill="auto"/>
          </w:tcPr>
          <w:p w:rsidR="00F43C9B" w:rsidRPr="00AD2CF5" w:rsidRDefault="00F43C9B" w:rsidP="00F43C9B">
            <w:pPr>
              <w:pStyle w:val="Body"/>
              <w:keepNext/>
              <w:shd w:val="clear" w:color="auto" w:fill="D9D9D9" w:themeFill="background1" w:themeFillShade="D9"/>
              <w:rPr>
                <w:b/>
              </w:rPr>
            </w:pPr>
            <w:r w:rsidRPr="00AD2CF5">
              <w:rPr>
                <w:b/>
              </w:rPr>
              <w:t>4000</w:t>
            </w:r>
          </w:p>
        </w:tc>
      </w:tr>
      <w:tr w:rsidR="00F43C9B" w:rsidRPr="00AD2CF5" w:rsidTr="00F43C9B">
        <w:trPr>
          <w:trHeight w:val="454"/>
        </w:trPr>
        <w:tc>
          <w:tcPr>
            <w:tcW w:w="2220" w:type="dxa"/>
            <w:tcBorders>
              <w:top w:val="double" w:sz="6" w:space="0" w:color="auto"/>
              <w:left w:val="double" w:sz="6" w:space="0" w:color="auto"/>
              <w:bottom w:val="nil"/>
              <w:right w:val="single" w:sz="4"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Bakstenen muur</w:t>
            </w:r>
          </w:p>
        </w:tc>
        <w:tc>
          <w:tcPr>
            <w:tcW w:w="539" w:type="dxa"/>
            <w:tcBorders>
              <w:top w:val="double" w:sz="6" w:space="0" w:color="auto"/>
              <w:left w:val="single" w:sz="4"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ind w:right="-175"/>
            </w:pPr>
            <w:r w:rsidRPr="00AD2CF5">
              <w:t>0.0</w:t>
            </w:r>
          </w:p>
        </w:tc>
        <w:tc>
          <w:tcPr>
            <w:tcW w:w="593" w:type="dxa"/>
            <w:tcBorders>
              <w:top w:val="double" w:sz="6"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32" w:type="dxa"/>
            <w:tcBorders>
              <w:top w:val="double" w:sz="6"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74" w:type="dxa"/>
            <w:tcBorders>
              <w:top w:val="double" w:sz="6"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74" w:type="dxa"/>
            <w:tcBorders>
              <w:top w:val="double" w:sz="6"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45" w:type="dxa"/>
            <w:tcBorders>
              <w:top w:val="double" w:sz="6"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643" w:type="dxa"/>
            <w:tcBorders>
              <w:top w:val="double" w:sz="6"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642" w:type="dxa"/>
            <w:tcBorders>
              <w:top w:val="double" w:sz="6"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643" w:type="dxa"/>
            <w:tcBorders>
              <w:top w:val="double" w:sz="6" w:space="0" w:color="auto"/>
              <w:bottom w:val="nil"/>
              <w:right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r>
      <w:tr w:rsidR="00F43C9B" w:rsidRPr="00AD2CF5" w:rsidTr="00F43C9B">
        <w:trPr>
          <w:trHeight w:val="454"/>
        </w:trPr>
        <w:tc>
          <w:tcPr>
            <w:tcW w:w="2220" w:type="dxa"/>
            <w:tcBorders>
              <w:top w:val="nil"/>
              <w:left w:val="double" w:sz="6" w:space="0" w:color="auto"/>
              <w:bottom w:val="nil"/>
              <w:right w:val="single" w:sz="4"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Dichte betonblokken (pleister, verf)</w:t>
            </w:r>
          </w:p>
        </w:tc>
        <w:tc>
          <w:tcPr>
            <w:tcW w:w="539" w:type="dxa"/>
            <w:tcBorders>
              <w:top w:val="nil"/>
              <w:left w:val="single" w:sz="4"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9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3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45"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64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64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643" w:type="dxa"/>
            <w:tcBorders>
              <w:top w:val="nil"/>
              <w:bottom w:val="nil"/>
              <w:right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r>
      <w:tr w:rsidR="00F43C9B" w:rsidRPr="00AD2CF5" w:rsidTr="00F43C9B">
        <w:trPr>
          <w:trHeight w:val="454"/>
        </w:trPr>
        <w:tc>
          <w:tcPr>
            <w:tcW w:w="2220" w:type="dxa"/>
            <w:tcBorders>
              <w:top w:val="nil"/>
              <w:left w:val="double" w:sz="6" w:space="0" w:color="auto"/>
              <w:bottom w:val="nil"/>
              <w:right w:val="single" w:sz="4"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Poreuze betonblokken</w:t>
            </w:r>
          </w:p>
        </w:tc>
        <w:tc>
          <w:tcPr>
            <w:tcW w:w="539" w:type="dxa"/>
            <w:tcBorders>
              <w:top w:val="nil"/>
              <w:left w:val="single" w:sz="4"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9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3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0.2</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0.4</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0.4</w:t>
            </w:r>
          </w:p>
        </w:tc>
        <w:tc>
          <w:tcPr>
            <w:tcW w:w="545"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0.3</w:t>
            </w:r>
          </w:p>
        </w:tc>
        <w:tc>
          <w:tcPr>
            <w:tcW w:w="64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0.3</w:t>
            </w:r>
          </w:p>
        </w:tc>
        <w:tc>
          <w:tcPr>
            <w:tcW w:w="64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0.4</w:t>
            </w:r>
          </w:p>
        </w:tc>
        <w:tc>
          <w:tcPr>
            <w:tcW w:w="643" w:type="dxa"/>
            <w:tcBorders>
              <w:top w:val="nil"/>
              <w:bottom w:val="nil"/>
              <w:right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0.3</w:t>
            </w:r>
          </w:p>
        </w:tc>
      </w:tr>
      <w:tr w:rsidR="00F43C9B" w:rsidRPr="00AD2CF5" w:rsidTr="00F43C9B">
        <w:trPr>
          <w:trHeight w:val="454"/>
        </w:trPr>
        <w:tc>
          <w:tcPr>
            <w:tcW w:w="2220" w:type="dxa"/>
            <w:tcBorders>
              <w:top w:val="nil"/>
              <w:left w:val="double" w:sz="6" w:space="0" w:color="auto"/>
              <w:bottom w:val="nil"/>
              <w:right w:val="single" w:sz="4"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Glazen wand</w:t>
            </w:r>
          </w:p>
        </w:tc>
        <w:tc>
          <w:tcPr>
            <w:tcW w:w="539" w:type="dxa"/>
            <w:tcBorders>
              <w:top w:val="nil"/>
              <w:left w:val="single" w:sz="4"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9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0.2</w:t>
            </w:r>
          </w:p>
        </w:tc>
        <w:tc>
          <w:tcPr>
            <w:tcW w:w="53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0.3</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0.4</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0.3</w:t>
            </w:r>
          </w:p>
        </w:tc>
        <w:tc>
          <w:tcPr>
            <w:tcW w:w="545"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0.2</w:t>
            </w:r>
          </w:p>
        </w:tc>
        <w:tc>
          <w:tcPr>
            <w:tcW w:w="64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64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643" w:type="dxa"/>
            <w:tcBorders>
              <w:top w:val="nil"/>
              <w:bottom w:val="nil"/>
              <w:right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r>
      <w:tr w:rsidR="00F43C9B" w:rsidRPr="00AD2CF5" w:rsidTr="00F43C9B">
        <w:trPr>
          <w:trHeight w:val="454"/>
        </w:trPr>
        <w:tc>
          <w:tcPr>
            <w:tcW w:w="2220" w:type="dxa"/>
            <w:tcBorders>
              <w:top w:val="nil"/>
              <w:left w:val="double" w:sz="6" w:space="0" w:color="auto"/>
              <w:bottom w:val="nil"/>
              <w:right w:val="single" w:sz="4"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Houten wand</w:t>
            </w:r>
          </w:p>
        </w:tc>
        <w:tc>
          <w:tcPr>
            <w:tcW w:w="539" w:type="dxa"/>
            <w:tcBorders>
              <w:top w:val="nil"/>
              <w:left w:val="single" w:sz="4"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9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3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0.2</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0.3</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0.2</w:t>
            </w:r>
          </w:p>
        </w:tc>
        <w:tc>
          <w:tcPr>
            <w:tcW w:w="545"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0.2</w:t>
            </w:r>
          </w:p>
        </w:tc>
        <w:tc>
          <w:tcPr>
            <w:tcW w:w="64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64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643" w:type="dxa"/>
            <w:tcBorders>
              <w:top w:val="nil"/>
              <w:bottom w:val="nil"/>
              <w:right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r>
      <w:tr w:rsidR="00F43C9B" w:rsidRPr="00AD2CF5" w:rsidTr="00F43C9B">
        <w:trPr>
          <w:trHeight w:val="454"/>
        </w:trPr>
        <w:tc>
          <w:tcPr>
            <w:tcW w:w="2220" w:type="dxa"/>
            <w:tcBorders>
              <w:top w:val="nil"/>
              <w:left w:val="double" w:sz="6" w:space="0" w:color="auto"/>
              <w:bottom w:val="nil"/>
              <w:right w:val="single" w:sz="4"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Aarde en zand, glad</w:t>
            </w:r>
          </w:p>
        </w:tc>
        <w:tc>
          <w:tcPr>
            <w:tcW w:w="539" w:type="dxa"/>
            <w:tcBorders>
              <w:top w:val="nil"/>
              <w:left w:val="single" w:sz="4"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9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3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45"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64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0.2</w:t>
            </w:r>
          </w:p>
        </w:tc>
        <w:tc>
          <w:tcPr>
            <w:tcW w:w="64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0.4</w:t>
            </w:r>
          </w:p>
        </w:tc>
        <w:tc>
          <w:tcPr>
            <w:tcW w:w="643" w:type="dxa"/>
            <w:tcBorders>
              <w:top w:val="nil"/>
              <w:bottom w:val="nil"/>
              <w:right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0.5</w:t>
            </w:r>
          </w:p>
        </w:tc>
      </w:tr>
      <w:tr w:rsidR="00F43C9B" w:rsidRPr="00AD2CF5" w:rsidTr="00F43C9B">
        <w:trPr>
          <w:trHeight w:val="454"/>
        </w:trPr>
        <w:tc>
          <w:tcPr>
            <w:tcW w:w="2220" w:type="dxa"/>
            <w:tcBorders>
              <w:top w:val="nil"/>
              <w:left w:val="double" w:sz="6" w:space="0" w:color="auto"/>
              <w:bottom w:val="nil"/>
              <w:right w:val="single" w:sz="4"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Aarde, ruw</w:t>
            </w:r>
          </w:p>
        </w:tc>
        <w:tc>
          <w:tcPr>
            <w:tcW w:w="539" w:type="dxa"/>
            <w:tcBorders>
              <w:top w:val="nil"/>
              <w:left w:val="single" w:sz="4"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9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3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0.2</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03</w:t>
            </w:r>
          </w:p>
        </w:tc>
        <w:tc>
          <w:tcPr>
            <w:tcW w:w="545"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0.4</w:t>
            </w:r>
          </w:p>
        </w:tc>
        <w:tc>
          <w:tcPr>
            <w:tcW w:w="64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0.6</w:t>
            </w:r>
          </w:p>
        </w:tc>
        <w:tc>
          <w:tcPr>
            <w:tcW w:w="64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0.6</w:t>
            </w:r>
          </w:p>
        </w:tc>
        <w:tc>
          <w:tcPr>
            <w:tcW w:w="643" w:type="dxa"/>
            <w:tcBorders>
              <w:top w:val="nil"/>
              <w:bottom w:val="nil"/>
              <w:right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0.6</w:t>
            </w:r>
          </w:p>
        </w:tc>
      </w:tr>
      <w:tr w:rsidR="00F43C9B" w:rsidRPr="00AD2CF5" w:rsidTr="00F43C9B">
        <w:trPr>
          <w:trHeight w:val="454"/>
        </w:trPr>
        <w:tc>
          <w:tcPr>
            <w:tcW w:w="2220" w:type="dxa"/>
            <w:tcBorders>
              <w:top w:val="nil"/>
              <w:left w:val="double" w:sz="6" w:space="0" w:color="auto"/>
              <w:bottom w:val="nil"/>
              <w:right w:val="single" w:sz="4"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Grind, los en vochtig, (laag van 10cm)</w:t>
            </w:r>
          </w:p>
        </w:tc>
        <w:tc>
          <w:tcPr>
            <w:tcW w:w="539" w:type="dxa"/>
            <w:tcBorders>
              <w:top w:val="nil"/>
              <w:left w:val="single" w:sz="4" w:space="0" w:color="auto"/>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9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3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0.2</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0.3</w:t>
            </w:r>
          </w:p>
        </w:tc>
        <w:tc>
          <w:tcPr>
            <w:tcW w:w="574"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0.6</w:t>
            </w:r>
          </w:p>
        </w:tc>
        <w:tc>
          <w:tcPr>
            <w:tcW w:w="545"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0.7</w:t>
            </w:r>
          </w:p>
        </w:tc>
        <w:tc>
          <w:tcPr>
            <w:tcW w:w="643"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0.7</w:t>
            </w:r>
          </w:p>
        </w:tc>
        <w:tc>
          <w:tcPr>
            <w:tcW w:w="642" w:type="dxa"/>
            <w:tcBorders>
              <w:top w:val="nil"/>
              <w:bottom w:val="nil"/>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0.8</w:t>
            </w:r>
          </w:p>
        </w:tc>
        <w:tc>
          <w:tcPr>
            <w:tcW w:w="643" w:type="dxa"/>
            <w:tcBorders>
              <w:top w:val="nil"/>
              <w:bottom w:val="nil"/>
              <w:right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0.8</w:t>
            </w:r>
          </w:p>
        </w:tc>
      </w:tr>
      <w:tr w:rsidR="00F43C9B" w:rsidRPr="00AD2CF5" w:rsidTr="00F43C9B">
        <w:trPr>
          <w:trHeight w:val="454"/>
        </w:trPr>
        <w:tc>
          <w:tcPr>
            <w:tcW w:w="2220" w:type="dxa"/>
            <w:tcBorders>
              <w:top w:val="nil"/>
              <w:left w:val="double" w:sz="6" w:space="0" w:color="auto"/>
              <w:bottom w:val="double" w:sz="6" w:space="0" w:color="auto"/>
              <w:right w:val="single" w:sz="4"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Gras</w:t>
            </w:r>
          </w:p>
        </w:tc>
        <w:tc>
          <w:tcPr>
            <w:tcW w:w="539" w:type="dxa"/>
            <w:tcBorders>
              <w:top w:val="nil"/>
              <w:left w:val="single" w:sz="4" w:space="0" w:color="auto"/>
              <w:bottom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93" w:type="dxa"/>
            <w:tcBorders>
              <w:top w:val="nil"/>
              <w:bottom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0.0</w:t>
            </w:r>
          </w:p>
        </w:tc>
        <w:tc>
          <w:tcPr>
            <w:tcW w:w="532" w:type="dxa"/>
            <w:tcBorders>
              <w:top w:val="nil"/>
              <w:bottom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74" w:type="dxa"/>
            <w:tcBorders>
              <w:top w:val="nil"/>
              <w:bottom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0.1</w:t>
            </w:r>
          </w:p>
        </w:tc>
        <w:tc>
          <w:tcPr>
            <w:tcW w:w="574" w:type="dxa"/>
            <w:tcBorders>
              <w:top w:val="nil"/>
              <w:bottom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0.2</w:t>
            </w:r>
          </w:p>
        </w:tc>
        <w:tc>
          <w:tcPr>
            <w:tcW w:w="545" w:type="dxa"/>
            <w:tcBorders>
              <w:top w:val="nil"/>
              <w:bottom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0.3</w:t>
            </w:r>
          </w:p>
        </w:tc>
        <w:tc>
          <w:tcPr>
            <w:tcW w:w="643" w:type="dxa"/>
            <w:tcBorders>
              <w:top w:val="nil"/>
              <w:bottom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0.4</w:t>
            </w:r>
          </w:p>
        </w:tc>
        <w:tc>
          <w:tcPr>
            <w:tcW w:w="642" w:type="dxa"/>
            <w:tcBorders>
              <w:top w:val="nil"/>
              <w:bottom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06</w:t>
            </w:r>
          </w:p>
        </w:tc>
        <w:tc>
          <w:tcPr>
            <w:tcW w:w="643" w:type="dxa"/>
            <w:tcBorders>
              <w:top w:val="nil"/>
              <w:bottom w:val="double" w:sz="6" w:space="0" w:color="auto"/>
              <w:right w:val="double" w:sz="6" w:space="0" w:color="auto"/>
            </w:tcBorders>
            <w:shd w:val="clear" w:color="auto" w:fill="auto"/>
            <w:vAlign w:val="center"/>
          </w:tcPr>
          <w:p w:rsidR="00F43C9B" w:rsidRPr="00AD2CF5" w:rsidRDefault="00F43C9B" w:rsidP="00F43C9B">
            <w:pPr>
              <w:pStyle w:val="Body"/>
              <w:keepNext/>
              <w:shd w:val="clear" w:color="auto" w:fill="D9D9D9" w:themeFill="background1" w:themeFillShade="D9"/>
            </w:pPr>
            <w:r w:rsidRPr="00AD2CF5">
              <w:t>0.7</w:t>
            </w:r>
          </w:p>
        </w:tc>
      </w:tr>
    </w:tbl>
    <w:p w:rsidR="00F43C9B" w:rsidRPr="00AD2CF5" w:rsidRDefault="00F43C9B" w:rsidP="00F43C9B">
      <w:pPr>
        <w:shd w:val="clear" w:color="auto" w:fill="D9D9D9" w:themeFill="background1" w:themeFillShade="D9"/>
        <w:rPr>
          <w:rFonts w:ascii="Symbol" w:hAnsi="Symbol"/>
        </w:rPr>
      </w:pP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rPr>
          <w:i/>
          <w:iCs/>
        </w:rPr>
        <w:br w:type="page"/>
        <w:t>Diffuus reflecterende objecten</w:t>
      </w:r>
      <w:r w:rsidRPr="00AD2CF5">
        <w:br/>
        <w:t>Diffuse reflecties treden op aan een bosrand; minimaal moeten er drie bomenrijen aanwezig zijn voordat een diffuse reflectie</w:t>
      </w:r>
      <w:r w:rsidRPr="00AD2CF5">
        <w:fldChar w:fldCharType="begin"/>
      </w:r>
      <w:r w:rsidRPr="00AD2CF5">
        <w:instrText xml:space="preserve"> XE "reflectie:diffuse reflectie" </w:instrText>
      </w:r>
      <w:r w:rsidRPr="00AD2CF5">
        <w:fldChar w:fldCharType="end"/>
      </w:r>
      <w:r w:rsidRPr="00AD2CF5">
        <w:t xml:space="preserve"> in rekening wordt gebracht. Een bosrand wordt geschematiseerd door een verticaal vlak of keten van verticale vlakken, die onder een hoek met elkaar staan, waarbij er vanuit wordt gegaan dat de bovenrand horizontaal loopt. Op de plaats van de vlakken wordt een rij equidistante cilinders gedacht. De afstand tussen de cilinders </w:t>
      </w:r>
      <w:r w:rsidRPr="00AD2CF5">
        <w:rPr>
          <w:i/>
          <w:iCs/>
        </w:rPr>
        <w:t>d</w:t>
      </w:r>
      <w:r w:rsidRPr="00AD2CF5">
        <w:rPr>
          <w:vertAlign w:val="subscript"/>
        </w:rPr>
        <w:t>eff</w:t>
      </w:r>
      <w:r w:rsidRPr="00AD2CF5">
        <w:t xml:space="preserve"> bedraagt de helft van de gemiddelde afstand tussen naburige bomen</w:t>
      </w:r>
      <w:r w:rsidRPr="00AD2CF5">
        <w:fldChar w:fldCharType="begin"/>
      </w:r>
      <w:r w:rsidRPr="00AD2CF5">
        <w:instrText xml:space="preserve"> XE "bomen" </w:instrText>
      </w:r>
      <w:r w:rsidRPr="00AD2CF5">
        <w:fldChar w:fldCharType="end"/>
      </w:r>
      <w:r w:rsidRPr="00AD2CF5">
        <w:t xml:space="preserve"> van de eerste drie bomenrijen van de bosrand. Deze gemiddelde afstand wordt benaderd door 1/</w:t>
      </w:r>
      <w:r w:rsidRPr="00AD2CF5">
        <w:sym w:font="Symbol" w:char="F0D6"/>
      </w:r>
      <w:r w:rsidRPr="00AD2CF5">
        <w:rPr>
          <w:i/>
          <w:iCs/>
        </w:rPr>
        <w:t>n</w:t>
      </w:r>
      <w:r w:rsidRPr="00AD2CF5">
        <w:rPr>
          <w:vertAlign w:val="subscript"/>
        </w:rPr>
        <w:t>2</w:t>
      </w:r>
      <w:r w:rsidRPr="00AD2CF5">
        <w:t xml:space="preserve">, waarbij </w:t>
      </w:r>
      <w:r w:rsidRPr="00AD2CF5">
        <w:rPr>
          <w:i/>
          <w:iCs/>
        </w:rPr>
        <w:t>n</w:t>
      </w:r>
      <w:r w:rsidRPr="00AD2CF5">
        <w:rPr>
          <w:i/>
          <w:iCs/>
          <w:vertAlign w:val="subscript"/>
        </w:rPr>
        <w:t>2</w:t>
      </w:r>
      <w:r w:rsidRPr="00AD2CF5">
        <w:rPr>
          <w:i/>
          <w:iCs/>
        </w:rPr>
        <w:t xml:space="preserve"> </w:t>
      </w:r>
      <w:r w:rsidRPr="00AD2CF5">
        <w:t xml:space="preserve">het gemiddelde aantal bomen per oppervlakte-eenheid is. De straal van de cilinders </w:t>
      </w:r>
      <w:r w:rsidRPr="00AD2CF5">
        <w:rPr>
          <w:i/>
          <w:iCs/>
        </w:rPr>
        <w:t>r</w:t>
      </w:r>
      <w:r w:rsidRPr="00AD2CF5">
        <w:rPr>
          <w:vertAlign w:val="subscript"/>
        </w:rPr>
        <w:t>cil</w:t>
      </w:r>
      <w:r w:rsidRPr="00AD2CF5">
        <w:t xml:space="preserve"> is gelijk aan de gemiddelde straal van de bomen. Indicatieve waarden voor een gemiddeld bos zijn </w:t>
      </w:r>
      <w:r w:rsidRPr="00AD2CF5">
        <w:rPr>
          <w:i/>
          <w:iCs/>
        </w:rPr>
        <w:t>d</w:t>
      </w:r>
      <w:r w:rsidRPr="00AD2CF5">
        <w:rPr>
          <w:vertAlign w:val="subscript"/>
        </w:rPr>
        <w:t>eff</w:t>
      </w:r>
      <w:r w:rsidRPr="00AD2CF5">
        <w:t xml:space="preserve"> = 1,4 m en </w:t>
      </w:r>
      <w:r w:rsidRPr="00AD2CF5">
        <w:rPr>
          <w:i/>
          <w:iCs/>
        </w:rPr>
        <w:t>r</w:t>
      </w:r>
      <w:r w:rsidRPr="00AD2CF5">
        <w:rPr>
          <w:vertAlign w:val="subscript"/>
        </w:rPr>
        <w:t>cil</w:t>
      </w:r>
      <w:r w:rsidRPr="00AD2CF5">
        <w:t xml:space="preserve"> = 0,1 m. De hoogte van de bosrand wordt bepaald door de gemiddelde hoogte van de bomen in de bosrand.</w:t>
      </w:r>
    </w:p>
    <w:bookmarkEnd w:id="574"/>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C428B8" w:rsidP="00F43C9B">
      <w:pPr>
        <w:pStyle w:val="Kop3"/>
        <w:shd w:val="clear" w:color="auto" w:fill="D9D9D9" w:themeFill="background1" w:themeFillShade="D9"/>
      </w:pPr>
      <w:r>
        <w:fldChar w:fldCharType="begin"/>
      </w:r>
      <w:r>
        <w:instrText xml:space="preserve"> SEQ numchaplev1 \c \* MERGEFORMAT </w:instrText>
      </w:r>
      <w:r>
        <w:fldChar w:fldCharType="separate"/>
      </w:r>
      <w:bookmarkStart w:id="577" w:name="_Toc413945839"/>
      <w:bookmarkStart w:id="578" w:name="_Toc431375852"/>
      <w:r w:rsidR="00F43C9B" w:rsidRPr="00B15E90">
        <w:rPr>
          <w:noProof/>
        </w:rPr>
        <w:t>4</w:t>
      </w:r>
      <w:r>
        <w:rPr>
          <w:noProof/>
        </w:rPr>
        <w:fldChar w:fldCharType="end"/>
      </w:r>
      <w:r w:rsidR="00F43C9B" w:rsidRPr="00AD2CF5">
        <w:t>.</w:t>
      </w:r>
      <w:r>
        <w:fldChar w:fldCharType="begin"/>
      </w:r>
      <w:r>
        <w:instrText xml:space="preserve"> SEQ numchaplev2 \c \* MERGEFORMAT </w:instrText>
      </w:r>
      <w:r>
        <w:fldChar w:fldCharType="separate"/>
      </w:r>
      <w:r w:rsidR="00F43C9B" w:rsidRPr="00B15E90">
        <w:rPr>
          <w:noProof/>
        </w:rPr>
        <w:t>5</w:t>
      </w:r>
      <w:r>
        <w:rPr>
          <w:noProof/>
        </w:rPr>
        <w:fldChar w:fldCharType="end"/>
      </w:r>
      <w:r w:rsidR="00F43C9B" w:rsidRPr="00AD2CF5">
        <w:t>.</w:t>
      </w:r>
      <w:r>
        <w:fldChar w:fldCharType="begin"/>
      </w:r>
      <w:r>
        <w:instrText xml:space="preserve"> SEQ numchaplev3 \n \* MERGEFORMAT </w:instrText>
      </w:r>
      <w:r>
        <w:fldChar w:fldCharType="separate"/>
      </w:r>
      <w:r w:rsidR="00F43C9B" w:rsidRPr="00B15E90">
        <w:rPr>
          <w:noProof/>
        </w:rPr>
        <w:t>5</w:t>
      </w:r>
      <w:r>
        <w:rPr>
          <w:noProof/>
        </w:rPr>
        <w:fldChar w:fldCharType="end"/>
      </w:r>
      <w:r w:rsidR="00F43C9B" w:rsidRPr="00AD2CF5">
        <w:fldChar w:fldCharType="begin"/>
      </w:r>
      <w:r w:rsidR="00F43C9B" w:rsidRPr="00AD2CF5">
        <w:instrText xml:space="preserve"> SEQ numchaplev4 \r0\h \* MERGEFORMAT </w:instrText>
      </w:r>
      <w:r w:rsidR="00F43C9B" w:rsidRPr="00AD2CF5">
        <w:fldChar w:fldCharType="end"/>
      </w:r>
      <w:r w:rsidR="00F43C9B" w:rsidRPr="00AD2CF5">
        <w:tab/>
        <w:t>Keuze van rekenpunten</w:t>
      </w:r>
      <w:bookmarkEnd w:id="577"/>
      <w:bookmarkEnd w:id="578"/>
    </w:p>
    <w:p w:rsidR="00F43C9B" w:rsidRPr="00AD2CF5" w:rsidRDefault="00F43C9B" w:rsidP="00F43C9B">
      <w:pPr>
        <w:keepLines/>
        <w:shd w:val="clear" w:color="auto" w:fill="D9D9D9" w:themeFill="background1" w:themeFillShade="D9"/>
        <w:tabs>
          <w:tab w:val="left" w:pos="-108"/>
          <w:tab w:val="left" w:pos="573"/>
          <w:tab w:val="left" w:pos="1309"/>
          <w:tab w:val="left" w:pos="2387"/>
        </w:tabs>
        <w:suppressAutoHyphens/>
        <w:spacing w:line="240" w:lineRule="auto"/>
      </w:pPr>
      <w:r w:rsidRPr="00AD2CF5">
        <w:t>Voor planningsdoeleinden zijn vaak contouren gewenst. Een geluidcontour is een lijn die punten met een gelijke geluidbelasting verbindt. Een geluidcontour kan verkregen worden door lineaire interpolatie tussen rekenpunten op een reken</w:t>
      </w:r>
      <w:r w:rsidRPr="00AD2CF5">
        <w:softHyphen/>
        <w:t>rooster. Een rekenrooster is een verzameling van punten, die op regelmatige afstand (</w:t>
      </w:r>
      <w:r w:rsidRPr="00AD2CF5">
        <w:rPr>
          <w:i/>
        </w:rPr>
        <w:t>d</w:t>
      </w:r>
      <w:r w:rsidRPr="00AD2CF5">
        <w:rPr>
          <w:i/>
          <w:vertAlign w:val="superscript"/>
        </w:rPr>
        <w:t>*</w:t>
      </w:r>
      <w:r w:rsidRPr="00AD2CF5">
        <w:t xml:space="preserve"> ) van elkaar liggen. Aan de interpolatie zijn een aantal voorwaarden verbonden:</w:t>
      </w:r>
    </w:p>
    <w:p w:rsidR="00F43C9B" w:rsidRPr="00AD2CF5" w:rsidRDefault="00F43C9B" w:rsidP="00F43C9B">
      <w:pPr>
        <w:shd w:val="clear" w:color="auto" w:fill="D9D9D9" w:themeFill="background1" w:themeFillShade="D9"/>
        <w:suppressAutoHyphens/>
        <w:spacing w:line="240" w:lineRule="auto"/>
        <w:ind w:left="284" w:hanging="284"/>
      </w:pPr>
      <w:r w:rsidRPr="00AD2CF5">
        <w:t>-</w:t>
      </w:r>
      <w:r w:rsidRPr="00AD2CF5">
        <w:tab/>
        <w:t>het verschil in geluidniveau tussen de punten dient minder dan 3 dB te bedragen;</w:t>
      </w:r>
    </w:p>
    <w:p w:rsidR="00F43C9B" w:rsidRPr="00AD2CF5" w:rsidRDefault="00F43C9B" w:rsidP="00F43C9B">
      <w:pPr>
        <w:shd w:val="clear" w:color="auto" w:fill="D9D9D9" w:themeFill="background1" w:themeFillShade="D9"/>
        <w:suppressAutoHyphens/>
        <w:spacing w:line="240" w:lineRule="auto"/>
        <w:ind w:left="284" w:hanging="284"/>
      </w:pPr>
      <w:r w:rsidRPr="00AD2CF5">
        <w:t>-</w:t>
      </w:r>
      <w:r w:rsidRPr="00AD2CF5">
        <w:tab/>
        <w:t>de afstand tussen het geïnterpoleerde punt en het dichtstbijzijnde bronpunt dient groter te zijn dan de afstand tussen de punten waartussen wordt geïnterpoleerd.</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 xml:space="preserve">In de meeste gevallen zal bij een afstand van </w:t>
      </w:r>
      <w:r w:rsidRPr="00AD2CF5">
        <w:rPr>
          <w:i/>
        </w:rPr>
        <w:t>d</w:t>
      </w:r>
      <w:r w:rsidRPr="00AD2CF5">
        <w:rPr>
          <w:i/>
          <w:vertAlign w:val="superscript"/>
        </w:rPr>
        <w:t>*</w:t>
      </w:r>
      <w:r w:rsidRPr="00AD2CF5">
        <w:t xml:space="preserve"> = 250 m aan bovenstaande criteria voldaan worden. Indien niet aan bovenstaande voorwaarden wordt voldaan, zal het rooster lokaal verdicht moeten worden. Een verdere verdichting dan tot </w:t>
      </w:r>
      <w:r w:rsidRPr="00AD2CF5">
        <w:rPr>
          <w:i/>
        </w:rPr>
        <w:t>d</w:t>
      </w:r>
      <w:r w:rsidRPr="00AD2CF5">
        <w:rPr>
          <w:i/>
          <w:vertAlign w:val="superscript"/>
        </w:rPr>
        <w:t>*</w:t>
      </w:r>
      <w:r w:rsidRPr="00AD2CF5">
        <w:t xml:space="preserve"> = 50 m is niet noodzakelijk.</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i/>
        </w:rPr>
        <w:t>Hoogte rekenpunt</w:t>
      </w:r>
      <w:r w:rsidRPr="00AD2CF5">
        <w:br/>
        <w:t>Als er sprake is van zonering</w:t>
      </w:r>
      <w:r w:rsidRPr="00AD2CF5">
        <w:fldChar w:fldCharType="begin"/>
      </w:r>
      <w:r w:rsidRPr="00AD2CF5">
        <w:instrText xml:space="preserve"> XE "zonering" </w:instrText>
      </w:r>
      <w:r w:rsidRPr="00AD2CF5">
        <w:fldChar w:fldCharType="end"/>
      </w:r>
      <w:r w:rsidRPr="00AD2CF5">
        <w:t xml:space="preserve"> rondom schietinrichtingen of –terreinen, heeft een hoogte van 5 m de voorkeur. Voor beoordelingspunten bij vergunningsituaties wordt over het algemeen voor de dagperiode een hoogte van 1,5 m en voor de avond- en nachtperiode een hoogte van 5 m aangehouden. Uitgangspunt is dat de berekeningshoogte bepaald wordt door de hoogte waarop mogelijke hinder te ver</w:t>
      </w:r>
      <w:r w:rsidRPr="00AD2CF5">
        <w:softHyphen/>
        <w:t>wachten is.</w:t>
      </w:r>
    </w:p>
    <w:p w:rsidR="00F43C9B" w:rsidRPr="00AD2CF5" w:rsidRDefault="00F43C9B" w:rsidP="00F43C9B">
      <w:pPr>
        <w:pStyle w:val="Kop2"/>
        <w:shd w:val="clear" w:color="auto" w:fill="D9D9D9" w:themeFill="background1" w:themeFillShade="D9"/>
        <w:spacing w:line="240" w:lineRule="auto"/>
      </w:pPr>
      <w:r w:rsidRPr="00AD2CF5">
        <w:br w:type="page"/>
      </w:r>
      <w:r w:rsidR="00C428B8">
        <w:fldChar w:fldCharType="begin"/>
      </w:r>
      <w:r w:rsidR="00C428B8">
        <w:instrText xml:space="preserve"> SEQ numchaplev1 \c \* MERGEFORMAT </w:instrText>
      </w:r>
      <w:r w:rsidR="00C428B8">
        <w:fldChar w:fldCharType="separate"/>
      </w:r>
      <w:bookmarkStart w:id="579" w:name="_Toc413945840"/>
      <w:bookmarkStart w:id="580" w:name="_Toc431375853"/>
      <w:r>
        <w:rPr>
          <w:noProof/>
        </w:rPr>
        <w:t>4</w:t>
      </w:r>
      <w:r w:rsidR="00C428B8">
        <w:rPr>
          <w:noProof/>
        </w:rPr>
        <w:fldChar w:fldCharType="end"/>
      </w:r>
      <w:r w:rsidRPr="00AD2CF5">
        <w:t>.</w:t>
      </w:r>
      <w:r w:rsidR="00C428B8">
        <w:fldChar w:fldCharType="begin"/>
      </w:r>
      <w:r w:rsidR="00C428B8">
        <w:instrText xml:space="preserve"> SEQ numchaplev2 \n \* MERGEFORMAT </w:instrText>
      </w:r>
      <w:r w:rsidR="00C428B8">
        <w:fldChar w:fldCharType="separate"/>
      </w:r>
      <w:r>
        <w:rPr>
          <w:noProof/>
        </w:rPr>
        <w:t>6</w:t>
      </w:r>
      <w:r w:rsidR="00C428B8">
        <w:rPr>
          <w:noProof/>
        </w:rPr>
        <w:fldChar w:fldCharType="end"/>
      </w:r>
      <w:r w:rsidRPr="00AD2CF5">
        <w:fldChar w:fldCharType="begin"/>
      </w:r>
      <w:r w:rsidRPr="00AD2CF5">
        <w:instrText xml:space="preserve"> SEQ numchaplev3 \r0\h \* MERGEFORMAT </w:instrText>
      </w:r>
      <w:r w:rsidRPr="00AD2CF5">
        <w:fldChar w:fldCharType="end"/>
      </w:r>
      <w:r w:rsidRPr="00AD2CF5">
        <w:tab/>
        <w:t>Berekening van het geluidexpositieniveau</w:t>
      </w:r>
      <w:bookmarkEnd w:id="579"/>
      <w:bookmarkEnd w:id="580"/>
      <w:r w:rsidRPr="00AD2CF5">
        <w:fldChar w:fldCharType="begin"/>
      </w:r>
      <w:r w:rsidRPr="00AD2CF5">
        <w:instrText xml:space="preserve"> XE "geluidexpositieniveau" </w:instrText>
      </w:r>
      <w:r w:rsidRPr="00AD2CF5">
        <w:fldChar w:fldCharType="end"/>
      </w:r>
    </w:p>
    <w:p w:rsidR="00F43C9B" w:rsidRPr="00AD2CF5" w:rsidRDefault="00C428B8" w:rsidP="00F43C9B">
      <w:pPr>
        <w:pStyle w:val="Kop3"/>
        <w:shd w:val="clear" w:color="auto" w:fill="D9D9D9" w:themeFill="background1" w:themeFillShade="D9"/>
      </w:pPr>
      <w:r>
        <w:fldChar w:fldCharType="begin"/>
      </w:r>
      <w:r>
        <w:instrText xml:space="preserve"> SEQ numchaplev1 \c \* MERGEFORMAT </w:instrText>
      </w:r>
      <w:r>
        <w:fldChar w:fldCharType="separate"/>
      </w:r>
      <w:bookmarkStart w:id="581" w:name="_Toc413945841"/>
      <w:bookmarkStart w:id="582" w:name="_Toc431375854"/>
      <w:r w:rsidR="00F43C9B" w:rsidRPr="00B15E90">
        <w:rPr>
          <w:noProof/>
        </w:rPr>
        <w:t>4</w:t>
      </w:r>
      <w:r>
        <w:rPr>
          <w:noProof/>
        </w:rPr>
        <w:fldChar w:fldCharType="end"/>
      </w:r>
      <w:r w:rsidR="00F43C9B" w:rsidRPr="00AD2CF5">
        <w:t>.</w:t>
      </w:r>
      <w:r>
        <w:fldChar w:fldCharType="begin"/>
      </w:r>
      <w:r>
        <w:instrText xml:space="preserve"> SEQ numchaplev2 \c \* MERGEFORMAT </w:instrText>
      </w:r>
      <w:r>
        <w:fldChar w:fldCharType="separate"/>
      </w:r>
      <w:r w:rsidR="00F43C9B" w:rsidRPr="00B15E90">
        <w:rPr>
          <w:noProof/>
        </w:rPr>
        <w:t>6</w:t>
      </w:r>
      <w:r>
        <w:rPr>
          <w:noProof/>
        </w:rPr>
        <w:fldChar w:fldCharType="end"/>
      </w:r>
      <w:r w:rsidR="00F43C9B" w:rsidRPr="00AD2CF5">
        <w:t>.</w:t>
      </w:r>
      <w:r>
        <w:fldChar w:fldCharType="begin"/>
      </w:r>
      <w:r>
        <w:instrText xml:space="preserve"> SEQ numchaplev3 \n \* MERGEFORMAT </w:instrText>
      </w:r>
      <w:r>
        <w:fldChar w:fldCharType="separate"/>
      </w:r>
      <w:r w:rsidR="00F43C9B" w:rsidRPr="00B15E90">
        <w:rPr>
          <w:noProof/>
        </w:rPr>
        <w:t>1</w:t>
      </w:r>
      <w:r>
        <w:rPr>
          <w:noProof/>
        </w:rPr>
        <w:fldChar w:fldCharType="end"/>
      </w:r>
      <w:r w:rsidR="00F43C9B" w:rsidRPr="00AD2CF5">
        <w:fldChar w:fldCharType="begin"/>
      </w:r>
      <w:r w:rsidR="00F43C9B" w:rsidRPr="00AD2CF5">
        <w:instrText xml:space="preserve"> SEQ numchaplev4 \r0\h \* MERGEFORMAT </w:instrText>
      </w:r>
      <w:r w:rsidR="00F43C9B" w:rsidRPr="00AD2CF5">
        <w:fldChar w:fldCharType="end"/>
      </w:r>
      <w:r w:rsidR="00F43C9B" w:rsidRPr="00AD2CF5">
        <w:tab/>
        <w:t>Bronniveau</w:t>
      </w:r>
      <w:bookmarkEnd w:id="581"/>
      <w:bookmarkEnd w:id="582"/>
    </w:p>
    <w:p w:rsidR="00F43C9B" w:rsidRPr="00AD2CF5" w:rsidRDefault="00F43C9B" w:rsidP="00F43C9B">
      <w:pPr>
        <w:keepNext/>
        <w:keepLines/>
        <w:shd w:val="clear" w:color="auto" w:fill="D9D9D9" w:themeFill="background1" w:themeFillShade="D9"/>
        <w:tabs>
          <w:tab w:val="left" w:pos="-108"/>
          <w:tab w:val="left" w:pos="0"/>
          <w:tab w:val="left" w:pos="573"/>
          <w:tab w:val="left" w:pos="1309"/>
          <w:tab w:val="left" w:pos="2387"/>
        </w:tabs>
        <w:suppressAutoHyphens/>
        <w:spacing w:line="240" w:lineRule="auto"/>
        <w:rPr>
          <w:i/>
        </w:rPr>
      </w:pPr>
      <w:r w:rsidRPr="00AD2CF5">
        <w:rPr>
          <w:i/>
        </w:rPr>
        <w:t>Mondingsgeluid en detonatiegeluid</w:t>
      </w:r>
      <w:r w:rsidRPr="00AD2CF5">
        <w:rPr>
          <w:i/>
        </w:rPr>
        <w:br/>
      </w:r>
      <w:r w:rsidRPr="00AD2CF5">
        <w:t>Voor geluid anders dan kogelgeluid</w:t>
      </w:r>
      <w:r w:rsidRPr="00AD2CF5">
        <w:fldChar w:fldCharType="begin"/>
      </w:r>
      <w:r w:rsidRPr="00AD2CF5">
        <w:instrText xml:space="preserve"> XE "kogelgeluid" </w:instrText>
      </w:r>
      <w:r w:rsidRPr="00AD2CF5">
        <w:fldChar w:fldCharType="end"/>
      </w:r>
      <w:r w:rsidRPr="00AD2CF5">
        <w:t xml:space="preserve"> wordt het bronniveau</w:t>
      </w:r>
      <w:r w:rsidRPr="00AD2CF5">
        <w:fldChar w:fldCharType="begin"/>
      </w:r>
      <w:r w:rsidRPr="00AD2CF5">
        <w:instrText xml:space="preserve"> XE "bronniveau" </w:instrText>
      </w:r>
      <w:r w:rsidRPr="00AD2CF5">
        <w:fldChar w:fldCharType="end"/>
      </w:r>
      <w:r w:rsidRPr="00AD2CF5">
        <w:t xml:space="preserve"> over het algemeen betrokken uit het gegevensbestand</w:t>
      </w:r>
      <w:r w:rsidRPr="00AD2CF5">
        <w:fldChar w:fldCharType="begin"/>
      </w:r>
      <w:r w:rsidRPr="00AD2CF5">
        <w:instrText xml:space="preserve"> XE "gegevensbestand" </w:instrText>
      </w:r>
      <w:r w:rsidRPr="00AD2CF5">
        <w:fldChar w:fldCharType="end"/>
      </w:r>
      <w:r w:rsidRPr="00AD2CF5">
        <w:t>. Zie hiervoor § 4.4.1 en § 4.5.1. De emissie van het mondingsgeluid</w:t>
      </w:r>
      <w:r w:rsidRPr="00AD2CF5">
        <w:fldChar w:fldCharType="begin"/>
      </w:r>
      <w:r w:rsidRPr="00AD2CF5">
        <w:instrText xml:space="preserve"> XE "mondingsgeluid" </w:instrText>
      </w:r>
      <w:r w:rsidRPr="00AD2CF5">
        <w:fldChar w:fldCharType="end"/>
      </w:r>
      <w:r w:rsidRPr="00AD2CF5">
        <w:t xml:space="preserve"> is over het algemeen richtingsafhankelijk. Van belang hierbij is de hoek </w:t>
      </w:r>
      <w:r w:rsidRPr="00AD2CF5">
        <w:rPr>
          <w:i/>
        </w:rPr>
        <w:t>φ</w:t>
      </w:r>
      <w:r w:rsidRPr="00AD2CF5">
        <w:t xml:space="preserve"> tussen de vuurlijn en de lijn van bron naar rekenpunt. Deze hoek  is afhankelijk van de elevatie</w:t>
      </w:r>
      <w:r w:rsidRPr="00AD2CF5">
        <w:fldChar w:fldCharType="begin"/>
      </w:r>
      <w:r w:rsidRPr="00AD2CF5">
        <w:instrText xml:space="preserve"> XE "elevatie" </w:instrText>
      </w:r>
      <w:r w:rsidRPr="00AD2CF5">
        <w:fldChar w:fldCharType="end"/>
      </w:r>
      <w:r w:rsidRPr="00AD2CF5">
        <w:t xml:space="preserve"> van het wapen volgens onderstaande formule:</w:t>
      </w:r>
    </w:p>
    <w:p w:rsidR="00F43C9B" w:rsidRPr="00AD2CF5" w:rsidRDefault="00F43C9B" w:rsidP="00F43C9B">
      <w:pPr>
        <w:keepLines/>
        <w:shd w:val="clear" w:color="auto" w:fill="D9D9D9" w:themeFill="background1" w:themeFillShade="D9"/>
        <w:tabs>
          <w:tab w:val="left" w:pos="-108"/>
          <w:tab w:val="left" w:pos="0"/>
          <w:tab w:val="left" w:pos="573"/>
          <w:tab w:val="left" w:pos="1309"/>
          <w:tab w:val="left" w:pos="2387"/>
        </w:tabs>
        <w:suppressAutoHyphens/>
        <w:spacing w:line="240" w:lineRule="auto"/>
      </w:pPr>
    </w:p>
    <w:p w:rsidR="00F43C9B" w:rsidRPr="00AD2CF5" w:rsidRDefault="00F43C9B" w:rsidP="00F43C9B">
      <w:pPr>
        <w:keepLines/>
        <w:shd w:val="clear" w:color="auto" w:fill="D9D9D9" w:themeFill="background1" w:themeFillShade="D9"/>
        <w:tabs>
          <w:tab w:val="left" w:pos="-108"/>
          <w:tab w:val="left" w:pos="0"/>
          <w:tab w:val="left" w:pos="573"/>
          <w:tab w:val="left" w:pos="1309"/>
          <w:tab w:val="left" w:pos="2387"/>
        </w:tabs>
        <w:suppressAutoHyphens/>
        <w:spacing w:line="240" w:lineRule="auto"/>
      </w:pPr>
      <w:r w:rsidRPr="00AD2CF5">
        <w:rPr>
          <w:position w:val="-14"/>
        </w:rPr>
        <w:object w:dxaOrig="2299" w:dyaOrig="380">
          <v:shape id="_x0000_i1070" type="#_x0000_t75" style="width:115.5pt;height:19.5pt" o:ole="">
            <v:imagedata r:id="rId173" o:title=""/>
          </v:shape>
          <o:OLEObject Type="Embed" ProgID="Equation.3" ShapeID="_x0000_i1070" DrawAspect="Content" ObjectID="_1511255408" r:id="rId174"/>
        </w:object>
      </w:r>
    </w:p>
    <w:p w:rsidR="00F43C9B" w:rsidRPr="00AD2CF5" w:rsidRDefault="00F43C9B" w:rsidP="00F43C9B">
      <w:pPr>
        <w:shd w:val="clear" w:color="auto" w:fill="D9D9D9" w:themeFill="background1" w:themeFillShade="D9"/>
        <w:tabs>
          <w:tab w:val="left" w:pos="-108"/>
          <w:tab w:val="left" w:pos="0"/>
          <w:tab w:val="left" w:pos="573"/>
          <w:tab w:val="left" w:pos="1309"/>
          <w:tab w:val="left" w:pos="2387"/>
        </w:tabs>
        <w:suppressAutoHyphens/>
        <w:spacing w:line="240" w:lineRule="auto"/>
      </w:pPr>
      <w:r w:rsidRPr="00AD2CF5">
        <w:t>waarin:</w:t>
      </w:r>
    </w:p>
    <w:p w:rsidR="00F43C9B" w:rsidRPr="00AD2CF5" w:rsidRDefault="00F43C9B" w:rsidP="00F43C9B">
      <w:pPr>
        <w:shd w:val="clear" w:color="auto" w:fill="D9D9D9" w:themeFill="background1" w:themeFillShade="D9"/>
        <w:tabs>
          <w:tab w:val="left" w:pos="-108"/>
          <w:tab w:val="left" w:pos="0"/>
          <w:tab w:val="left" w:pos="573"/>
          <w:tab w:val="left" w:pos="1309"/>
          <w:tab w:val="left" w:pos="2387"/>
        </w:tabs>
        <w:suppressAutoHyphens/>
        <w:spacing w:line="240" w:lineRule="auto"/>
      </w:pPr>
      <w:r w:rsidRPr="00AD2CF5">
        <w:rPr>
          <w:i/>
        </w:rPr>
        <w:t>φ</w:t>
      </w:r>
      <w:r w:rsidRPr="00AD2CF5">
        <w:rPr>
          <w:i/>
          <w:vertAlign w:val="subscript"/>
        </w:rPr>
        <w:t>p</w:t>
      </w:r>
      <w:r w:rsidRPr="00AD2CF5">
        <w:rPr>
          <w:vertAlign w:val="subscript"/>
        </w:rPr>
        <w:t xml:space="preserve"> </w:t>
      </w:r>
      <w:r w:rsidRPr="00AD2CF5">
        <w:rPr>
          <w:vertAlign w:val="subscript"/>
        </w:rPr>
        <w:tab/>
      </w:r>
      <w:r w:rsidRPr="00AD2CF5">
        <w:t xml:space="preserve">geprojecteerde hoek </w:t>
      </w:r>
      <w:r w:rsidRPr="00AD2CF5">
        <w:rPr>
          <w:i/>
        </w:rPr>
        <w:t>φ</w:t>
      </w:r>
      <w:r w:rsidRPr="00AD2CF5">
        <w:t xml:space="preserve"> op een horizontaal vlak.</w:t>
      </w:r>
    </w:p>
    <w:p w:rsidR="00F43C9B" w:rsidRPr="00AD2CF5" w:rsidRDefault="00F43C9B" w:rsidP="00F43C9B">
      <w:pPr>
        <w:shd w:val="clear" w:color="auto" w:fill="D9D9D9" w:themeFill="background1" w:themeFillShade="D9"/>
        <w:tabs>
          <w:tab w:val="left" w:pos="-108"/>
          <w:tab w:val="left" w:pos="0"/>
          <w:tab w:val="left" w:pos="573"/>
          <w:tab w:val="left" w:pos="1309"/>
          <w:tab w:val="left" w:pos="2387"/>
        </w:tabs>
        <w:suppressAutoHyphens/>
        <w:spacing w:line="240" w:lineRule="auto"/>
      </w:pPr>
    </w:p>
    <w:p w:rsidR="00F43C9B" w:rsidRPr="00AD2CF5" w:rsidRDefault="00F43C9B" w:rsidP="00F43C9B">
      <w:pPr>
        <w:keepLines/>
        <w:shd w:val="clear" w:color="auto" w:fill="D9D9D9" w:themeFill="background1" w:themeFillShade="D9"/>
        <w:tabs>
          <w:tab w:val="left" w:pos="-108"/>
          <w:tab w:val="left" w:pos="0"/>
          <w:tab w:val="left" w:pos="573"/>
          <w:tab w:val="left" w:pos="1309"/>
          <w:tab w:val="left" w:pos="2387"/>
        </w:tabs>
        <w:suppressAutoHyphens/>
        <w:spacing w:line="240" w:lineRule="auto"/>
      </w:pPr>
      <w:r w:rsidRPr="00AD2CF5">
        <w:t xml:space="preserve">Bij de berekening van de emissiehoek </w:t>
      </w:r>
      <w:r w:rsidRPr="00AD2CF5">
        <w:rPr>
          <w:i/>
        </w:rPr>
        <w:t>φ</w:t>
      </w:r>
      <w:r w:rsidRPr="00AD2CF5">
        <w:t xml:space="preserve"> wordt geen rekening gehouden met hoogteverschillen tussen bronpunt en rekenpunt (benadering voor het verre veld).</w:t>
      </w:r>
    </w:p>
    <w:p w:rsidR="00F43C9B" w:rsidRPr="00AD2CF5" w:rsidRDefault="00F43C9B" w:rsidP="00F43C9B">
      <w:pPr>
        <w:shd w:val="clear" w:color="auto" w:fill="D9D9D9" w:themeFill="background1" w:themeFillShade="D9"/>
        <w:tabs>
          <w:tab w:val="left" w:pos="-108"/>
          <w:tab w:val="left" w:pos="0"/>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0"/>
          <w:tab w:val="left" w:pos="573"/>
          <w:tab w:val="left" w:pos="1309"/>
          <w:tab w:val="left" w:pos="2387"/>
        </w:tabs>
        <w:suppressAutoHyphens/>
        <w:spacing w:line="240" w:lineRule="auto"/>
      </w:pPr>
      <w:r w:rsidRPr="00AD2CF5">
        <w:rPr>
          <w:i/>
        </w:rPr>
        <w:t>Brongebieden</w:t>
      </w:r>
      <w:r w:rsidRPr="00AD2CF5">
        <w:br/>
        <w:t>Brongebieden zijn gebieden waarbinnen een moge</w:t>
      </w:r>
      <w:r w:rsidRPr="00AD2CF5">
        <w:softHyphen/>
        <w:t>lijke schietpositie uniform over het gebied is verdeeld. Om de geluid</w:t>
      </w:r>
      <w:r w:rsidRPr="00AD2CF5">
        <w:softHyphen/>
        <w:t>be</w:t>
      </w:r>
      <w:r w:rsidRPr="00AD2CF5">
        <w:softHyphen/>
        <w:t>las</w:t>
      </w:r>
      <w:r w:rsidRPr="00AD2CF5">
        <w:softHyphen/>
        <w:t>ting van een dergelijke brongebied</w:t>
      </w:r>
      <w:r w:rsidRPr="00AD2CF5">
        <w:fldChar w:fldCharType="begin"/>
      </w:r>
      <w:r w:rsidRPr="00AD2CF5">
        <w:instrText xml:space="preserve"> XE "brongebied" </w:instrText>
      </w:r>
      <w:r w:rsidRPr="00AD2CF5">
        <w:fldChar w:fldCharType="end"/>
      </w:r>
      <w:r w:rsidRPr="00AD2CF5">
        <w:t xml:space="preserve"> te bere</w:t>
      </w:r>
      <w:r w:rsidRPr="00AD2CF5">
        <w:softHyphen/>
        <w:t>kenen, dient dit in zodanig kleine deelgebieden te worden opgedeeld dat voor een deelgebied van een puntbron</w:t>
      </w:r>
      <w:r w:rsidRPr="00AD2CF5">
        <w:fldChar w:fldCharType="begin"/>
      </w:r>
      <w:r w:rsidRPr="00AD2CF5">
        <w:instrText xml:space="preserve"> XE "puntbron" </w:instrText>
      </w:r>
      <w:r w:rsidRPr="00AD2CF5">
        <w:fldChar w:fldCharType="end"/>
      </w:r>
      <w:r w:rsidRPr="00AD2CF5">
        <w:t xml:space="preserve"> kan worden uitgegaan.</w:t>
      </w:r>
    </w:p>
    <w:p w:rsidR="00F43C9B" w:rsidRPr="00AD2CF5" w:rsidRDefault="00F43C9B" w:rsidP="00F43C9B">
      <w:pPr>
        <w:shd w:val="clear" w:color="auto" w:fill="D9D9D9" w:themeFill="background1" w:themeFillShade="D9"/>
        <w:tabs>
          <w:tab w:val="left" w:pos="-108"/>
          <w:tab w:val="left" w:pos="573"/>
          <w:tab w:val="left" w:pos="1309"/>
          <w:tab w:val="left" w:pos="2387"/>
          <w:tab w:val="left" w:pos="4678"/>
        </w:tabs>
        <w:suppressAutoHyphens/>
        <w:spacing w:line="240" w:lineRule="auto"/>
      </w:pPr>
      <w:r w:rsidRPr="00AD2CF5">
        <w:t>In een eerste stap wordt, afhankelijk van de kleinste en grootste afstand van het rekenpunt tot de grenzen van het brongebied</w:t>
      </w:r>
      <w:r w:rsidRPr="00AD2CF5">
        <w:fldChar w:fldCharType="begin"/>
      </w:r>
      <w:r w:rsidRPr="00AD2CF5">
        <w:instrText xml:space="preserve"> XE "brongebied" </w:instrText>
      </w:r>
      <w:r w:rsidRPr="00AD2CF5">
        <w:fldChar w:fldCharType="end"/>
      </w:r>
      <w:r w:rsidRPr="00AD2CF5">
        <w:t xml:space="preserve"> (respec</w:t>
      </w:r>
      <w:r w:rsidRPr="00AD2CF5">
        <w:softHyphen/>
        <w:t xml:space="preserve">tievelijk </w:t>
      </w:r>
      <w:r w:rsidRPr="00AD2CF5">
        <w:rPr>
          <w:i/>
        </w:rPr>
        <w:t>d</w:t>
      </w:r>
      <w:r w:rsidRPr="00AD2CF5">
        <w:rPr>
          <w:i/>
          <w:vertAlign w:val="subscript"/>
        </w:rPr>
        <w:t>min</w:t>
      </w:r>
      <w:r w:rsidRPr="00AD2CF5">
        <w:rPr>
          <w:i/>
        </w:rPr>
        <w:t xml:space="preserve"> </w:t>
      </w:r>
      <w:r w:rsidRPr="00AD2CF5">
        <w:t>en</w:t>
      </w:r>
      <w:r w:rsidRPr="00AD2CF5">
        <w:rPr>
          <w:i/>
        </w:rPr>
        <w:t xml:space="preserve"> d</w:t>
      </w:r>
      <w:r w:rsidRPr="00AD2CF5">
        <w:rPr>
          <w:i/>
          <w:vertAlign w:val="subscript"/>
        </w:rPr>
        <w:t>max</w:t>
      </w:r>
      <w:r w:rsidRPr="00AD2CF5">
        <w:t xml:space="preserve">), de breedte bepaald van schillen die in concentrische cirkels rond het rekenpunt liggen. Voor de breedte </w:t>
      </w:r>
      <w:r w:rsidRPr="00AD2CF5">
        <w:rPr>
          <w:i/>
        </w:rPr>
        <w:t>L</w:t>
      </w:r>
      <w:r w:rsidRPr="00AD2CF5">
        <w:rPr>
          <w:i/>
          <w:vertAlign w:val="subscript"/>
        </w:rPr>
        <w:t>n</w:t>
      </w:r>
      <w:r w:rsidRPr="00AD2CF5">
        <w:t xml:space="preserve"> van deze schillen geldt:</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28"/>
        </w:rPr>
        <w:object w:dxaOrig="1579" w:dyaOrig="740">
          <v:shape id="_x0000_i1071" type="#_x0000_t75" style="width:79.5pt;height:36.75pt" o:ole="">
            <v:imagedata r:id="rId175" o:title=""/>
          </v:shape>
          <o:OLEObject Type="Embed" ProgID="Equation.3" ShapeID="_x0000_i1071" DrawAspect="Content" ObjectID="_1511255409" r:id="rId176"/>
        </w:object>
      </w:r>
      <w:r w:rsidRPr="00AD2CF5">
        <w:rPr>
          <w:lang w:val="nl-NL"/>
        </w:rPr>
        <w:tab/>
        <w:t xml:space="preserve"> (4. 16)</w:t>
      </w:r>
    </w:p>
    <w:p w:rsidR="00F43C9B" w:rsidRPr="00AD2CF5" w:rsidRDefault="00F43C9B" w:rsidP="00F43C9B">
      <w:pPr>
        <w:pStyle w:val="bijschrift0"/>
        <w:keepNext/>
        <w:shd w:val="clear" w:color="auto" w:fill="D9D9D9" w:themeFill="background1" w:themeFillShade="D9"/>
        <w:tabs>
          <w:tab w:val="left" w:pos="-720"/>
          <w:tab w:val="left" w:pos="0"/>
        </w:tabs>
        <w:suppressAutoHyphens/>
        <w:ind w:right="-30"/>
        <w:rPr>
          <w:rFonts w:ascii="Times New Roman" w:hAnsi="Times New Roman"/>
          <w:i/>
          <w:iCs/>
          <w:sz w:val="21"/>
          <w:lang w:val="nl-NL"/>
        </w:rPr>
      </w:pPr>
      <w:r w:rsidRPr="00AD2CF5">
        <w:rPr>
          <w:rFonts w:ascii="Times New Roman" w:hAnsi="Times New Roman"/>
          <w:sz w:val="21"/>
          <w:lang w:val="nl-NL"/>
        </w:rPr>
        <w:t xml:space="preserve">voor </w:t>
      </w:r>
      <w:r w:rsidRPr="00AD2CF5">
        <w:rPr>
          <w:rFonts w:ascii="Times New Roman" w:hAnsi="Times New Roman"/>
          <w:i/>
          <w:iCs/>
          <w:sz w:val="21"/>
          <w:lang w:val="nl-NL"/>
        </w:rPr>
        <w:t>n</w:t>
      </w:r>
      <w:r w:rsidRPr="00AD2CF5">
        <w:rPr>
          <w:rFonts w:ascii="Times New Roman" w:hAnsi="Times New Roman"/>
          <w:sz w:val="21"/>
          <w:lang w:val="nl-NL"/>
        </w:rPr>
        <w:t xml:space="preserve"> = 1 t/m </w:t>
      </w:r>
      <w:r w:rsidRPr="00AD2CF5">
        <w:rPr>
          <w:rFonts w:ascii="Times New Roman" w:hAnsi="Times New Roman"/>
          <w:i/>
          <w:iCs/>
          <w:sz w:val="21"/>
          <w:lang w:val="nl-NL"/>
        </w:rPr>
        <w:t>N</w:t>
      </w:r>
    </w:p>
    <w:p w:rsidR="00F43C9B" w:rsidRPr="00AD2CF5" w:rsidRDefault="00F43C9B" w:rsidP="00F43C9B">
      <w:pPr>
        <w:pStyle w:val="bijschrift0"/>
        <w:keepNext/>
        <w:shd w:val="clear" w:color="auto" w:fill="D9D9D9" w:themeFill="background1" w:themeFillShade="D9"/>
        <w:tabs>
          <w:tab w:val="left" w:pos="-720"/>
          <w:tab w:val="left" w:pos="0"/>
        </w:tabs>
        <w:suppressAutoHyphens/>
        <w:ind w:right="-30"/>
        <w:rPr>
          <w:rFonts w:ascii="Times New Roman" w:hAnsi="Times New Roman"/>
          <w:sz w:val="21"/>
          <w:lang w:val="nl-NL"/>
        </w:rPr>
      </w:pPr>
    </w:p>
    <w:p w:rsidR="00F43C9B" w:rsidRPr="00AD2CF5" w:rsidRDefault="00F43C9B" w:rsidP="00F43C9B">
      <w:pPr>
        <w:pStyle w:val="bijschrift0"/>
        <w:keepNext/>
        <w:shd w:val="clear" w:color="auto" w:fill="D9D9D9" w:themeFill="background1" w:themeFillShade="D9"/>
        <w:tabs>
          <w:tab w:val="left" w:pos="-720"/>
          <w:tab w:val="left" w:pos="0"/>
        </w:tabs>
        <w:suppressAutoHyphens/>
        <w:ind w:right="-30"/>
        <w:rPr>
          <w:rFonts w:ascii="Times New Roman" w:hAnsi="Times New Roman"/>
          <w:sz w:val="21"/>
          <w:lang w:val="nl-NL"/>
        </w:rPr>
      </w:pPr>
      <w:r w:rsidRPr="00AD2CF5">
        <w:rPr>
          <w:rFonts w:ascii="Times New Roman" w:hAnsi="Times New Roman"/>
          <w:sz w:val="21"/>
          <w:lang w:val="nl-NL"/>
        </w:rPr>
        <w:t xml:space="preserve">waarin </w:t>
      </w:r>
      <w:r w:rsidRPr="00AD2CF5">
        <w:rPr>
          <w:rFonts w:ascii="Times New Roman" w:hAnsi="Times New Roman"/>
          <w:i/>
          <w:sz w:val="21"/>
          <w:lang w:val="nl-NL"/>
        </w:rPr>
        <w:t>N</w:t>
      </w:r>
      <w:r w:rsidRPr="00AD2CF5">
        <w:rPr>
          <w:rFonts w:ascii="Times New Roman" w:hAnsi="Times New Roman"/>
          <w:sz w:val="21"/>
          <w:lang w:val="nl-NL"/>
        </w:rPr>
        <w:t>, uitgedrukt als een naar boven afgerond geheel getal, wordt gegeven door:</w:t>
      </w:r>
    </w:p>
    <w:p w:rsidR="00F43C9B" w:rsidRPr="00AD2CF5" w:rsidRDefault="00F43C9B" w:rsidP="00F43C9B">
      <w:pPr>
        <w:pStyle w:val="bijschrift0"/>
        <w:keepNext/>
        <w:shd w:val="clear" w:color="auto" w:fill="D9D9D9" w:themeFill="background1" w:themeFillShade="D9"/>
        <w:tabs>
          <w:tab w:val="left" w:pos="-720"/>
          <w:tab w:val="left" w:pos="0"/>
        </w:tabs>
        <w:suppressAutoHyphens/>
        <w:ind w:right="-30"/>
        <w:rPr>
          <w:rFonts w:ascii="Times New Roman" w:hAnsi="Times New Roman"/>
          <w:sz w:val="21"/>
          <w:lang w:val="nl-NL"/>
        </w:rPr>
      </w:pPr>
    </w:p>
    <w:p w:rsidR="00F43C9B" w:rsidRPr="00AD2CF5" w:rsidRDefault="00F43C9B" w:rsidP="00F43C9B">
      <w:pPr>
        <w:pStyle w:val="bijschrift0"/>
        <w:shd w:val="clear" w:color="auto" w:fill="D9D9D9" w:themeFill="background1" w:themeFillShade="D9"/>
        <w:tabs>
          <w:tab w:val="left" w:pos="567"/>
          <w:tab w:val="right" w:pos="7371"/>
        </w:tabs>
        <w:rPr>
          <w:rFonts w:ascii="Times New Roman" w:hAnsi="Times New Roman"/>
          <w:sz w:val="22"/>
        </w:rPr>
      </w:pPr>
      <w:r w:rsidRPr="00AD2CF5">
        <w:rPr>
          <w:position w:val="-28"/>
        </w:rPr>
        <w:object w:dxaOrig="2299" w:dyaOrig="1060">
          <v:shape id="_x0000_i1072" type="#_x0000_t75" style="width:115.5pt;height:53.25pt" o:ole="">
            <v:imagedata r:id="rId177" o:title=""/>
          </v:shape>
          <o:OLEObject Type="Embed" ProgID="Equation.3" ShapeID="_x0000_i1072" DrawAspect="Content" ObjectID="_1511255410" r:id="rId178"/>
        </w:object>
      </w:r>
      <w:r w:rsidRPr="00AD2CF5">
        <w:tab/>
      </w:r>
      <w:r w:rsidRPr="00AD2CF5">
        <w:rPr>
          <w:rFonts w:ascii="Times New Roman" w:hAnsi="Times New Roman"/>
          <w:b/>
          <w:sz w:val="22"/>
        </w:rPr>
        <w:t>(4. 17)</w:t>
      </w:r>
    </w:p>
    <w:p w:rsidR="00F43C9B" w:rsidRPr="00AD2CF5" w:rsidRDefault="00F43C9B" w:rsidP="00F43C9B">
      <w:pPr>
        <w:pStyle w:val="bijschrift0"/>
        <w:shd w:val="clear" w:color="auto" w:fill="D9D9D9" w:themeFill="background1" w:themeFillShade="D9"/>
        <w:tabs>
          <w:tab w:val="left" w:pos="851"/>
        </w:tabs>
        <w:rPr>
          <w:rFonts w:ascii="Times New Roman" w:hAnsi="Times New Roman"/>
          <w:b/>
          <w:sz w:val="21"/>
          <w:lang w:val="nl-NL"/>
        </w:rPr>
      </w:pPr>
      <w:r w:rsidRPr="00AD2CF5">
        <w:rPr>
          <w:rFonts w:ascii="Times New Roman" w:hAnsi="Times New Roman"/>
          <w:b/>
          <w:noProof/>
          <w:sz w:val="21"/>
          <w:lang w:val="nl-NL" w:eastAsia="nl-NL"/>
        </w:rPr>
        <w:drawing>
          <wp:inline distT="0" distB="0" distL="0" distR="0" wp14:anchorId="6421A0C2" wp14:editId="792114C8">
            <wp:extent cx="3790950" cy="5276850"/>
            <wp:effectExtent l="19050" t="0" r="0" b="0"/>
            <wp:docPr id="55"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srcRect/>
                    <a:stretch>
                      <a:fillRect/>
                    </a:stretch>
                  </pic:blipFill>
                  <pic:spPr bwMode="auto">
                    <a:xfrm>
                      <a:off x="0" y="0"/>
                      <a:ext cx="3790950" cy="5276850"/>
                    </a:xfrm>
                    <a:prstGeom prst="rect">
                      <a:avLst/>
                    </a:prstGeom>
                    <a:noFill/>
                    <a:ln w="9525">
                      <a:noFill/>
                      <a:miter lim="800000"/>
                      <a:headEnd/>
                      <a:tailEnd/>
                    </a:ln>
                  </pic:spPr>
                </pic:pic>
              </a:graphicData>
            </a:graphic>
          </wp:inline>
        </w:drawing>
      </w:r>
    </w:p>
    <w:p w:rsidR="00F43C9B" w:rsidRPr="00AD2CF5" w:rsidRDefault="00F43C9B" w:rsidP="00F43C9B">
      <w:pPr>
        <w:shd w:val="clear" w:color="auto" w:fill="D9D9D9" w:themeFill="background1" w:themeFillShade="D9"/>
        <w:suppressAutoHyphens/>
        <w:spacing w:line="240" w:lineRule="auto"/>
      </w:pPr>
      <w:r w:rsidRPr="00AD2CF5">
        <w:rPr>
          <w:b/>
        </w:rPr>
        <w:t xml:space="preserve">Figuur 4. 6: </w:t>
      </w:r>
      <w:r w:rsidRPr="00AD2CF5">
        <w:tab/>
        <w:t>Voorbeeld van een beschrijving van een deelgebied door deelbronnen voor twee verschillende rekenpunten (o).</w:t>
      </w:r>
    </w:p>
    <w:p w:rsidR="00F43C9B" w:rsidRPr="00AD2CF5" w:rsidRDefault="00F43C9B" w:rsidP="00F43C9B">
      <w:pPr>
        <w:shd w:val="clear" w:color="auto" w:fill="D9D9D9" w:themeFill="background1" w:themeFillShade="D9"/>
        <w:suppressAutoHyphens/>
        <w:spacing w:line="240" w:lineRule="auto"/>
      </w:pPr>
    </w:p>
    <w:p w:rsidR="00F43C9B" w:rsidRPr="00AD2CF5" w:rsidRDefault="00F43C9B" w:rsidP="00F43C9B">
      <w:pPr>
        <w:shd w:val="clear" w:color="auto" w:fill="D9D9D9" w:themeFill="background1" w:themeFillShade="D9"/>
        <w:suppressAutoHyphens/>
        <w:spacing w:line="240" w:lineRule="auto"/>
      </w:pPr>
      <w:r w:rsidRPr="00AD2CF5">
        <w:t>Vervolgens worden deze schillen onderverdeeld in sectoren met een hoek van 30</w:t>
      </w:r>
      <w:r w:rsidRPr="00AD2CF5">
        <w:rPr>
          <w:rFonts w:ascii="Symbol" w:hAnsi="Symbol"/>
        </w:rPr>
        <w:t></w:t>
      </w:r>
      <w:r w:rsidRPr="00AD2CF5">
        <w:t>. De snijpunten van de concentrische cirkels met de sector begrenzingen geven de hoekpunten van trapezia. De overlap van deze trapezia met het brongebied</w:t>
      </w:r>
      <w:r w:rsidRPr="00AD2CF5">
        <w:fldChar w:fldCharType="begin"/>
      </w:r>
      <w:r w:rsidRPr="00AD2CF5">
        <w:instrText xml:space="preserve"> XE "brongebied" </w:instrText>
      </w:r>
      <w:r w:rsidRPr="00AD2CF5">
        <w:fldChar w:fldCharType="end"/>
      </w:r>
      <w:r w:rsidRPr="00AD2CF5">
        <w:t xml:space="preserve"> geven uiteindelijk de grenzen van de verschillende deelgebieden. De vervangende deel</w:t>
      </w:r>
      <w:r w:rsidRPr="00AD2CF5">
        <w:softHyphen/>
        <w:t>bronnen liggen op het geometrische zwaartepunt van deze deelgebieden.</w:t>
      </w:r>
    </w:p>
    <w:p w:rsidR="00F43C9B" w:rsidRPr="00AD2CF5" w:rsidRDefault="00F43C9B" w:rsidP="00F43C9B">
      <w:pPr>
        <w:shd w:val="clear" w:color="auto" w:fill="D9D9D9" w:themeFill="background1" w:themeFillShade="D9"/>
        <w:suppressAutoHyphens/>
        <w:spacing w:line="240" w:lineRule="auto"/>
      </w:pPr>
      <w:r w:rsidRPr="00AD2CF5">
        <w:t>In figuur 4.6 is een voorbeeld gegeven van de verdeling van de bronpunten voor twee verschillende rekenpunten.</w:t>
      </w:r>
    </w:p>
    <w:p w:rsidR="00F43C9B" w:rsidRPr="00AD2CF5" w:rsidRDefault="00F43C9B" w:rsidP="00F43C9B">
      <w:pPr>
        <w:keepNext/>
        <w:keepLines/>
        <w:shd w:val="clear" w:color="auto" w:fill="D9D9D9" w:themeFill="background1" w:themeFillShade="D9"/>
        <w:tabs>
          <w:tab w:val="left" w:pos="-108"/>
          <w:tab w:val="left" w:pos="573"/>
          <w:tab w:val="left" w:pos="851"/>
          <w:tab w:val="left" w:pos="1309"/>
          <w:tab w:val="left" w:pos="2387"/>
        </w:tabs>
        <w:suppressAutoHyphens/>
        <w:spacing w:line="240" w:lineRule="auto"/>
      </w:pPr>
    </w:p>
    <w:p w:rsidR="00F43C9B" w:rsidRPr="00AD2CF5" w:rsidRDefault="00F43C9B" w:rsidP="00F43C9B">
      <w:pPr>
        <w:keepNext/>
        <w:keepLines/>
        <w:shd w:val="clear" w:color="auto" w:fill="D9D9D9" w:themeFill="background1" w:themeFillShade="D9"/>
        <w:tabs>
          <w:tab w:val="left" w:pos="-108"/>
          <w:tab w:val="left" w:pos="573"/>
          <w:tab w:val="left" w:pos="851"/>
          <w:tab w:val="left" w:pos="1309"/>
          <w:tab w:val="left" w:pos="2387"/>
        </w:tabs>
        <w:suppressAutoHyphens/>
        <w:spacing w:line="240" w:lineRule="auto"/>
      </w:pPr>
      <w:r w:rsidRPr="00AD2CF5">
        <w:t>De bijdragen van de verschillende deelbronnen tot de geluidbelasting in de verschillende juridische beoordelingsperiode</w:t>
      </w:r>
      <w:r w:rsidRPr="00AD2CF5">
        <w:fldChar w:fldCharType="begin"/>
      </w:r>
      <w:r w:rsidRPr="00AD2CF5">
        <w:instrText xml:space="preserve"> XE "juridische beoordelingsperiode" </w:instrText>
      </w:r>
      <w:r w:rsidRPr="00AD2CF5">
        <w:fldChar w:fldCharType="end"/>
      </w:r>
      <w:r w:rsidRPr="00AD2CF5">
        <w:t>n (</w:t>
      </w:r>
      <w:r w:rsidRPr="00AD2CF5">
        <w:rPr>
          <w:i/>
          <w:iCs/>
        </w:rPr>
        <w:t>B</w:t>
      </w:r>
      <w:r w:rsidRPr="00AD2CF5">
        <w:rPr>
          <w:i/>
          <w:iCs/>
          <w:vertAlign w:val="subscript"/>
        </w:rPr>
        <w:t>s,dag</w:t>
      </w:r>
      <w:r w:rsidRPr="00AD2CF5">
        <w:t>(</w:t>
      </w:r>
      <w:r w:rsidRPr="00AD2CF5">
        <w:rPr>
          <w:i/>
          <w:iCs/>
        </w:rPr>
        <w:t>b</w:t>
      </w:r>
      <w:r w:rsidRPr="00AD2CF5">
        <w:rPr>
          <w:i/>
          <w:iCs/>
          <w:vertAlign w:val="subscript"/>
        </w:rPr>
        <w:t>i</w:t>
      </w:r>
      <w:r w:rsidRPr="00AD2CF5">
        <w:t>)</w:t>
      </w:r>
      <w:r w:rsidRPr="00AD2CF5">
        <w:rPr>
          <w:i/>
          <w:iCs/>
        </w:rPr>
        <w:t>, B</w:t>
      </w:r>
      <w:r w:rsidRPr="00AD2CF5">
        <w:rPr>
          <w:i/>
          <w:iCs/>
          <w:vertAlign w:val="subscript"/>
        </w:rPr>
        <w:t>s,avond</w:t>
      </w:r>
      <w:r w:rsidRPr="00AD2CF5">
        <w:t>(</w:t>
      </w:r>
      <w:r w:rsidRPr="00AD2CF5">
        <w:rPr>
          <w:i/>
          <w:iCs/>
        </w:rPr>
        <w:t>b</w:t>
      </w:r>
      <w:r w:rsidRPr="00AD2CF5">
        <w:rPr>
          <w:i/>
          <w:iCs/>
          <w:vertAlign w:val="subscript"/>
        </w:rPr>
        <w:t>i</w:t>
      </w:r>
      <w:r w:rsidRPr="00AD2CF5">
        <w:t xml:space="preserve">) en </w:t>
      </w:r>
      <w:r w:rsidRPr="00AD2CF5">
        <w:rPr>
          <w:i/>
          <w:iCs/>
        </w:rPr>
        <w:t>B</w:t>
      </w:r>
      <w:r w:rsidRPr="00AD2CF5">
        <w:rPr>
          <w:i/>
          <w:iCs/>
          <w:vertAlign w:val="subscript"/>
        </w:rPr>
        <w:t>s,nacht</w:t>
      </w:r>
      <w:r w:rsidRPr="00AD2CF5">
        <w:t>(</w:t>
      </w:r>
      <w:r w:rsidRPr="00AD2CF5">
        <w:rPr>
          <w:i/>
          <w:iCs/>
        </w:rPr>
        <w:t>b</w:t>
      </w:r>
      <w:r w:rsidRPr="00AD2CF5">
        <w:rPr>
          <w:i/>
          <w:iCs/>
          <w:vertAlign w:val="subscript"/>
        </w:rPr>
        <w:t>i</w:t>
      </w:r>
      <w:r w:rsidRPr="00AD2CF5">
        <w:t xml:space="preserve">)) moeten tenslotte gecorrigeerd worden voor het verschil in oppervlak tussen de verschillende deeloppervlakken </w:t>
      </w:r>
      <w:r w:rsidRPr="00AD2CF5">
        <w:rPr>
          <w:i/>
        </w:rPr>
        <w:t>O</w:t>
      </w:r>
      <w:r w:rsidRPr="00AD2CF5">
        <w:rPr>
          <w:i/>
          <w:vertAlign w:val="subscript"/>
        </w:rPr>
        <w:t>i</w:t>
      </w:r>
      <w:r w:rsidRPr="00AD2CF5">
        <w:rPr>
          <w:i/>
        </w:rPr>
        <w:t xml:space="preserve"> </w:t>
      </w:r>
      <w:r w:rsidRPr="00AD2CF5">
        <w:rPr>
          <w:iCs/>
        </w:rPr>
        <w:t>en</w:t>
      </w:r>
      <w:r w:rsidRPr="00AD2CF5">
        <w:rPr>
          <w:i/>
        </w:rPr>
        <w:t xml:space="preserve"> </w:t>
      </w:r>
      <w:r w:rsidRPr="00AD2CF5">
        <w:t>het totale oppervlak van het brongebied</w:t>
      </w:r>
      <w:r w:rsidRPr="00AD2CF5">
        <w:fldChar w:fldCharType="begin"/>
      </w:r>
      <w:r w:rsidRPr="00AD2CF5">
        <w:instrText xml:space="preserve"> XE "brongebied" </w:instrText>
      </w:r>
      <w:r w:rsidRPr="00AD2CF5">
        <w:fldChar w:fldCharType="end"/>
      </w:r>
      <w:r w:rsidRPr="00AD2CF5">
        <w:rPr>
          <w:i/>
        </w:rPr>
        <w:t xml:space="preserve"> O</w:t>
      </w:r>
      <w:r w:rsidRPr="00AD2CF5">
        <w:rPr>
          <w:i/>
          <w:vertAlign w:val="subscript"/>
        </w:rPr>
        <w:t>tot</w:t>
      </w:r>
      <w:r w:rsidRPr="00AD2CF5">
        <w:t xml:space="preserve">.  Hiertoe wordt in formule </w:t>
      </w:r>
      <w:r w:rsidRPr="00AD2CF5">
        <w:rPr>
          <w:b/>
          <w:bCs/>
        </w:rPr>
        <w:t>3.4</w:t>
      </w:r>
      <w:r w:rsidRPr="00AD2CF5">
        <w:t xml:space="preserve"> in het rechterlid een correctieterm toegevoegd zoals hieronder in formule </w:t>
      </w:r>
      <w:r w:rsidRPr="00AD2CF5">
        <w:rPr>
          <w:b/>
          <w:bCs/>
        </w:rPr>
        <w:t>4.18</w:t>
      </w:r>
      <w:r w:rsidRPr="00AD2CF5">
        <w:t xml:space="preserve"> is weergegeven:</w:t>
      </w:r>
    </w:p>
    <w:p w:rsidR="00F43C9B" w:rsidRPr="00AD2CF5" w:rsidRDefault="00F43C9B" w:rsidP="00F43C9B">
      <w:pPr>
        <w:pStyle w:val="Bijschrift"/>
        <w:shd w:val="clear" w:color="auto" w:fill="D9D9D9" w:themeFill="background1" w:themeFillShade="D9"/>
        <w:tabs>
          <w:tab w:val="left" w:pos="567"/>
          <w:tab w:val="right" w:pos="7371"/>
        </w:tabs>
        <w:rPr>
          <w:b w:val="0"/>
          <w:i/>
          <w:lang w:val="nl-NL"/>
        </w:rPr>
      </w:pPr>
      <w:r w:rsidRPr="00AD2CF5">
        <w:rPr>
          <w:i/>
          <w:position w:val="-154"/>
        </w:rPr>
        <w:object w:dxaOrig="6700" w:dyaOrig="2980">
          <v:shape id="_x0000_i1073" type="#_x0000_t75" style="width:333.75pt;height:149.25pt" o:ole="" fillcolor="window">
            <v:imagedata r:id="rId180" o:title=""/>
          </v:shape>
          <o:OLEObject Type="Embed" ProgID="Equation.3" ShapeID="_x0000_i1073" DrawAspect="Content" ObjectID="_1511255411" r:id="rId181"/>
        </w:object>
      </w:r>
      <w:r w:rsidRPr="00AD2CF5">
        <w:rPr>
          <w:lang w:val="nl-NL"/>
        </w:rPr>
        <w:t>(4. 18)</w:t>
      </w:r>
    </w:p>
    <w:p w:rsidR="00F43C9B" w:rsidRPr="00AD2CF5" w:rsidRDefault="00F43C9B" w:rsidP="00F43C9B">
      <w:pPr>
        <w:shd w:val="clear" w:color="auto" w:fill="D9D9D9" w:themeFill="background1" w:themeFillShade="D9"/>
        <w:tabs>
          <w:tab w:val="left" w:pos="-108"/>
          <w:tab w:val="left" w:pos="573"/>
          <w:tab w:val="left" w:pos="851"/>
          <w:tab w:val="left" w:pos="1309"/>
          <w:tab w:val="left" w:pos="2387"/>
        </w:tabs>
        <w:suppressAutoHyphens/>
        <w:spacing w:line="240" w:lineRule="auto"/>
        <w:ind w:left="851"/>
        <w:rPr>
          <w:b/>
        </w:rPr>
      </w:pPr>
    </w:p>
    <w:p w:rsidR="00F43C9B" w:rsidRPr="00AD2CF5" w:rsidRDefault="00F43C9B" w:rsidP="00F43C9B">
      <w:pPr>
        <w:shd w:val="clear" w:color="auto" w:fill="D9D9D9" w:themeFill="background1" w:themeFillShade="D9"/>
        <w:tabs>
          <w:tab w:val="left" w:pos="-108"/>
          <w:tab w:val="left" w:pos="573"/>
          <w:tab w:val="left" w:pos="851"/>
          <w:tab w:val="left" w:pos="1309"/>
          <w:tab w:val="left" w:pos="2387"/>
        </w:tabs>
        <w:suppressAutoHyphens/>
        <w:spacing w:line="240" w:lineRule="auto"/>
      </w:pPr>
      <w:r w:rsidRPr="00AD2CF5">
        <w:rPr>
          <w:i/>
        </w:rPr>
        <w:t>Kogelgeluid bij vlakbaan schieten</w:t>
      </w:r>
      <w:bookmarkStart w:id="583" w:name="kogelbron"/>
      <w:r w:rsidRPr="00AD2CF5">
        <w:br/>
        <w:t>Voor de berekening van de geluidbelasting door kogelgeluid</w:t>
      </w:r>
      <w:r w:rsidRPr="00AD2CF5">
        <w:fldChar w:fldCharType="begin"/>
      </w:r>
      <w:r w:rsidRPr="00AD2CF5">
        <w:instrText xml:space="preserve"> XE "kogelgeluid" </w:instrText>
      </w:r>
      <w:r w:rsidRPr="00AD2CF5">
        <w:fldChar w:fldCharType="end"/>
      </w:r>
      <w:r w:rsidRPr="00AD2CF5">
        <w:t xml:space="preserve"> wordt ervan uitgegaan dat het kogelgeluid van één punt afkomt dat op de kogelbaan</w:t>
      </w:r>
      <w:r w:rsidRPr="00AD2CF5">
        <w:fldChar w:fldCharType="begin"/>
      </w:r>
      <w:r w:rsidRPr="00AD2CF5">
        <w:instrText xml:space="preserve"> XE "kogelbaan" </w:instrText>
      </w:r>
      <w:r w:rsidRPr="00AD2CF5">
        <w:fldChar w:fldCharType="end"/>
      </w:r>
      <w:r w:rsidRPr="00AD2CF5">
        <w:t xml:space="preserve"> ligt, het zogenaamde bronpunt.</w:t>
      </w:r>
      <w:r w:rsidRPr="00AD2CF5">
        <w:fldChar w:fldCharType="begin"/>
      </w:r>
      <w:r w:rsidRPr="00AD2CF5">
        <w:instrText xml:space="preserve"> XE "bronpunt kogelgeluid" </w:instrText>
      </w:r>
      <w:r w:rsidRPr="00AD2CF5">
        <w:fldChar w:fldCharType="end"/>
      </w:r>
      <w:r w:rsidRPr="00AD2CF5">
        <w:t xml:space="preserve"> Uitgaande van een </w:t>
      </w:r>
      <w:r w:rsidRPr="00AD2CF5">
        <w:rPr>
          <w:i/>
        </w:rPr>
        <w:t>xy</w:t>
      </w:r>
      <w:r w:rsidRPr="00AD2CF5">
        <w:t>-coör</w:t>
      </w:r>
      <w:r w:rsidRPr="00AD2CF5">
        <w:softHyphen/>
        <w:t>dinaten</w:t>
      </w:r>
      <w:r w:rsidRPr="00AD2CF5">
        <w:softHyphen/>
        <w:t xml:space="preserve">stelsel in het horizontale vlak, met de vuurmond in de oorsprong, de </w:t>
      </w:r>
      <w:r w:rsidRPr="00AD2CF5">
        <w:rPr>
          <w:i/>
        </w:rPr>
        <w:t>x</w:t>
      </w:r>
      <w:r w:rsidRPr="00AD2CF5">
        <w:t xml:space="preserve">-as langs de vuurlijn en de </w:t>
      </w:r>
      <w:r w:rsidRPr="00AD2CF5">
        <w:rPr>
          <w:i/>
        </w:rPr>
        <w:t>y</w:t>
      </w:r>
      <w:r w:rsidRPr="00AD2CF5">
        <w:t xml:space="preserve">-as loodrecht hierop, wordt de positie van het bronpunt aangegeven als </w:t>
      </w:r>
      <w:r w:rsidRPr="00AD2CF5">
        <w:rPr>
          <w:i/>
        </w:rPr>
        <w:t>(x</w:t>
      </w:r>
      <w:r w:rsidRPr="00AD2CF5">
        <w:rPr>
          <w:i/>
          <w:vertAlign w:val="subscript"/>
        </w:rPr>
        <w:t>s</w:t>
      </w:r>
      <w:r w:rsidRPr="00AD2CF5">
        <w:t>,0) en de positie van het rekenpunt als (</w:t>
      </w:r>
      <w:r w:rsidRPr="00AD2CF5">
        <w:rPr>
          <w:i/>
        </w:rPr>
        <w:t>x</w:t>
      </w:r>
      <w:r w:rsidRPr="00AD2CF5">
        <w:rPr>
          <w:i/>
          <w:vertAlign w:val="subscript"/>
        </w:rPr>
        <w:t>r</w:t>
      </w:r>
      <w:r w:rsidRPr="00AD2CF5">
        <w:t>,</w:t>
      </w:r>
      <w:r w:rsidRPr="00AD2CF5">
        <w:rPr>
          <w:i/>
        </w:rPr>
        <w:t>y</w:t>
      </w:r>
      <w:r w:rsidRPr="00AD2CF5">
        <w:rPr>
          <w:i/>
          <w:vertAlign w:val="subscript"/>
        </w:rPr>
        <w:t>r</w:t>
      </w:r>
      <w:r w:rsidRPr="00AD2CF5">
        <w:t xml:space="preserve">). De onbekende </w:t>
      </w:r>
      <w:r w:rsidRPr="00AD2CF5">
        <w:rPr>
          <w:i/>
        </w:rPr>
        <w:t>x</w:t>
      </w:r>
      <w:r w:rsidRPr="00AD2CF5">
        <w:rPr>
          <w:i/>
          <w:vertAlign w:val="subscript"/>
        </w:rPr>
        <w:t>s</w:t>
      </w:r>
      <w:r w:rsidRPr="00AD2CF5">
        <w:t xml:space="preserve"> wordt bepaald door het oplossen van onder</w:t>
      </w:r>
      <w:r w:rsidRPr="00AD2CF5">
        <w:softHyphen/>
        <w:t>staande vierde orde polynoom:</w:t>
      </w:r>
    </w:p>
    <w:p w:rsidR="00F43C9B" w:rsidRPr="00AD2CF5" w:rsidRDefault="00F43C9B" w:rsidP="00F43C9B">
      <w:pPr>
        <w:pStyle w:val="Bijschrift"/>
        <w:shd w:val="clear" w:color="auto" w:fill="D9D9D9" w:themeFill="background1" w:themeFillShade="D9"/>
        <w:tabs>
          <w:tab w:val="left" w:pos="567"/>
          <w:tab w:val="right" w:pos="7371"/>
        </w:tabs>
        <w:rPr>
          <w:b w:val="0"/>
          <w:lang w:val="nl-NL"/>
        </w:rPr>
      </w:pPr>
      <w:r w:rsidRPr="00AD2CF5">
        <w:rPr>
          <w:position w:val="-32"/>
        </w:rPr>
        <w:object w:dxaOrig="4940" w:dyaOrig="760">
          <v:shape id="_x0000_i1074" type="#_x0000_t75" style="width:247.5pt;height:39pt" o:ole="" fillcolor="window">
            <v:imagedata r:id="rId182" o:title=""/>
          </v:shape>
          <o:OLEObject Type="Embed" ProgID="Equation.3" ShapeID="_x0000_i1074" DrawAspect="Content" ObjectID="_1511255412" r:id="rId183"/>
        </w:object>
      </w:r>
      <w:r w:rsidRPr="00AD2CF5">
        <w:rPr>
          <w:b w:val="0"/>
          <w:i/>
          <w:lang w:val="nl-NL"/>
        </w:rPr>
        <w:tab/>
      </w:r>
      <w:r w:rsidRPr="00AD2CF5">
        <w:rPr>
          <w:lang w:val="nl-NL"/>
        </w:rPr>
        <w:t>(4. 19)</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waarin: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i/>
        </w:rPr>
        <w:t>(x</w:t>
      </w:r>
      <w:r w:rsidRPr="00AD2CF5">
        <w:rPr>
          <w:i/>
          <w:vertAlign w:val="subscript"/>
        </w:rPr>
        <w:t>r</w:t>
      </w:r>
      <w:r w:rsidRPr="00AD2CF5">
        <w:rPr>
          <w:i/>
        </w:rPr>
        <w:t>, y</w:t>
      </w:r>
      <w:r w:rsidRPr="00AD2CF5">
        <w:rPr>
          <w:i/>
          <w:vertAlign w:val="subscript"/>
        </w:rPr>
        <w:t>r</w:t>
      </w:r>
      <w:r w:rsidRPr="00AD2CF5">
        <w:rPr>
          <w:i/>
        </w:rPr>
        <w:t>)</w:t>
      </w:r>
      <w:r w:rsidRPr="00AD2CF5">
        <w:rPr>
          <w:i/>
        </w:rPr>
        <w:tab/>
      </w:r>
      <w:r w:rsidRPr="00AD2CF5">
        <w:tab/>
        <w:t>positie van rekenpunt;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i/>
        </w:rPr>
        <w:t>(x</w:t>
      </w:r>
      <w:r w:rsidRPr="00AD2CF5">
        <w:rPr>
          <w:i/>
          <w:vertAlign w:val="subscript"/>
        </w:rPr>
        <w:t>s</w:t>
      </w:r>
      <w:r w:rsidRPr="00AD2CF5">
        <w:rPr>
          <w:i/>
        </w:rPr>
        <w:t xml:space="preserve">, </w:t>
      </w:r>
      <w:r w:rsidRPr="00AD2CF5">
        <w:t>0</w:t>
      </w:r>
      <w:r w:rsidRPr="00AD2CF5">
        <w:rPr>
          <w:i/>
        </w:rPr>
        <w:t>)</w:t>
      </w:r>
      <w:r w:rsidRPr="00AD2CF5">
        <w:rPr>
          <w:i/>
        </w:rPr>
        <w:tab/>
      </w:r>
      <w:r w:rsidRPr="00AD2CF5">
        <w:tab/>
        <w:t>positie van het bronpunt.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Voor de oplossing van deze polynoom wordt verwezen naar mathematische handboeken. Indien het bronpunt achter het doel ligt, wordt voor het bronpunt de doelpositie genomen. Indien het bronpunt op een punt ligt waar de kogelsnelheid</w:t>
      </w:r>
      <w:r w:rsidRPr="00AD2CF5">
        <w:fldChar w:fldCharType="begin"/>
      </w:r>
      <w:r w:rsidRPr="00AD2CF5">
        <w:instrText xml:space="preserve"> XE "kogelsnelheid" </w:instrText>
      </w:r>
      <w:r w:rsidRPr="00AD2CF5">
        <w:fldChar w:fldCharType="end"/>
      </w:r>
      <w:r w:rsidRPr="00AD2CF5">
        <w:t xml:space="preserve"> kleiner is dan 1,02</w:t>
      </w:r>
      <w:r w:rsidRPr="00AD2CF5">
        <w:rPr>
          <w:i/>
        </w:rPr>
        <w:t>c</w:t>
      </w:r>
      <w:r w:rsidRPr="00AD2CF5">
        <w:rPr>
          <w:vertAlign w:val="subscript"/>
        </w:rPr>
        <w:t>0</w:t>
      </w:r>
      <w:r w:rsidRPr="00AD2CF5">
        <w:t xml:space="preserve"> dan wordt voor het bronpunt het punt genomen waar de kogelsnelheid gelijk is aan 1,02</w:t>
      </w:r>
      <w:r w:rsidRPr="00AD2CF5">
        <w:rPr>
          <w:i/>
        </w:rPr>
        <w:t>c</w:t>
      </w:r>
      <w:r w:rsidRPr="00AD2CF5">
        <w:rPr>
          <w:vertAlign w:val="subscript"/>
        </w:rPr>
        <w:t>0</w:t>
      </w:r>
      <w:r w:rsidRPr="00AD2CF5">
        <w:t xml:space="preserve"> (ervan uitgaande dat </w:t>
      </w:r>
      <w:r w:rsidRPr="00AD2CF5">
        <w:rPr>
          <w:i/>
        </w:rPr>
        <w:t>v</w:t>
      </w:r>
      <w:r w:rsidRPr="00AD2CF5">
        <w:rPr>
          <w:vertAlign w:val="subscript"/>
        </w:rPr>
        <w:t>0</w:t>
      </w:r>
      <w:r w:rsidRPr="00AD2CF5">
        <w:t xml:space="preserve"> groter is dan 1,02</w:t>
      </w:r>
      <w:r w:rsidRPr="00AD2CF5">
        <w:rPr>
          <w:i/>
        </w:rPr>
        <w:t>c</w:t>
      </w:r>
      <w:r w:rsidRPr="00AD2CF5">
        <w:rPr>
          <w:vertAlign w:val="subscript"/>
        </w:rPr>
        <w:t>0</w:t>
      </w:r>
      <w:r w:rsidRPr="00AD2CF5">
        <w: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Het breedbandige bronniveau</w:t>
      </w:r>
      <w:r w:rsidRPr="00AD2CF5">
        <w:fldChar w:fldCharType="begin"/>
      </w:r>
      <w:r w:rsidRPr="00AD2CF5">
        <w:instrText xml:space="preserve"> XE "bronniveau" </w:instrText>
      </w:r>
      <w:r w:rsidRPr="00AD2CF5">
        <w:fldChar w:fldCharType="end"/>
      </w:r>
      <w:r w:rsidRPr="00AD2CF5">
        <w:t xml:space="preserve"> wordt bepaald door de afmetingen van de kogel en zijn lokale snelheid op het bronpunt:</w:t>
      </w:r>
    </w:p>
    <w:p w:rsidR="00F43C9B" w:rsidRPr="00AD2CF5" w:rsidRDefault="00F43C9B" w:rsidP="00F43C9B">
      <w:pPr>
        <w:shd w:val="clear" w:color="auto" w:fill="D9D9D9" w:themeFill="background1" w:themeFillShade="D9"/>
        <w:tabs>
          <w:tab w:val="left" w:pos="-108"/>
          <w:tab w:val="left" w:pos="573"/>
          <w:tab w:val="left" w:pos="851"/>
          <w:tab w:val="left" w:pos="1309"/>
          <w:tab w:val="left" w:pos="2387"/>
        </w:tabs>
        <w:suppressAutoHyphens/>
        <w:spacing w:line="240" w:lineRule="auto"/>
        <w:ind w:left="851"/>
      </w:pPr>
    </w:p>
    <w:p w:rsidR="00F43C9B" w:rsidRPr="00AD2CF5" w:rsidRDefault="00F43C9B" w:rsidP="00F43C9B">
      <w:pPr>
        <w:shd w:val="clear" w:color="auto" w:fill="D9D9D9" w:themeFill="background1" w:themeFillShade="D9"/>
        <w:tabs>
          <w:tab w:val="left" w:pos="567"/>
          <w:tab w:val="right" w:pos="7371"/>
        </w:tabs>
        <w:suppressAutoHyphens/>
        <w:spacing w:line="240" w:lineRule="auto"/>
        <w:rPr>
          <w:b/>
        </w:rPr>
      </w:pPr>
      <w:r w:rsidRPr="00AD2CF5">
        <w:rPr>
          <w:position w:val="-36"/>
        </w:rPr>
        <w:object w:dxaOrig="4599" w:dyaOrig="840">
          <v:shape id="_x0000_i1075" type="#_x0000_t75" style="width:229.5pt;height:42pt" o:ole="" fillcolor="window">
            <v:imagedata r:id="rId184" o:title=""/>
          </v:shape>
          <o:OLEObject Type="Embed" ProgID="Equation.3" ShapeID="_x0000_i1075" DrawAspect="Content" ObjectID="_1511255413" r:id="rId185"/>
        </w:object>
      </w:r>
      <w:r w:rsidRPr="00AD2CF5">
        <w:t xml:space="preserve">  voor </w:t>
      </w:r>
      <w:r w:rsidRPr="00AD2CF5">
        <w:rPr>
          <w:i/>
          <w:iCs/>
        </w:rPr>
        <w:t>M</w:t>
      </w:r>
      <w:r w:rsidRPr="00AD2CF5">
        <w:t xml:space="preserve"> &gt; 1.02</w:t>
      </w:r>
      <w:r w:rsidRPr="00AD2CF5">
        <w:rPr>
          <w:b/>
        </w:rPr>
        <w:tab/>
        <w:t>(4. 20)</w:t>
      </w:r>
    </w:p>
    <w:p w:rsidR="00F43C9B" w:rsidRPr="00AD2CF5" w:rsidRDefault="00F43C9B" w:rsidP="00F43C9B">
      <w:pPr>
        <w:shd w:val="clear" w:color="auto" w:fill="D9D9D9" w:themeFill="background1" w:themeFillShade="D9"/>
        <w:tabs>
          <w:tab w:val="left" w:pos="-108"/>
          <w:tab w:val="left" w:pos="573"/>
          <w:tab w:val="left" w:pos="851"/>
          <w:tab w:val="left" w:pos="1309"/>
          <w:tab w:val="left" w:pos="2387"/>
        </w:tabs>
        <w:suppressAutoHyphens/>
        <w:spacing w:line="240" w:lineRule="auto"/>
      </w:pPr>
      <w:r w:rsidRPr="00AD2CF5">
        <w:t xml:space="preserve">met </w:t>
      </w:r>
      <w:r w:rsidRPr="00AD2CF5">
        <w:rPr>
          <w:i/>
        </w:rPr>
        <w:t xml:space="preserve">M </w:t>
      </w:r>
      <w:r w:rsidRPr="00AD2CF5">
        <w:t>het Mach-getal</w:t>
      </w:r>
      <w:r w:rsidRPr="00AD2CF5">
        <w:fldChar w:fldCharType="begin"/>
      </w:r>
      <w:r w:rsidRPr="00AD2CF5">
        <w:instrText xml:space="preserve"> XE "mach-getal" </w:instrText>
      </w:r>
      <w:r w:rsidRPr="00AD2CF5">
        <w:fldChar w:fldCharType="end"/>
      </w:r>
      <w:r w:rsidRPr="00AD2CF5">
        <w:t xml:space="preserve"> van de kogel op het bronpunt en waarbij </w:t>
      </w:r>
      <w:r w:rsidRPr="00AD2CF5">
        <w:rPr>
          <w:i/>
        </w:rPr>
        <w:t>d</w:t>
      </w:r>
      <w:r w:rsidRPr="00AD2CF5">
        <w:rPr>
          <w:i/>
          <w:vertAlign w:val="subscript"/>
        </w:rPr>
        <w:t>kogel</w:t>
      </w:r>
      <w:r w:rsidRPr="00AD2CF5">
        <w:rPr>
          <w:i/>
        </w:rPr>
        <w:t xml:space="preserve"> </w:t>
      </w:r>
      <w:r w:rsidRPr="00AD2CF5">
        <w:t xml:space="preserve">en </w:t>
      </w:r>
      <w:r w:rsidRPr="00AD2CF5">
        <w:rPr>
          <w:i/>
        </w:rPr>
        <w:t>l</w:t>
      </w:r>
      <w:r w:rsidRPr="00AD2CF5">
        <w:rPr>
          <w:i/>
          <w:vertAlign w:val="subscript"/>
        </w:rPr>
        <w:t>kogel</w:t>
      </w:r>
      <w:r w:rsidRPr="00AD2CF5">
        <w:rPr>
          <w:i/>
        </w:rPr>
        <w:t xml:space="preserve"> </w:t>
      </w:r>
      <w:r w:rsidRPr="00AD2CF5">
        <w:t>uitgedrukt worden in m.</w:t>
      </w:r>
    </w:p>
    <w:p w:rsidR="00F43C9B" w:rsidRPr="00AD2CF5" w:rsidRDefault="00F43C9B" w:rsidP="00F43C9B">
      <w:pPr>
        <w:shd w:val="clear" w:color="auto" w:fill="D9D9D9" w:themeFill="background1" w:themeFillShade="D9"/>
        <w:tabs>
          <w:tab w:val="left" w:pos="-108"/>
          <w:tab w:val="left" w:pos="573"/>
          <w:tab w:val="left" w:pos="851"/>
          <w:tab w:val="left" w:pos="1309"/>
          <w:tab w:val="left" w:pos="2387"/>
        </w:tabs>
        <w:suppressAutoHyphens/>
        <w:spacing w:line="240" w:lineRule="auto"/>
      </w:pPr>
    </w:p>
    <w:p w:rsidR="00F43C9B" w:rsidRPr="00AD2CF5" w:rsidRDefault="00F43C9B" w:rsidP="00F43C9B">
      <w:pPr>
        <w:pStyle w:val="Inhopg1"/>
        <w:shd w:val="clear" w:color="auto" w:fill="D9D9D9" w:themeFill="background1" w:themeFillShade="D9"/>
        <w:tabs>
          <w:tab w:val="left" w:pos="-108"/>
          <w:tab w:val="left" w:pos="573"/>
          <w:tab w:val="left" w:pos="851"/>
          <w:tab w:val="left" w:pos="1309"/>
          <w:tab w:val="left" w:pos="2387"/>
        </w:tabs>
        <w:suppressAutoHyphens/>
        <w:spacing w:after="0" w:line="240" w:lineRule="auto"/>
      </w:pPr>
      <w:r w:rsidRPr="00AD2CF5">
        <w:t>Voor de berekening van het octaafbandspectrum van het bronniveau</w:t>
      </w:r>
      <w:r w:rsidRPr="00AD2CF5">
        <w:fldChar w:fldCharType="begin"/>
      </w:r>
      <w:r w:rsidRPr="00AD2CF5">
        <w:instrText xml:space="preserve"> XE "bronniveau" </w:instrText>
      </w:r>
      <w:r w:rsidRPr="00AD2CF5">
        <w:fldChar w:fldCharType="end"/>
      </w:r>
      <w:r w:rsidRPr="00AD2CF5">
        <w:t xml:space="preserve"> wordt rekening gehouden met de verschuiving van het spectrum</w:t>
      </w:r>
      <w:r w:rsidRPr="00AD2CF5">
        <w:fldChar w:fldCharType="begin"/>
      </w:r>
      <w:r w:rsidRPr="00AD2CF5">
        <w:instrText xml:space="preserve"> XE "spectrum" </w:instrText>
      </w:r>
      <w:r w:rsidRPr="00AD2CF5">
        <w:fldChar w:fldCharType="end"/>
      </w:r>
      <w:r w:rsidRPr="00AD2CF5">
        <w:t xml:space="preserve"> van kogelgeluid</w:t>
      </w:r>
      <w:r w:rsidRPr="00AD2CF5">
        <w:fldChar w:fldCharType="begin"/>
      </w:r>
      <w:r w:rsidRPr="00AD2CF5">
        <w:instrText xml:space="preserve"> XE "kogelgeluid" </w:instrText>
      </w:r>
      <w:r w:rsidRPr="00AD2CF5">
        <w:fldChar w:fldCharType="end"/>
      </w:r>
      <w:r w:rsidRPr="00AD2CF5">
        <w:t xml:space="preserve"> op het traject van het bronpunt naar het rekenpunt (door niet</w:t>
      </w:r>
      <w:r w:rsidRPr="00AD2CF5">
        <w:noBreakHyphen/>
        <w:t>lineair</w:t>
      </w:r>
      <w:r w:rsidRPr="00AD2CF5">
        <w:fldChar w:fldCharType="begin"/>
      </w:r>
      <w:r w:rsidRPr="00AD2CF5">
        <w:instrText xml:space="preserve"> XE "niet-lineaire demping" </w:instrText>
      </w:r>
      <w:r w:rsidRPr="00AD2CF5">
        <w:fldChar w:fldCharType="end"/>
      </w:r>
      <w:r w:rsidRPr="00AD2CF5">
        <w:t>e effecten). Hiervoor wordt een karakteristieke frequentie</w:t>
      </w:r>
      <w:r w:rsidRPr="00AD2CF5">
        <w:fldChar w:fldCharType="begin"/>
      </w:r>
      <w:r w:rsidRPr="00AD2CF5">
        <w:instrText xml:space="preserve"> XE "frequentie" </w:instrText>
      </w:r>
      <w:r w:rsidRPr="00AD2CF5">
        <w:fldChar w:fldCharType="end"/>
      </w:r>
      <w:r w:rsidRPr="00AD2CF5">
        <w:t xml:space="preserve"> </w:t>
      </w:r>
      <w:r w:rsidRPr="00AD2CF5">
        <w:rPr>
          <w:i/>
        </w:rPr>
        <w:t>f</w:t>
      </w:r>
      <w:r w:rsidRPr="00AD2CF5">
        <w:rPr>
          <w:i/>
          <w:vertAlign w:val="subscript"/>
        </w:rPr>
        <w:t>kogel</w:t>
      </w:r>
      <w:r w:rsidRPr="00AD2CF5">
        <w:t xml:space="preserve"> van kogelgeluid geïntroduceerd, die afhankelijk is van de afstand </w:t>
      </w:r>
      <w:r w:rsidRPr="00AD2CF5">
        <w:rPr>
          <w:i/>
          <w:iCs/>
        </w:rPr>
        <w:t>R</w:t>
      </w:r>
      <w:r w:rsidRPr="00AD2CF5">
        <w:t xml:space="preserve"> van het bronpunt op de kogelbaan</w:t>
      </w:r>
      <w:r w:rsidRPr="00AD2CF5">
        <w:fldChar w:fldCharType="begin"/>
      </w:r>
      <w:r w:rsidRPr="00AD2CF5">
        <w:instrText xml:space="preserve"> XE "kogelbaan" </w:instrText>
      </w:r>
      <w:r w:rsidRPr="00AD2CF5">
        <w:fldChar w:fldCharType="end"/>
      </w:r>
      <w:r w:rsidRPr="00AD2CF5">
        <w:t xml:space="preserve"> naar het rekenpunt:</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position w:val="-32"/>
          <w:sz w:val="16"/>
        </w:rPr>
        <w:object w:dxaOrig="3300" w:dyaOrig="760">
          <v:shape id="_x0000_i1076" type="#_x0000_t75" style="width:166.5pt;height:39pt" o:ole="" fillcolor="window">
            <v:imagedata r:id="rId186" o:title=""/>
          </v:shape>
          <o:OLEObject Type="Embed" ProgID="Equation.3" ShapeID="_x0000_i1076" DrawAspect="Content" ObjectID="_1511255414" r:id="rId187"/>
        </w:object>
      </w:r>
      <w:r w:rsidRPr="00AD2CF5">
        <w:rPr>
          <w:b w:val="0"/>
          <w:sz w:val="16"/>
          <w:lang w:val="nl-NL"/>
        </w:rPr>
        <w:tab/>
      </w:r>
      <w:r w:rsidRPr="00AD2CF5">
        <w:rPr>
          <w:lang w:val="nl-NL"/>
        </w:rPr>
        <w:t>(4. 21)</w:t>
      </w:r>
    </w:p>
    <w:p w:rsidR="00F43C9B" w:rsidRPr="00AD2CF5" w:rsidRDefault="00F43C9B" w:rsidP="00F43C9B">
      <w:pPr>
        <w:shd w:val="clear" w:color="auto" w:fill="D9D9D9" w:themeFill="background1" w:themeFillShade="D9"/>
        <w:tabs>
          <w:tab w:val="left" w:pos="567"/>
          <w:tab w:val="left" w:pos="1134"/>
        </w:tabs>
      </w:pPr>
      <w:r w:rsidRPr="00AD2CF5">
        <w:t>Omdat het tertsbandspectrum wordt gebruikt bij de berekening van de luchtdemping</w:t>
      </w:r>
      <w:r w:rsidRPr="00AD2CF5">
        <w:fldChar w:fldCharType="begin"/>
      </w:r>
      <w:r w:rsidRPr="00AD2CF5">
        <w:instrText xml:space="preserve"> XE "luchtdemping" </w:instrText>
      </w:r>
      <w:r w:rsidRPr="00AD2CF5">
        <w:fldChar w:fldCharType="end"/>
      </w:r>
      <w:r w:rsidRPr="00AD2CF5">
        <w:t xml:space="preserve"> (zie § 4.6.3) wordt het bronniveau</w:t>
      </w:r>
      <w:r w:rsidRPr="00AD2CF5">
        <w:fldChar w:fldCharType="begin"/>
      </w:r>
      <w:r w:rsidRPr="00AD2CF5">
        <w:instrText xml:space="preserve"> XE "bronniveau" </w:instrText>
      </w:r>
      <w:r w:rsidRPr="00AD2CF5">
        <w:fldChar w:fldCharType="end"/>
      </w:r>
      <w:r w:rsidRPr="00AD2CF5">
        <w:t xml:space="preserve"> in tertsen bepaald. Hierbij wordt uitgegaan van de drie tertsbanden binnen de octaven met middenfrequenties </w:t>
      </w:r>
      <w:r w:rsidRPr="00AD2CF5">
        <w:rPr>
          <w:i/>
        </w:rPr>
        <w:t>f</w:t>
      </w:r>
      <w:r w:rsidRPr="00AD2CF5">
        <w:rPr>
          <w:i/>
          <w:vertAlign w:val="subscript"/>
        </w:rPr>
        <w:t>k</w:t>
      </w:r>
      <w:r w:rsidRPr="00AD2CF5">
        <w:t xml:space="preserve"> van 16 Hz tot en met 4 kHz. Het bronspectrum in tertsen wordt bepaald volgens de formule:</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i/>
          <w:position w:val="-28"/>
        </w:rPr>
        <w:object w:dxaOrig="4080" w:dyaOrig="680">
          <v:shape id="_x0000_i1077" type="#_x0000_t75" style="width:204pt;height:34.5pt" o:ole="" fillcolor="window">
            <v:imagedata r:id="rId188" o:title=""/>
          </v:shape>
          <o:OLEObject Type="Embed" ProgID="Equation.3" ShapeID="_x0000_i1077" DrawAspect="Content" ObjectID="_1511255415" r:id="rId189"/>
        </w:object>
      </w:r>
      <w:r w:rsidRPr="00AD2CF5">
        <w:rPr>
          <w:i/>
          <w:lang w:val="nl-NL"/>
        </w:rPr>
        <w:t xml:space="preserve">  </w:t>
      </w:r>
      <w:r w:rsidRPr="00AD2CF5">
        <w:rPr>
          <w:position w:val="-28"/>
        </w:rPr>
        <w:object w:dxaOrig="1460" w:dyaOrig="680">
          <v:shape id="_x0000_i1078" type="#_x0000_t75" style="width:73.5pt;height:34.5pt" o:ole="" fillcolor="window">
            <v:imagedata r:id="rId190" o:title=""/>
          </v:shape>
          <o:OLEObject Type="Embed" ProgID="Equation.3" ShapeID="_x0000_i1078" DrawAspect="Content" ObjectID="_1511255416" r:id="rId191"/>
        </w:object>
      </w:r>
      <w:r w:rsidRPr="00AD2CF5">
        <w:rPr>
          <w:lang w:val="nl-NL"/>
        </w:rPr>
        <w:tab/>
        <w:t>(4. 22)</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waarin:</w:t>
      </w:r>
    </w:p>
    <w:p w:rsidR="00F43C9B" w:rsidRPr="00AD2CF5" w:rsidRDefault="00F43C9B" w:rsidP="00F43C9B">
      <w:pPr>
        <w:pStyle w:val="Bijschrift"/>
        <w:shd w:val="clear" w:color="auto" w:fill="D9D9D9" w:themeFill="background1" w:themeFillShade="D9"/>
        <w:tabs>
          <w:tab w:val="left" w:pos="567"/>
          <w:tab w:val="right" w:pos="7371"/>
        </w:tabs>
        <w:rPr>
          <w:rStyle w:val="EquationCaption"/>
        </w:rPr>
      </w:pPr>
      <w:r w:rsidRPr="00AD2CF5">
        <w:rPr>
          <w:i/>
          <w:position w:val="-76"/>
        </w:rPr>
        <w:object w:dxaOrig="5160" w:dyaOrig="1640">
          <v:shape id="_x0000_i1079" type="#_x0000_t75" style="width:258pt;height:82.5pt" o:ole="" fillcolor="window">
            <v:imagedata r:id="rId192" o:title=""/>
          </v:shape>
          <o:OLEObject Type="Embed" ProgID="Equation.3" ShapeID="_x0000_i1079" DrawAspect="Content" ObjectID="_1511255417" r:id="rId193"/>
        </w:objec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met: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i/>
        </w:rPr>
        <w:t>f</w:t>
      </w:r>
      <w:r w:rsidRPr="00AD2CF5">
        <w:rPr>
          <w:i/>
          <w:vertAlign w:val="subscript"/>
        </w:rPr>
        <w:t>k,j</w:t>
      </w:r>
      <w:r w:rsidRPr="00AD2CF5">
        <w:rPr>
          <w:i/>
        </w:rPr>
        <w:tab/>
      </w:r>
      <w:r w:rsidRPr="00AD2CF5">
        <w:t xml:space="preserve">nominale middenfrequentie van </w:t>
      </w:r>
      <w:r w:rsidRPr="00AD2CF5">
        <w:rPr>
          <w:i/>
          <w:iCs/>
        </w:rPr>
        <w:t>j</w:t>
      </w:r>
      <w:r w:rsidRPr="00AD2CF5">
        <w:rPr>
          <w:vertAlign w:val="superscript"/>
        </w:rPr>
        <w:t>e</w:t>
      </w:r>
      <w:r w:rsidRPr="00AD2CF5">
        <w:t xml:space="preserve"> tertsband van </w:t>
      </w:r>
      <w:r w:rsidRPr="00AD2CF5">
        <w:rPr>
          <w:i/>
          <w:iCs/>
        </w:rPr>
        <w:t>k</w:t>
      </w:r>
      <w:r w:rsidRPr="00AD2CF5">
        <w:rPr>
          <w:vertAlign w:val="superscript"/>
        </w:rPr>
        <w:t>e</w:t>
      </w:r>
      <w:r w:rsidRPr="00AD2CF5">
        <w:t xml:space="preserve"> octaafband</w:t>
      </w:r>
      <w:r w:rsidRPr="00AD2CF5">
        <w:fldChar w:fldCharType="begin"/>
      </w:r>
      <w:r w:rsidRPr="00AD2CF5">
        <w:instrText xml:space="preserve"> XE "octaafband" </w:instrText>
      </w:r>
      <w:r w:rsidRPr="00AD2CF5">
        <w:fldChar w:fldCharType="end"/>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67"/>
          <w:tab w:val="left" w:pos="1309"/>
          <w:tab w:val="left" w:pos="2387"/>
        </w:tabs>
        <w:suppressAutoHyphens/>
        <w:spacing w:line="240" w:lineRule="auto"/>
      </w:pPr>
      <w:r w:rsidRPr="00AD2CF5">
        <w:t>Voor de berekeningen van de overige dempingstermen wordt van een bronspectrum in octaven uitgegaan:</w:t>
      </w:r>
    </w:p>
    <w:p w:rsidR="00F43C9B" w:rsidRPr="00AD2CF5" w:rsidRDefault="00F43C9B" w:rsidP="00F43C9B">
      <w:pPr>
        <w:shd w:val="clear" w:color="auto" w:fill="D9D9D9" w:themeFill="background1" w:themeFillShade="D9"/>
        <w:tabs>
          <w:tab w:val="left" w:pos="-108"/>
          <w:tab w:val="left" w:pos="567"/>
          <w:tab w:val="left" w:pos="1309"/>
          <w:tab w:val="left" w:pos="2387"/>
        </w:tabs>
        <w:suppressAutoHyphens/>
        <w:spacing w:line="240" w:lineRule="auto"/>
        <w:rPr>
          <w:b/>
        </w:rPr>
      </w:pPr>
      <w:r w:rsidRPr="00AD2CF5">
        <w:rPr>
          <w:position w:val="-32"/>
        </w:rPr>
        <w:object w:dxaOrig="3080" w:dyaOrig="760">
          <v:shape id="_x0000_i1080" type="#_x0000_t75" style="width:153.75pt;height:39pt" o:ole="" fillcolor="window">
            <v:imagedata r:id="rId194" o:title=""/>
          </v:shape>
          <o:OLEObject Type="Embed" ProgID="Equation.3" ShapeID="_x0000_i1080" DrawAspect="Content" ObjectID="_1511255418" r:id="rId195"/>
        </w:object>
      </w:r>
      <w:r w:rsidRPr="00AD2CF5">
        <w:tab/>
      </w:r>
      <w:r w:rsidRPr="00AD2CF5">
        <w:rPr>
          <w:b/>
        </w:rPr>
        <w:t>(4. 23)</w:t>
      </w:r>
    </w:p>
    <w:p w:rsidR="00F43C9B" w:rsidRPr="00AD2CF5" w:rsidRDefault="00F43C9B" w:rsidP="00F43C9B">
      <w:pPr>
        <w:shd w:val="clear" w:color="auto" w:fill="D9D9D9" w:themeFill="background1" w:themeFillShade="D9"/>
        <w:tabs>
          <w:tab w:val="left" w:pos="-108"/>
          <w:tab w:val="left" w:pos="567"/>
          <w:tab w:val="left" w:pos="1309"/>
          <w:tab w:val="left" w:pos="2387"/>
        </w:tabs>
        <w:suppressAutoHyphens/>
        <w:spacing w:line="240" w:lineRule="auto"/>
        <w:rPr>
          <w:b/>
        </w:rPr>
      </w:pPr>
    </w:p>
    <w:p w:rsidR="00F43C9B" w:rsidRPr="00AD2CF5" w:rsidRDefault="00F43C9B" w:rsidP="00F43C9B">
      <w:pPr>
        <w:shd w:val="clear" w:color="auto" w:fill="D9D9D9" w:themeFill="background1" w:themeFillShade="D9"/>
        <w:tabs>
          <w:tab w:val="left" w:pos="-108"/>
          <w:tab w:val="left" w:pos="567"/>
          <w:tab w:val="left" w:pos="1309"/>
          <w:tab w:val="left" w:pos="2387"/>
        </w:tabs>
        <w:suppressAutoHyphens/>
        <w:spacing w:line="240" w:lineRule="auto"/>
      </w:pPr>
      <w:r w:rsidRPr="00AD2CF5">
        <w:rPr>
          <w:i/>
        </w:rPr>
        <w:t>Kogelgeluid bij krombaan schieten</w:t>
      </w:r>
      <w:r w:rsidRPr="00AD2CF5">
        <w:br/>
        <w:t>In het algemeen is het kogelgeluid</w:t>
      </w:r>
      <w:r w:rsidRPr="00AD2CF5">
        <w:fldChar w:fldCharType="begin"/>
      </w:r>
      <w:r w:rsidRPr="00AD2CF5">
        <w:instrText xml:space="preserve"> XE "kogelgeluid" </w:instrText>
      </w:r>
      <w:r w:rsidRPr="00AD2CF5">
        <w:fldChar w:fldCharType="end"/>
      </w:r>
      <w:r w:rsidRPr="00AD2CF5">
        <w:t xml:space="preserve"> bij krombaan schieten niet van belang. Door de hoge elevatiehoek waaronder geschoten wordt en de verhoudingsgewijs lage uittreesnelheid van het projectiel in vergelijking tot lichte vuurwapens, treedt kogelgeluid alleen in een klein gebied voor het wapen op. Dit gebied ligt dus in het mal onveilige gebied (mog) van het wapen en is daarom voor de berekening van de geluidbelasting in woongebieden niet van belang.</w:t>
      </w:r>
    </w:p>
    <w:p w:rsidR="00F43C9B" w:rsidRPr="00AD2CF5" w:rsidRDefault="00F43C9B" w:rsidP="00F43C9B">
      <w:pPr>
        <w:shd w:val="clear" w:color="auto" w:fill="D9D9D9" w:themeFill="background1" w:themeFillShade="D9"/>
        <w:tabs>
          <w:tab w:val="left" w:pos="-108"/>
          <w:tab w:val="left" w:pos="567"/>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67"/>
          <w:tab w:val="left" w:pos="1309"/>
          <w:tab w:val="left" w:pos="2387"/>
        </w:tabs>
        <w:suppressAutoHyphens/>
        <w:spacing w:line="240" w:lineRule="auto"/>
      </w:pPr>
      <w:r w:rsidRPr="00AD2CF5">
        <w:t>Echter, in speciale gevallen waarbij de elevatiehoek lager ligt en de uittreesnelheid verhoudingsgewijs groot is, is het kogelgeluid</w:t>
      </w:r>
      <w:r w:rsidRPr="00AD2CF5">
        <w:fldChar w:fldCharType="begin"/>
      </w:r>
      <w:r w:rsidRPr="00AD2CF5">
        <w:instrText xml:space="preserve"> XE "kogelgeluid" </w:instrText>
      </w:r>
      <w:r w:rsidRPr="00AD2CF5">
        <w:fldChar w:fldCharType="end"/>
      </w:r>
      <w:r w:rsidRPr="00AD2CF5">
        <w:t xml:space="preserve"> wel van belang. In deze gevallen moet voor de berekening van de geluidbelasting door kogelgeluid een daarvoor geschikte methode worden gebruikt.</w:t>
      </w:r>
    </w:p>
    <w:bookmarkEnd w:id="583"/>
    <w:p w:rsidR="00F43C9B" w:rsidRPr="00AD2CF5" w:rsidRDefault="00F43C9B" w:rsidP="00F43C9B">
      <w:pPr>
        <w:pStyle w:val="Kop3"/>
        <w:shd w:val="clear" w:color="auto" w:fill="D9D9D9" w:themeFill="background1" w:themeFillShade="D9"/>
      </w:pPr>
      <w:r w:rsidRPr="00AD2CF5">
        <w:fldChar w:fldCharType="begin"/>
      </w:r>
      <w:r w:rsidRPr="00AD2CF5">
        <w:instrText xml:space="preserve"> SEQ numchaplev1 \c \* MERGEFORMAT </w:instrText>
      </w:r>
      <w:r w:rsidRPr="00AD2CF5">
        <w:fldChar w:fldCharType="separate"/>
      </w:r>
      <w:bookmarkStart w:id="584" w:name="_Toc413945842"/>
      <w:bookmarkStart w:id="585" w:name="_Toc431375855"/>
      <w:r>
        <w:rPr>
          <w:noProof/>
        </w:rPr>
        <w:t>4</w:t>
      </w:r>
      <w:r w:rsidRPr="00AD2CF5">
        <w:fldChar w:fldCharType="end"/>
      </w:r>
      <w:r w:rsidRPr="00AD2CF5">
        <w:t>.</w:t>
      </w:r>
      <w:r w:rsidR="00C428B8">
        <w:fldChar w:fldCharType="begin"/>
      </w:r>
      <w:r w:rsidR="00C428B8">
        <w:instrText xml:space="preserve"> S</w:instrText>
      </w:r>
      <w:r w:rsidR="00C428B8">
        <w:instrText xml:space="preserve">EQ numchaplev2 \c \* MERGEFORMAT </w:instrText>
      </w:r>
      <w:r w:rsidR="00C428B8">
        <w:fldChar w:fldCharType="separate"/>
      </w:r>
      <w:r w:rsidRPr="00B15E90">
        <w:rPr>
          <w:noProof/>
        </w:rPr>
        <w:t>6</w:t>
      </w:r>
      <w:r w:rsidR="00C428B8">
        <w:rPr>
          <w:noProof/>
        </w:rPr>
        <w:fldChar w:fldCharType="end"/>
      </w:r>
      <w:r w:rsidRPr="00AD2CF5">
        <w:t>.</w:t>
      </w:r>
      <w:r w:rsidR="00C428B8">
        <w:fldChar w:fldCharType="begin"/>
      </w:r>
      <w:r w:rsidR="00C428B8">
        <w:instrText xml:space="preserve"> SEQ numchaplev3 \n \* MERGEFORMAT </w:instrText>
      </w:r>
      <w:r w:rsidR="00C428B8">
        <w:fldChar w:fldCharType="separate"/>
      </w:r>
      <w:r w:rsidRPr="00B15E90">
        <w:rPr>
          <w:noProof/>
        </w:rPr>
        <w:t>2</w:t>
      </w:r>
      <w:r w:rsidR="00C428B8">
        <w:rPr>
          <w:noProof/>
        </w:rPr>
        <w:fldChar w:fldCharType="end"/>
      </w:r>
      <w:r w:rsidRPr="00AD2CF5">
        <w:fldChar w:fldCharType="begin"/>
      </w:r>
      <w:r w:rsidRPr="00AD2CF5">
        <w:instrText xml:space="preserve"> SEQ numchaplev4 \r0\h \* MERGEFORMAT </w:instrText>
      </w:r>
      <w:r w:rsidRPr="00AD2CF5">
        <w:fldChar w:fldCharType="end"/>
      </w:r>
      <w:r w:rsidRPr="00AD2CF5">
        <w:tab/>
        <w:t>Geometrische demping</w:t>
      </w:r>
      <w:bookmarkEnd w:id="584"/>
      <w:bookmarkEnd w:id="585"/>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rPr>
          <w:b/>
        </w:rPr>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rPr>
          <w:i/>
        </w:rPr>
      </w:pPr>
      <w:r w:rsidRPr="00AD2CF5">
        <w:rPr>
          <w:i/>
        </w:rPr>
        <w:t>Puntbronnen</w:t>
      </w:r>
      <w:r w:rsidRPr="00AD2CF5">
        <w:rPr>
          <w:i/>
        </w:rPr>
        <w:br/>
      </w:r>
      <w:r w:rsidRPr="00AD2CF5">
        <w:t>Bij de modellering van puntbronnen is uitgegaan van sferische geluiduitbreiding over een hele bol. Voor de geometrische demping</w:t>
      </w:r>
      <w:r w:rsidRPr="00AD2CF5">
        <w:fldChar w:fldCharType="begin"/>
      </w:r>
      <w:r w:rsidRPr="00AD2CF5">
        <w:instrText xml:space="preserve"> XE "geometrische demping" </w:instrText>
      </w:r>
      <w:r w:rsidRPr="00AD2CF5">
        <w:fldChar w:fldCharType="end"/>
      </w:r>
      <w:r w:rsidRPr="00AD2CF5">
        <w:t xml:space="preserve"> geldt dan: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567"/>
          <w:tab w:val="right" w:pos="7371"/>
        </w:tabs>
        <w:suppressAutoHyphens/>
        <w:spacing w:line="240" w:lineRule="auto"/>
        <w:rPr>
          <w:b/>
        </w:rPr>
      </w:pPr>
      <w:r w:rsidRPr="00AD2CF5">
        <w:rPr>
          <w:position w:val="-32"/>
        </w:rPr>
        <w:object w:dxaOrig="3780" w:dyaOrig="800">
          <v:shape id="_x0000_i1081" type="#_x0000_t75" style="width:189pt;height:40.5pt" o:ole="" fillcolor="window">
            <v:imagedata r:id="rId196" o:title=""/>
          </v:shape>
          <o:OLEObject Type="Embed" ProgID="Equation.3" ShapeID="_x0000_i1081" DrawAspect="Content" ObjectID="_1511255419" r:id="rId197"/>
        </w:object>
      </w:r>
      <w:r w:rsidRPr="00AD2CF5">
        <w:rPr>
          <w:rStyle w:val="EquationCaption"/>
        </w:rPr>
        <w:tab/>
      </w:r>
      <w:r w:rsidRPr="00AD2CF5">
        <w:rPr>
          <w:b/>
        </w:rPr>
        <w:t>(4. 24)</w:t>
      </w:r>
    </w:p>
    <w:p w:rsidR="00F43C9B" w:rsidRPr="00AD2CF5" w:rsidRDefault="00F43C9B" w:rsidP="00F43C9B">
      <w:pPr>
        <w:shd w:val="clear" w:color="auto" w:fill="D9D9D9" w:themeFill="background1" w:themeFillShade="D9"/>
        <w:tabs>
          <w:tab w:val="center" w:pos="3686"/>
          <w:tab w:val="right" w:pos="7371"/>
        </w:tabs>
        <w:suppressAutoHyphens/>
        <w:spacing w:line="240" w:lineRule="auto"/>
        <w:rPr>
          <w:rStyle w:val="EquationCaption"/>
        </w:rPr>
      </w:pPr>
    </w:p>
    <w:p w:rsidR="00F43C9B" w:rsidRPr="00AD2CF5" w:rsidRDefault="00F43C9B" w:rsidP="00F43C9B">
      <w:pPr>
        <w:keepNext/>
        <w:keepLines/>
        <w:shd w:val="clear" w:color="auto" w:fill="D9D9D9" w:themeFill="background1" w:themeFillShade="D9"/>
        <w:tabs>
          <w:tab w:val="left" w:pos="-108"/>
          <w:tab w:val="left" w:pos="573"/>
          <w:tab w:val="left" w:pos="1309"/>
          <w:tab w:val="left" w:pos="2387"/>
        </w:tabs>
        <w:suppressAutoHyphens/>
        <w:spacing w:line="240" w:lineRule="auto"/>
      </w:pPr>
      <w:r w:rsidRPr="00AD2CF5">
        <w:rPr>
          <w:i/>
        </w:rPr>
        <w:t>Kogelgeluid</w:t>
      </w:r>
      <w:r w:rsidRPr="00AD2CF5">
        <w:br/>
      </w:r>
      <w:bookmarkStart w:id="586" w:name="kogelgeo"/>
      <w:r w:rsidRPr="00AD2CF5">
        <w:t>Voor de berekening van de geometrische demping</w:t>
      </w:r>
      <w:r w:rsidRPr="00AD2CF5">
        <w:fldChar w:fldCharType="begin"/>
      </w:r>
      <w:r w:rsidRPr="00AD2CF5">
        <w:instrText xml:space="preserve"> XE "geometrische demping" </w:instrText>
      </w:r>
      <w:r w:rsidRPr="00AD2CF5">
        <w:fldChar w:fldCharType="end"/>
      </w:r>
      <w:r w:rsidRPr="00AD2CF5">
        <w:t xml:space="preserve"> van kogelgeluid</w:t>
      </w:r>
      <w:r w:rsidRPr="00AD2CF5">
        <w:fldChar w:fldCharType="begin"/>
      </w:r>
      <w:r w:rsidRPr="00AD2CF5">
        <w:instrText xml:space="preserve"> XE "kogelgeluid" </w:instrText>
      </w:r>
      <w:r w:rsidRPr="00AD2CF5">
        <w:fldChar w:fldCharType="end"/>
      </w:r>
      <w:r w:rsidRPr="00AD2CF5">
        <w:t xml:space="preserve"> worden drie gebieden onderscheiden (zie figuur 2.2): gebied I achter het wapen, gebied II dat ook als Mach</w:t>
      </w:r>
      <w:r w:rsidRPr="00AD2CF5">
        <w:noBreakHyphen/>
        <w:t>gebied</w:t>
      </w:r>
      <w:r w:rsidRPr="00AD2CF5">
        <w:fldChar w:fldCharType="begin"/>
      </w:r>
      <w:r w:rsidRPr="00AD2CF5">
        <w:instrText xml:space="preserve"> XE "mach-gebied" </w:instrText>
      </w:r>
      <w:r w:rsidRPr="00AD2CF5">
        <w:fldChar w:fldCharType="end"/>
      </w:r>
      <w:r w:rsidRPr="00AD2CF5">
        <w:t xml:space="preserve"> wordt aangeduid, en gebied III achter het doel. De grenzen tussen de gebieden worden bepaald door de hoeken </w:t>
      </w:r>
      <w:r w:rsidRPr="00AD2CF5">
        <w:rPr>
          <w:i/>
        </w:rPr>
        <w:sym w:font="Symbol" w:char="F078"/>
      </w:r>
      <w:r w:rsidRPr="00AD2CF5">
        <w:rPr>
          <w:i/>
          <w:vertAlign w:val="subscript"/>
        </w:rPr>
        <w:t>b</w:t>
      </w:r>
      <w:r w:rsidRPr="00AD2CF5">
        <w:t xml:space="preserve"> en </w:t>
      </w:r>
      <w:r w:rsidRPr="00AD2CF5">
        <w:rPr>
          <w:i/>
        </w:rPr>
        <w:sym w:font="Symbol" w:char="F078"/>
      </w:r>
      <w:r w:rsidRPr="00AD2CF5">
        <w:rPr>
          <w:i/>
          <w:vertAlign w:val="subscript"/>
        </w:rPr>
        <w:t>e</w:t>
      </w:r>
      <w:r w:rsidRPr="00AD2CF5">
        <w:t xml:space="preserve">, die afhankelijk zijn van de beginsnelheid </w:t>
      </w:r>
      <w:r w:rsidRPr="00AD2CF5">
        <w:rPr>
          <w:i/>
        </w:rPr>
        <w:t>v</w:t>
      </w:r>
      <w:r w:rsidRPr="00AD2CF5">
        <w:rPr>
          <w:vertAlign w:val="subscript"/>
        </w:rPr>
        <w:t>0</w:t>
      </w:r>
      <w:r w:rsidRPr="00AD2CF5">
        <w:t xml:space="preserve"> respectievelijk de eindsnelheid </w:t>
      </w:r>
      <w:r w:rsidRPr="00AD2CF5">
        <w:rPr>
          <w:i/>
        </w:rPr>
        <w:t>v</w:t>
      </w:r>
      <w:r w:rsidRPr="00AD2CF5">
        <w:rPr>
          <w:i/>
          <w:vertAlign w:val="subscript"/>
        </w:rPr>
        <w:t>e</w:t>
      </w:r>
      <w:r w:rsidRPr="00AD2CF5">
        <w:t xml:space="preserve"> van de kogel (</w:t>
      </w:r>
      <w:r w:rsidRPr="00AD2CF5">
        <w:rPr>
          <w:i/>
        </w:rPr>
        <w:t>v</w:t>
      </w:r>
      <w:r w:rsidRPr="00AD2CF5">
        <w:rPr>
          <w:i/>
          <w:vertAlign w:val="subscript"/>
        </w:rPr>
        <w:t>e</w:t>
      </w:r>
      <w:r w:rsidRPr="00AD2CF5">
        <w:t xml:space="preserve"> is dus de kogelsnelheid</w:t>
      </w:r>
      <w:r w:rsidRPr="00AD2CF5">
        <w:fldChar w:fldCharType="begin"/>
      </w:r>
      <w:r w:rsidRPr="00AD2CF5">
        <w:instrText xml:space="preserve"> XE "kogelsnelheid" </w:instrText>
      </w:r>
      <w:r w:rsidRPr="00AD2CF5">
        <w:fldChar w:fldCharType="end"/>
      </w:r>
      <w:r w:rsidRPr="00AD2CF5">
        <w:t xml:space="preserve"> bij het treffen van het doel):</w:t>
      </w:r>
    </w:p>
    <w:p w:rsidR="00F43C9B" w:rsidRPr="00AD2CF5" w:rsidRDefault="00F43C9B" w:rsidP="00F43C9B">
      <w:pPr>
        <w:keepNext/>
        <w:keepLines/>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pStyle w:val="Bijschrift"/>
        <w:shd w:val="clear" w:color="auto" w:fill="D9D9D9" w:themeFill="background1" w:themeFillShade="D9"/>
        <w:tabs>
          <w:tab w:val="left" w:pos="567"/>
          <w:tab w:val="right" w:pos="7371"/>
        </w:tabs>
        <w:rPr>
          <w:noProof/>
          <w:lang w:val="nl-NL"/>
        </w:rPr>
      </w:pPr>
      <w:r w:rsidRPr="00AD2CF5">
        <w:rPr>
          <w:position w:val="-30"/>
        </w:rPr>
        <w:object w:dxaOrig="4980" w:dyaOrig="720">
          <v:shape id="_x0000_i1082" type="#_x0000_t75" style="width:248.25pt;height:37.5pt" o:ole="" fillcolor="window">
            <v:imagedata r:id="rId198" o:title=""/>
          </v:shape>
          <o:OLEObject Type="Embed" ProgID="Equation.3" ShapeID="_x0000_i1082" DrawAspect="Content" ObjectID="_1511255420" r:id="rId199"/>
        </w:object>
      </w:r>
      <w:r w:rsidRPr="00AD2CF5">
        <w:rPr>
          <w:rStyle w:val="EquationCaption"/>
          <w:lang w:val="nl-NL"/>
        </w:rPr>
        <w:tab/>
      </w:r>
      <w:r w:rsidRPr="00AD2CF5">
        <w:rPr>
          <w:lang w:val="nl-NL"/>
        </w:rPr>
        <w:t>(4. 25</w:t>
      </w:r>
      <w:r w:rsidRPr="00AD2CF5">
        <w:rPr>
          <w:noProof/>
          <w:lang w:val="nl-NL"/>
        </w:rPr>
        <w:t>)</w:t>
      </w:r>
    </w:p>
    <w:p w:rsidR="00F43C9B" w:rsidRPr="00AD2CF5" w:rsidRDefault="00F43C9B" w:rsidP="00F43C9B">
      <w:pPr>
        <w:shd w:val="clear" w:color="auto" w:fill="D9D9D9" w:themeFill="background1" w:themeFillShade="D9"/>
        <w:rPr>
          <w:rStyle w:val="EquationCaption"/>
          <w:b w:val="0"/>
        </w:rPr>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Indien de snelheid van de kogel voor het treffen van het doel onder de geluidsnelheid</w:t>
      </w:r>
      <w:r w:rsidRPr="00AD2CF5">
        <w:fldChar w:fldCharType="begin"/>
      </w:r>
      <w:r w:rsidRPr="00AD2CF5">
        <w:instrText xml:space="preserve"> XE "geluidsnelheid" </w:instrText>
      </w:r>
      <w:r w:rsidRPr="00AD2CF5">
        <w:fldChar w:fldCharType="end"/>
      </w:r>
      <w:r w:rsidRPr="00AD2CF5">
        <w:t xml:space="preserve"> is gezakt geldt </w:t>
      </w:r>
      <w:r w:rsidRPr="00AD2CF5">
        <w:rPr>
          <w:i/>
        </w:rPr>
        <w:sym w:font="Symbol" w:char="F078"/>
      </w:r>
      <w:r w:rsidRPr="00AD2CF5">
        <w:rPr>
          <w:i/>
          <w:vertAlign w:val="subscript"/>
        </w:rPr>
        <w:t>e</w:t>
      </w:r>
      <w:r w:rsidRPr="00AD2CF5">
        <w:t xml:space="preserve"> = 0, in dit geval bestaat er dan geen gebied III.</w:t>
      </w:r>
    </w:p>
    <w:p w:rsidR="00F43C9B" w:rsidRPr="00AD2CF5" w:rsidRDefault="00F43C9B" w:rsidP="00F43C9B">
      <w:pPr>
        <w:pStyle w:val="Inhopg1"/>
        <w:shd w:val="clear" w:color="auto" w:fill="D9D9D9" w:themeFill="background1" w:themeFillShade="D9"/>
        <w:tabs>
          <w:tab w:val="left" w:pos="-108"/>
          <w:tab w:val="left" w:pos="573"/>
          <w:tab w:val="left" w:pos="1309"/>
          <w:tab w:val="left" w:pos="2387"/>
        </w:tabs>
        <w:suppressAutoHyphens/>
        <w:spacing w:after="0"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In het gebied achter het wapen (gebied I) is het kogelgeluid</w:t>
      </w:r>
      <w:r w:rsidRPr="00AD2CF5">
        <w:fldChar w:fldCharType="begin"/>
      </w:r>
      <w:r w:rsidRPr="00AD2CF5">
        <w:instrText xml:space="preserve"> XE "kogelgeluid" </w:instrText>
      </w:r>
      <w:r w:rsidRPr="00AD2CF5">
        <w:fldChar w:fldCharType="end"/>
      </w:r>
      <w:r w:rsidRPr="00AD2CF5">
        <w:t xml:space="preserve"> verwaarloosbaar.</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Voor rekenpunten in gebied II varieert de geometrische demping</w:t>
      </w:r>
      <w:r w:rsidRPr="00AD2CF5">
        <w:fldChar w:fldCharType="begin"/>
      </w:r>
      <w:r w:rsidRPr="00AD2CF5">
        <w:instrText xml:space="preserve"> XE "geometrische demping" </w:instrText>
      </w:r>
      <w:r w:rsidRPr="00AD2CF5">
        <w:fldChar w:fldCharType="end"/>
      </w:r>
      <w:r w:rsidRPr="00AD2CF5">
        <w:t xml:space="preserve"> tussen 10 lg </w:t>
      </w:r>
      <w:r w:rsidRPr="00AD2CF5">
        <w:rPr>
          <w:i/>
          <w:iCs/>
        </w:rPr>
        <w:t xml:space="preserve">R </w:t>
      </w:r>
      <w:r w:rsidRPr="00AD2CF5">
        <w:t xml:space="preserve">en 25 lg </w:t>
      </w:r>
      <w:r w:rsidRPr="00AD2CF5">
        <w:rPr>
          <w:i/>
          <w:iCs/>
        </w:rPr>
        <w:t>R</w:t>
      </w:r>
      <w:r w:rsidRPr="00AD2CF5">
        <w:t xml:space="preserve"> afhankelijk van de afstand </w:t>
      </w:r>
      <w:r w:rsidRPr="00AD2CF5">
        <w:rPr>
          <w:i/>
          <w:iCs/>
        </w:rPr>
        <w:t>R</w:t>
      </w:r>
      <w:r w:rsidRPr="00AD2CF5">
        <w:t xml:space="preserve"> van het bronpunt op de kogelbaan</w:t>
      </w:r>
      <w:r w:rsidRPr="00AD2CF5">
        <w:fldChar w:fldCharType="begin"/>
      </w:r>
      <w:r w:rsidRPr="00AD2CF5">
        <w:instrText xml:space="preserve"> XE "kogelbaan" </w:instrText>
      </w:r>
      <w:r w:rsidRPr="00AD2CF5">
        <w:fldChar w:fldCharType="end"/>
      </w:r>
      <w:r w:rsidRPr="00AD2CF5">
        <w:t xml:space="preserve"> tot het rekenpunt. De geometrische demping is 10 lg </w:t>
      </w:r>
      <w:r w:rsidRPr="00AD2CF5">
        <w:rPr>
          <w:i/>
          <w:iCs/>
        </w:rPr>
        <w:t>R</w:t>
      </w:r>
      <w:r w:rsidRPr="00AD2CF5">
        <w:t xml:space="preserve"> op korte afstand van de kogelbaan bij een constante kogelsnelheid</w:t>
      </w:r>
      <w:r w:rsidRPr="00AD2CF5">
        <w:fldChar w:fldCharType="begin"/>
      </w:r>
      <w:r w:rsidRPr="00AD2CF5">
        <w:instrText xml:space="preserve"> XE "kogelsnelheid" </w:instrText>
      </w:r>
      <w:r w:rsidRPr="00AD2CF5">
        <w:fldChar w:fldCharType="end"/>
      </w:r>
      <w:r w:rsidRPr="00AD2CF5">
        <w:t>. Als gevolg van een afname van de snelheid van de kogel langs de kogelbaan en door invloed van turbulentie</w:t>
      </w:r>
      <w:r w:rsidRPr="00AD2CF5">
        <w:fldChar w:fldCharType="begin"/>
      </w:r>
      <w:r w:rsidRPr="00AD2CF5">
        <w:instrText xml:space="preserve"> XE "turbulentie" </w:instrText>
      </w:r>
      <w:r w:rsidRPr="00AD2CF5">
        <w:fldChar w:fldCharType="end"/>
      </w:r>
      <w:r w:rsidRPr="00AD2CF5">
        <w:t xml:space="preserve"> neemt de geometrische demping toe. De invloed van turbulentie is pas op een afstand </w:t>
      </w:r>
      <w:r w:rsidRPr="00AD2CF5">
        <w:rPr>
          <w:i/>
          <w:iCs/>
        </w:rPr>
        <w:t>R</w:t>
      </w:r>
      <w:r w:rsidRPr="00AD2CF5">
        <w:rPr>
          <w:i/>
          <w:iCs/>
          <w:vertAlign w:val="subscript"/>
        </w:rPr>
        <w:t>trans</w:t>
      </w:r>
      <w:r w:rsidRPr="00AD2CF5">
        <w:t xml:space="preserve"> van de kogelbaan significant. Op grote afstand, groter dan 10 km, bedraagt de geometrische demping 20 lg </w:t>
      </w:r>
      <w:r w:rsidRPr="00AD2CF5">
        <w:rPr>
          <w:i/>
          <w:iCs/>
        </w:rPr>
        <w:t>R</w:t>
      </w:r>
      <w:r w:rsidRPr="00AD2CF5">
        <w: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De transitieafstand</w:t>
      </w:r>
      <w:r w:rsidRPr="00AD2CF5">
        <w:fldChar w:fldCharType="begin"/>
      </w:r>
      <w:r w:rsidRPr="00AD2CF5">
        <w:instrText xml:space="preserve"> XE "transitieafstand" </w:instrText>
      </w:r>
      <w:r w:rsidRPr="00AD2CF5">
        <w:fldChar w:fldCharType="end"/>
      </w:r>
      <w:r w:rsidRPr="00AD2CF5">
        <w:t xml:space="preserve"> </w:t>
      </w:r>
      <w:r w:rsidRPr="00AD2CF5">
        <w:rPr>
          <w:i/>
          <w:iCs/>
        </w:rPr>
        <w:t>R</w:t>
      </w:r>
      <w:r w:rsidRPr="00AD2CF5">
        <w:rPr>
          <w:i/>
          <w:iCs/>
          <w:vertAlign w:val="subscript"/>
        </w:rPr>
        <w:t>trans</w:t>
      </w:r>
      <w:r w:rsidRPr="00AD2CF5">
        <w:t xml:space="preserve"> wordt bepaald met onderstaande formule:</w:t>
      </w:r>
    </w:p>
    <w:p w:rsidR="00F43C9B" w:rsidRPr="00AD2CF5" w:rsidRDefault="00F43C9B" w:rsidP="00F43C9B">
      <w:pPr>
        <w:shd w:val="clear" w:color="auto" w:fill="D9D9D9" w:themeFill="background1" w:themeFillShade="D9"/>
        <w:tabs>
          <w:tab w:val="left" w:pos="-108"/>
          <w:tab w:val="left" w:pos="567"/>
          <w:tab w:val="left" w:pos="1276"/>
          <w:tab w:val="left" w:pos="1843"/>
          <w:tab w:val="right" w:pos="7371"/>
        </w:tabs>
        <w:suppressAutoHyphens/>
        <w:spacing w:line="240" w:lineRule="auto"/>
        <w:rPr>
          <w:b/>
        </w:rPr>
      </w:pPr>
      <w:r w:rsidRPr="00AD2CF5">
        <w:rPr>
          <w:position w:val="-44"/>
        </w:rPr>
        <w:object w:dxaOrig="6380" w:dyaOrig="999">
          <v:shape id="_x0000_i1083" type="#_x0000_t75" style="width:320.25pt;height:49.5pt" o:ole="" fillcolor="window">
            <v:imagedata r:id="rId200" o:title=""/>
          </v:shape>
          <o:OLEObject Type="Embed" ProgID="Equation.3" ShapeID="_x0000_i1083" DrawAspect="Content" ObjectID="_1511255421" r:id="rId201"/>
        </w:object>
      </w:r>
      <w:r w:rsidRPr="00AD2CF5">
        <w:tab/>
      </w:r>
      <w:r w:rsidRPr="00AD2CF5">
        <w:rPr>
          <w:b/>
        </w:rPr>
        <w:t>(4. 26)</w:t>
      </w:r>
    </w:p>
    <w:p w:rsidR="00F43C9B" w:rsidRPr="00AD2CF5" w:rsidRDefault="00F43C9B" w:rsidP="00F43C9B">
      <w:pPr>
        <w:pStyle w:val="Inhopg1"/>
        <w:shd w:val="clear" w:color="auto" w:fill="D9D9D9" w:themeFill="background1" w:themeFillShade="D9"/>
        <w:tabs>
          <w:tab w:val="left" w:pos="-108"/>
          <w:tab w:val="left" w:pos="567"/>
          <w:tab w:val="left" w:pos="1276"/>
          <w:tab w:val="left" w:pos="1843"/>
          <w:tab w:val="right" w:pos="7371"/>
        </w:tabs>
        <w:suppressAutoHyphens/>
        <w:spacing w:after="0" w:line="240" w:lineRule="auto"/>
      </w:pPr>
      <w:r w:rsidRPr="00AD2CF5">
        <w:t>met</w:t>
      </w:r>
    </w:p>
    <w:p w:rsidR="00F43C9B" w:rsidRPr="00AD2CF5" w:rsidRDefault="00F43C9B" w:rsidP="00F43C9B">
      <w:pPr>
        <w:shd w:val="clear" w:color="auto" w:fill="D9D9D9" w:themeFill="background1" w:themeFillShade="D9"/>
        <w:tabs>
          <w:tab w:val="left" w:pos="567"/>
          <w:tab w:val="left" w:pos="1134"/>
          <w:tab w:val="left" w:pos="1843"/>
          <w:tab w:val="right" w:pos="7371"/>
        </w:tabs>
        <w:suppressAutoHyphens/>
        <w:spacing w:line="240" w:lineRule="auto"/>
        <w:ind w:left="1134" w:hanging="1134"/>
      </w:pPr>
      <w:r w:rsidRPr="00AD2CF5">
        <w:rPr>
          <w:i/>
          <w:iCs/>
        </w:rPr>
        <w:t>x</w:t>
      </w:r>
      <w:r w:rsidRPr="00AD2CF5">
        <w:rPr>
          <w:i/>
          <w:iCs/>
          <w:vertAlign w:val="subscript"/>
        </w:rPr>
        <w:t>t</w:t>
      </w:r>
      <w:r w:rsidRPr="00AD2CF5">
        <w:tab/>
        <w:t>lengte van de kogelbaan</w:t>
      </w:r>
      <w:r w:rsidRPr="00AD2CF5">
        <w:fldChar w:fldCharType="begin"/>
      </w:r>
      <w:r w:rsidRPr="00AD2CF5">
        <w:instrText xml:space="preserve"> XE "kogelbaan" </w:instrText>
      </w:r>
      <w:r w:rsidRPr="00AD2CF5">
        <w:fldChar w:fldCharType="end"/>
      </w:r>
      <w:r w:rsidRPr="00AD2CF5">
        <w:t xml:space="preserve"> waar het projectiel een supersone snelheid heeft</w:t>
      </w:r>
    </w:p>
    <w:p w:rsidR="00F43C9B" w:rsidRPr="00AD2CF5" w:rsidRDefault="00F43C9B" w:rsidP="00F43C9B">
      <w:pPr>
        <w:shd w:val="clear" w:color="auto" w:fill="D9D9D9" w:themeFill="background1" w:themeFillShade="D9"/>
        <w:tabs>
          <w:tab w:val="left" w:pos="567"/>
          <w:tab w:val="left" w:pos="1134"/>
          <w:tab w:val="left" w:pos="1843"/>
          <w:tab w:val="right" w:pos="7371"/>
        </w:tabs>
        <w:suppressAutoHyphens/>
        <w:spacing w:line="240" w:lineRule="auto"/>
        <w:ind w:left="1134" w:hanging="1134"/>
      </w:pPr>
      <w:r w:rsidRPr="00AD2CF5">
        <w:rPr>
          <w:i/>
          <w:iCs/>
        </w:rPr>
        <w:t>L</w:t>
      </w:r>
      <w:r w:rsidRPr="00AD2CF5">
        <w:tab/>
        <w:t>correlatielengte (</w:t>
      </w:r>
      <w:r w:rsidRPr="00AD2CF5">
        <w:rPr>
          <w:i/>
          <w:iCs/>
        </w:rPr>
        <w:t>L</w:t>
      </w:r>
      <w:r w:rsidRPr="00AD2CF5">
        <w:t xml:space="preserve"> = 1.1 m)</w:t>
      </w:r>
    </w:p>
    <w:p w:rsidR="00F43C9B" w:rsidRPr="00AD2CF5" w:rsidRDefault="00F43C9B" w:rsidP="00F43C9B">
      <w:pPr>
        <w:shd w:val="clear" w:color="auto" w:fill="D9D9D9" w:themeFill="background1" w:themeFillShade="D9"/>
        <w:tabs>
          <w:tab w:val="left" w:pos="567"/>
          <w:tab w:val="left" w:pos="1134"/>
          <w:tab w:val="left" w:pos="1843"/>
          <w:tab w:val="right" w:pos="7371"/>
        </w:tabs>
        <w:suppressAutoHyphens/>
        <w:spacing w:line="240" w:lineRule="auto"/>
        <w:ind w:left="1134" w:hanging="1134"/>
      </w:pPr>
      <w:r w:rsidRPr="00AD2CF5">
        <w:rPr>
          <w:rFonts w:ascii="Symbol" w:hAnsi="Symbol"/>
          <w:i/>
          <w:iCs/>
        </w:rPr>
        <w:t></w:t>
      </w:r>
      <w:r w:rsidRPr="00AD2CF5">
        <w:rPr>
          <w:vertAlign w:val="subscript"/>
        </w:rPr>
        <w:t>0</w:t>
      </w:r>
      <w:r w:rsidRPr="00AD2CF5">
        <w:rPr>
          <w:vertAlign w:val="superscript"/>
        </w:rPr>
        <w:t>2</w:t>
      </w:r>
      <w:r w:rsidRPr="00AD2CF5">
        <w:tab/>
        <w:t>= 10</w:t>
      </w:r>
      <w:r w:rsidRPr="00AD2CF5">
        <w:rPr>
          <w:vertAlign w:val="superscript"/>
        </w:rPr>
        <w:t>-5</w:t>
      </w:r>
    </w:p>
    <w:p w:rsidR="00F43C9B" w:rsidRPr="00AD2CF5" w:rsidRDefault="00F43C9B" w:rsidP="00F43C9B">
      <w:pPr>
        <w:shd w:val="clear" w:color="auto" w:fill="D9D9D9" w:themeFill="background1" w:themeFillShade="D9"/>
        <w:tabs>
          <w:tab w:val="left" w:pos="567"/>
          <w:tab w:val="left" w:pos="1134"/>
          <w:tab w:val="left" w:pos="1843"/>
          <w:tab w:val="right" w:pos="7371"/>
        </w:tabs>
        <w:suppressAutoHyphens/>
        <w:spacing w:line="240" w:lineRule="auto"/>
        <w:ind w:left="1134" w:hanging="1134"/>
      </w:pPr>
    </w:p>
    <w:p w:rsidR="00F43C9B" w:rsidRPr="00AD2CF5" w:rsidRDefault="00F43C9B" w:rsidP="00F43C9B">
      <w:pPr>
        <w:pStyle w:val="Inhopg1"/>
        <w:shd w:val="clear" w:color="auto" w:fill="D9D9D9" w:themeFill="background1" w:themeFillShade="D9"/>
        <w:tabs>
          <w:tab w:val="left" w:pos="-108"/>
          <w:tab w:val="left" w:pos="573"/>
          <w:tab w:val="left" w:pos="1309"/>
          <w:tab w:val="left" w:pos="2387"/>
        </w:tabs>
        <w:suppressAutoHyphens/>
        <w:spacing w:after="0"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De geometrische demping</w:t>
      </w:r>
      <w:r w:rsidRPr="00AD2CF5">
        <w:fldChar w:fldCharType="begin"/>
      </w:r>
      <w:r w:rsidRPr="00AD2CF5">
        <w:instrText xml:space="preserve"> XE "geometrische demping" </w:instrText>
      </w:r>
      <w:r w:rsidRPr="00AD2CF5">
        <w:fldChar w:fldCharType="end"/>
      </w:r>
      <w:r w:rsidRPr="00AD2CF5">
        <w:t xml:space="preserve"> in gebied II wordt voor </w:t>
      </w:r>
      <w:r w:rsidRPr="00AD2CF5">
        <w:rPr>
          <w:position w:val="-12"/>
        </w:rPr>
        <w:object w:dxaOrig="920" w:dyaOrig="360">
          <v:shape id="_x0000_i1084" type="#_x0000_t75" style="width:41.25pt;height:18pt" o:ole="" fillcolor="window">
            <v:imagedata r:id="rId202" o:title=""/>
          </v:shape>
          <o:OLEObject Type="Embed" ProgID="Equation.3" ShapeID="_x0000_i1084" DrawAspect="Content" ObjectID="_1511255422" r:id="rId203"/>
        </w:object>
      </w:r>
      <w:r w:rsidRPr="00AD2CF5">
        <w:t xml:space="preserve"> bepaald uit:</w:t>
      </w:r>
    </w:p>
    <w:p w:rsidR="00F43C9B" w:rsidRPr="00AD2CF5" w:rsidRDefault="00F43C9B" w:rsidP="00F43C9B">
      <w:pPr>
        <w:pStyle w:val="Bijschrift"/>
        <w:shd w:val="clear" w:color="auto" w:fill="D9D9D9" w:themeFill="background1" w:themeFillShade="D9"/>
        <w:tabs>
          <w:tab w:val="center" w:pos="3686"/>
          <w:tab w:val="right" w:pos="7371"/>
        </w:tabs>
        <w:ind w:left="567"/>
        <w:rPr>
          <w:lang w:val="nl-NL"/>
        </w:rPr>
      </w:pPr>
      <w:r w:rsidRPr="00AD2CF5">
        <w:rPr>
          <w:i/>
          <w:position w:val="-32"/>
        </w:rPr>
        <w:object w:dxaOrig="4400" w:dyaOrig="760">
          <v:shape id="_x0000_i1085" type="#_x0000_t75" style="width:220.5pt;height:39pt" o:ole="" fillcolor="window">
            <v:imagedata r:id="rId204" o:title=""/>
          </v:shape>
          <o:OLEObject Type="Embed" ProgID="Equation.3" ShapeID="_x0000_i1085" DrawAspect="Content" ObjectID="_1511255423" r:id="rId205"/>
        </w:object>
      </w:r>
      <w:r w:rsidRPr="00AD2CF5">
        <w:rPr>
          <w:i/>
          <w:lang w:val="nl-NL"/>
        </w:rPr>
        <w:tab/>
      </w:r>
      <w:r w:rsidRPr="00AD2CF5">
        <w:rPr>
          <w:lang w:val="nl-NL"/>
        </w:rPr>
        <w:t>(4. 27a)</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rStyle w:val="EquationCaption"/>
        </w:rPr>
        <w:t xml:space="preserve">voor </w:t>
      </w:r>
      <w:r w:rsidRPr="00AD2CF5">
        <w:rPr>
          <w:position w:val="-12"/>
        </w:rPr>
        <w:object w:dxaOrig="1620" w:dyaOrig="360">
          <v:shape id="_x0000_i1086" type="#_x0000_t75" style="width:81.75pt;height:18pt" o:ole="" fillcolor="window">
            <v:imagedata r:id="rId206" o:title=""/>
          </v:shape>
          <o:OLEObject Type="Embed" ProgID="Equation.3" ShapeID="_x0000_i1086" DrawAspect="Content" ObjectID="_1511255424" r:id="rId207"/>
        </w:object>
      </w:r>
      <w:r w:rsidRPr="00AD2CF5">
        <w:t xml:space="preserve"> geldt: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rPr>
          <w:rStyle w:val="EquationCaption"/>
          <w:b w:val="0"/>
        </w:rPr>
      </w:pPr>
    </w:p>
    <w:p w:rsidR="00F43C9B" w:rsidRPr="00AD2CF5" w:rsidRDefault="00F43C9B" w:rsidP="00F43C9B">
      <w:pPr>
        <w:shd w:val="clear" w:color="auto" w:fill="D9D9D9" w:themeFill="background1" w:themeFillShade="D9"/>
        <w:tabs>
          <w:tab w:val="left" w:pos="-108"/>
          <w:tab w:val="left" w:pos="573"/>
          <w:tab w:val="left" w:pos="1309"/>
          <w:tab w:val="left" w:pos="2387"/>
          <w:tab w:val="right" w:pos="7371"/>
        </w:tabs>
        <w:suppressAutoHyphens/>
        <w:spacing w:line="240" w:lineRule="auto"/>
        <w:ind w:left="567"/>
        <w:rPr>
          <w:b/>
        </w:rPr>
      </w:pPr>
      <w:r w:rsidRPr="00AD2CF5">
        <w:rPr>
          <w:i/>
          <w:position w:val="-32"/>
        </w:rPr>
        <w:object w:dxaOrig="5160" w:dyaOrig="760">
          <v:shape id="_x0000_i1087" type="#_x0000_t75" style="width:258pt;height:39pt" o:ole="" fillcolor="window">
            <v:imagedata r:id="rId208" o:title=""/>
          </v:shape>
          <o:OLEObject Type="Embed" ProgID="Equation.3" ShapeID="_x0000_i1087" DrawAspect="Content" ObjectID="_1511255425" r:id="rId209"/>
        </w:object>
      </w:r>
      <w:r w:rsidRPr="00AD2CF5">
        <w:rPr>
          <w:b/>
        </w:rPr>
        <w:tab/>
        <w:t>(4.27b)</w:t>
      </w:r>
    </w:p>
    <w:p w:rsidR="00F43C9B" w:rsidRPr="00AD2CF5" w:rsidRDefault="00F43C9B" w:rsidP="00F43C9B">
      <w:pPr>
        <w:pStyle w:val="Inhopg1"/>
        <w:shd w:val="clear" w:color="auto" w:fill="D9D9D9" w:themeFill="background1" w:themeFillShade="D9"/>
        <w:tabs>
          <w:tab w:val="left" w:pos="-108"/>
          <w:tab w:val="left" w:pos="567"/>
          <w:tab w:val="left" w:pos="1309"/>
          <w:tab w:val="left" w:pos="2387"/>
          <w:tab w:val="right" w:pos="7371"/>
        </w:tabs>
        <w:suppressAutoHyphens/>
        <w:spacing w:after="0" w:line="240" w:lineRule="auto"/>
      </w:pPr>
    </w:p>
    <w:p w:rsidR="00F43C9B" w:rsidRPr="00AD2CF5" w:rsidRDefault="00F43C9B" w:rsidP="00F43C9B">
      <w:pPr>
        <w:pStyle w:val="Inhopg1"/>
        <w:shd w:val="clear" w:color="auto" w:fill="D9D9D9" w:themeFill="background1" w:themeFillShade="D9"/>
        <w:tabs>
          <w:tab w:val="left" w:pos="-108"/>
          <w:tab w:val="left" w:pos="567"/>
          <w:tab w:val="left" w:pos="1309"/>
          <w:tab w:val="left" w:pos="2387"/>
          <w:tab w:val="right" w:pos="7371"/>
        </w:tabs>
        <w:suppressAutoHyphens/>
        <w:spacing w:after="0" w:line="240" w:lineRule="auto"/>
      </w:pPr>
      <w:r w:rsidRPr="00AD2CF5">
        <w:t xml:space="preserve">voor </w:t>
      </w:r>
      <w:r w:rsidRPr="00AD2CF5">
        <w:rPr>
          <w:i/>
        </w:rPr>
        <w:t>R</w:t>
      </w:r>
      <w:r w:rsidRPr="00AD2CF5">
        <w:t xml:space="preserve"> &gt; </w:t>
      </w:r>
      <w:r w:rsidRPr="00AD2CF5">
        <w:rPr>
          <w:i/>
        </w:rPr>
        <w:t>R</w:t>
      </w:r>
      <w:r w:rsidRPr="00AD2CF5">
        <w:rPr>
          <w:vertAlign w:val="subscript"/>
        </w:rPr>
        <w:t>max</w:t>
      </w:r>
      <w:r w:rsidRPr="00AD2CF5">
        <w:t xml:space="preserve"> geldt:</w:t>
      </w:r>
    </w:p>
    <w:p w:rsidR="00F43C9B" w:rsidRPr="00AD2CF5" w:rsidRDefault="00F43C9B" w:rsidP="00F43C9B">
      <w:pPr>
        <w:shd w:val="clear" w:color="auto" w:fill="D9D9D9" w:themeFill="background1" w:themeFillShade="D9"/>
        <w:tabs>
          <w:tab w:val="left" w:pos="-108"/>
          <w:tab w:val="left" w:pos="573"/>
          <w:tab w:val="left" w:pos="1309"/>
          <w:tab w:val="left" w:pos="2387"/>
          <w:tab w:val="right" w:pos="7371"/>
        </w:tabs>
        <w:suppressAutoHyphens/>
        <w:spacing w:line="240" w:lineRule="auto"/>
        <w:ind w:left="567"/>
        <w:rPr>
          <w:i/>
        </w:rPr>
      </w:pPr>
    </w:p>
    <w:p w:rsidR="00F43C9B" w:rsidRPr="00AD2CF5" w:rsidRDefault="00F43C9B" w:rsidP="00F43C9B">
      <w:pPr>
        <w:shd w:val="clear" w:color="auto" w:fill="D9D9D9" w:themeFill="background1" w:themeFillShade="D9"/>
        <w:tabs>
          <w:tab w:val="left" w:pos="-108"/>
          <w:tab w:val="left" w:pos="573"/>
          <w:tab w:val="left" w:pos="1309"/>
          <w:tab w:val="left" w:pos="2387"/>
          <w:tab w:val="right" w:pos="7371"/>
        </w:tabs>
        <w:suppressAutoHyphens/>
        <w:spacing w:line="240" w:lineRule="auto"/>
        <w:ind w:left="567"/>
        <w:rPr>
          <w:b/>
        </w:rPr>
      </w:pPr>
      <w:r w:rsidRPr="00AD2CF5">
        <w:rPr>
          <w:i/>
          <w:position w:val="-32"/>
        </w:rPr>
        <w:object w:dxaOrig="6360" w:dyaOrig="760">
          <v:shape id="_x0000_i1088" type="#_x0000_t75" style="width:318pt;height:39pt" o:ole="" fillcolor="window">
            <v:imagedata r:id="rId210" o:title=""/>
          </v:shape>
          <o:OLEObject Type="Embed" ProgID="Equation.3" ShapeID="_x0000_i1088" DrawAspect="Content" ObjectID="_1511255426" r:id="rId211"/>
        </w:object>
      </w:r>
      <w:r w:rsidRPr="00AD2CF5">
        <w:rPr>
          <w:b/>
        </w:rPr>
        <w:tab/>
        <w:t>(4.27c)</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met</w:t>
      </w:r>
    </w:p>
    <w:p w:rsidR="00F43C9B" w:rsidRPr="00AD2CF5" w:rsidRDefault="00F43C9B" w:rsidP="00F43C9B">
      <w:pPr>
        <w:shd w:val="clear" w:color="auto" w:fill="D9D9D9" w:themeFill="background1" w:themeFillShade="D9"/>
        <w:tabs>
          <w:tab w:val="left" w:pos="-108"/>
          <w:tab w:val="left" w:pos="567"/>
          <w:tab w:val="left" w:pos="1276"/>
          <w:tab w:val="left" w:pos="1843"/>
        </w:tabs>
        <w:suppressAutoHyphens/>
        <w:spacing w:line="240" w:lineRule="auto"/>
      </w:pPr>
      <w:r w:rsidRPr="00AD2CF5">
        <w:rPr>
          <w:i/>
        </w:rPr>
        <w:t xml:space="preserve">k </w:t>
      </w:r>
      <w:r w:rsidRPr="00AD2CF5">
        <w:rPr>
          <w:i/>
        </w:rPr>
        <w:tab/>
      </w:r>
      <w:r w:rsidRPr="00AD2CF5">
        <w:t>=</w:t>
      </w:r>
      <w:r w:rsidRPr="00AD2CF5">
        <w:tab/>
      </w:r>
      <w:r w:rsidRPr="00AD2CF5">
        <w:rPr>
          <w:i/>
        </w:rPr>
        <w:t>-v</w:t>
      </w:r>
      <w:r w:rsidRPr="00AD2CF5">
        <w:rPr>
          <w:i/>
          <w:vertAlign w:val="subscript"/>
        </w:rPr>
        <w:t xml:space="preserve">1 </w:t>
      </w:r>
      <w:r w:rsidRPr="00AD2CF5">
        <w:rPr>
          <w:i/>
        </w:rPr>
        <w:t>/c</w:t>
      </w:r>
      <w:r w:rsidRPr="00AD2CF5">
        <w:rPr>
          <w:vertAlign w:val="subscript"/>
        </w:rPr>
        <w:t>10</w:t>
      </w:r>
    </w:p>
    <w:p w:rsidR="00F43C9B" w:rsidRPr="00AD2CF5" w:rsidRDefault="00F43C9B" w:rsidP="00F43C9B">
      <w:pPr>
        <w:shd w:val="clear" w:color="auto" w:fill="D9D9D9" w:themeFill="background1" w:themeFillShade="D9"/>
        <w:tabs>
          <w:tab w:val="left" w:pos="-108"/>
          <w:tab w:val="left" w:pos="567"/>
          <w:tab w:val="left" w:pos="1276"/>
          <w:tab w:val="left" w:pos="1843"/>
        </w:tabs>
        <w:suppressAutoHyphens/>
        <w:spacing w:line="240" w:lineRule="auto"/>
      </w:pPr>
      <w:r w:rsidRPr="00AD2CF5">
        <w:rPr>
          <w:i/>
        </w:rPr>
        <w:t>r</w:t>
      </w:r>
      <w:r w:rsidRPr="00AD2CF5">
        <w:rPr>
          <w:i/>
          <w:vertAlign w:val="subscript"/>
        </w:rPr>
        <w:t>0</w:t>
      </w:r>
      <w:r w:rsidRPr="00AD2CF5">
        <w:rPr>
          <w:i/>
        </w:rPr>
        <w:tab/>
      </w:r>
      <w:r w:rsidRPr="00AD2CF5">
        <w:t xml:space="preserve">= </w:t>
      </w:r>
      <w:r w:rsidRPr="00AD2CF5">
        <w:tab/>
        <w:t>1 m</w:t>
      </w:r>
    </w:p>
    <w:p w:rsidR="00F43C9B" w:rsidRPr="00AD2CF5" w:rsidRDefault="00F43C9B" w:rsidP="00F43C9B">
      <w:pPr>
        <w:shd w:val="clear" w:color="auto" w:fill="D9D9D9" w:themeFill="background1" w:themeFillShade="D9"/>
        <w:tabs>
          <w:tab w:val="left" w:pos="-108"/>
          <w:tab w:val="left" w:pos="567"/>
          <w:tab w:val="left" w:pos="1276"/>
          <w:tab w:val="left" w:pos="1843"/>
        </w:tabs>
        <w:suppressAutoHyphens/>
        <w:spacing w:line="240" w:lineRule="auto"/>
      </w:pPr>
      <w:r w:rsidRPr="00AD2CF5">
        <w:rPr>
          <w:i/>
        </w:rPr>
        <w:t>R</w:t>
      </w:r>
      <w:r w:rsidRPr="00AD2CF5">
        <w:rPr>
          <w:vertAlign w:val="subscript"/>
        </w:rPr>
        <w:t>max</w:t>
      </w:r>
      <w:r w:rsidRPr="00AD2CF5">
        <w:rPr>
          <w:vertAlign w:val="subscript"/>
        </w:rPr>
        <w:tab/>
      </w:r>
      <w:r w:rsidRPr="00AD2CF5">
        <w:t xml:space="preserve">= </w:t>
      </w:r>
      <w:r w:rsidRPr="00AD2CF5">
        <w:tab/>
        <w:t>10 km</w:t>
      </w:r>
    </w:p>
    <w:p w:rsidR="00F43C9B" w:rsidRPr="00AD2CF5" w:rsidRDefault="00F43C9B" w:rsidP="00F43C9B">
      <w:pPr>
        <w:pStyle w:val="Inhopg1"/>
        <w:shd w:val="clear" w:color="auto" w:fill="D9D9D9" w:themeFill="background1" w:themeFillShade="D9"/>
        <w:tabs>
          <w:tab w:val="left" w:pos="-108"/>
          <w:tab w:val="left" w:pos="573"/>
          <w:tab w:val="left" w:pos="1309"/>
          <w:tab w:val="left" w:pos="2387"/>
        </w:tabs>
        <w:suppressAutoHyphens/>
        <w:spacing w:after="0"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br w:type="page"/>
        <w:t>Vóór het wapen maar buiten het Mach-gebied</w:t>
      </w:r>
      <w:r w:rsidRPr="00AD2CF5">
        <w:fldChar w:fldCharType="begin"/>
      </w:r>
      <w:r w:rsidRPr="00AD2CF5">
        <w:instrText xml:space="preserve"> XE "mach-gebied" </w:instrText>
      </w:r>
      <w:r w:rsidRPr="00AD2CF5">
        <w:fldChar w:fldCharType="end"/>
      </w:r>
      <w:r w:rsidRPr="00AD2CF5">
        <w:t xml:space="preserve"> (gebied III) wordt de geometrische demping</w:t>
      </w:r>
      <w:r w:rsidRPr="00AD2CF5">
        <w:fldChar w:fldCharType="begin"/>
      </w:r>
      <w:r w:rsidRPr="00AD2CF5">
        <w:instrText xml:space="preserve"> XE "geometrische demping" </w:instrText>
      </w:r>
      <w:r w:rsidRPr="00AD2CF5">
        <w:fldChar w:fldCharType="end"/>
      </w:r>
      <w:r w:rsidRPr="00AD2CF5">
        <w:t xml:space="preserve"> door twee termen bepaald:</w:t>
      </w:r>
    </w:p>
    <w:p w:rsidR="00F43C9B" w:rsidRPr="00AD2CF5" w:rsidRDefault="00F43C9B" w:rsidP="00F43C9B">
      <w:pPr>
        <w:shd w:val="clear" w:color="auto" w:fill="D9D9D9" w:themeFill="background1" w:themeFillShade="D9"/>
        <w:tabs>
          <w:tab w:val="left" w:pos="-108"/>
          <w:tab w:val="left" w:pos="1309"/>
          <w:tab w:val="left" w:pos="2387"/>
        </w:tabs>
        <w:suppressAutoHyphens/>
        <w:spacing w:line="240" w:lineRule="auto"/>
        <w:ind w:left="284" w:hanging="284"/>
      </w:pPr>
      <w:r w:rsidRPr="00AD2CF5">
        <w:t xml:space="preserve">- </w:t>
      </w:r>
      <w:r w:rsidRPr="00AD2CF5">
        <w:tab/>
        <w:t>de geometrische demping</w:t>
      </w:r>
      <w:r w:rsidRPr="00AD2CF5">
        <w:fldChar w:fldCharType="begin"/>
      </w:r>
      <w:r w:rsidRPr="00AD2CF5">
        <w:instrText xml:space="preserve"> XE "geometrische demping" </w:instrText>
      </w:r>
      <w:r w:rsidRPr="00AD2CF5">
        <w:fldChar w:fldCharType="end"/>
      </w:r>
      <w:r w:rsidRPr="00AD2CF5">
        <w:t xml:space="preserve"> berekend volgens formule 4.27 voor het traject </w:t>
      </w:r>
      <w:r w:rsidRPr="00AD2CF5">
        <w:rPr>
          <w:i/>
          <w:iCs/>
        </w:rPr>
        <w:t>R</w:t>
      </w:r>
      <w:r w:rsidRPr="00AD2CF5">
        <w:rPr>
          <w:vertAlign w:val="subscript"/>
        </w:rPr>
        <w:t xml:space="preserve">1 </w:t>
      </w:r>
      <w:r w:rsidRPr="00AD2CF5">
        <w:t>van de doelpositie naar een punt op de grens van het Mach-gebied</w:t>
      </w:r>
      <w:r w:rsidRPr="00AD2CF5">
        <w:fldChar w:fldCharType="begin"/>
      </w:r>
      <w:r w:rsidRPr="00AD2CF5">
        <w:instrText xml:space="preserve"> XE "mach-gebied" </w:instrText>
      </w:r>
      <w:r w:rsidRPr="00AD2CF5">
        <w:fldChar w:fldCharType="end"/>
      </w:r>
      <w:r w:rsidRPr="00AD2CF5">
        <w:t xml:space="preserve"> dat het dichtst bij het rekenpunt ligt (punt P in figuur 4.7);</w:t>
      </w:r>
    </w:p>
    <w:p w:rsidR="00F43C9B" w:rsidRPr="00AD2CF5" w:rsidRDefault="00F43C9B" w:rsidP="00F43C9B">
      <w:pPr>
        <w:shd w:val="clear" w:color="auto" w:fill="D9D9D9" w:themeFill="background1" w:themeFillShade="D9"/>
        <w:tabs>
          <w:tab w:val="left" w:pos="-108"/>
          <w:tab w:val="left" w:pos="1309"/>
          <w:tab w:val="left" w:pos="2387"/>
        </w:tabs>
        <w:suppressAutoHyphens/>
        <w:spacing w:line="240" w:lineRule="auto"/>
        <w:ind w:left="284" w:hanging="284"/>
      </w:pPr>
      <w:r w:rsidRPr="00AD2CF5">
        <w:t>-</w:t>
      </w:r>
      <w:r w:rsidRPr="00AD2CF5">
        <w:tab/>
        <w:t>een extra demping die afhankelijk is van de afstand (</w:t>
      </w:r>
      <w:r w:rsidRPr="00AD2CF5">
        <w:rPr>
          <w:i/>
          <w:iCs/>
        </w:rPr>
        <w:t>R</w:t>
      </w:r>
      <w:r w:rsidRPr="00AD2CF5">
        <w:rPr>
          <w:vertAlign w:val="subscript"/>
        </w:rPr>
        <w:t>2</w:t>
      </w:r>
      <w:r w:rsidRPr="00AD2CF5">
        <w:t>) van dit punt P tot aan het rekenpunt:</w:t>
      </w:r>
    </w:p>
    <w:p w:rsidR="00F43C9B" w:rsidRPr="00AD2CF5" w:rsidRDefault="00F43C9B" w:rsidP="00F43C9B">
      <w:pPr>
        <w:shd w:val="clear" w:color="auto" w:fill="D9D9D9" w:themeFill="background1" w:themeFillShade="D9"/>
        <w:tabs>
          <w:tab w:val="left" w:pos="-108"/>
          <w:tab w:val="left" w:pos="1309"/>
          <w:tab w:val="left" w:pos="2387"/>
        </w:tabs>
        <w:suppressAutoHyphens/>
        <w:spacing w:line="240" w:lineRule="auto"/>
        <w:ind w:left="284" w:hanging="284"/>
      </w:pPr>
    </w:p>
    <w:p w:rsidR="00F43C9B" w:rsidRPr="00AD2CF5" w:rsidRDefault="00F43C9B" w:rsidP="00F43C9B">
      <w:pPr>
        <w:pStyle w:val="Bijschrift"/>
        <w:shd w:val="clear" w:color="auto" w:fill="D9D9D9" w:themeFill="background1" w:themeFillShade="D9"/>
        <w:tabs>
          <w:tab w:val="left" w:pos="567"/>
          <w:tab w:val="right" w:pos="7371"/>
        </w:tabs>
        <w:rPr>
          <w:noProof/>
          <w:lang w:val="nl-NL"/>
        </w:rPr>
      </w:pPr>
      <w:r w:rsidRPr="00AD2CF5">
        <w:rPr>
          <w:i/>
          <w:position w:val="-64"/>
        </w:rPr>
        <w:object w:dxaOrig="4040" w:dyaOrig="1400">
          <v:shape id="_x0000_i1089" type="#_x0000_t75" style="width:202.5pt;height:70.5pt" o:ole="" fillcolor="window">
            <v:imagedata r:id="rId212" o:title=""/>
          </v:shape>
          <o:OLEObject Type="Embed" ProgID="Equation.3" ShapeID="_x0000_i1089" DrawAspect="Content" ObjectID="_1511255427" r:id="rId213"/>
        </w:object>
      </w:r>
      <w:r w:rsidRPr="00AD2CF5">
        <w:rPr>
          <w:rStyle w:val="EquationCaption"/>
          <w:i/>
          <w:lang w:val="nl-NL"/>
        </w:rPr>
        <w:tab/>
      </w:r>
      <w:r w:rsidRPr="00AD2CF5">
        <w:rPr>
          <w:lang w:val="nl-NL"/>
        </w:rPr>
        <w:t>(4. 28</w:t>
      </w:r>
      <w:r w:rsidRPr="00AD2CF5">
        <w:rPr>
          <w:noProof/>
          <w:lang w:val="nl-NL"/>
        </w:rPr>
        <w: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ind w:left="1309" w:hanging="1309"/>
      </w:pPr>
      <w:r w:rsidRPr="00AD2CF5">
        <w:t>waarin:</w:t>
      </w:r>
    </w:p>
    <w:p w:rsidR="00F43C9B" w:rsidRPr="00AD2CF5" w:rsidRDefault="00F43C9B" w:rsidP="00F43C9B">
      <w:pPr>
        <w:shd w:val="clear" w:color="auto" w:fill="D9D9D9" w:themeFill="background1" w:themeFillShade="D9"/>
        <w:tabs>
          <w:tab w:val="left" w:pos="-108"/>
          <w:tab w:val="left" w:pos="573"/>
          <w:tab w:val="left" w:pos="1276"/>
        </w:tabs>
        <w:suppressAutoHyphens/>
        <w:spacing w:line="240" w:lineRule="auto"/>
        <w:ind w:left="1275" w:hanging="1275"/>
      </w:pPr>
      <w:r w:rsidRPr="00AD2CF5">
        <w:rPr>
          <w:i/>
        </w:rPr>
        <w:t>R</w:t>
      </w:r>
      <w:r w:rsidRPr="00AD2CF5">
        <w:rPr>
          <w:i/>
          <w:vertAlign w:val="subscript"/>
        </w:rPr>
        <w:t>1</w:t>
      </w:r>
      <w:r w:rsidRPr="00AD2CF5">
        <w:tab/>
        <w:t>de afstand van de doelpositie naar een punt op de grens van het Mach-gebied</w:t>
      </w:r>
      <w:r w:rsidRPr="00AD2CF5">
        <w:fldChar w:fldCharType="begin"/>
      </w:r>
      <w:r w:rsidRPr="00AD2CF5">
        <w:instrText xml:space="preserve"> XE "mach-gebied" </w:instrText>
      </w:r>
      <w:r w:rsidRPr="00AD2CF5">
        <w:fldChar w:fldCharType="end"/>
      </w:r>
      <w:r w:rsidRPr="00AD2CF5">
        <w:t xml:space="preserve"> dat het dichtst bij het rekenpunt ligt;</w:t>
      </w:r>
    </w:p>
    <w:p w:rsidR="00F43C9B" w:rsidRPr="00AD2CF5" w:rsidRDefault="00F43C9B" w:rsidP="00F43C9B">
      <w:pPr>
        <w:shd w:val="clear" w:color="auto" w:fill="D9D9D9" w:themeFill="background1" w:themeFillShade="D9"/>
        <w:tabs>
          <w:tab w:val="left" w:pos="567"/>
          <w:tab w:val="left" w:pos="1276"/>
        </w:tabs>
        <w:suppressAutoHyphens/>
        <w:spacing w:line="240" w:lineRule="auto"/>
        <w:ind w:left="1276" w:hanging="1276"/>
      </w:pPr>
      <w:r w:rsidRPr="00AD2CF5">
        <w:rPr>
          <w:i/>
        </w:rPr>
        <w:t>R</w:t>
      </w:r>
      <w:r w:rsidRPr="00AD2CF5">
        <w:rPr>
          <w:i/>
          <w:vertAlign w:val="subscript"/>
        </w:rPr>
        <w:t>2</w:t>
      </w:r>
      <w:r w:rsidRPr="00AD2CF5">
        <w:tab/>
        <w:t>de afstand van het rekenpunt tot de grens van het Mach-gebied</w:t>
      </w:r>
      <w:r w:rsidRPr="00AD2CF5">
        <w:fldChar w:fldCharType="begin"/>
      </w:r>
      <w:r w:rsidRPr="00AD2CF5">
        <w:instrText xml:space="preserve"> XE "mach-gebied" </w:instrText>
      </w:r>
      <w:r w:rsidRPr="00AD2CF5">
        <w:fldChar w:fldCharType="end"/>
      </w:r>
      <w:r w:rsidRPr="00AD2CF5">
        <w:t>.</w:t>
      </w:r>
    </w:p>
    <w:p w:rsidR="00F43C9B" w:rsidRPr="00AD2CF5" w:rsidRDefault="00F43C9B" w:rsidP="00F43C9B">
      <w:pPr>
        <w:shd w:val="clear" w:color="auto" w:fill="D9D9D9" w:themeFill="background1" w:themeFillShade="D9"/>
        <w:tabs>
          <w:tab w:val="left" w:pos="567"/>
          <w:tab w:val="left" w:pos="1276"/>
        </w:tabs>
        <w:suppressAutoHyphens/>
        <w:spacing w:line="240" w:lineRule="auto"/>
        <w:ind w:left="1276" w:hanging="1276"/>
        <w:rPr>
          <w:iCs/>
        </w:rPr>
      </w:pPr>
    </w:p>
    <w:p w:rsidR="00F43C9B" w:rsidRPr="00AD2CF5" w:rsidRDefault="00F43C9B" w:rsidP="00F43C9B">
      <w:pPr>
        <w:shd w:val="clear" w:color="auto" w:fill="D9D9D9" w:themeFill="background1" w:themeFillShade="D9"/>
        <w:tabs>
          <w:tab w:val="left" w:pos="567"/>
          <w:tab w:val="left" w:pos="993"/>
        </w:tabs>
        <w:suppressAutoHyphens/>
        <w:spacing w:line="240" w:lineRule="auto"/>
        <w:rPr>
          <w:iCs/>
        </w:rPr>
      </w:pPr>
      <w:r w:rsidRPr="00AD2CF5">
        <w:rPr>
          <w:iCs/>
        </w:rPr>
        <w:t xml:space="preserve">De afstanden </w:t>
      </w:r>
      <w:r w:rsidRPr="00AD2CF5">
        <w:rPr>
          <w:i/>
        </w:rPr>
        <w:t>R</w:t>
      </w:r>
      <w:r w:rsidRPr="00AD2CF5">
        <w:rPr>
          <w:iCs/>
          <w:vertAlign w:val="subscript"/>
        </w:rPr>
        <w:t>1</w:t>
      </w:r>
      <w:r w:rsidRPr="00AD2CF5">
        <w:rPr>
          <w:iCs/>
        </w:rPr>
        <w:t xml:space="preserve"> en </w:t>
      </w:r>
      <w:r w:rsidRPr="00AD2CF5">
        <w:rPr>
          <w:i/>
        </w:rPr>
        <w:t>R</w:t>
      </w:r>
      <w:r w:rsidRPr="00AD2CF5">
        <w:rPr>
          <w:iCs/>
          <w:vertAlign w:val="subscript"/>
        </w:rPr>
        <w:t xml:space="preserve">2 </w:t>
      </w:r>
      <w:r w:rsidRPr="00AD2CF5">
        <w:rPr>
          <w:iCs/>
        </w:rPr>
        <w:t>worden alleen voor de berekening van de geometrische demping</w:t>
      </w:r>
      <w:r w:rsidRPr="00AD2CF5">
        <w:rPr>
          <w:iCs/>
        </w:rPr>
        <w:fldChar w:fldCharType="begin"/>
      </w:r>
      <w:r w:rsidRPr="00AD2CF5">
        <w:rPr>
          <w:iCs/>
        </w:rPr>
        <w:instrText xml:space="preserve"> XE "</w:instrText>
      </w:r>
      <w:r w:rsidRPr="00AD2CF5">
        <w:instrText>geometrische demping"</w:instrText>
      </w:r>
      <w:r w:rsidRPr="00AD2CF5">
        <w:rPr>
          <w:iCs/>
        </w:rPr>
        <w:instrText xml:space="preserve"> </w:instrText>
      </w:r>
      <w:r w:rsidRPr="00AD2CF5">
        <w:rPr>
          <w:iCs/>
        </w:rPr>
        <w:fldChar w:fldCharType="end"/>
      </w:r>
      <w:r w:rsidRPr="00AD2CF5">
        <w:rPr>
          <w:iCs/>
        </w:rPr>
        <w:t xml:space="preserve"> in gebied III gebruikt, voor het berekenen van de overige dempingstermen wordt van het geluidpad uitgegaan van het bronpunt op de kogelbaan</w:t>
      </w:r>
      <w:r w:rsidRPr="00AD2CF5">
        <w:rPr>
          <w:iCs/>
        </w:rPr>
        <w:fldChar w:fldCharType="begin"/>
      </w:r>
      <w:r w:rsidRPr="00AD2CF5">
        <w:rPr>
          <w:iCs/>
        </w:rPr>
        <w:instrText xml:space="preserve"> XE "</w:instrText>
      </w:r>
      <w:r w:rsidRPr="00AD2CF5">
        <w:instrText>kogelbaan"</w:instrText>
      </w:r>
      <w:r w:rsidRPr="00AD2CF5">
        <w:rPr>
          <w:iCs/>
        </w:rPr>
        <w:instrText xml:space="preserve"> </w:instrText>
      </w:r>
      <w:r w:rsidRPr="00AD2CF5">
        <w:rPr>
          <w:iCs/>
        </w:rPr>
        <w:fldChar w:fldCharType="end"/>
      </w:r>
      <w:r w:rsidRPr="00AD2CF5">
        <w:rPr>
          <w:iCs/>
        </w:rPr>
        <w:t xml:space="preserve"> (in dit geval dus de doelpositie) naar het rekenpunt.</w:t>
      </w:r>
    </w:p>
    <w:p w:rsidR="00F43C9B" w:rsidRPr="00AD2CF5" w:rsidRDefault="00F43C9B" w:rsidP="00F43C9B">
      <w:pPr>
        <w:shd w:val="clear" w:color="auto" w:fill="D9D9D9" w:themeFill="background1" w:themeFillShade="D9"/>
        <w:tabs>
          <w:tab w:val="left" w:pos="851"/>
        </w:tabs>
        <w:spacing w:line="240" w:lineRule="auto"/>
      </w:pPr>
    </w:p>
    <w:p w:rsidR="00F43C9B" w:rsidRPr="00AD2CF5" w:rsidRDefault="00F43C9B" w:rsidP="00F43C9B">
      <w:pPr>
        <w:shd w:val="clear" w:color="auto" w:fill="D9D9D9" w:themeFill="background1" w:themeFillShade="D9"/>
        <w:tabs>
          <w:tab w:val="left" w:pos="851"/>
        </w:tabs>
        <w:spacing w:line="240" w:lineRule="auto"/>
      </w:pPr>
      <w:r w:rsidRPr="00AD2CF5">
        <w:rPr>
          <w:noProof/>
          <w:lang w:eastAsia="nl-NL"/>
        </w:rPr>
        <w:drawing>
          <wp:inline distT="0" distB="0" distL="0" distR="0" wp14:anchorId="0527227D" wp14:editId="4962C331">
            <wp:extent cx="4676775" cy="3028950"/>
            <wp:effectExtent l="19050" t="0" r="9525" b="0"/>
            <wp:docPr id="56" name="Afbeelding 97" descr="geo1ge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eo1geo3"/>
                    <pic:cNvPicPr>
                      <a:picLocks noChangeAspect="1" noChangeArrowheads="1"/>
                    </pic:cNvPicPr>
                  </pic:nvPicPr>
                  <pic:blipFill>
                    <a:blip r:embed="rId214" cstate="print"/>
                    <a:srcRect/>
                    <a:stretch>
                      <a:fillRect/>
                    </a:stretch>
                  </pic:blipFill>
                  <pic:spPr bwMode="auto">
                    <a:xfrm>
                      <a:off x="0" y="0"/>
                      <a:ext cx="4676775" cy="3028950"/>
                    </a:xfrm>
                    <a:prstGeom prst="rect">
                      <a:avLst/>
                    </a:prstGeom>
                    <a:noFill/>
                    <a:ln w="9525">
                      <a:noFill/>
                      <a:miter lim="800000"/>
                      <a:headEnd/>
                      <a:tailEnd/>
                    </a:ln>
                  </pic:spPr>
                </pic:pic>
              </a:graphicData>
            </a:graphic>
          </wp:inline>
        </w:drawing>
      </w:r>
    </w:p>
    <w:p w:rsidR="00F43C9B" w:rsidRPr="00AD2CF5" w:rsidRDefault="00F43C9B" w:rsidP="00F43C9B">
      <w:pPr>
        <w:shd w:val="clear" w:color="auto" w:fill="D9D9D9" w:themeFill="background1" w:themeFillShade="D9"/>
        <w:tabs>
          <w:tab w:val="left" w:pos="851"/>
        </w:tabs>
        <w:spacing w:line="240" w:lineRule="auto"/>
      </w:pPr>
    </w:p>
    <w:p w:rsidR="00F43C9B" w:rsidRPr="00AD2CF5" w:rsidRDefault="00F43C9B" w:rsidP="00F43C9B">
      <w:pPr>
        <w:shd w:val="clear" w:color="auto" w:fill="D9D9D9" w:themeFill="background1" w:themeFillShade="D9"/>
        <w:tabs>
          <w:tab w:val="left" w:pos="851"/>
        </w:tabs>
        <w:spacing w:line="240" w:lineRule="auto"/>
      </w:pPr>
      <w:r w:rsidRPr="00AD2CF5">
        <w:rPr>
          <w:b/>
        </w:rPr>
        <w:t xml:space="preserve">Figuur 4. 7: </w:t>
      </w:r>
      <w:r w:rsidRPr="00AD2CF5">
        <w:tab/>
        <w:t xml:space="preserve">Definitie van </w:t>
      </w:r>
      <w:r w:rsidRPr="00AD2CF5">
        <w:rPr>
          <w:i/>
        </w:rPr>
        <w:t>R</w:t>
      </w:r>
      <w:r w:rsidRPr="00AD2CF5">
        <w:rPr>
          <w:i/>
          <w:vertAlign w:val="subscript"/>
        </w:rPr>
        <w:t>1</w:t>
      </w:r>
      <w:r w:rsidRPr="00AD2CF5">
        <w:t xml:space="preserve">, </w:t>
      </w:r>
      <w:r w:rsidRPr="00AD2CF5">
        <w:rPr>
          <w:i/>
        </w:rPr>
        <w:t>R</w:t>
      </w:r>
      <w:r w:rsidRPr="00AD2CF5">
        <w:rPr>
          <w:i/>
          <w:vertAlign w:val="subscript"/>
        </w:rPr>
        <w:t>2</w:t>
      </w:r>
      <w:r w:rsidRPr="00AD2CF5">
        <w:t xml:space="preserve"> en </w:t>
      </w:r>
      <w:r w:rsidRPr="00AD2CF5">
        <w:rPr>
          <w:i/>
        </w:rPr>
        <w:t>R</w:t>
      </w:r>
      <w:r w:rsidRPr="00AD2CF5">
        <w:rPr>
          <w:i/>
          <w:vertAlign w:val="subscript"/>
        </w:rPr>
        <w:t>0</w:t>
      </w:r>
      <w:r w:rsidRPr="00AD2CF5">
        <w:rPr>
          <w:vertAlign w:val="subscript"/>
        </w:rPr>
        <w:t xml:space="preserve"> </w:t>
      </w:r>
      <w:r w:rsidRPr="00AD2CF5">
        <w:t>uit formule 4.28.</w:t>
      </w:r>
    </w:p>
    <w:bookmarkEnd w:id="586"/>
    <w:p w:rsidR="00F43C9B" w:rsidRPr="00AD2CF5" w:rsidRDefault="00F43C9B" w:rsidP="00F43C9B">
      <w:pPr>
        <w:pStyle w:val="Kop3"/>
        <w:shd w:val="clear" w:color="auto" w:fill="D9D9D9" w:themeFill="background1" w:themeFillShade="D9"/>
      </w:pPr>
      <w:r w:rsidRPr="00AD2CF5">
        <w:fldChar w:fldCharType="begin"/>
      </w:r>
      <w:r w:rsidRPr="00AD2CF5">
        <w:instrText xml:space="preserve"> SEQ numchaplev1 \c \* MERGEFORMAT </w:instrText>
      </w:r>
      <w:r w:rsidRPr="00AD2CF5">
        <w:fldChar w:fldCharType="separate"/>
      </w:r>
      <w:bookmarkStart w:id="587" w:name="_Toc413945843"/>
      <w:bookmarkStart w:id="588" w:name="_Toc431375856"/>
      <w:r>
        <w:rPr>
          <w:noProof/>
        </w:rPr>
        <w:t>4</w:t>
      </w:r>
      <w:r w:rsidRPr="00AD2CF5">
        <w:fldChar w:fldCharType="end"/>
      </w:r>
      <w:r w:rsidRPr="00AD2CF5">
        <w:t>.</w:t>
      </w:r>
      <w:r w:rsidR="00C428B8">
        <w:fldChar w:fldCharType="begin"/>
      </w:r>
      <w:r w:rsidR="00C428B8">
        <w:instrText xml:space="preserve"> SEQ numchaplev2 \c \* MERGEFORMAT </w:instrText>
      </w:r>
      <w:r w:rsidR="00C428B8">
        <w:fldChar w:fldCharType="separate"/>
      </w:r>
      <w:r w:rsidRPr="00B15E90">
        <w:rPr>
          <w:noProof/>
        </w:rPr>
        <w:t>6</w:t>
      </w:r>
      <w:r w:rsidR="00C428B8">
        <w:rPr>
          <w:noProof/>
        </w:rPr>
        <w:fldChar w:fldCharType="end"/>
      </w:r>
      <w:r w:rsidRPr="00AD2CF5">
        <w:t>.</w:t>
      </w:r>
      <w:r w:rsidR="00C428B8">
        <w:fldChar w:fldCharType="begin"/>
      </w:r>
      <w:r w:rsidR="00C428B8">
        <w:instrText xml:space="preserve"> SEQ numchaplev3 \n \* MERGEFORMAT </w:instrText>
      </w:r>
      <w:r w:rsidR="00C428B8">
        <w:fldChar w:fldCharType="separate"/>
      </w:r>
      <w:r w:rsidRPr="00B15E90">
        <w:rPr>
          <w:noProof/>
        </w:rPr>
        <w:t>3</w:t>
      </w:r>
      <w:r w:rsidR="00C428B8">
        <w:rPr>
          <w:noProof/>
        </w:rPr>
        <w:fldChar w:fldCharType="end"/>
      </w:r>
      <w:r w:rsidRPr="00AD2CF5">
        <w:fldChar w:fldCharType="begin"/>
      </w:r>
      <w:r w:rsidRPr="00AD2CF5">
        <w:instrText xml:space="preserve"> SEQ numchaplev4 \r0\h \* MERGEFORMAT </w:instrText>
      </w:r>
      <w:r w:rsidRPr="00AD2CF5">
        <w:fldChar w:fldCharType="end"/>
      </w:r>
      <w:r w:rsidRPr="00AD2CF5">
        <w:tab/>
        <w:t>Luchtdemping</w:t>
      </w:r>
      <w:bookmarkEnd w:id="587"/>
      <w:bookmarkEnd w:id="588"/>
    </w:p>
    <w:p w:rsidR="00F43C9B" w:rsidRPr="00AD2CF5" w:rsidRDefault="00F43C9B" w:rsidP="00F43C9B">
      <w:pPr>
        <w:keepLines/>
        <w:shd w:val="clear" w:color="auto" w:fill="D9D9D9" w:themeFill="background1" w:themeFillShade="D9"/>
        <w:tabs>
          <w:tab w:val="left" w:pos="-108"/>
          <w:tab w:val="left" w:pos="573"/>
          <w:tab w:val="left" w:pos="1309"/>
          <w:tab w:val="left" w:pos="2387"/>
        </w:tabs>
        <w:suppressAutoHyphens/>
        <w:spacing w:line="240" w:lineRule="auto"/>
      </w:pPr>
      <w:r w:rsidRPr="00AD2CF5">
        <w:t>Bij de berekening van de luchtdemping</w:t>
      </w:r>
      <w:r w:rsidRPr="00AD2CF5">
        <w:fldChar w:fldCharType="begin"/>
      </w:r>
      <w:r w:rsidRPr="00AD2CF5">
        <w:instrText xml:space="preserve"> XE "luchtdemping" </w:instrText>
      </w:r>
      <w:r w:rsidRPr="00AD2CF5">
        <w:fldChar w:fldCharType="end"/>
      </w:r>
      <w:r w:rsidRPr="00AD2CF5">
        <w:t xml:space="preserve"> wordt rekening gehouden met de vorm van het spectrum</w:t>
      </w:r>
      <w:r w:rsidRPr="00AD2CF5">
        <w:fldChar w:fldCharType="begin"/>
      </w:r>
      <w:r w:rsidRPr="00AD2CF5">
        <w:instrText xml:space="preserve"> XE "spectrum" </w:instrText>
      </w:r>
      <w:r w:rsidRPr="00AD2CF5">
        <w:fldChar w:fldCharType="end"/>
      </w:r>
      <w:r w:rsidRPr="00AD2CF5">
        <w:t>. Per octaafband</w:t>
      </w:r>
      <w:r w:rsidRPr="00AD2CF5">
        <w:fldChar w:fldCharType="begin"/>
      </w:r>
      <w:r w:rsidRPr="00AD2CF5">
        <w:instrText xml:space="preserve"> XE "octaafband" </w:instrText>
      </w:r>
      <w:r w:rsidRPr="00AD2CF5">
        <w:fldChar w:fldCharType="end"/>
      </w:r>
      <w:r w:rsidRPr="00AD2CF5">
        <w:t xml:space="preserve"> (index </w:t>
      </w:r>
      <w:r w:rsidRPr="00AD2CF5">
        <w:rPr>
          <w:i/>
        </w:rPr>
        <w:t>k</w:t>
      </w:r>
      <w:r w:rsidRPr="00AD2CF5">
        <w:t xml:space="preserve">) wordt geschat hoe de geluidenergie over de drie tertsbanden (index </w:t>
      </w:r>
      <w:r w:rsidRPr="00AD2CF5">
        <w:rPr>
          <w:i/>
        </w:rPr>
        <w:t>j</w:t>
      </w:r>
      <w:r w:rsidRPr="00AD2CF5">
        <w:t xml:space="preserve">) binnen dit octaaf verdeeld is. Deze geluidenergie </w:t>
      </w:r>
      <w:r w:rsidRPr="00AD2CF5">
        <w:rPr>
          <w:i/>
        </w:rPr>
        <w:t>L</w:t>
      </w:r>
      <w:r w:rsidRPr="00AD2CF5">
        <w:rPr>
          <w:i/>
          <w:vertAlign w:val="subscript"/>
        </w:rPr>
        <w:t>Ebj</w:t>
      </w:r>
      <w:r w:rsidRPr="00AD2CF5">
        <w:t>(</w:t>
      </w:r>
      <w:r w:rsidRPr="00AD2CF5">
        <w:rPr>
          <w:i/>
        </w:rPr>
        <w:t>f</w:t>
      </w:r>
      <w:r w:rsidRPr="00AD2CF5">
        <w:rPr>
          <w:i/>
          <w:vertAlign w:val="subscript"/>
        </w:rPr>
        <w:t>k</w:t>
      </w:r>
      <w:r w:rsidRPr="00AD2CF5">
        <w:t>) wordt bepaald op basis van een lineaire interpolatie van de niveaus van de naburige octaafbanden (bij kogelgeluid</w:t>
      </w:r>
      <w:r w:rsidRPr="00AD2CF5">
        <w:fldChar w:fldCharType="begin"/>
      </w:r>
      <w:r w:rsidRPr="00AD2CF5">
        <w:instrText xml:space="preserve"> XE "kogelgeluid" </w:instrText>
      </w:r>
      <w:r w:rsidRPr="00AD2CF5">
        <w:fldChar w:fldCharType="end"/>
      </w:r>
      <w:r w:rsidRPr="00AD2CF5">
        <w:t xml:space="preserve"> is dit niet nodig daar kogelgeluid per tertsband wordt berekend zie ook § 4.6.1):</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i/>
          <w:position w:val="-68"/>
        </w:rPr>
        <w:object w:dxaOrig="5380" w:dyaOrig="1480">
          <v:shape id="_x0000_i1090" type="#_x0000_t75" style="width:270pt;height:73.5pt" o:ole="" fillcolor="window">
            <v:imagedata r:id="rId215" o:title=""/>
          </v:shape>
          <o:OLEObject Type="Embed" ProgID="Equation.3" ShapeID="_x0000_i1090" DrawAspect="Content" ObjectID="_1511255428" r:id="rId216"/>
        </w:object>
      </w:r>
      <w:r w:rsidRPr="00AD2CF5">
        <w:rPr>
          <w:i/>
          <w:lang w:val="nl-NL"/>
        </w:rPr>
        <w:tab/>
      </w:r>
      <w:r w:rsidRPr="00AD2CF5">
        <w:rPr>
          <w:lang w:val="nl-NL"/>
        </w:rPr>
        <w:t>(4. 29)</w:t>
      </w:r>
    </w:p>
    <w:p w:rsidR="00F43C9B" w:rsidRPr="00AD2CF5" w:rsidRDefault="00F43C9B" w:rsidP="00F43C9B">
      <w:pPr>
        <w:keepNext/>
        <w:shd w:val="clear" w:color="auto" w:fill="D9D9D9" w:themeFill="background1" w:themeFillShade="D9"/>
        <w:tabs>
          <w:tab w:val="left" w:pos="-108"/>
          <w:tab w:val="left" w:pos="573"/>
          <w:tab w:val="left" w:pos="1309"/>
          <w:tab w:val="left" w:pos="2387"/>
        </w:tabs>
        <w:suppressAutoHyphens/>
        <w:spacing w:line="240" w:lineRule="auto"/>
      </w:pPr>
      <w:r w:rsidRPr="00AD2CF5">
        <w:t>met:</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i/>
          <w:position w:val="-30"/>
        </w:rPr>
        <w:object w:dxaOrig="2880" w:dyaOrig="720">
          <v:shape id="_x0000_i1091" type="#_x0000_t75" style="width:2in;height:37.5pt" o:ole="">
            <v:imagedata r:id="rId217" o:title=""/>
          </v:shape>
          <o:OLEObject Type="Embed" ProgID="Equation.3" ShapeID="_x0000_i1091" DrawAspect="Content" ObjectID="_1511255429" r:id="rId218"/>
        </w:objec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waarin:</w:t>
      </w:r>
    </w:p>
    <w:p w:rsidR="00F43C9B" w:rsidRPr="00AD2CF5" w:rsidRDefault="00F43C9B" w:rsidP="00F43C9B">
      <w:pPr>
        <w:shd w:val="clear" w:color="auto" w:fill="D9D9D9" w:themeFill="background1" w:themeFillShade="D9"/>
        <w:tabs>
          <w:tab w:val="left" w:pos="-108"/>
          <w:tab w:val="left" w:pos="573"/>
          <w:tab w:val="left" w:pos="1701"/>
        </w:tabs>
        <w:suppressAutoHyphens/>
        <w:spacing w:line="240" w:lineRule="auto"/>
        <w:ind w:left="1701" w:hanging="1701"/>
      </w:pPr>
      <w:r w:rsidRPr="00AD2CF5">
        <w:rPr>
          <w:position w:val="-12"/>
        </w:rPr>
        <w:object w:dxaOrig="960" w:dyaOrig="360">
          <v:shape id="_x0000_i1092" type="#_x0000_t75" style="width:48pt;height:18pt" o:ole="">
            <v:imagedata r:id="rId219" o:title=""/>
          </v:shape>
          <o:OLEObject Type="Embed" ProgID="Equation.2" ShapeID="_x0000_i1092" DrawAspect="Content" ObjectID="_1511255430" r:id="rId220"/>
        </w:object>
      </w:r>
      <w:r w:rsidRPr="00AD2CF5">
        <w:tab/>
        <w:t>het bronniveau</w:t>
      </w:r>
      <w:r w:rsidRPr="00AD2CF5">
        <w:fldChar w:fldCharType="begin"/>
      </w:r>
      <w:r w:rsidRPr="00AD2CF5">
        <w:instrText xml:space="preserve"> XE "bronniveau" </w:instrText>
      </w:r>
      <w:r w:rsidRPr="00AD2CF5">
        <w:fldChar w:fldCharType="end"/>
      </w:r>
      <w:r w:rsidRPr="00AD2CF5">
        <w:t xml:space="preserve"> van de </w:t>
      </w:r>
      <w:r w:rsidRPr="00AD2CF5">
        <w:rPr>
          <w:i/>
        </w:rPr>
        <w:t>j</w:t>
      </w:r>
      <w:r w:rsidRPr="00AD2CF5">
        <w:rPr>
          <w:i/>
          <w:vertAlign w:val="superscript"/>
        </w:rPr>
        <w:t>e</w:t>
      </w:r>
      <w:r w:rsidRPr="00AD2CF5">
        <w:t xml:space="preserve"> tertsband (</w:t>
      </w:r>
      <w:r w:rsidRPr="00AD2CF5">
        <w:rPr>
          <w:i/>
        </w:rPr>
        <w:t>j</w:t>
      </w:r>
      <w:r w:rsidRPr="00AD2CF5">
        <w:t xml:space="preserve"> = 1 t/m 3) van de octaafband</w:t>
      </w:r>
      <w:r w:rsidRPr="00AD2CF5">
        <w:fldChar w:fldCharType="begin"/>
      </w:r>
      <w:r w:rsidRPr="00AD2CF5">
        <w:instrText xml:space="preserve"> XE "octaafband" </w:instrText>
      </w:r>
      <w:r w:rsidRPr="00AD2CF5">
        <w:fldChar w:fldCharType="end"/>
      </w:r>
      <w:r w:rsidRPr="00AD2CF5">
        <w:t xml:space="preserve"> met centrumfrequentie </w:t>
      </w:r>
      <w:r w:rsidRPr="00AD2CF5">
        <w:rPr>
          <w:i/>
        </w:rPr>
        <w:t>f</w:t>
      </w:r>
      <w:r w:rsidRPr="00AD2CF5">
        <w:rPr>
          <w:i/>
          <w:vertAlign w:val="subscript"/>
        </w:rPr>
        <w:t>k</w:t>
      </w:r>
      <w:r w:rsidRPr="00AD2CF5">
        <w:t xml:space="preserve"> (</w:t>
      </w:r>
      <w:r w:rsidRPr="00AD2CF5">
        <w:rPr>
          <w:i/>
        </w:rPr>
        <w:t>k</w:t>
      </w:r>
      <w:r w:rsidRPr="00AD2CF5">
        <w:t xml:space="preserve"> = 1 t/m 9).</w:t>
      </w:r>
    </w:p>
    <w:p w:rsidR="00F43C9B" w:rsidRPr="00AD2CF5" w:rsidRDefault="00F43C9B" w:rsidP="00F43C9B">
      <w:pPr>
        <w:pStyle w:val="Inhopg1"/>
        <w:shd w:val="clear" w:color="auto" w:fill="D9D9D9" w:themeFill="background1" w:themeFillShade="D9"/>
        <w:spacing w:after="0"/>
      </w:pPr>
    </w:p>
    <w:p w:rsidR="00F43C9B" w:rsidRPr="00AD2CF5" w:rsidRDefault="00F43C9B" w:rsidP="00F43C9B">
      <w:pPr>
        <w:shd w:val="clear" w:color="auto" w:fill="D9D9D9" w:themeFill="background1" w:themeFillShade="D9"/>
      </w:pPr>
      <w:r w:rsidRPr="00AD2CF5">
        <w:t>De luchtdemping</w:t>
      </w:r>
      <w:r w:rsidRPr="00AD2CF5">
        <w:fldChar w:fldCharType="begin"/>
      </w:r>
      <w:r w:rsidRPr="00AD2CF5">
        <w:instrText xml:space="preserve"> XE "luchtdemping" </w:instrText>
      </w:r>
      <w:r w:rsidRPr="00AD2CF5">
        <w:fldChar w:fldCharType="end"/>
      </w:r>
      <w:r w:rsidRPr="00AD2CF5">
        <w:t xml:space="preserve"> in de </w:t>
      </w:r>
      <w:r w:rsidRPr="00AD2CF5">
        <w:rPr>
          <w:i/>
        </w:rPr>
        <w:t>k</w:t>
      </w:r>
      <w:r w:rsidRPr="00AD2CF5">
        <w:rPr>
          <w:i/>
          <w:vertAlign w:val="superscript"/>
        </w:rPr>
        <w:t>e</w:t>
      </w:r>
      <w:r w:rsidRPr="00AD2CF5">
        <w:t xml:space="preserve"> octaafband</w:t>
      </w:r>
      <w:r w:rsidRPr="00AD2CF5">
        <w:fldChar w:fldCharType="begin"/>
      </w:r>
      <w:r w:rsidRPr="00AD2CF5">
        <w:instrText xml:space="preserve"> XE "octaafband" </w:instrText>
      </w:r>
      <w:r w:rsidRPr="00AD2CF5">
        <w:fldChar w:fldCharType="end"/>
      </w:r>
      <w:r w:rsidRPr="00AD2CF5">
        <w:t xml:space="preserve"> </w:t>
      </w:r>
      <w:r w:rsidRPr="00AD2CF5">
        <w:rPr>
          <w:i/>
        </w:rPr>
        <w:t>D</w:t>
      </w:r>
      <w:r w:rsidRPr="00AD2CF5">
        <w:rPr>
          <w:i/>
          <w:vertAlign w:val="subscript"/>
        </w:rPr>
        <w:t>lucht</w:t>
      </w:r>
      <w:r w:rsidRPr="00AD2CF5">
        <w:t>(</w:t>
      </w:r>
      <w:r w:rsidRPr="00AD2CF5">
        <w:rPr>
          <w:i/>
        </w:rPr>
        <w:t>f</w:t>
      </w:r>
      <w:r w:rsidRPr="00AD2CF5">
        <w:rPr>
          <w:i/>
          <w:vertAlign w:val="subscript"/>
        </w:rPr>
        <w:t>k</w:t>
      </w:r>
      <w:r w:rsidRPr="00AD2CF5">
        <w:t>) wordt vervolgens bepaald uit het gewogen energetische gemiddelde van de luchtdemping van de tertsbanden binnen deze octaafband.</w:t>
      </w:r>
    </w:p>
    <w:p w:rsidR="00F43C9B" w:rsidRPr="00AD2CF5" w:rsidRDefault="00F43C9B" w:rsidP="00F43C9B">
      <w:pPr>
        <w:pStyle w:val="Bijschrift"/>
        <w:shd w:val="clear" w:color="auto" w:fill="D9D9D9" w:themeFill="background1" w:themeFillShade="D9"/>
        <w:tabs>
          <w:tab w:val="left" w:pos="567"/>
          <w:tab w:val="right" w:pos="7371"/>
        </w:tabs>
        <w:rPr>
          <w:rStyle w:val="EquationCaption"/>
          <w:i/>
          <w:lang w:val="nl-NL"/>
        </w:rPr>
      </w:pPr>
      <w:r w:rsidRPr="00AD2CF5">
        <w:rPr>
          <w:i/>
          <w:position w:val="-32"/>
        </w:rPr>
        <w:object w:dxaOrig="5220" w:dyaOrig="760">
          <v:shape id="_x0000_i1093" type="#_x0000_t75" style="width:261pt;height:39pt" o:ole="" fillcolor="window">
            <v:imagedata r:id="rId221" o:title=""/>
          </v:shape>
          <o:OLEObject Type="Embed" ProgID="Equation.3" ShapeID="_x0000_i1093" DrawAspect="Content" ObjectID="_1511255431" r:id="rId222"/>
        </w:object>
      </w:r>
      <w:r w:rsidRPr="00AD2CF5">
        <w:rPr>
          <w:rStyle w:val="EquationCaption"/>
          <w:i/>
          <w:lang w:val="nl-NL"/>
        </w:rPr>
        <w:tab/>
      </w:r>
      <w:r w:rsidRPr="00AD2CF5">
        <w:rPr>
          <w:lang w:val="nl-NL"/>
        </w:rPr>
        <w:t>(4. 30)</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De waarden voor de luchtdemping</w:t>
      </w:r>
      <w:r w:rsidRPr="00AD2CF5">
        <w:fldChar w:fldCharType="begin"/>
      </w:r>
      <w:r w:rsidRPr="00AD2CF5">
        <w:instrText xml:space="preserve"> XE "luchtdemping" </w:instrText>
      </w:r>
      <w:r w:rsidRPr="00AD2CF5">
        <w:fldChar w:fldCharType="end"/>
      </w:r>
      <w:r w:rsidRPr="00AD2CF5">
        <w:t xml:space="preserve"> </w:t>
      </w:r>
      <w:r w:rsidRPr="00AD2CF5">
        <w:rPr>
          <w:i/>
        </w:rPr>
        <w:sym w:font="Symbol" w:char="F061"/>
      </w:r>
      <w:r w:rsidRPr="00AD2CF5">
        <w:rPr>
          <w:i/>
          <w:vertAlign w:val="subscript"/>
        </w:rPr>
        <w:t>lu,j</w:t>
      </w:r>
      <w:r w:rsidRPr="00AD2CF5">
        <w:t>(</w:t>
      </w:r>
      <w:r w:rsidRPr="00AD2CF5">
        <w:rPr>
          <w:i/>
        </w:rPr>
        <w:t>f</w:t>
      </w:r>
      <w:r w:rsidRPr="00AD2CF5">
        <w:rPr>
          <w:i/>
          <w:vertAlign w:val="subscript"/>
        </w:rPr>
        <w:t>k</w:t>
      </w:r>
      <w:r w:rsidRPr="00AD2CF5">
        <w:t>) in tertsband j = 1, 2 en 3 van de k</w:t>
      </w:r>
      <w:r w:rsidRPr="00AD2CF5">
        <w:rPr>
          <w:vertAlign w:val="superscript"/>
        </w:rPr>
        <w:t>e</w:t>
      </w:r>
      <w:r w:rsidRPr="00AD2CF5">
        <w:t> octaafband</w:t>
      </w:r>
      <w:r w:rsidRPr="00AD2CF5">
        <w:fldChar w:fldCharType="begin"/>
      </w:r>
      <w:r w:rsidRPr="00AD2CF5">
        <w:instrText xml:space="preserve"> XE "octaafband" </w:instrText>
      </w:r>
      <w:r w:rsidRPr="00AD2CF5">
        <w:fldChar w:fldCharType="end"/>
      </w:r>
      <w:r w:rsidRPr="00AD2CF5">
        <w:t xml:space="preserve"> zijn ontleend aan ISO-norm 9613-1 voor 10</w:t>
      </w:r>
      <w:r w:rsidRPr="00AD2CF5">
        <w:rPr>
          <w:rFonts w:ascii="Symbol" w:hAnsi="Symbol"/>
        </w:rPr>
        <w:t></w:t>
      </w:r>
      <w:r w:rsidRPr="00AD2CF5">
        <w:t>C en 80% relatieve vochtigheid</w:t>
      </w:r>
      <w:r w:rsidRPr="00AD2CF5">
        <w:fldChar w:fldCharType="begin"/>
      </w:r>
      <w:r w:rsidRPr="00AD2CF5">
        <w:instrText xml:space="preserve"> XE "relatieve vochtigheid" </w:instrText>
      </w:r>
      <w:r w:rsidRPr="00AD2CF5">
        <w:fldChar w:fldCharType="end"/>
      </w:r>
      <w:r w:rsidRPr="00AD2CF5">
        <w:t>. Deze waarden zijn (in dB per km!) opgenomen in tabel 4.5</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b/>
        </w:rPr>
        <w:t>Tabel 4.5</w:t>
      </w:r>
      <w:r w:rsidRPr="00AD2CF5">
        <w:t>: Waarden voor de luchtdemping</w:t>
      </w:r>
      <w:r w:rsidRPr="00AD2CF5">
        <w:fldChar w:fldCharType="begin"/>
      </w:r>
      <w:r w:rsidRPr="00AD2CF5">
        <w:instrText xml:space="preserve"> XE "luchtdemping" </w:instrText>
      </w:r>
      <w:r w:rsidRPr="00AD2CF5">
        <w:fldChar w:fldCharType="end"/>
      </w:r>
      <w:r w:rsidRPr="00AD2CF5">
        <w:t xml:space="preserve"> per tertsband in dB/km</w:t>
      </w:r>
    </w:p>
    <w:tbl>
      <w:tblPr>
        <w:tblW w:w="0" w:type="auto"/>
        <w:tblInd w:w="57" w:type="dxa"/>
        <w:tblLayout w:type="fixed"/>
        <w:tblCellMar>
          <w:left w:w="57" w:type="dxa"/>
          <w:right w:w="57" w:type="dxa"/>
        </w:tblCellMar>
        <w:tblLook w:val="0000" w:firstRow="0" w:lastRow="0" w:firstColumn="0" w:lastColumn="0" w:noHBand="0" w:noVBand="0"/>
      </w:tblPr>
      <w:tblGrid>
        <w:gridCol w:w="1843"/>
        <w:gridCol w:w="709"/>
        <w:gridCol w:w="709"/>
        <w:gridCol w:w="708"/>
        <w:gridCol w:w="591"/>
        <w:gridCol w:w="543"/>
        <w:gridCol w:w="567"/>
        <w:gridCol w:w="567"/>
        <w:gridCol w:w="567"/>
        <w:gridCol w:w="707"/>
      </w:tblGrid>
      <w:tr w:rsidR="00F43C9B" w:rsidRPr="00AD2CF5" w:rsidTr="00F43C9B">
        <w:trPr>
          <w:trHeight w:hRule="exact" w:val="368"/>
        </w:trPr>
        <w:tc>
          <w:tcPr>
            <w:tcW w:w="1843" w:type="dxa"/>
            <w:tcBorders>
              <w:top w:val="double" w:sz="6" w:space="0" w:color="auto"/>
              <w:left w:val="double" w:sz="6" w:space="0" w:color="auto"/>
            </w:tcBorders>
            <w:shd w:val="pct10" w:color="auto" w:fill="auto"/>
          </w:tcPr>
          <w:p w:rsidR="00F43C9B" w:rsidRPr="00AD2CF5" w:rsidRDefault="00F43C9B" w:rsidP="00F43C9B">
            <w:pPr>
              <w:shd w:val="clear" w:color="auto" w:fill="D9D9D9" w:themeFill="background1" w:themeFillShade="D9"/>
              <w:tabs>
                <w:tab w:val="left" w:pos="-165"/>
                <w:tab w:val="left" w:pos="516"/>
                <w:tab w:val="left" w:pos="1252"/>
                <w:tab w:val="left" w:pos="2330"/>
              </w:tabs>
              <w:suppressAutoHyphens/>
              <w:spacing w:before="21" w:after="54" w:line="240" w:lineRule="auto"/>
            </w:pPr>
            <w:r w:rsidRPr="00AD2CF5">
              <w:t>nummer van terts-</w:t>
            </w:r>
          </w:p>
        </w:tc>
        <w:tc>
          <w:tcPr>
            <w:tcW w:w="5668" w:type="dxa"/>
            <w:gridSpan w:val="9"/>
            <w:tcBorders>
              <w:top w:val="double" w:sz="6" w:space="0" w:color="auto"/>
              <w:left w:val="single" w:sz="6" w:space="0" w:color="auto"/>
              <w:right w:val="double" w:sz="6" w:space="0" w:color="auto"/>
            </w:tcBorders>
            <w:shd w:val="pct10" w:color="auto" w:fill="auto"/>
          </w:tcPr>
          <w:p w:rsidR="00F43C9B" w:rsidRPr="00AD2CF5" w:rsidRDefault="00F43C9B" w:rsidP="00F43C9B">
            <w:pPr>
              <w:shd w:val="clear" w:color="auto" w:fill="D9D9D9" w:themeFill="background1" w:themeFillShade="D9"/>
              <w:tabs>
                <w:tab w:val="left" w:pos="-165"/>
                <w:tab w:val="left" w:pos="516"/>
                <w:tab w:val="left" w:pos="1252"/>
                <w:tab w:val="left" w:pos="2330"/>
              </w:tabs>
              <w:suppressAutoHyphens/>
              <w:spacing w:before="21" w:after="54" w:line="240" w:lineRule="auto"/>
              <w:rPr>
                <w:sz w:val="18"/>
              </w:rPr>
            </w:pPr>
            <w:r w:rsidRPr="00AD2CF5">
              <w:t>octaafband</w:t>
            </w:r>
            <w:r w:rsidRPr="00AD2CF5">
              <w:fldChar w:fldCharType="begin"/>
            </w:r>
            <w:r w:rsidRPr="00AD2CF5">
              <w:instrText xml:space="preserve"> XE "octaafband" </w:instrText>
            </w:r>
            <w:r w:rsidRPr="00AD2CF5">
              <w:fldChar w:fldCharType="end"/>
            </w:r>
            <w:r w:rsidRPr="00AD2CF5">
              <w:t xml:space="preserve"> middenfrequentie in Hz</w:t>
            </w:r>
          </w:p>
        </w:tc>
      </w:tr>
      <w:tr w:rsidR="00F43C9B" w:rsidRPr="00AD2CF5" w:rsidTr="00F43C9B">
        <w:trPr>
          <w:trHeight w:hRule="exact" w:val="385"/>
        </w:trPr>
        <w:tc>
          <w:tcPr>
            <w:tcW w:w="1843" w:type="dxa"/>
            <w:tcBorders>
              <w:left w:val="doub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165"/>
                <w:tab w:val="left" w:pos="516"/>
                <w:tab w:val="left" w:pos="1252"/>
                <w:tab w:val="left" w:pos="2330"/>
              </w:tabs>
              <w:suppressAutoHyphens/>
              <w:spacing w:before="21" w:after="54" w:line="240" w:lineRule="auto"/>
            </w:pPr>
            <w:r w:rsidRPr="00AD2CF5">
              <w:t>band binnen octaaf</w:t>
            </w:r>
          </w:p>
        </w:tc>
        <w:tc>
          <w:tcPr>
            <w:tcW w:w="709" w:type="dxa"/>
            <w:tcBorders>
              <w:top w:val="sing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1035"/>
                <w:tab w:val="left" w:pos="-354"/>
                <w:tab w:val="left" w:pos="382"/>
                <w:tab w:val="left" w:pos="1460"/>
              </w:tabs>
              <w:suppressAutoHyphens/>
              <w:spacing w:before="21" w:after="54" w:line="240" w:lineRule="auto"/>
              <w:rPr>
                <w:b/>
              </w:rPr>
            </w:pPr>
            <w:r w:rsidRPr="00AD2CF5">
              <w:rPr>
                <w:b/>
              </w:rPr>
              <w:t>16</w:t>
            </w:r>
          </w:p>
        </w:tc>
        <w:tc>
          <w:tcPr>
            <w:tcW w:w="709" w:type="dxa"/>
            <w:tcBorders>
              <w:top w:val="sing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1905"/>
                <w:tab w:val="left" w:pos="-1224"/>
                <w:tab w:val="left" w:pos="-488"/>
                <w:tab w:val="left" w:pos="590"/>
              </w:tabs>
              <w:suppressAutoHyphens/>
              <w:spacing w:before="21" w:after="54" w:line="240" w:lineRule="auto"/>
              <w:rPr>
                <w:b/>
              </w:rPr>
            </w:pPr>
            <w:r w:rsidRPr="00AD2CF5">
              <w:rPr>
                <w:b/>
              </w:rPr>
              <w:t>31.5</w:t>
            </w:r>
          </w:p>
        </w:tc>
        <w:tc>
          <w:tcPr>
            <w:tcW w:w="708" w:type="dxa"/>
            <w:tcBorders>
              <w:top w:val="sing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2775"/>
                <w:tab w:val="left" w:pos="-2094"/>
                <w:tab w:val="left" w:pos="-1358"/>
                <w:tab w:val="left" w:pos="-280"/>
              </w:tabs>
              <w:suppressAutoHyphens/>
              <w:spacing w:before="21" w:after="54" w:line="240" w:lineRule="auto"/>
              <w:rPr>
                <w:b/>
              </w:rPr>
            </w:pPr>
            <w:r w:rsidRPr="00AD2CF5">
              <w:rPr>
                <w:b/>
              </w:rPr>
              <w:t>63</w:t>
            </w:r>
          </w:p>
        </w:tc>
        <w:tc>
          <w:tcPr>
            <w:tcW w:w="591" w:type="dxa"/>
            <w:tcBorders>
              <w:top w:val="sing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3645"/>
                <w:tab w:val="left" w:pos="-2964"/>
                <w:tab w:val="left" w:pos="-2228"/>
                <w:tab w:val="left" w:pos="-1150"/>
              </w:tabs>
              <w:suppressAutoHyphens/>
              <w:spacing w:before="21" w:after="54" w:line="240" w:lineRule="auto"/>
              <w:rPr>
                <w:b/>
              </w:rPr>
            </w:pPr>
            <w:r w:rsidRPr="00AD2CF5">
              <w:rPr>
                <w:b/>
              </w:rPr>
              <w:t>125</w:t>
            </w:r>
          </w:p>
        </w:tc>
        <w:tc>
          <w:tcPr>
            <w:tcW w:w="543" w:type="dxa"/>
            <w:tcBorders>
              <w:top w:val="sing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4515"/>
                <w:tab w:val="left" w:pos="-3834"/>
                <w:tab w:val="left" w:pos="-3098"/>
                <w:tab w:val="left" w:pos="-2020"/>
              </w:tabs>
              <w:suppressAutoHyphens/>
              <w:spacing w:before="21" w:after="54" w:line="240" w:lineRule="auto"/>
              <w:rPr>
                <w:b/>
              </w:rPr>
            </w:pPr>
            <w:r w:rsidRPr="00AD2CF5">
              <w:rPr>
                <w:b/>
              </w:rPr>
              <w:t>250</w:t>
            </w:r>
          </w:p>
        </w:tc>
        <w:tc>
          <w:tcPr>
            <w:tcW w:w="567" w:type="dxa"/>
            <w:tcBorders>
              <w:top w:val="sing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5385"/>
                <w:tab w:val="left" w:pos="-4704"/>
                <w:tab w:val="left" w:pos="-3968"/>
                <w:tab w:val="left" w:pos="-2890"/>
              </w:tabs>
              <w:suppressAutoHyphens/>
              <w:spacing w:before="21" w:after="54" w:line="240" w:lineRule="auto"/>
              <w:rPr>
                <w:b/>
              </w:rPr>
            </w:pPr>
            <w:r w:rsidRPr="00AD2CF5">
              <w:rPr>
                <w:b/>
              </w:rPr>
              <w:t>500</w:t>
            </w:r>
          </w:p>
        </w:tc>
        <w:tc>
          <w:tcPr>
            <w:tcW w:w="567" w:type="dxa"/>
            <w:tcBorders>
              <w:top w:val="sing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6255"/>
                <w:tab w:val="left" w:pos="-5574"/>
                <w:tab w:val="left" w:pos="-4838"/>
                <w:tab w:val="left" w:pos="-3760"/>
              </w:tabs>
              <w:suppressAutoHyphens/>
              <w:spacing w:before="21" w:after="54" w:line="240" w:lineRule="auto"/>
              <w:rPr>
                <w:b/>
              </w:rPr>
            </w:pPr>
            <w:r w:rsidRPr="00AD2CF5">
              <w:rPr>
                <w:b/>
              </w:rPr>
              <w:t>1000</w:t>
            </w:r>
          </w:p>
        </w:tc>
        <w:tc>
          <w:tcPr>
            <w:tcW w:w="567" w:type="dxa"/>
            <w:tcBorders>
              <w:top w:val="single" w:sz="6" w:space="0" w:color="auto"/>
              <w:left w:val="single" w:sz="6" w:space="0" w:color="auto"/>
              <w:bottom w:val="double" w:sz="6" w:space="0" w:color="auto"/>
            </w:tcBorders>
            <w:shd w:val="pct10" w:color="auto" w:fill="auto"/>
          </w:tcPr>
          <w:p w:rsidR="00F43C9B" w:rsidRPr="00AD2CF5" w:rsidRDefault="00F43C9B" w:rsidP="00F43C9B">
            <w:pPr>
              <w:shd w:val="clear" w:color="auto" w:fill="D9D9D9" w:themeFill="background1" w:themeFillShade="D9"/>
              <w:tabs>
                <w:tab w:val="left" w:pos="-7125"/>
                <w:tab w:val="left" w:pos="-6444"/>
                <w:tab w:val="left" w:pos="-5708"/>
                <w:tab w:val="left" w:pos="-4630"/>
              </w:tabs>
              <w:suppressAutoHyphens/>
              <w:spacing w:before="21" w:after="54" w:line="240" w:lineRule="auto"/>
              <w:rPr>
                <w:b/>
              </w:rPr>
            </w:pPr>
            <w:r w:rsidRPr="00AD2CF5">
              <w:rPr>
                <w:b/>
              </w:rPr>
              <w:t>2000</w:t>
            </w:r>
          </w:p>
        </w:tc>
        <w:tc>
          <w:tcPr>
            <w:tcW w:w="707" w:type="dxa"/>
            <w:tcBorders>
              <w:top w:val="single" w:sz="6" w:space="0" w:color="auto"/>
              <w:left w:val="single" w:sz="6" w:space="0" w:color="auto"/>
              <w:bottom w:val="double" w:sz="6" w:space="0" w:color="auto"/>
              <w:right w:val="double" w:sz="6" w:space="0" w:color="auto"/>
            </w:tcBorders>
            <w:shd w:val="pct10" w:color="auto" w:fill="auto"/>
          </w:tcPr>
          <w:p w:rsidR="00F43C9B" w:rsidRPr="00AD2CF5" w:rsidRDefault="00F43C9B" w:rsidP="00F43C9B">
            <w:pPr>
              <w:shd w:val="clear" w:color="auto" w:fill="D9D9D9" w:themeFill="background1" w:themeFillShade="D9"/>
              <w:tabs>
                <w:tab w:val="left" w:pos="-7125"/>
                <w:tab w:val="left" w:pos="-6444"/>
                <w:tab w:val="left" w:pos="-5708"/>
                <w:tab w:val="left" w:pos="-4630"/>
              </w:tabs>
              <w:suppressAutoHyphens/>
              <w:spacing w:before="21" w:after="54" w:line="240" w:lineRule="auto"/>
              <w:rPr>
                <w:b/>
              </w:rPr>
            </w:pPr>
            <w:r w:rsidRPr="00AD2CF5">
              <w:rPr>
                <w:b/>
              </w:rPr>
              <w:t>4000</w:t>
            </w:r>
          </w:p>
        </w:tc>
      </w:tr>
      <w:tr w:rsidR="00F43C9B" w:rsidRPr="00AD2CF5" w:rsidTr="00F43C9B">
        <w:trPr>
          <w:trHeight w:hRule="exact" w:val="385"/>
        </w:trPr>
        <w:tc>
          <w:tcPr>
            <w:tcW w:w="1843" w:type="dxa"/>
            <w:tcBorders>
              <w:left w:val="double" w:sz="6" w:space="0" w:color="auto"/>
            </w:tcBorders>
          </w:tcPr>
          <w:p w:rsidR="00F43C9B" w:rsidRPr="00AD2CF5" w:rsidRDefault="00F43C9B" w:rsidP="00F43C9B">
            <w:pPr>
              <w:shd w:val="clear" w:color="auto" w:fill="D9D9D9" w:themeFill="background1" w:themeFillShade="D9"/>
              <w:tabs>
                <w:tab w:val="left" w:pos="-165"/>
                <w:tab w:val="left" w:pos="516"/>
                <w:tab w:val="left" w:pos="1252"/>
                <w:tab w:val="left" w:pos="2330"/>
              </w:tabs>
              <w:suppressAutoHyphens/>
              <w:spacing w:before="21" w:after="54" w:line="240" w:lineRule="auto"/>
              <w:rPr>
                <w:sz w:val="18"/>
              </w:rPr>
            </w:pPr>
            <w:r w:rsidRPr="00AD2CF5">
              <w:rPr>
                <w:i/>
                <w:sz w:val="18"/>
              </w:rPr>
              <w:t>j</w:t>
            </w:r>
            <w:r w:rsidRPr="00AD2CF5">
              <w:rPr>
                <w:sz w:val="18"/>
              </w:rPr>
              <w:t>=1</w:t>
            </w:r>
          </w:p>
        </w:tc>
        <w:tc>
          <w:tcPr>
            <w:tcW w:w="709" w:type="dxa"/>
            <w:tcBorders>
              <w:left w:val="single" w:sz="6" w:space="0" w:color="auto"/>
            </w:tcBorders>
          </w:tcPr>
          <w:p w:rsidR="00F43C9B" w:rsidRPr="00AD2CF5" w:rsidRDefault="00F43C9B" w:rsidP="00F43C9B">
            <w:pPr>
              <w:shd w:val="clear" w:color="auto" w:fill="D9D9D9" w:themeFill="background1" w:themeFillShade="D9"/>
              <w:tabs>
                <w:tab w:val="left" w:pos="-1035"/>
                <w:tab w:val="left" w:pos="-354"/>
                <w:tab w:val="left" w:pos="382"/>
                <w:tab w:val="left" w:pos="1460"/>
              </w:tabs>
              <w:suppressAutoHyphens/>
              <w:spacing w:before="21" w:after="54" w:line="240" w:lineRule="auto"/>
              <w:rPr>
                <w:sz w:val="18"/>
              </w:rPr>
            </w:pPr>
            <w:r w:rsidRPr="00AD2CF5">
              <w:rPr>
                <w:sz w:val="18"/>
              </w:rPr>
              <w:t>0.00452</w:t>
            </w:r>
          </w:p>
        </w:tc>
        <w:tc>
          <w:tcPr>
            <w:tcW w:w="709" w:type="dxa"/>
            <w:tcBorders>
              <w:left w:val="single" w:sz="6" w:space="0" w:color="auto"/>
            </w:tcBorders>
          </w:tcPr>
          <w:p w:rsidR="00F43C9B" w:rsidRPr="00AD2CF5" w:rsidRDefault="00F43C9B" w:rsidP="00F43C9B">
            <w:pPr>
              <w:shd w:val="clear" w:color="auto" w:fill="D9D9D9" w:themeFill="background1" w:themeFillShade="D9"/>
              <w:tabs>
                <w:tab w:val="left" w:pos="-1905"/>
                <w:tab w:val="left" w:pos="-1224"/>
                <w:tab w:val="left" w:pos="-488"/>
                <w:tab w:val="left" w:pos="590"/>
              </w:tabs>
              <w:suppressAutoHyphens/>
              <w:spacing w:before="21" w:after="54" w:line="240" w:lineRule="auto"/>
              <w:rPr>
                <w:sz w:val="18"/>
              </w:rPr>
            </w:pPr>
            <w:r w:rsidRPr="00AD2CF5">
              <w:rPr>
                <w:sz w:val="18"/>
              </w:rPr>
              <w:t>0.0179</w:t>
            </w:r>
          </w:p>
        </w:tc>
        <w:tc>
          <w:tcPr>
            <w:tcW w:w="708" w:type="dxa"/>
            <w:tcBorders>
              <w:left w:val="single" w:sz="6" w:space="0" w:color="auto"/>
            </w:tcBorders>
          </w:tcPr>
          <w:p w:rsidR="00F43C9B" w:rsidRPr="00AD2CF5" w:rsidRDefault="00F43C9B" w:rsidP="00F43C9B">
            <w:pPr>
              <w:shd w:val="clear" w:color="auto" w:fill="D9D9D9" w:themeFill="background1" w:themeFillShade="D9"/>
              <w:tabs>
                <w:tab w:val="left" w:pos="-2775"/>
                <w:tab w:val="left" w:pos="-2094"/>
                <w:tab w:val="left" w:pos="-1358"/>
                <w:tab w:val="left" w:pos="-280"/>
              </w:tabs>
              <w:suppressAutoHyphens/>
              <w:spacing w:before="21" w:after="54" w:line="240" w:lineRule="auto"/>
              <w:rPr>
                <w:sz w:val="18"/>
              </w:rPr>
            </w:pPr>
            <w:r w:rsidRPr="00AD2CF5">
              <w:rPr>
                <w:sz w:val="18"/>
              </w:rPr>
              <w:t>0.0669</w:t>
            </w:r>
          </w:p>
        </w:tc>
        <w:tc>
          <w:tcPr>
            <w:tcW w:w="591" w:type="dxa"/>
            <w:tcBorders>
              <w:left w:val="single" w:sz="6" w:space="0" w:color="auto"/>
            </w:tcBorders>
          </w:tcPr>
          <w:p w:rsidR="00F43C9B" w:rsidRPr="00AD2CF5" w:rsidRDefault="00F43C9B" w:rsidP="00F43C9B">
            <w:pPr>
              <w:shd w:val="clear" w:color="auto" w:fill="D9D9D9" w:themeFill="background1" w:themeFillShade="D9"/>
              <w:tabs>
                <w:tab w:val="left" w:pos="-3645"/>
                <w:tab w:val="left" w:pos="-2964"/>
                <w:tab w:val="left" w:pos="-2228"/>
                <w:tab w:val="left" w:pos="-1150"/>
              </w:tabs>
              <w:suppressAutoHyphens/>
              <w:spacing w:before="21" w:after="54" w:line="240" w:lineRule="auto"/>
              <w:rPr>
                <w:sz w:val="18"/>
              </w:rPr>
            </w:pPr>
            <w:r w:rsidRPr="00AD2CF5">
              <w:rPr>
                <w:sz w:val="18"/>
              </w:rPr>
              <w:t>0.254</w:t>
            </w:r>
          </w:p>
        </w:tc>
        <w:tc>
          <w:tcPr>
            <w:tcW w:w="543" w:type="dxa"/>
            <w:tcBorders>
              <w:left w:val="single" w:sz="6" w:space="0" w:color="auto"/>
            </w:tcBorders>
          </w:tcPr>
          <w:p w:rsidR="00F43C9B" w:rsidRPr="00AD2CF5" w:rsidRDefault="00F43C9B" w:rsidP="00F43C9B">
            <w:pPr>
              <w:shd w:val="clear" w:color="auto" w:fill="D9D9D9" w:themeFill="background1" w:themeFillShade="D9"/>
              <w:tabs>
                <w:tab w:val="left" w:pos="-4515"/>
                <w:tab w:val="left" w:pos="-3834"/>
                <w:tab w:val="left" w:pos="-3098"/>
                <w:tab w:val="left" w:pos="-2020"/>
              </w:tabs>
              <w:suppressAutoHyphens/>
              <w:spacing w:before="21" w:after="54" w:line="240" w:lineRule="auto"/>
              <w:rPr>
                <w:sz w:val="18"/>
              </w:rPr>
            </w:pPr>
            <w:r w:rsidRPr="00AD2CF5">
              <w:rPr>
                <w:sz w:val="18"/>
              </w:rPr>
              <w:t>0.764</w:t>
            </w:r>
          </w:p>
        </w:tc>
        <w:tc>
          <w:tcPr>
            <w:tcW w:w="567" w:type="dxa"/>
            <w:tcBorders>
              <w:left w:val="single" w:sz="6" w:space="0" w:color="auto"/>
            </w:tcBorders>
          </w:tcPr>
          <w:p w:rsidR="00F43C9B" w:rsidRPr="00AD2CF5" w:rsidRDefault="00F43C9B" w:rsidP="00F43C9B">
            <w:pPr>
              <w:shd w:val="clear" w:color="auto" w:fill="D9D9D9" w:themeFill="background1" w:themeFillShade="D9"/>
              <w:tabs>
                <w:tab w:val="left" w:pos="-5385"/>
                <w:tab w:val="left" w:pos="-4704"/>
                <w:tab w:val="left" w:pos="-3968"/>
                <w:tab w:val="left" w:pos="-2890"/>
              </w:tabs>
              <w:suppressAutoHyphens/>
              <w:spacing w:before="21" w:after="54" w:line="240" w:lineRule="auto"/>
              <w:rPr>
                <w:sz w:val="18"/>
              </w:rPr>
            </w:pPr>
            <w:r w:rsidRPr="00AD2CF5">
              <w:rPr>
                <w:sz w:val="18"/>
              </w:rPr>
              <w:t>1.63</w:t>
            </w:r>
          </w:p>
        </w:tc>
        <w:tc>
          <w:tcPr>
            <w:tcW w:w="567" w:type="dxa"/>
            <w:tcBorders>
              <w:left w:val="single" w:sz="6" w:space="0" w:color="auto"/>
            </w:tcBorders>
          </w:tcPr>
          <w:p w:rsidR="00F43C9B" w:rsidRPr="00AD2CF5" w:rsidRDefault="00F43C9B" w:rsidP="00F43C9B">
            <w:pPr>
              <w:shd w:val="clear" w:color="auto" w:fill="D9D9D9" w:themeFill="background1" w:themeFillShade="D9"/>
              <w:tabs>
                <w:tab w:val="left" w:pos="-6255"/>
                <w:tab w:val="left" w:pos="-5574"/>
                <w:tab w:val="left" w:pos="-4838"/>
                <w:tab w:val="left" w:pos="-3760"/>
              </w:tabs>
              <w:suppressAutoHyphens/>
              <w:spacing w:before="21" w:after="54" w:line="240" w:lineRule="auto"/>
              <w:rPr>
                <w:sz w:val="18"/>
              </w:rPr>
            </w:pPr>
            <w:r w:rsidRPr="00AD2CF5">
              <w:rPr>
                <w:sz w:val="18"/>
              </w:rPr>
              <w:t>2.86</w:t>
            </w:r>
          </w:p>
        </w:tc>
        <w:tc>
          <w:tcPr>
            <w:tcW w:w="567" w:type="dxa"/>
            <w:tcBorders>
              <w:left w:val="single" w:sz="6" w:space="0" w:color="auto"/>
            </w:tcBorders>
          </w:tcPr>
          <w:p w:rsidR="00F43C9B" w:rsidRPr="00AD2CF5" w:rsidRDefault="00F43C9B" w:rsidP="00F43C9B">
            <w:pPr>
              <w:shd w:val="clear" w:color="auto" w:fill="D9D9D9" w:themeFill="background1" w:themeFillShade="D9"/>
              <w:tabs>
                <w:tab w:val="left" w:pos="-7125"/>
                <w:tab w:val="left" w:pos="-6444"/>
                <w:tab w:val="left" w:pos="-5708"/>
                <w:tab w:val="left" w:pos="-4630"/>
              </w:tabs>
              <w:suppressAutoHyphens/>
              <w:spacing w:before="21" w:after="54" w:line="240" w:lineRule="auto"/>
              <w:rPr>
                <w:sz w:val="18"/>
              </w:rPr>
            </w:pPr>
            <w:r w:rsidRPr="00AD2CF5">
              <w:rPr>
                <w:sz w:val="18"/>
              </w:rPr>
              <w:t>6.23</w:t>
            </w:r>
          </w:p>
        </w:tc>
        <w:tc>
          <w:tcPr>
            <w:tcW w:w="707"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7125"/>
                <w:tab w:val="left" w:pos="-6444"/>
                <w:tab w:val="left" w:pos="-5708"/>
                <w:tab w:val="left" w:pos="-4630"/>
              </w:tabs>
              <w:suppressAutoHyphens/>
              <w:spacing w:before="21" w:after="54" w:line="240" w:lineRule="auto"/>
              <w:rPr>
                <w:sz w:val="18"/>
              </w:rPr>
            </w:pPr>
            <w:r w:rsidRPr="00AD2CF5">
              <w:rPr>
                <w:sz w:val="18"/>
              </w:rPr>
              <w:t>19.0</w:t>
            </w:r>
          </w:p>
        </w:tc>
      </w:tr>
      <w:tr w:rsidR="00F43C9B" w:rsidRPr="00AD2CF5" w:rsidTr="00F43C9B">
        <w:trPr>
          <w:trHeight w:hRule="exact" w:val="385"/>
        </w:trPr>
        <w:tc>
          <w:tcPr>
            <w:tcW w:w="1843" w:type="dxa"/>
            <w:tcBorders>
              <w:top w:val="single" w:sz="6" w:space="0" w:color="auto"/>
              <w:left w:val="double" w:sz="6" w:space="0" w:color="auto"/>
            </w:tcBorders>
          </w:tcPr>
          <w:p w:rsidR="00F43C9B" w:rsidRPr="00AD2CF5" w:rsidRDefault="00F43C9B" w:rsidP="00F43C9B">
            <w:pPr>
              <w:shd w:val="clear" w:color="auto" w:fill="D9D9D9" w:themeFill="background1" w:themeFillShade="D9"/>
              <w:tabs>
                <w:tab w:val="left" w:pos="-165"/>
                <w:tab w:val="left" w:pos="516"/>
                <w:tab w:val="left" w:pos="1252"/>
                <w:tab w:val="left" w:pos="2330"/>
              </w:tabs>
              <w:suppressAutoHyphens/>
              <w:spacing w:before="21" w:after="54" w:line="240" w:lineRule="auto"/>
              <w:rPr>
                <w:sz w:val="18"/>
              </w:rPr>
            </w:pPr>
            <w:r w:rsidRPr="00AD2CF5">
              <w:rPr>
                <w:i/>
                <w:sz w:val="18"/>
              </w:rPr>
              <w:t>j</w:t>
            </w:r>
            <w:r w:rsidRPr="00AD2CF5">
              <w:rPr>
                <w:sz w:val="18"/>
              </w:rPr>
              <w:t>=2</w:t>
            </w:r>
          </w:p>
        </w:tc>
        <w:tc>
          <w:tcPr>
            <w:tcW w:w="709"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035"/>
                <w:tab w:val="left" w:pos="-354"/>
                <w:tab w:val="left" w:pos="382"/>
                <w:tab w:val="left" w:pos="1460"/>
              </w:tabs>
              <w:suppressAutoHyphens/>
              <w:spacing w:before="21" w:after="54" w:line="240" w:lineRule="auto"/>
              <w:rPr>
                <w:sz w:val="18"/>
              </w:rPr>
            </w:pPr>
            <w:r w:rsidRPr="00AD2CF5">
              <w:rPr>
                <w:sz w:val="18"/>
              </w:rPr>
              <w:t>0.00715</w:t>
            </w:r>
          </w:p>
        </w:tc>
        <w:tc>
          <w:tcPr>
            <w:tcW w:w="709"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905"/>
                <w:tab w:val="left" w:pos="-1224"/>
                <w:tab w:val="left" w:pos="-488"/>
                <w:tab w:val="left" w:pos="590"/>
              </w:tabs>
              <w:suppressAutoHyphens/>
              <w:spacing w:before="21" w:after="54" w:line="240" w:lineRule="auto"/>
              <w:rPr>
                <w:sz w:val="18"/>
              </w:rPr>
            </w:pPr>
            <w:r w:rsidRPr="00AD2CF5">
              <w:rPr>
                <w:sz w:val="18"/>
              </w:rPr>
              <w:t>0.0282</w:t>
            </w:r>
          </w:p>
        </w:tc>
        <w:tc>
          <w:tcPr>
            <w:tcW w:w="708"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2775"/>
                <w:tab w:val="left" w:pos="-2094"/>
                <w:tab w:val="left" w:pos="-1358"/>
                <w:tab w:val="left" w:pos="-280"/>
              </w:tabs>
              <w:suppressAutoHyphens/>
              <w:spacing w:before="21" w:after="54" w:line="240" w:lineRule="auto"/>
              <w:rPr>
                <w:sz w:val="18"/>
              </w:rPr>
            </w:pPr>
            <w:r w:rsidRPr="00AD2CF5">
              <w:rPr>
                <w:sz w:val="18"/>
              </w:rPr>
              <w:t>0.108</w:t>
            </w:r>
          </w:p>
        </w:tc>
        <w:tc>
          <w:tcPr>
            <w:tcW w:w="591"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3645"/>
                <w:tab w:val="left" w:pos="-2964"/>
                <w:tab w:val="left" w:pos="-2228"/>
                <w:tab w:val="left" w:pos="-1150"/>
              </w:tabs>
              <w:suppressAutoHyphens/>
              <w:spacing w:before="21" w:after="54" w:line="240" w:lineRule="auto"/>
              <w:rPr>
                <w:sz w:val="18"/>
              </w:rPr>
            </w:pPr>
            <w:r w:rsidRPr="00AD2CF5">
              <w:rPr>
                <w:sz w:val="18"/>
              </w:rPr>
              <w:t>0.378</w:t>
            </w:r>
          </w:p>
        </w:tc>
        <w:tc>
          <w:tcPr>
            <w:tcW w:w="543"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4515"/>
                <w:tab w:val="left" w:pos="-3834"/>
                <w:tab w:val="left" w:pos="-3098"/>
                <w:tab w:val="left" w:pos="-2020"/>
              </w:tabs>
              <w:suppressAutoHyphens/>
              <w:spacing w:before="21" w:after="54" w:line="240" w:lineRule="auto"/>
              <w:rPr>
                <w:sz w:val="18"/>
              </w:rPr>
            </w:pPr>
            <w:r w:rsidRPr="00AD2CF5">
              <w:rPr>
                <w:sz w:val="18"/>
              </w:rPr>
              <w:t>1.02</w:t>
            </w:r>
          </w:p>
        </w:tc>
        <w:tc>
          <w:tcPr>
            <w:tcW w:w="567"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5385"/>
                <w:tab w:val="left" w:pos="-4704"/>
                <w:tab w:val="left" w:pos="-3968"/>
                <w:tab w:val="left" w:pos="-2890"/>
              </w:tabs>
              <w:suppressAutoHyphens/>
              <w:spacing w:before="21" w:after="54" w:line="240" w:lineRule="auto"/>
              <w:rPr>
                <w:sz w:val="18"/>
              </w:rPr>
            </w:pPr>
            <w:r w:rsidRPr="00AD2CF5">
              <w:rPr>
                <w:sz w:val="18"/>
              </w:rPr>
              <w:t>1.97</w:t>
            </w:r>
          </w:p>
        </w:tc>
        <w:tc>
          <w:tcPr>
            <w:tcW w:w="567"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6255"/>
                <w:tab w:val="left" w:pos="-5574"/>
                <w:tab w:val="left" w:pos="-4838"/>
                <w:tab w:val="left" w:pos="-3760"/>
              </w:tabs>
              <w:suppressAutoHyphens/>
              <w:spacing w:before="21" w:after="54" w:line="240" w:lineRule="auto"/>
              <w:rPr>
                <w:sz w:val="18"/>
              </w:rPr>
            </w:pPr>
            <w:r w:rsidRPr="00AD2CF5">
              <w:rPr>
                <w:sz w:val="18"/>
              </w:rPr>
              <w:t>3.57</w:t>
            </w:r>
          </w:p>
        </w:tc>
        <w:tc>
          <w:tcPr>
            <w:tcW w:w="567"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7125"/>
                <w:tab w:val="left" w:pos="-6444"/>
                <w:tab w:val="left" w:pos="-5708"/>
                <w:tab w:val="left" w:pos="-4630"/>
              </w:tabs>
              <w:suppressAutoHyphens/>
              <w:spacing w:before="21" w:after="54" w:line="240" w:lineRule="auto"/>
              <w:rPr>
                <w:sz w:val="18"/>
              </w:rPr>
            </w:pPr>
            <w:r w:rsidRPr="00AD2CF5">
              <w:rPr>
                <w:sz w:val="18"/>
              </w:rPr>
              <w:t>8.76</w:t>
            </w:r>
          </w:p>
        </w:tc>
        <w:tc>
          <w:tcPr>
            <w:tcW w:w="707" w:type="dxa"/>
            <w:tcBorders>
              <w:top w:val="single" w:sz="6"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7125"/>
                <w:tab w:val="left" w:pos="-6444"/>
                <w:tab w:val="left" w:pos="-5708"/>
                <w:tab w:val="left" w:pos="-4630"/>
              </w:tabs>
              <w:suppressAutoHyphens/>
              <w:spacing w:before="21" w:after="54" w:line="240" w:lineRule="auto"/>
              <w:rPr>
                <w:sz w:val="18"/>
              </w:rPr>
            </w:pPr>
            <w:r w:rsidRPr="00AD2CF5">
              <w:rPr>
                <w:sz w:val="18"/>
              </w:rPr>
              <w:t>28.7</w:t>
            </w:r>
          </w:p>
        </w:tc>
      </w:tr>
      <w:tr w:rsidR="00F43C9B" w:rsidRPr="00AD2CF5" w:rsidTr="00F43C9B">
        <w:trPr>
          <w:trHeight w:hRule="exact" w:val="331"/>
        </w:trPr>
        <w:tc>
          <w:tcPr>
            <w:tcW w:w="1843" w:type="dxa"/>
            <w:tcBorders>
              <w:top w:val="single" w:sz="6" w:space="0" w:color="auto"/>
              <w:left w:val="double" w:sz="6" w:space="0" w:color="auto"/>
              <w:bottom w:val="double" w:sz="6" w:space="0" w:color="auto"/>
            </w:tcBorders>
          </w:tcPr>
          <w:p w:rsidR="00F43C9B" w:rsidRPr="00AD2CF5" w:rsidRDefault="00F43C9B" w:rsidP="00F43C9B">
            <w:pPr>
              <w:shd w:val="clear" w:color="auto" w:fill="D9D9D9" w:themeFill="background1" w:themeFillShade="D9"/>
              <w:tabs>
                <w:tab w:val="left" w:pos="-165"/>
                <w:tab w:val="left" w:pos="516"/>
                <w:tab w:val="left" w:pos="1252"/>
                <w:tab w:val="left" w:pos="2330"/>
              </w:tabs>
              <w:suppressAutoHyphens/>
              <w:spacing w:before="21" w:after="54" w:line="240" w:lineRule="auto"/>
              <w:rPr>
                <w:sz w:val="18"/>
              </w:rPr>
            </w:pPr>
            <w:r w:rsidRPr="00AD2CF5">
              <w:rPr>
                <w:i/>
                <w:sz w:val="18"/>
              </w:rPr>
              <w:t>j</w:t>
            </w:r>
            <w:r w:rsidRPr="00AD2CF5">
              <w:rPr>
                <w:sz w:val="18"/>
              </w:rPr>
              <w:t>=3</w:t>
            </w:r>
          </w:p>
        </w:tc>
        <w:tc>
          <w:tcPr>
            <w:tcW w:w="709"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1035"/>
                <w:tab w:val="left" w:pos="-354"/>
                <w:tab w:val="left" w:pos="382"/>
                <w:tab w:val="left" w:pos="1460"/>
              </w:tabs>
              <w:suppressAutoHyphens/>
              <w:spacing w:before="21" w:after="54" w:line="240" w:lineRule="auto"/>
              <w:rPr>
                <w:sz w:val="18"/>
              </w:rPr>
            </w:pPr>
            <w:r w:rsidRPr="00AD2CF5">
              <w:rPr>
                <w:sz w:val="18"/>
              </w:rPr>
              <w:t>0.0113</w:t>
            </w:r>
          </w:p>
        </w:tc>
        <w:tc>
          <w:tcPr>
            <w:tcW w:w="709"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1905"/>
                <w:tab w:val="left" w:pos="-1224"/>
                <w:tab w:val="left" w:pos="-488"/>
                <w:tab w:val="left" w:pos="590"/>
              </w:tabs>
              <w:suppressAutoHyphens/>
              <w:spacing w:before="21" w:after="54" w:line="240" w:lineRule="auto"/>
              <w:rPr>
                <w:sz w:val="18"/>
              </w:rPr>
            </w:pPr>
            <w:r w:rsidRPr="00AD2CF5">
              <w:rPr>
                <w:sz w:val="18"/>
              </w:rPr>
              <w:t>0.0444</w:t>
            </w:r>
          </w:p>
        </w:tc>
        <w:tc>
          <w:tcPr>
            <w:tcW w:w="708"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2775"/>
                <w:tab w:val="left" w:pos="-2094"/>
                <w:tab w:val="left" w:pos="-1358"/>
                <w:tab w:val="left" w:pos="-280"/>
              </w:tabs>
              <w:suppressAutoHyphens/>
              <w:spacing w:before="21" w:after="54" w:line="240" w:lineRule="auto"/>
              <w:rPr>
                <w:sz w:val="18"/>
              </w:rPr>
            </w:pPr>
            <w:r w:rsidRPr="00AD2CF5">
              <w:rPr>
                <w:sz w:val="18"/>
              </w:rPr>
              <w:t>0.167</w:t>
            </w:r>
          </w:p>
        </w:tc>
        <w:tc>
          <w:tcPr>
            <w:tcW w:w="591"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3645"/>
                <w:tab w:val="left" w:pos="-2964"/>
                <w:tab w:val="left" w:pos="-2228"/>
                <w:tab w:val="left" w:pos="-1150"/>
              </w:tabs>
              <w:suppressAutoHyphens/>
              <w:spacing w:before="21" w:after="54" w:line="240" w:lineRule="auto"/>
              <w:rPr>
                <w:sz w:val="18"/>
              </w:rPr>
            </w:pPr>
            <w:r w:rsidRPr="00AD2CF5">
              <w:rPr>
                <w:sz w:val="18"/>
              </w:rPr>
              <w:t>0.547</w:t>
            </w:r>
          </w:p>
        </w:tc>
        <w:tc>
          <w:tcPr>
            <w:tcW w:w="543"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4515"/>
                <w:tab w:val="left" w:pos="-3834"/>
                <w:tab w:val="left" w:pos="-3098"/>
                <w:tab w:val="left" w:pos="-2020"/>
              </w:tabs>
              <w:suppressAutoHyphens/>
              <w:spacing w:before="21" w:after="54" w:line="240" w:lineRule="auto"/>
              <w:rPr>
                <w:sz w:val="18"/>
              </w:rPr>
            </w:pPr>
            <w:r w:rsidRPr="00AD2CF5">
              <w:rPr>
                <w:sz w:val="18"/>
              </w:rPr>
              <w:t>1.31</w:t>
            </w:r>
          </w:p>
        </w:tc>
        <w:tc>
          <w:tcPr>
            <w:tcW w:w="567"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5385"/>
                <w:tab w:val="left" w:pos="-4704"/>
                <w:tab w:val="left" w:pos="-3968"/>
                <w:tab w:val="left" w:pos="-2890"/>
              </w:tabs>
              <w:suppressAutoHyphens/>
              <w:spacing w:before="21" w:after="54" w:line="240" w:lineRule="auto"/>
              <w:rPr>
                <w:sz w:val="18"/>
              </w:rPr>
            </w:pPr>
            <w:r w:rsidRPr="00AD2CF5">
              <w:rPr>
                <w:sz w:val="18"/>
              </w:rPr>
              <w:t>2.36</w:t>
            </w:r>
          </w:p>
        </w:tc>
        <w:tc>
          <w:tcPr>
            <w:tcW w:w="567"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6255"/>
                <w:tab w:val="left" w:pos="-5574"/>
                <w:tab w:val="left" w:pos="-4838"/>
                <w:tab w:val="left" w:pos="-3760"/>
              </w:tabs>
              <w:suppressAutoHyphens/>
              <w:spacing w:before="21" w:after="54" w:line="240" w:lineRule="auto"/>
              <w:rPr>
                <w:sz w:val="18"/>
              </w:rPr>
            </w:pPr>
            <w:r w:rsidRPr="00AD2CF5">
              <w:rPr>
                <w:sz w:val="18"/>
              </w:rPr>
              <w:t>4.62</w:t>
            </w:r>
          </w:p>
        </w:tc>
        <w:tc>
          <w:tcPr>
            <w:tcW w:w="567" w:type="dxa"/>
            <w:tcBorders>
              <w:top w:val="single" w:sz="6" w:space="0" w:color="auto"/>
              <w:left w:val="single" w:sz="6" w:space="0" w:color="auto"/>
              <w:bottom w:val="double" w:sz="6" w:space="0" w:color="auto"/>
            </w:tcBorders>
          </w:tcPr>
          <w:p w:rsidR="00F43C9B" w:rsidRPr="00AD2CF5" w:rsidRDefault="00F43C9B" w:rsidP="00F43C9B">
            <w:pPr>
              <w:shd w:val="clear" w:color="auto" w:fill="D9D9D9" w:themeFill="background1" w:themeFillShade="D9"/>
              <w:tabs>
                <w:tab w:val="left" w:pos="-7125"/>
                <w:tab w:val="left" w:pos="-6444"/>
                <w:tab w:val="left" w:pos="-5708"/>
                <w:tab w:val="left" w:pos="-4630"/>
              </w:tabs>
              <w:suppressAutoHyphens/>
              <w:spacing w:before="21" w:after="54" w:line="240" w:lineRule="auto"/>
              <w:rPr>
                <w:sz w:val="18"/>
              </w:rPr>
            </w:pPr>
            <w:r w:rsidRPr="00AD2CF5">
              <w:rPr>
                <w:sz w:val="18"/>
              </w:rPr>
              <w:t>12.7</w:t>
            </w:r>
          </w:p>
        </w:tc>
        <w:tc>
          <w:tcPr>
            <w:tcW w:w="707" w:type="dxa"/>
            <w:tcBorders>
              <w:top w:val="single" w:sz="6" w:space="0" w:color="auto"/>
              <w:left w:val="single" w:sz="6" w:space="0" w:color="auto"/>
              <w:bottom w:val="double" w:sz="6" w:space="0" w:color="auto"/>
              <w:right w:val="double" w:sz="6" w:space="0" w:color="auto"/>
            </w:tcBorders>
          </w:tcPr>
          <w:p w:rsidR="00F43C9B" w:rsidRPr="00AD2CF5" w:rsidRDefault="00F43C9B" w:rsidP="00F43C9B">
            <w:pPr>
              <w:shd w:val="clear" w:color="auto" w:fill="D9D9D9" w:themeFill="background1" w:themeFillShade="D9"/>
              <w:tabs>
                <w:tab w:val="left" w:pos="-7125"/>
                <w:tab w:val="left" w:pos="-6444"/>
                <w:tab w:val="left" w:pos="-5708"/>
                <w:tab w:val="left" w:pos="-4630"/>
              </w:tabs>
              <w:suppressAutoHyphens/>
              <w:spacing w:before="21" w:after="54" w:line="240" w:lineRule="auto"/>
              <w:rPr>
                <w:sz w:val="18"/>
              </w:rPr>
            </w:pPr>
            <w:r w:rsidRPr="00AD2CF5">
              <w:rPr>
                <w:sz w:val="18"/>
              </w:rPr>
              <w:t>43.9</w:t>
            </w:r>
          </w:p>
        </w:tc>
      </w:tr>
    </w:tbl>
    <w:p w:rsidR="00F43C9B" w:rsidRPr="00AD2CF5" w:rsidRDefault="00C428B8" w:rsidP="00F43C9B">
      <w:pPr>
        <w:pStyle w:val="Kop3"/>
        <w:shd w:val="clear" w:color="auto" w:fill="D9D9D9" w:themeFill="background1" w:themeFillShade="D9"/>
      </w:pPr>
      <w:r>
        <w:fldChar w:fldCharType="begin"/>
      </w:r>
      <w:r>
        <w:instrText xml:space="preserve"> SEQ numchaplev1 \c \* MERGEFORMAT </w:instrText>
      </w:r>
      <w:r>
        <w:fldChar w:fldCharType="separate"/>
      </w:r>
      <w:bookmarkStart w:id="589" w:name="_Toc413945844"/>
      <w:bookmarkStart w:id="590" w:name="_Toc431375857"/>
      <w:r w:rsidR="00F43C9B" w:rsidRPr="00B15E90">
        <w:rPr>
          <w:noProof/>
        </w:rPr>
        <w:t>4</w:t>
      </w:r>
      <w:r>
        <w:rPr>
          <w:noProof/>
        </w:rPr>
        <w:fldChar w:fldCharType="end"/>
      </w:r>
      <w:r w:rsidR="00F43C9B" w:rsidRPr="00AD2CF5">
        <w:t>.</w:t>
      </w:r>
      <w:r>
        <w:fldChar w:fldCharType="begin"/>
      </w:r>
      <w:r>
        <w:instrText xml:space="preserve"> SEQ numchaplev2 \c \* MERGEFORMAT </w:instrText>
      </w:r>
      <w:r>
        <w:fldChar w:fldCharType="separate"/>
      </w:r>
      <w:r w:rsidR="00F43C9B" w:rsidRPr="00B15E90">
        <w:rPr>
          <w:noProof/>
        </w:rPr>
        <w:t>6</w:t>
      </w:r>
      <w:r>
        <w:rPr>
          <w:noProof/>
        </w:rPr>
        <w:fldChar w:fldCharType="end"/>
      </w:r>
      <w:r w:rsidR="00F43C9B" w:rsidRPr="00AD2CF5">
        <w:t>.</w:t>
      </w:r>
      <w:r>
        <w:fldChar w:fldCharType="begin"/>
      </w:r>
      <w:r>
        <w:instrText xml:space="preserve"> SEQ numchaplev3 \n \* MERGEFORMAT </w:instrText>
      </w:r>
      <w:r>
        <w:fldChar w:fldCharType="separate"/>
      </w:r>
      <w:r w:rsidR="00F43C9B" w:rsidRPr="00B15E90">
        <w:rPr>
          <w:noProof/>
        </w:rPr>
        <w:t>4</w:t>
      </w:r>
      <w:r>
        <w:rPr>
          <w:noProof/>
        </w:rPr>
        <w:fldChar w:fldCharType="end"/>
      </w:r>
      <w:r w:rsidR="00F43C9B" w:rsidRPr="00AD2CF5">
        <w:fldChar w:fldCharType="begin"/>
      </w:r>
      <w:r w:rsidR="00F43C9B" w:rsidRPr="00AD2CF5">
        <w:instrText xml:space="preserve"> SEQ numchaplev4 \r0\h \* MERGEFORMAT </w:instrText>
      </w:r>
      <w:r w:rsidR="00F43C9B" w:rsidRPr="00AD2CF5">
        <w:fldChar w:fldCharType="end"/>
      </w:r>
      <w:r w:rsidR="00F43C9B" w:rsidRPr="00AD2CF5">
        <w:tab/>
        <w:t>Bodemdemping</w:t>
      </w:r>
      <w:bookmarkEnd w:id="589"/>
      <w:bookmarkEnd w:id="590"/>
    </w:p>
    <w:p w:rsidR="00F43C9B" w:rsidRPr="00AD2CF5" w:rsidRDefault="00F43C9B" w:rsidP="00F43C9B">
      <w:pPr>
        <w:keepLines/>
        <w:shd w:val="clear" w:color="auto" w:fill="D9D9D9" w:themeFill="background1" w:themeFillShade="D9"/>
        <w:tabs>
          <w:tab w:val="left" w:pos="-108"/>
          <w:tab w:val="left" w:pos="573"/>
          <w:tab w:val="left" w:pos="1309"/>
          <w:tab w:val="left" w:pos="2387"/>
        </w:tabs>
        <w:suppressAutoHyphens/>
        <w:spacing w:line="240" w:lineRule="auto"/>
      </w:pPr>
      <w:bookmarkStart w:id="591" w:name="bodemdemping"/>
      <w:r w:rsidRPr="00AD2CF5">
        <w:t>In § 4.4.2 is omschreven hoe de bodemdemping</w:t>
      </w:r>
      <w:r w:rsidRPr="00AD2CF5">
        <w:fldChar w:fldCharType="begin"/>
      </w:r>
      <w:r w:rsidRPr="00AD2CF5">
        <w:instrText xml:space="preserve"> XE "bodemdemping" </w:instrText>
      </w:r>
      <w:r w:rsidRPr="00AD2CF5">
        <w:fldChar w:fldCharType="end"/>
      </w:r>
      <w:r w:rsidRPr="00AD2CF5">
        <w:t xml:space="preserve"> met behulp van het gegevensbestand</w:t>
      </w:r>
      <w:r w:rsidRPr="00AD2CF5">
        <w:fldChar w:fldCharType="begin"/>
      </w:r>
      <w:r w:rsidRPr="00AD2CF5">
        <w:instrText xml:space="preserve"> XE "gegevensbestand" </w:instrText>
      </w:r>
      <w:r w:rsidRPr="00AD2CF5">
        <w:fldChar w:fldCharType="end"/>
      </w:r>
      <w:r w:rsidRPr="00AD2CF5">
        <w:t xml:space="preserve"> bepaald moet worden. In deze paragraaf wordt beschreven hoe de bodemdemping bepaald moet worden als er verschillende bodemvlakken door het geluidpad worden doorsneden, welke invloed de turbulentie</w:t>
      </w:r>
      <w:r w:rsidRPr="00AD2CF5">
        <w:fldChar w:fldCharType="begin"/>
      </w:r>
      <w:r w:rsidRPr="00AD2CF5">
        <w:instrText xml:space="preserve"> XE "turbulentie" </w:instrText>
      </w:r>
      <w:r w:rsidRPr="00AD2CF5">
        <w:fldChar w:fldCharType="end"/>
      </w:r>
      <w:r w:rsidRPr="00AD2CF5">
        <w:t xml:space="preserve"> heeft op de bodemdemping en hoe de bodemdemping bepaald moet worden als er in het geluidpad afschermende obstakels zijn.</w:t>
      </w:r>
    </w:p>
    <w:p w:rsidR="00F43C9B" w:rsidRPr="00AD2CF5" w:rsidRDefault="00F43C9B" w:rsidP="00F43C9B">
      <w:pPr>
        <w:keepLines/>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keepLines/>
        <w:shd w:val="clear" w:color="auto" w:fill="D9D9D9" w:themeFill="background1" w:themeFillShade="D9"/>
        <w:tabs>
          <w:tab w:val="left" w:pos="-108"/>
          <w:tab w:val="left" w:pos="573"/>
          <w:tab w:val="left" w:pos="1309"/>
          <w:tab w:val="left" w:pos="2387"/>
        </w:tabs>
        <w:suppressAutoHyphens/>
        <w:spacing w:line="240" w:lineRule="auto"/>
      </w:pPr>
      <w:r w:rsidRPr="00AD2CF5">
        <w:t>De bodemdemping</w:t>
      </w:r>
      <w:r w:rsidRPr="00AD2CF5">
        <w:fldChar w:fldCharType="begin"/>
      </w:r>
      <w:r w:rsidRPr="00AD2CF5">
        <w:instrText xml:space="preserve"> XE "bodemdemping" </w:instrText>
      </w:r>
      <w:r w:rsidRPr="00AD2CF5">
        <w:fldChar w:fldCharType="end"/>
      </w:r>
      <w:r w:rsidRPr="00AD2CF5">
        <w:t xml:space="preserve"> is afhankelijk van:</w:t>
      </w:r>
    </w:p>
    <w:p w:rsidR="00F43C9B" w:rsidRPr="00AD2CF5" w:rsidRDefault="00F43C9B" w:rsidP="00EB7F6B">
      <w:pPr>
        <w:keepLines/>
        <w:numPr>
          <w:ilvl w:val="0"/>
          <w:numId w:val="9"/>
        </w:numPr>
        <w:shd w:val="clear" w:color="auto" w:fill="D9D9D9" w:themeFill="background1" w:themeFillShade="D9"/>
        <w:tabs>
          <w:tab w:val="left" w:pos="-108"/>
          <w:tab w:val="left" w:pos="573"/>
          <w:tab w:val="left" w:pos="1309"/>
          <w:tab w:val="left" w:pos="2387"/>
        </w:tabs>
        <w:suppressAutoHyphens/>
        <w:spacing w:line="240" w:lineRule="auto"/>
      </w:pPr>
      <w:r w:rsidRPr="00AD2CF5">
        <w:t xml:space="preserve">de horizontale afstand </w:t>
      </w:r>
      <w:r w:rsidRPr="00AD2CF5">
        <w:rPr>
          <w:i/>
          <w:iCs/>
        </w:rPr>
        <w:t xml:space="preserve">R </w:t>
      </w:r>
      <w:r w:rsidRPr="00AD2CF5">
        <w:t>tussen de bron (of spiegelbron) en rekenpunt;</w:t>
      </w:r>
    </w:p>
    <w:p w:rsidR="00F43C9B" w:rsidRPr="00AD2CF5" w:rsidRDefault="00F43C9B" w:rsidP="00EB7F6B">
      <w:pPr>
        <w:keepLines/>
        <w:numPr>
          <w:ilvl w:val="0"/>
          <w:numId w:val="9"/>
        </w:numPr>
        <w:shd w:val="clear" w:color="auto" w:fill="D9D9D9" w:themeFill="background1" w:themeFillShade="D9"/>
        <w:tabs>
          <w:tab w:val="left" w:pos="-108"/>
          <w:tab w:val="left" w:pos="573"/>
          <w:tab w:val="left" w:pos="1309"/>
          <w:tab w:val="left" w:pos="2387"/>
        </w:tabs>
        <w:suppressAutoHyphens/>
        <w:spacing w:line="240" w:lineRule="auto"/>
      </w:pPr>
      <w:r w:rsidRPr="00AD2CF5">
        <w:t>de akoestische bodemhardheid</w:t>
      </w:r>
      <w:r w:rsidRPr="00AD2CF5">
        <w:fldChar w:fldCharType="begin"/>
      </w:r>
      <w:r w:rsidRPr="00AD2CF5">
        <w:instrText xml:space="preserve"> XE "bodemhardheid" </w:instrText>
      </w:r>
      <w:r w:rsidRPr="00AD2CF5">
        <w:fldChar w:fldCharType="end"/>
      </w:r>
      <w:r w:rsidRPr="00AD2CF5">
        <w:t xml:space="preserve"> (aangegeven met index </w:t>
      </w:r>
      <w:r w:rsidRPr="00AD2CF5">
        <w:rPr>
          <w:i/>
        </w:rPr>
        <w:sym w:font="Symbol" w:char="F06E"/>
      </w:r>
      <w:r w:rsidRPr="00AD2CF5">
        <w:t>)</w:t>
      </w:r>
      <w:r w:rsidRPr="00AD2CF5">
        <w:rPr>
          <w:i/>
        </w:rPr>
        <w:t>.</w:t>
      </w:r>
      <w:r w:rsidRPr="00AD2CF5">
        <w:t xml:space="preserve"> In de methode worden drie bodemhardheden onderscheiden (zie § 4.5.2): </w:t>
      </w:r>
      <w:r w:rsidRPr="00AD2CF5">
        <w:rPr>
          <w:i/>
        </w:rPr>
        <w:t>v</w:t>
      </w:r>
      <w:r w:rsidRPr="00AD2CF5">
        <w:t>=</w:t>
      </w:r>
      <w:r w:rsidRPr="00AD2CF5">
        <w:rPr>
          <w:i/>
        </w:rPr>
        <w:t>z</w:t>
      </w:r>
      <w:r w:rsidRPr="00AD2CF5">
        <w:t xml:space="preserve"> voor een zeer absorberende bodem, </w:t>
      </w:r>
      <w:r w:rsidRPr="00AD2CF5">
        <w:rPr>
          <w:i/>
        </w:rPr>
        <w:t>v</w:t>
      </w:r>
      <w:r w:rsidRPr="00AD2CF5">
        <w:t>=</w:t>
      </w:r>
      <w:r w:rsidRPr="00AD2CF5">
        <w:rPr>
          <w:i/>
        </w:rPr>
        <w:t>a</w:t>
      </w:r>
      <w:r w:rsidRPr="00AD2CF5">
        <w:t xml:space="preserve"> voor een absorberende bodem en </w:t>
      </w:r>
      <w:r w:rsidRPr="00AD2CF5">
        <w:rPr>
          <w:i/>
        </w:rPr>
        <w:t>v</w:t>
      </w:r>
      <w:r w:rsidRPr="00AD2CF5">
        <w:t>=</w:t>
      </w:r>
      <w:r w:rsidRPr="00AD2CF5">
        <w:rPr>
          <w:i/>
        </w:rPr>
        <w:t>h</w:t>
      </w:r>
      <w:r w:rsidRPr="00AD2CF5">
        <w:t xml:space="preserve"> voor een harde bodem;</w:t>
      </w:r>
    </w:p>
    <w:p w:rsidR="00F43C9B" w:rsidRPr="00AD2CF5" w:rsidRDefault="00F43C9B" w:rsidP="00EB7F6B">
      <w:pPr>
        <w:keepLines/>
        <w:numPr>
          <w:ilvl w:val="0"/>
          <w:numId w:val="9"/>
        </w:numPr>
        <w:shd w:val="clear" w:color="auto" w:fill="D9D9D9" w:themeFill="background1" w:themeFillShade="D9"/>
        <w:tabs>
          <w:tab w:val="left" w:pos="-108"/>
          <w:tab w:val="left" w:pos="573"/>
          <w:tab w:val="left" w:pos="1309"/>
          <w:tab w:val="left" w:pos="2387"/>
        </w:tabs>
        <w:suppressAutoHyphens/>
        <w:spacing w:line="240" w:lineRule="auto"/>
      </w:pPr>
      <w:r w:rsidRPr="00AD2CF5">
        <w:t>de frequentie</w:t>
      </w:r>
      <w:r w:rsidRPr="00AD2CF5">
        <w:fldChar w:fldCharType="begin"/>
      </w:r>
      <w:r w:rsidRPr="00AD2CF5">
        <w:instrText xml:space="preserve"> XE "</w:instrText>
      </w:r>
      <w:r w:rsidRPr="00AD2CF5">
        <w:rPr>
          <w:lang w:val="en-US"/>
        </w:rPr>
        <w:instrText>frequentie"</w:instrText>
      </w:r>
      <w:r w:rsidRPr="00AD2CF5">
        <w:instrText xml:space="preserve"> </w:instrText>
      </w:r>
      <w:r w:rsidRPr="00AD2CF5">
        <w:fldChar w:fldCharType="end"/>
      </w:r>
      <w:r w:rsidRPr="00AD2CF5">
        <w:t>;</w:t>
      </w:r>
    </w:p>
    <w:p w:rsidR="00F43C9B" w:rsidRPr="00AD2CF5" w:rsidRDefault="00F43C9B" w:rsidP="00EB7F6B">
      <w:pPr>
        <w:keepLines/>
        <w:numPr>
          <w:ilvl w:val="0"/>
          <w:numId w:val="9"/>
        </w:numPr>
        <w:shd w:val="clear" w:color="auto" w:fill="D9D9D9" w:themeFill="background1" w:themeFillShade="D9"/>
        <w:tabs>
          <w:tab w:val="left" w:pos="-108"/>
          <w:tab w:val="left" w:pos="573"/>
          <w:tab w:val="left" w:pos="1309"/>
          <w:tab w:val="left" w:pos="2387"/>
        </w:tabs>
        <w:suppressAutoHyphens/>
        <w:spacing w:line="240" w:lineRule="auto"/>
      </w:pPr>
      <w:r w:rsidRPr="00AD2CF5">
        <w:t>de hoogtes van bron- en rekenpunt;</w:t>
      </w:r>
    </w:p>
    <w:p w:rsidR="00F43C9B" w:rsidRPr="00AD2CF5" w:rsidRDefault="00F43C9B" w:rsidP="00EB7F6B">
      <w:pPr>
        <w:keepLines/>
        <w:numPr>
          <w:ilvl w:val="0"/>
          <w:numId w:val="9"/>
        </w:numPr>
        <w:shd w:val="clear" w:color="auto" w:fill="D9D9D9" w:themeFill="background1" w:themeFillShade="D9"/>
        <w:tabs>
          <w:tab w:val="left" w:pos="-108"/>
          <w:tab w:val="left" w:pos="573"/>
          <w:tab w:val="left" w:pos="1309"/>
          <w:tab w:val="left" w:pos="2387"/>
        </w:tabs>
        <w:suppressAutoHyphens/>
        <w:spacing w:line="240" w:lineRule="auto"/>
      </w:pPr>
      <w:r w:rsidRPr="00AD2CF5">
        <w:t>de meteorologische klasse</w:t>
      </w:r>
      <w:r w:rsidRPr="00AD2CF5">
        <w:fldChar w:fldCharType="begin"/>
      </w:r>
      <w:r w:rsidRPr="00AD2CF5">
        <w:instrText xml:space="preserve"> XE "meteorologische klasse" </w:instrText>
      </w:r>
      <w:r w:rsidRPr="00AD2CF5">
        <w:fldChar w:fldCharType="end"/>
      </w:r>
      <w:r w:rsidRPr="00AD2CF5">
        <w:t>.</w:t>
      </w:r>
    </w:p>
    <w:p w:rsidR="00F43C9B" w:rsidRPr="00AD2CF5" w:rsidRDefault="00F43C9B" w:rsidP="00F43C9B">
      <w:pPr>
        <w:pStyle w:val="Inhopg1"/>
        <w:keepLines/>
        <w:shd w:val="clear" w:color="auto" w:fill="D9D9D9" w:themeFill="background1" w:themeFillShade="D9"/>
        <w:tabs>
          <w:tab w:val="left" w:pos="-108"/>
          <w:tab w:val="left" w:pos="573"/>
          <w:tab w:val="left" w:pos="1309"/>
          <w:tab w:val="left" w:pos="2387"/>
        </w:tabs>
        <w:suppressAutoHyphens/>
        <w:spacing w:after="0" w:line="240" w:lineRule="auto"/>
      </w:pPr>
    </w:p>
    <w:p w:rsidR="00F43C9B" w:rsidRPr="00AD2CF5" w:rsidRDefault="00F43C9B" w:rsidP="00F43C9B">
      <w:pPr>
        <w:keepLines/>
        <w:shd w:val="clear" w:color="auto" w:fill="D9D9D9" w:themeFill="background1" w:themeFillShade="D9"/>
        <w:tabs>
          <w:tab w:val="left" w:pos="-108"/>
          <w:tab w:val="left" w:pos="573"/>
          <w:tab w:val="left" w:pos="1309"/>
          <w:tab w:val="left" w:pos="2387"/>
        </w:tabs>
        <w:suppressAutoHyphens/>
        <w:spacing w:line="240" w:lineRule="auto"/>
      </w:pPr>
      <w:r w:rsidRPr="00AD2CF5">
        <w:t xml:space="preserve">In deze paragraaf geven we alleen de eerste twee parameters expliciet aan als argumenten van </w:t>
      </w:r>
      <w:r w:rsidRPr="00AD2CF5">
        <w:rPr>
          <w:i/>
        </w:rPr>
        <w:t>D</w:t>
      </w:r>
      <w:r w:rsidRPr="00AD2CF5">
        <w:rPr>
          <w:i/>
          <w:vertAlign w:val="subscript"/>
        </w:rPr>
        <w:t>bodem</w:t>
      </w:r>
      <w:r w:rsidRPr="00AD2CF5">
        <w:t>:</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28"/>
        </w:rPr>
        <w:object w:dxaOrig="3519" w:dyaOrig="680">
          <v:shape id="_x0000_i1094" type="#_x0000_t75" style="width:176.25pt;height:34.5pt" o:ole="" fillcolor="window">
            <v:imagedata r:id="rId223" o:title=""/>
          </v:shape>
          <o:OLEObject Type="Embed" ProgID="Equation.3" ShapeID="_x0000_i1094" DrawAspect="Content" ObjectID="_1511255432" r:id="rId224"/>
        </w:object>
      </w:r>
      <w:r w:rsidRPr="00AD2CF5">
        <w:rPr>
          <w:rStyle w:val="EquationCaption"/>
          <w:lang w:val="nl-NL"/>
        </w:rPr>
        <w:tab/>
      </w:r>
      <w:r w:rsidRPr="00AD2CF5">
        <w:rPr>
          <w:lang w:val="nl-NL"/>
        </w:rPr>
        <w:t>(4. 31)</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 xml:space="preserve">met </w:t>
      </w:r>
      <w:r w:rsidRPr="00AD2CF5">
        <w:rPr>
          <w:i/>
        </w:rPr>
        <w:t>c</w:t>
      </w:r>
      <w:r w:rsidRPr="00AD2CF5">
        <w:rPr>
          <w:i/>
          <w:vertAlign w:val="subscript"/>
        </w:rPr>
        <w:t>k</w:t>
      </w:r>
      <w:r w:rsidRPr="00AD2CF5">
        <w:rPr>
          <w:i/>
        </w:rPr>
        <w:t>(</w:t>
      </w:r>
      <w:r w:rsidRPr="00AD2CF5">
        <w:rPr>
          <w:i/>
        </w:rPr>
        <w:sym w:font="Symbol" w:char="F06E"/>
      </w:r>
      <w:r w:rsidRPr="00AD2CF5">
        <w:rPr>
          <w:i/>
        </w:rPr>
        <w:t>)</w:t>
      </w:r>
      <w:r w:rsidRPr="00AD2CF5">
        <w:t xml:space="preserve"> de coëfficiënten van het polynoom.</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rPr>
          <w:i/>
        </w:rPr>
      </w:pPr>
      <w:r w:rsidRPr="00AD2CF5">
        <w:rPr>
          <w:i/>
        </w:rPr>
        <w:t>Meer dan één bodemvlak</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Indien onder het geluidpad bodemtypen liggen met verschillende bodemhardheid</w:t>
      </w:r>
      <w:r w:rsidRPr="00AD2CF5">
        <w:fldChar w:fldCharType="begin"/>
      </w:r>
      <w:r w:rsidRPr="00AD2CF5">
        <w:instrText xml:space="preserve"> XE "bodemhardheid" </w:instrText>
      </w:r>
      <w:r w:rsidRPr="00AD2CF5">
        <w:fldChar w:fldCharType="end"/>
      </w:r>
      <w:r w:rsidRPr="00AD2CF5">
        <w:t xml:space="preserve"> worden voor mee- en tegenwindsituaties verschillende procedures toegepast.</w:t>
      </w:r>
    </w:p>
    <w:p w:rsidR="00F43C9B" w:rsidRPr="00AD2CF5" w:rsidRDefault="00F43C9B" w:rsidP="00F43C9B">
      <w:pPr>
        <w:pStyle w:val="Inhopg1"/>
        <w:shd w:val="clear" w:color="auto" w:fill="D9D9D9" w:themeFill="background1" w:themeFillShade="D9"/>
        <w:tabs>
          <w:tab w:val="left" w:pos="-108"/>
          <w:tab w:val="left" w:pos="573"/>
          <w:tab w:val="left" w:pos="1309"/>
          <w:tab w:val="left" w:pos="2387"/>
        </w:tabs>
        <w:suppressAutoHyphens/>
        <w:spacing w:after="0" w:line="240" w:lineRule="auto"/>
      </w:pPr>
    </w:p>
    <w:p w:rsidR="00F43C9B" w:rsidRPr="00AD2CF5" w:rsidRDefault="00F43C9B" w:rsidP="00EB7F6B">
      <w:pPr>
        <w:numPr>
          <w:ilvl w:val="0"/>
          <w:numId w:val="11"/>
        </w:numPr>
        <w:shd w:val="clear" w:color="auto" w:fill="D9D9D9" w:themeFill="background1" w:themeFillShade="D9"/>
        <w:tabs>
          <w:tab w:val="clear" w:pos="360"/>
        </w:tabs>
        <w:spacing w:line="280" w:lineRule="exact"/>
        <w:ind w:left="567" w:hanging="567"/>
        <w:rPr>
          <w:lang w:val="fr-FR"/>
        </w:rPr>
      </w:pPr>
      <w:r w:rsidRPr="00AD2CF5">
        <w:rPr>
          <w:b/>
          <w:lang w:val="fr-FR"/>
        </w:rPr>
        <w:t xml:space="preserve">Meewindsituaties </w:t>
      </w:r>
      <w:r w:rsidRPr="00AD2CF5">
        <w:rPr>
          <w:lang w:val="fr-FR"/>
        </w:rPr>
        <w:t>(profielnrs. 4 t/m 7, 12 t/m 18 en 22 t/m 27)</w:t>
      </w:r>
    </w:p>
    <w:p w:rsidR="00F43C9B" w:rsidRPr="00AD2CF5" w:rsidRDefault="00F43C9B" w:rsidP="00F43C9B">
      <w:pPr>
        <w:shd w:val="clear" w:color="auto" w:fill="D9D9D9" w:themeFill="background1" w:themeFillShade="D9"/>
        <w:tabs>
          <w:tab w:val="left" w:pos="573"/>
          <w:tab w:val="left" w:pos="1309"/>
          <w:tab w:val="left" w:pos="2387"/>
        </w:tabs>
        <w:suppressAutoHyphens/>
        <w:spacing w:line="240" w:lineRule="auto"/>
        <w:ind w:left="567"/>
      </w:pPr>
      <w:r w:rsidRPr="00AD2CF5">
        <w:t>Om de bodemdemping</w:t>
      </w:r>
      <w:r w:rsidRPr="00AD2CF5">
        <w:fldChar w:fldCharType="begin"/>
      </w:r>
      <w:r w:rsidRPr="00AD2CF5">
        <w:instrText xml:space="preserve"> XE "bodemdemping" </w:instrText>
      </w:r>
      <w:r w:rsidRPr="00AD2CF5">
        <w:fldChar w:fldCharType="end"/>
      </w:r>
      <w:r w:rsidRPr="00AD2CF5">
        <w:t xml:space="preserve"> voor meer dan één bodemvlak te bepalen worden voor de meewindsituaties eerst de horizontale afstanden (</w:t>
      </w:r>
      <w:r w:rsidRPr="00AD2CF5">
        <w:rPr>
          <w:i/>
        </w:rPr>
        <w:t>s</w:t>
      </w:r>
      <w:r w:rsidRPr="00AD2CF5">
        <w:rPr>
          <w:i/>
          <w:vertAlign w:val="subscript"/>
        </w:rPr>
        <w:t>v</w:t>
      </w:r>
      <w:r w:rsidRPr="00AD2CF5">
        <w:t>) bepaald, waarover het geluidpad door de verschillende bodemgebieden loopt. Voor elke bodemhardheid</w:t>
      </w:r>
      <w:r w:rsidRPr="00AD2CF5">
        <w:fldChar w:fldCharType="begin"/>
      </w:r>
      <w:r w:rsidRPr="00AD2CF5">
        <w:instrText xml:space="preserve"> XE "bodemhardheid" </w:instrText>
      </w:r>
      <w:r w:rsidRPr="00AD2CF5">
        <w:fldChar w:fldCharType="end"/>
      </w:r>
      <w:r w:rsidRPr="00AD2CF5">
        <w:t xml:space="preserve"> worden deze afstanden opgeteld.</w:t>
      </w:r>
    </w:p>
    <w:p w:rsidR="00F43C9B" w:rsidRPr="00AD2CF5" w:rsidRDefault="00F43C9B" w:rsidP="00F43C9B">
      <w:pPr>
        <w:pStyle w:val="Bijschrift"/>
        <w:shd w:val="clear" w:color="auto" w:fill="D9D9D9" w:themeFill="background1" w:themeFillShade="D9"/>
        <w:tabs>
          <w:tab w:val="left" w:pos="1134"/>
          <w:tab w:val="right" w:pos="7371"/>
        </w:tabs>
        <w:rPr>
          <w:rStyle w:val="EquationCaption"/>
          <w:lang w:val="nl-NL"/>
        </w:rPr>
      </w:pPr>
      <w:r w:rsidRPr="00AD2CF5">
        <w:rPr>
          <w:position w:val="-30"/>
        </w:rPr>
        <w:object w:dxaOrig="2320" w:dyaOrig="720">
          <v:shape id="_x0000_i1095" type="#_x0000_t75" style="width:115.5pt;height:37.5pt" o:ole="" fillcolor="window">
            <v:imagedata r:id="rId225" o:title=""/>
          </v:shape>
          <o:OLEObject Type="Embed" ProgID="Equation.3" ShapeID="_x0000_i1095" DrawAspect="Content" ObjectID="_1511255433" r:id="rId226"/>
        </w:object>
      </w:r>
      <w:r w:rsidRPr="00AD2CF5">
        <w:rPr>
          <w:lang w:val="nl-NL"/>
        </w:rPr>
        <w:tab/>
        <w:t>(4. 32)</w:t>
      </w:r>
    </w:p>
    <w:p w:rsidR="00F43C9B" w:rsidRPr="00AD2CF5" w:rsidRDefault="00F43C9B" w:rsidP="00F43C9B">
      <w:pPr>
        <w:shd w:val="clear" w:color="auto" w:fill="D9D9D9" w:themeFill="background1" w:themeFillShade="D9"/>
        <w:tabs>
          <w:tab w:val="left" w:pos="-108"/>
          <w:tab w:val="left" w:pos="1134"/>
        </w:tabs>
        <w:suppressAutoHyphens/>
        <w:spacing w:line="240" w:lineRule="auto"/>
      </w:pPr>
      <w:r w:rsidRPr="00AD2CF5">
        <w:t>waarin:</w:t>
      </w:r>
    </w:p>
    <w:p w:rsidR="00F43C9B" w:rsidRPr="00AD2CF5" w:rsidRDefault="00F43C9B" w:rsidP="00F43C9B">
      <w:pPr>
        <w:shd w:val="clear" w:color="auto" w:fill="D9D9D9" w:themeFill="background1" w:themeFillShade="D9"/>
        <w:tabs>
          <w:tab w:val="left" w:pos="-108"/>
          <w:tab w:val="left" w:pos="1134"/>
        </w:tabs>
        <w:suppressAutoHyphens/>
        <w:spacing w:line="240" w:lineRule="auto"/>
        <w:ind w:left="2386" w:hanging="2386"/>
      </w:pPr>
      <w:r w:rsidRPr="00AD2CF5">
        <w:rPr>
          <w:i/>
        </w:rPr>
        <w:t>N</w:t>
      </w:r>
      <w:r w:rsidRPr="00AD2CF5">
        <w:rPr>
          <w:i/>
          <w:vertAlign w:val="subscript"/>
        </w:rPr>
        <w:t>v</w:t>
      </w:r>
      <w:r w:rsidRPr="00AD2CF5">
        <w:rPr>
          <w:i/>
        </w:rPr>
        <w:tab/>
      </w:r>
      <w:r w:rsidRPr="00AD2CF5">
        <w:t>aantal gebieden dat door het geluidpad wordt doorkruist met respectievelijk een zeer absorberende (</w:t>
      </w:r>
      <w:r w:rsidRPr="00AD2CF5">
        <w:rPr>
          <w:i/>
        </w:rPr>
        <w:t>v=z</w:t>
      </w:r>
      <w:r w:rsidRPr="00AD2CF5">
        <w:t>), een absorberende (</w:t>
      </w:r>
      <w:r w:rsidRPr="00AD2CF5">
        <w:rPr>
          <w:i/>
        </w:rPr>
        <w:t>v=a</w:t>
      </w:r>
      <w:r w:rsidRPr="00AD2CF5">
        <w:t>) en een harde bodem (</w:t>
      </w:r>
      <w:r w:rsidRPr="00AD2CF5">
        <w:rPr>
          <w:i/>
        </w:rPr>
        <w:t>v=h</w:t>
      </w:r>
      <w:r w:rsidRPr="00AD2CF5">
        <w:t>);</w:t>
      </w:r>
    </w:p>
    <w:p w:rsidR="00F43C9B" w:rsidRPr="00AD2CF5" w:rsidRDefault="00F43C9B" w:rsidP="00F43C9B">
      <w:pPr>
        <w:shd w:val="clear" w:color="auto" w:fill="D9D9D9" w:themeFill="background1" w:themeFillShade="D9"/>
        <w:tabs>
          <w:tab w:val="left" w:pos="-108"/>
          <w:tab w:val="left" w:pos="1134"/>
          <w:tab w:val="left" w:pos="2387"/>
        </w:tabs>
        <w:suppressAutoHyphens/>
        <w:spacing w:line="240" w:lineRule="auto"/>
        <w:ind w:left="2386" w:hanging="2386"/>
      </w:pPr>
      <w:r w:rsidRPr="00AD2CF5">
        <w:rPr>
          <w:i/>
        </w:rPr>
        <w:t>r</w:t>
      </w:r>
      <w:r w:rsidRPr="00AD2CF5">
        <w:rPr>
          <w:i/>
          <w:vertAlign w:val="subscript"/>
        </w:rPr>
        <w:t>min,j,v</w:t>
      </w:r>
      <w:r w:rsidRPr="00AD2CF5">
        <w:rPr>
          <w:i/>
        </w:rPr>
        <w:t>, r</w:t>
      </w:r>
      <w:r w:rsidRPr="00AD2CF5">
        <w:rPr>
          <w:i/>
          <w:vertAlign w:val="subscript"/>
        </w:rPr>
        <w:t>max,j,v</w:t>
      </w:r>
      <w:r w:rsidRPr="00AD2CF5">
        <w:tab/>
        <w:t xml:space="preserve">minimale en maximale horizontale afstand van bron tot de grens van deelgebied </w:t>
      </w:r>
      <w:r w:rsidRPr="00AD2CF5">
        <w:rPr>
          <w:i/>
          <w:iCs/>
        </w:rPr>
        <w:t>j</w:t>
      </w:r>
      <w:r w:rsidRPr="00AD2CF5">
        <w:t xml:space="preserve"> gemeten langs het geluidpad voor een bodemgebied met hardheid </w:t>
      </w:r>
      <w:r w:rsidRPr="00AD2CF5">
        <w:rPr>
          <w:i/>
        </w:rPr>
        <w:t>v</w:t>
      </w:r>
      <w:r w:rsidRPr="00AD2CF5">
        <w:t xml:space="preserve"> (zie hierboven).</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309"/>
          <w:tab w:val="left" w:pos="2387"/>
        </w:tabs>
        <w:suppressAutoHyphens/>
        <w:spacing w:line="240" w:lineRule="auto"/>
        <w:ind w:left="567"/>
      </w:pPr>
      <w:r w:rsidRPr="00AD2CF5">
        <w:br w:type="page"/>
        <w:t>De bodemdemping</w:t>
      </w:r>
      <w:r w:rsidRPr="00AD2CF5">
        <w:fldChar w:fldCharType="begin"/>
      </w:r>
      <w:r w:rsidRPr="00AD2CF5">
        <w:instrText xml:space="preserve"> XE "bodemdemping" </w:instrText>
      </w:r>
      <w:r w:rsidRPr="00AD2CF5">
        <w:fldChar w:fldCharType="end"/>
      </w:r>
      <w:r w:rsidRPr="00AD2CF5">
        <w:t xml:space="preserve"> voor een meewindsituatie wordt vervolgens bepaald door de volgende formule:</w:t>
      </w:r>
    </w:p>
    <w:p w:rsidR="00F43C9B" w:rsidRPr="00AD2CF5" w:rsidRDefault="00F43C9B" w:rsidP="00F43C9B">
      <w:pPr>
        <w:pStyle w:val="Bijschrift"/>
        <w:shd w:val="clear" w:color="auto" w:fill="D9D9D9" w:themeFill="background1" w:themeFillShade="D9"/>
        <w:tabs>
          <w:tab w:val="left" w:pos="1134"/>
          <w:tab w:val="right" w:pos="7371"/>
        </w:tabs>
        <w:rPr>
          <w:rStyle w:val="EquationCaption"/>
        </w:rPr>
      </w:pPr>
      <w:r w:rsidRPr="00AD2CF5">
        <w:rPr>
          <w:position w:val="-58"/>
        </w:rPr>
        <w:object w:dxaOrig="5280" w:dyaOrig="1300">
          <v:shape id="_x0000_i1096" type="#_x0000_t75" style="width:262.5pt;height:64.5pt" o:ole="" fillcolor="window">
            <v:imagedata r:id="rId227" o:title=""/>
          </v:shape>
          <o:OLEObject Type="Embed" ProgID="Equation.3" ShapeID="_x0000_i1096" DrawAspect="Content" ObjectID="_1511255434" r:id="rId228"/>
        </w:object>
      </w:r>
      <w:r w:rsidRPr="00AD2CF5">
        <w:rPr>
          <w:rStyle w:val="EquationCaption"/>
        </w:rPr>
        <w:tab/>
      </w:r>
      <w:r w:rsidRPr="00AD2CF5">
        <w:t>(4. 33)</w:t>
      </w:r>
    </w:p>
    <w:p w:rsidR="00F43C9B" w:rsidRPr="00AD2CF5" w:rsidRDefault="00F43C9B" w:rsidP="00EB7F6B">
      <w:pPr>
        <w:numPr>
          <w:ilvl w:val="0"/>
          <w:numId w:val="12"/>
        </w:numPr>
        <w:shd w:val="clear" w:color="auto" w:fill="D9D9D9" w:themeFill="background1" w:themeFillShade="D9"/>
        <w:tabs>
          <w:tab w:val="clear" w:pos="360"/>
          <w:tab w:val="left" w:pos="-108"/>
          <w:tab w:val="left" w:pos="573"/>
          <w:tab w:val="left" w:pos="1309"/>
          <w:tab w:val="left" w:pos="2387"/>
        </w:tabs>
        <w:suppressAutoHyphens/>
        <w:spacing w:line="240" w:lineRule="auto"/>
        <w:ind w:left="567" w:hanging="567"/>
      </w:pPr>
      <w:r w:rsidRPr="00AD2CF5">
        <w:rPr>
          <w:b/>
        </w:rPr>
        <w:t xml:space="preserve">Tegenwindsituaties </w:t>
      </w:r>
      <w:r w:rsidRPr="00AD2CF5">
        <w:t>(profielnrs. 1 t/m 3, 8 t/m 10 en 19 t/m 21)</w:t>
      </w:r>
    </w:p>
    <w:p w:rsidR="00F43C9B" w:rsidRPr="00AD2CF5" w:rsidRDefault="00F43C9B" w:rsidP="00F43C9B">
      <w:pPr>
        <w:shd w:val="clear" w:color="auto" w:fill="D9D9D9" w:themeFill="background1" w:themeFillShade="D9"/>
        <w:tabs>
          <w:tab w:val="left" w:pos="573"/>
          <w:tab w:val="left" w:pos="1309"/>
          <w:tab w:val="left" w:pos="2387"/>
        </w:tabs>
        <w:suppressAutoHyphens/>
        <w:spacing w:line="240" w:lineRule="auto"/>
        <w:ind w:left="567"/>
      </w:pPr>
      <w:r w:rsidRPr="00AD2CF5">
        <w:t>Voor de bodemdemping</w:t>
      </w:r>
      <w:r w:rsidRPr="00AD2CF5">
        <w:fldChar w:fldCharType="begin"/>
      </w:r>
      <w:r w:rsidRPr="00AD2CF5">
        <w:instrText xml:space="preserve"> XE "bodemdemping" </w:instrText>
      </w:r>
      <w:r w:rsidRPr="00AD2CF5">
        <w:fldChar w:fldCharType="end"/>
      </w:r>
      <w:r w:rsidRPr="00AD2CF5">
        <w:t xml:space="preserve"> bij tegenwindsituaties zijn alleen de bodem</w:t>
      </w:r>
      <w:r w:rsidRPr="00AD2CF5">
        <w:softHyphen/>
        <w:t>gebie</w:t>
      </w:r>
      <w:r w:rsidRPr="00AD2CF5">
        <w:softHyphen/>
        <w:t xml:space="preserve">den binnen een afstand </w:t>
      </w:r>
      <w:r w:rsidRPr="00AD2CF5">
        <w:rPr>
          <w:i/>
        </w:rPr>
        <w:t>d</w:t>
      </w:r>
      <w:r w:rsidRPr="00AD2CF5">
        <w:rPr>
          <w:i/>
          <w:vertAlign w:val="subscript"/>
        </w:rPr>
        <w:t>s</w:t>
      </w:r>
      <w:r w:rsidRPr="00AD2CF5">
        <w:t xml:space="preserve"> van de bron en binnen een afstand </w:t>
      </w:r>
      <w:r w:rsidRPr="00AD2CF5">
        <w:rPr>
          <w:i/>
        </w:rPr>
        <w:t>d</w:t>
      </w:r>
      <w:r w:rsidRPr="00AD2CF5">
        <w:rPr>
          <w:i/>
          <w:vertAlign w:val="subscript"/>
        </w:rPr>
        <w:t>r</w:t>
      </w:r>
      <w:r w:rsidRPr="00AD2CF5">
        <w:t xml:space="preserve"> van het rekenpunt van belang. Deze afstanden zijn afhankelijk van het profiel, van de frequentie</w:t>
      </w:r>
      <w:r w:rsidRPr="00AD2CF5">
        <w:fldChar w:fldCharType="begin"/>
      </w:r>
      <w:r w:rsidRPr="00AD2CF5">
        <w:instrText xml:space="preserve"> XE "frequentie" </w:instrText>
      </w:r>
      <w:r w:rsidRPr="00AD2CF5">
        <w:fldChar w:fldCharType="end"/>
      </w:r>
      <w:r w:rsidRPr="00AD2CF5">
        <w:t xml:space="preserve"> en van de hoogte boven het plaatselijk maaiveld van respectievelijk bron- en rekenpunt.</w:t>
      </w:r>
    </w:p>
    <w:p w:rsidR="00F43C9B" w:rsidRPr="00AD2CF5" w:rsidRDefault="00F43C9B" w:rsidP="00F43C9B">
      <w:pPr>
        <w:pStyle w:val="Bijschrift"/>
        <w:shd w:val="clear" w:color="auto" w:fill="D9D9D9" w:themeFill="background1" w:themeFillShade="D9"/>
        <w:tabs>
          <w:tab w:val="left" w:pos="1134"/>
          <w:tab w:val="right" w:pos="7371"/>
        </w:tabs>
        <w:rPr>
          <w:rStyle w:val="EquationCaption"/>
          <w:lang w:val="nl-NL"/>
        </w:rPr>
      </w:pPr>
      <w:r w:rsidRPr="00AD2CF5">
        <w:rPr>
          <w:position w:val="-32"/>
        </w:rPr>
        <w:object w:dxaOrig="4380" w:dyaOrig="1260">
          <v:shape id="_x0000_i1097" type="#_x0000_t75" style="width:219pt;height:64.5pt" o:ole="" fillcolor="window">
            <v:imagedata r:id="rId229" o:title=""/>
          </v:shape>
          <o:OLEObject Type="Embed" ProgID="Equation.3" ShapeID="_x0000_i1097" DrawAspect="Content" ObjectID="_1511255435" r:id="rId230"/>
        </w:object>
      </w:r>
      <w:r w:rsidRPr="00AD2CF5">
        <w:rPr>
          <w:lang w:val="nl-NL"/>
        </w:rPr>
        <w:tab/>
        <w:t>(4. 34)</w:t>
      </w:r>
    </w:p>
    <w:p w:rsidR="00F43C9B" w:rsidRPr="00AD2CF5" w:rsidRDefault="00F43C9B" w:rsidP="00F43C9B">
      <w:pPr>
        <w:shd w:val="clear" w:color="auto" w:fill="D9D9D9" w:themeFill="background1" w:themeFillShade="D9"/>
        <w:tabs>
          <w:tab w:val="left" w:pos="573"/>
          <w:tab w:val="left" w:pos="1309"/>
          <w:tab w:val="left" w:pos="2387"/>
        </w:tabs>
        <w:suppressAutoHyphens/>
        <w:spacing w:line="240" w:lineRule="auto"/>
        <w:ind w:left="567"/>
      </w:pPr>
      <w:r w:rsidRPr="00AD2CF5">
        <w:t>met:</w:t>
      </w:r>
    </w:p>
    <w:p w:rsidR="00F43C9B" w:rsidRPr="00AD2CF5" w:rsidRDefault="00F43C9B" w:rsidP="00F43C9B">
      <w:pPr>
        <w:shd w:val="clear" w:color="auto" w:fill="D9D9D9" w:themeFill="background1" w:themeFillShade="D9"/>
        <w:tabs>
          <w:tab w:val="left" w:pos="-108"/>
        </w:tabs>
        <w:suppressAutoHyphens/>
        <w:spacing w:line="240" w:lineRule="auto"/>
        <w:ind w:left="1134"/>
      </w:pPr>
      <w:r w:rsidRPr="00AD2CF5">
        <w:rPr>
          <w:i/>
        </w:rPr>
        <w:t>q</w:t>
      </w:r>
      <w:r w:rsidRPr="00AD2CF5">
        <w:t xml:space="preserve"> = 21, 10, 16.5 en </w:t>
      </w:r>
      <w:r w:rsidRPr="00AD2CF5">
        <w:rPr>
          <w:rFonts w:ascii="Symbol" w:hAnsi="Symbol"/>
          <w:i/>
        </w:rPr>
        <w:t></w:t>
      </w:r>
      <w:r w:rsidRPr="00AD2CF5">
        <w:rPr>
          <w:b/>
        </w:rPr>
        <w:t xml:space="preserve"> = </w:t>
      </w:r>
      <w:r w:rsidRPr="00AD2CF5">
        <w:t xml:space="preserve">0.9, 0.85, 0.78 voor respectievelijk de groepen 1, 2 en 3 van de geluidsnelheidsprofielen (zie formule 4.9). Ook parameter </w:t>
      </w:r>
      <w:r w:rsidRPr="00AD2CF5">
        <w:rPr>
          <w:i/>
        </w:rPr>
        <w:t>b</w:t>
      </w:r>
      <w:r w:rsidRPr="00AD2CF5">
        <w:rPr>
          <w:i/>
          <w:vertAlign w:val="subscript"/>
        </w:rPr>
        <w:t>n</w:t>
      </w:r>
      <w:r w:rsidRPr="00AD2CF5">
        <w:t xml:space="preserve"> wordt bepaald door het profiel (zie tabel 4.1 in § 4.4.2).</w:t>
      </w:r>
    </w:p>
    <w:p w:rsidR="00F43C9B" w:rsidRPr="00AD2CF5" w:rsidRDefault="00F43C9B" w:rsidP="00F43C9B">
      <w:pPr>
        <w:pStyle w:val="Inhopg1"/>
        <w:shd w:val="clear" w:color="auto" w:fill="D9D9D9" w:themeFill="background1" w:themeFillShade="D9"/>
        <w:tabs>
          <w:tab w:val="left" w:pos="-108"/>
          <w:tab w:val="left" w:pos="573"/>
          <w:tab w:val="left" w:pos="1309"/>
          <w:tab w:val="left" w:pos="2387"/>
        </w:tabs>
        <w:suppressAutoHyphens/>
        <w:spacing w:after="0" w:line="240" w:lineRule="auto"/>
      </w:pPr>
    </w:p>
    <w:p w:rsidR="00F43C9B" w:rsidRPr="00AD2CF5" w:rsidRDefault="00F43C9B" w:rsidP="00F43C9B">
      <w:pPr>
        <w:shd w:val="clear" w:color="auto" w:fill="D9D9D9" w:themeFill="background1" w:themeFillShade="D9"/>
        <w:tabs>
          <w:tab w:val="left" w:pos="573"/>
          <w:tab w:val="left" w:pos="1309"/>
          <w:tab w:val="left" w:pos="2387"/>
        </w:tabs>
        <w:suppressAutoHyphens/>
        <w:spacing w:line="240" w:lineRule="auto"/>
        <w:ind w:left="567"/>
      </w:pPr>
      <w:r w:rsidRPr="00AD2CF5">
        <w:t xml:space="preserve">De gebieden mogen elkaar niet overlappen. Indien </w:t>
      </w:r>
      <w:r w:rsidRPr="00AD2CF5">
        <w:rPr>
          <w:i/>
        </w:rPr>
        <w:t>d</w:t>
      </w:r>
      <w:r w:rsidRPr="00AD2CF5">
        <w:rPr>
          <w:i/>
          <w:vertAlign w:val="subscript"/>
        </w:rPr>
        <w:t>s</w:t>
      </w:r>
      <w:r w:rsidRPr="00AD2CF5">
        <w:rPr>
          <w:i/>
        </w:rPr>
        <w:t>+ d</w:t>
      </w:r>
      <w:r w:rsidRPr="00AD2CF5">
        <w:rPr>
          <w:i/>
          <w:vertAlign w:val="subscript"/>
        </w:rPr>
        <w:t>r</w:t>
      </w:r>
      <w:r w:rsidRPr="00AD2CF5">
        <w:t>&gt;</w:t>
      </w:r>
      <w:r w:rsidRPr="00AD2CF5">
        <w:rPr>
          <w:i/>
        </w:rPr>
        <w:t>R</w:t>
      </w:r>
      <w:r w:rsidRPr="00AD2CF5">
        <w:t>,</w:t>
      </w:r>
      <w:r w:rsidRPr="00AD2CF5">
        <w:rPr>
          <w:vertAlign w:val="subscript"/>
        </w:rPr>
        <w:t xml:space="preserve"> </w:t>
      </w:r>
      <w:r w:rsidRPr="00AD2CF5">
        <w:t>waarin R de hori</w:t>
      </w:r>
      <w:r w:rsidRPr="00AD2CF5">
        <w:softHyphen/>
        <w:t>zon</w:t>
      </w:r>
      <w:r w:rsidRPr="00AD2CF5">
        <w:softHyphen/>
        <w:t>tale afstand tussen bron en rekenpunt is, moeten de afstanden in verhouding wor</w:t>
      </w:r>
      <w:r w:rsidRPr="00AD2CF5">
        <w:softHyphen/>
        <w:t xml:space="preserve">den teruggeschaald tot </w:t>
      </w:r>
      <w:r w:rsidRPr="00AD2CF5">
        <w:rPr>
          <w:i/>
        </w:rPr>
        <w:t>d</w:t>
      </w:r>
      <w:r w:rsidRPr="00AD2CF5">
        <w:rPr>
          <w:i/>
          <w:vertAlign w:val="subscript"/>
        </w:rPr>
        <w:t>s</w:t>
      </w:r>
      <w:r w:rsidRPr="00AD2CF5">
        <w:rPr>
          <w:vertAlign w:val="superscript"/>
        </w:rPr>
        <w:t>'</w:t>
      </w:r>
      <w:r w:rsidRPr="00AD2CF5">
        <w:t xml:space="preserve"> en </w:t>
      </w:r>
      <w:r w:rsidRPr="00AD2CF5">
        <w:rPr>
          <w:i/>
        </w:rPr>
        <w:t>d</w:t>
      </w:r>
      <w:r w:rsidRPr="00AD2CF5">
        <w:rPr>
          <w:i/>
          <w:vertAlign w:val="subscript"/>
        </w:rPr>
        <w:t>r</w:t>
      </w:r>
      <w:r w:rsidRPr="00AD2CF5">
        <w:rPr>
          <w:vertAlign w:val="superscript"/>
        </w:rPr>
        <w:t>'</w:t>
      </w:r>
      <w:r w:rsidRPr="00AD2CF5">
        <w:t xml:space="preserve"> .</w:t>
      </w:r>
    </w:p>
    <w:p w:rsidR="00F43C9B" w:rsidRPr="00AD2CF5" w:rsidRDefault="00F43C9B" w:rsidP="00F43C9B">
      <w:pPr>
        <w:pStyle w:val="Bijschrift"/>
        <w:shd w:val="clear" w:color="auto" w:fill="D9D9D9" w:themeFill="background1" w:themeFillShade="D9"/>
        <w:tabs>
          <w:tab w:val="left" w:pos="1134"/>
          <w:tab w:val="right" w:pos="7371"/>
        </w:tabs>
        <w:rPr>
          <w:rStyle w:val="EquationCaption"/>
          <w:lang w:val="nl-NL"/>
        </w:rPr>
      </w:pPr>
      <w:r w:rsidRPr="00AD2CF5">
        <w:rPr>
          <w:position w:val="-60"/>
        </w:rPr>
        <w:object w:dxaOrig="3500" w:dyaOrig="1320">
          <v:shape id="_x0000_i1098" type="#_x0000_t75" style="width:174pt;height:66pt" o:ole="" fillcolor="window">
            <v:imagedata r:id="rId231" o:title=""/>
          </v:shape>
          <o:OLEObject Type="Embed" ProgID="Equation.3" ShapeID="_x0000_i1098" DrawAspect="Content" ObjectID="_1511255436" r:id="rId232"/>
        </w:object>
      </w:r>
      <w:r w:rsidRPr="00AD2CF5">
        <w:rPr>
          <w:rStyle w:val="EquationCaption"/>
          <w:lang w:val="nl-NL"/>
        </w:rPr>
        <w:tab/>
      </w:r>
      <w:r w:rsidRPr="00AD2CF5">
        <w:rPr>
          <w:lang w:val="nl-NL"/>
        </w:rPr>
        <w:t>(4. 35)</w:t>
      </w:r>
    </w:p>
    <w:p w:rsidR="00F43C9B" w:rsidRPr="00AD2CF5" w:rsidRDefault="00F43C9B" w:rsidP="00F43C9B">
      <w:pPr>
        <w:shd w:val="clear" w:color="auto" w:fill="D9D9D9" w:themeFill="background1" w:themeFillShade="D9"/>
        <w:tabs>
          <w:tab w:val="left" w:pos="573"/>
          <w:tab w:val="left" w:pos="1309"/>
          <w:tab w:val="left" w:pos="2387"/>
        </w:tabs>
        <w:suppressAutoHyphens/>
        <w:spacing w:line="240" w:lineRule="auto"/>
        <w:ind w:left="567"/>
      </w:pPr>
      <w:r w:rsidRPr="00AD2CF5">
        <w:t xml:space="preserve">Binnen een afstand </w:t>
      </w:r>
      <w:r w:rsidRPr="00AD2CF5">
        <w:rPr>
          <w:i/>
        </w:rPr>
        <w:t>d</w:t>
      </w:r>
      <w:r w:rsidRPr="00AD2CF5">
        <w:rPr>
          <w:i/>
          <w:vertAlign w:val="subscript"/>
        </w:rPr>
        <w:t>s</w:t>
      </w:r>
      <w:r w:rsidRPr="00AD2CF5">
        <w:t xml:space="preserve"> en </w:t>
      </w:r>
      <w:r w:rsidRPr="00AD2CF5">
        <w:rPr>
          <w:i/>
        </w:rPr>
        <w:t>d</w:t>
      </w:r>
      <w:r w:rsidRPr="00AD2CF5">
        <w:rPr>
          <w:i/>
          <w:vertAlign w:val="subscript"/>
        </w:rPr>
        <w:t>r</w:t>
      </w:r>
      <w:r w:rsidRPr="00AD2CF5">
        <w:t xml:space="preserve"> van respectievelijk bron en reken</w:t>
      </w:r>
      <w:r w:rsidRPr="00AD2CF5">
        <w:softHyphen/>
        <w:t xml:space="preserve">punt worden achtereenvolgens de afstanden bepaald waarover het geluidpad door </w:t>
      </w:r>
      <w:r w:rsidRPr="00AD2CF5">
        <w:rPr>
          <w:i/>
        </w:rPr>
        <w:t>zeer absorberende</w:t>
      </w:r>
      <w:r w:rsidRPr="00AD2CF5">
        <w:t xml:space="preserve">, </w:t>
      </w:r>
      <w:r w:rsidRPr="00AD2CF5">
        <w:rPr>
          <w:i/>
        </w:rPr>
        <w:t>absorberende</w:t>
      </w:r>
      <w:r w:rsidRPr="00AD2CF5">
        <w:t xml:space="preserve"> en </w:t>
      </w:r>
      <w:r w:rsidRPr="00AD2CF5">
        <w:rPr>
          <w:i/>
        </w:rPr>
        <w:t xml:space="preserve">reflecterende </w:t>
      </w:r>
      <w:r w:rsidRPr="00AD2CF5">
        <w:t xml:space="preserve">gebieden loopt. In verhouding tot de afstand </w:t>
      </w:r>
      <w:r w:rsidRPr="00AD2CF5">
        <w:rPr>
          <w:i/>
        </w:rPr>
        <w:t>d</w:t>
      </w:r>
      <w:r w:rsidRPr="00AD2CF5">
        <w:rPr>
          <w:i/>
          <w:vertAlign w:val="subscript"/>
        </w:rPr>
        <w:t>s</w:t>
      </w:r>
      <w:r w:rsidRPr="00AD2CF5">
        <w:t xml:space="preserve"> + </w:t>
      </w:r>
      <w:r w:rsidRPr="00AD2CF5">
        <w:rPr>
          <w:i/>
        </w:rPr>
        <w:t>d</w:t>
      </w:r>
      <w:r w:rsidRPr="00AD2CF5">
        <w:rPr>
          <w:i/>
          <w:vertAlign w:val="subscript"/>
        </w:rPr>
        <w:t>r</w:t>
      </w:r>
      <w:r w:rsidRPr="00AD2CF5">
        <w:t xml:space="preserve"> geeft dit de fracties </w:t>
      </w:r>
      <w:r w:rsidRPr="00AD2CF5">
        <w:rPr>
          <w:i/>
        </w:rPr>
        <w:t>f</w:t>
      </w:r>
      <w:r w:rsidRPr="00AD2CF5">
        <w:rPr>
          <w:i/>
          <w:vertAlign w:val="subscript"/>
        </w:rPr>
        <w:t>z</w:t>
      </w:r>
      <w:r w:rsidRPr="00AD2CF5">
        <w:t xml:space="preserve">, </w:t>
      </w:r>
      <w:r w:rsidRPr="00AD2CF5">
        <w:rPr>
          <w:i/>
        </w:rPr>
        <w:t>f</w:t>
      </w:r>
      <w:r w:rsidRPr="00AD2CF5">
        <w:rPr>
          <w:i/>
          <w:vertAlign w:val="subscript"/>
        </w:rPr>
        <w:t>a</w:t>
      </w:r>
      <w:r w:rsidRPr="00AD2CF5">
        <w:t xml:space="preserve"> en </w:t>
      </w:r>
      <w:r w:rsidRPr="00AD2CF5">
        <w:rPr>
          <w:i/>
        </w:rPr>
        <w:t>f</w:t>
      </w:r>
      <w:r w:rsidRPr="00AD2CF5">
        <w:rPr>
          <w:i/>
          <w:vertAlign w:val="subscript"/>
        </w:rPr>
        <w:t>h</w:t>
      </w:r>
      <w:r w:rsidRPr="00AD2CF5">
        <w:t xml:space="preserve"> </w:t>
      </w:r>
      <w:r w:rsidRPr="00AD2CF5">
        <w:rPr>
          <w:i/>
        </w:rPr>
        <w:t>zeer absor</w:t>
      </w:r>
      <w:r w:rsidRPr="00AD2CF5">
        <w:rPr>
          <w:i/>
        </w:rPr>
        <w:softHyphen/>
        <w:t>berende</w:t>
      </w:r>
      <w:r w:rsidRPr="00AD2CF5">
        <w:t xml:space="preserve">, </w:t>
      </w:r>
      <w:r w:rsidRPr="00AD2CF5">
        <w:rPr>
          <w:i/>
        </w:rPr>
        <w:t>absorberende</w:t>
      </w:r>
      <w:r w:rsidRPr="00AD2CF5">
        <w:t xml:space="preserve"> en </w:t>
      </w:r>
      <w:r w:rsidRPr="00AD2CF5">
        <w:rPr>
          <w:i/>
        </w:rPr>
        <w:t>reflecterende</w:t>
      </w:r>
      <w:r w:rsidRPr="00AD2CF5">
        <w:t xml:space="preserve"> bodem. De bodemdemping</w:t>
      </w:r>
      <w:r w:rsidRPr="00AD2CF5">
        <w:fldChar w:fldCharType="begin"/>
      </w:r>
      <w:r w:rsidRPr="00AD2CF5">
        <w:instrText xml:space="preserve"> XE "bodemdemping" </w:instrText>
      </w:r>
      <w:r w:rsidRPr="00AD2CF5">
        <w:fldChar w:fldCharType="end"/>
      </w:r>
      <w:r w:rsidRPr="00AD2CF5">
        <w:t xml:space="preserve"> voor een tegenwindsituatie wordt vervolgens gegeven door:</w:t>
      </w:r>
    </w:p>
    <w:p w:rsidR="00F43C9B" w:rsidRPr="00AD2CF5" w:rsidRDefault="00F43C9B" w:rsidP="00F43C9B">
      <w:pPr>
        <w:pStyle w:val="Bijschrift"/>
        <w:shd w:val="clear" w:color="auto" w:fill="D9D9D9" w:themeFill="background1" w:themeFillShade="D9"/>
        <w:tabs>
          <w:tab w:val="left" w:pos="1134"/>
          <w:tab w:val="right" w:pos="7371"/>
        </w:tabs>
      </w:pPr>
      <w:r w:rsidRPr="00AD2CF5">
        <w:rPr>
          <w:position w:val="-12"/>
        </w:rPr>
        <w:object w:dxaOrig="5679" w:dyaOrig="360">
          <v:shape id="_x0000_i1099" type="#_x0000_t75" style="width:282.75pt;height:18pt" o:ole="" fillcolor="window">
            <v:imagedata r:id="rId233" o:title=""/>
          </v:shape>
          <o:OLEObject Type="Embed" ProgID="Equation.3" ShapeID="_x0000_i1099" DrawAspect="Content" ObjectID="_1511255437" r:id="rId234"/>
        </w:object>
      </w:r>
      <w:r w:rsidRPr="00AD2CF5">
        <w:tab/>
        <w:t>(4.36)</w:t>
      </w:r>
    </w:p>
    <w:p w:rsidR="00F43C9B" w:rsidRPr="00AD2CF5" w:rsidRDefault="00F43C9B" w:rsidP="00EB7F6B">
      <w:pPr>
        <w:numPr>
          <w:ilvl w:val="0"/>
          <w:numId w:val="13"/>
        </w:numPr>
        <w:shd w:val="clear" w:color="auto" w:fill="D9D9D9" w:themeFill="background1" w:themeFillShade="D9"/>
        <w:tabs>
          <w:tab w:val="clear" w:pos="360"/>
        </w:tabs>
        <w:spacing w:line="280" w:lineRule="exact"/>
        <w:ind w:left="567" w:hanging="567"/>
        <w:rPr>
          <w:b/>
        </w:rPr>
      </w:pPr>
      <w:r w:rsidRPr="00AD2CF5">
        <w:rPr>
          <w:b/>
        </w:rPr>
        <w:t xml:space="preserve">Neutraal profiel </w:t>
      </w:r>
      <w:r w:rsidRPr="00AD2CF5">
        <w:t>(profielnr. 11)</w:t>
      </w:r>
    </w:p>
    <w:p w:rsidR="00F43C9B" w:rsidRDefault="00F43C9B" w:rsidP="00F43C9B">
      <w:pPr>
        <w:shd w:val="clear" w:color="auto" w:fill="D9D9D9" w:themeFill="background1" w:themeFillShade="D9"/>
        <w:tabs>
          <w:tab w:val="left" w:pos="573"/>
          <w:tab w:val="left" w:pos="1309"/>
          <w:tab w:val="left" w:pos="2387"/>
        </w:tabs>
        <w:suppressAutoHyphens/>
        <w:spacing w:line="240" w:lineRule="auto"/>
        <w:ind w:left="567"/>
      </w:pPr>
      <w:r w:rsidRPr="00AD2CF5">
        <w:t>Voor de bepaling van de bodemdemping</w:t>
      </w:r>
      <w:r w:rsidRPr="00AD2CF5">
        <w:fldChar w:fldCharType="begin"/>
      </w:r>
      <w:r w:rsidRPr="00AD2CF5">
        <w:instrText xml:space="preserve"> XE "bodemdemping" </w:instrText>
      </w:r>
      <w:r w:rsidRPr="00AD2CF5">
        <w:fldChar w:fldCharType="end"/>
      </w:r>
      <w:r w:rsidRPr="00AD2CF5">
        <w:t xml:space="preserve"> van de neutrale situatie (profielnr. 11) worden eerst de fracties </w:t>
      </w:r>
      <w:r w:rsidRPr="00AD2CF5">
        <w:rPr>
          <w:i/>
        </w:rPr>
        <w:t>f</w:t>
      </w:r>
      <w:r w:rsidRPr="00AD2CF5">
        <w:rPr>
          <w:i/>
          <w:vertAlign w:val="subscript"/>
        </w:rPr>
        <w:t>z</w:t>
      </w:r>
      <w:r w:rsidRPr="00AD2CF5">
        <w:rPr>
          <w:i/>
        </w:rPr>
        <w:t>, f</w:t>
      </w:r>
      <w:r w:rsidRPr="00AD2CF5">
        <w:rPr>
          <w:i/>
          <w:vertAlign w:val="subscript"/>
        </w:rPr>
        <w:t>a</w:t>
      </w:r>
      <w:r w:rsidRPr="00AD2CF5">
        <w:rPr>
          <w:i/>
        </w:rPr>
        <w:t xml:space="preserve"> en f</w:t>
      </w:r>
      <w:r w:rsidRPr="00AD2CF5">
        <w:rPr>
          <w:i/>
          <w:vertAlign w:val="subscript"/>
        </w:rPr>
        <w:t>h</w:t>
      </w:r>
      <w:r w:rsidRPr="00AD2CF5">
        <w:t xml:space="preserve"> bepaald over de totale afstand </w:t>
      </w:r>
      <w:r w:rsidRPr="00AD2CF5">
        <w:rPr>
          <w:i/>
          <w:iCs/>
        </w:rPr>
        <w:t>r</w:t>
      </w:r>
      <w:r w:rsidRPr="00AD2CF5">
        <w:rPr>
          <w:i/>
          <w:iCs/>
          <w:vertAlign w:val="subscript"/>
        </w:rPr>
        <w:t>tot</w:t>
      </w:r>
      <w:r w:rsidRPr="00AD2CF5">
        <w:rPr>
          <w:i/>
          <w:iCs/>
        </w:rPr>
        <w:t xml:space="preserve"> </w:t>
      </w:r>
      <w:r w:rsidRPr="00AD2CF5">
        <w:t>tussen bron en rekenpunt. De bodemdemping volgt dan door toepassing van formule 4.36.</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i/>
        </w:rPr>
        <w:t>Turbulentie</w:t>
      </w:r>
      <w:r w:rsidRPr="00AD2CF5">
        <w:rPr>
          <w:i/>
        </w:rPr>
        <w:br/>
      </w:r>
      <w:r w:rsidRPr="00AD2CF5">
        <w:t>De totale bodemdemping</w:t>
      </w:r>
      <w:r w:rsidRPr="00AD2CF5">
        <w:fldChar w:fldCharType="begin"/>
      </w:r>
      <w:r w:rsidRPr="00AD2CF5">
        <w:instrText xml:space="preserve"> XE "bodemdemping" </w:instrText>
      </w:r>
      <w:r w:rsidRPr="00AD2CF5">
        <w:fldChar w:fldCharType="end"/>
      </w:r>
      <w:r w:rsidRPr="00AD2CF5">
        <w:t xml:space="preserve"> is naar boven toe begrensd als gevolg van turbulentie</w:t>
      </w:r>
      <w:r w:rsidRPr="00AD2CF5">
        <w:fldChar w:fldCharType="begin"/>
      </w:r>
      <w:r w:rsidRPr="00AD2CF5">
        <w:instrText xml:space="preserve"> XE "turbulentie" </w:instrText>
      </w:r>
      <w:r w:rsidRPr="00AD2CF5">
        <w:fldChar w:fldCharType="end"/>
      </w:r>
      <w:r w:rsidRPr="00AD2CF5">
        <w:t>. Deze begrenzing is afhankelijk van de meteorologische klasse</w:t>
      </w:r>
      <w:r w:rsidRPr="00AD2CF5">
        <w:fldChar w:fldCharType="begin"/>
      </w:r>
      <w:r w:rsidRPr="00AD2CF5">
        <w:instrText xml:space="preserve"> XE "meteorologische klasse" </w:instrText>
      </w:r>
      <w:r w:rsidRPr="00AD2CF5">
        <w:fldChar w:fldCharType="end"/>
      </w:r>
      <w:r w:rsidRPr="00AD2CF5">
        <w:t>, de hardheid van de bodem en de frequentie.</w:t>
      </w:r>
      <w:r w:rsidRPr="00AD2CF5">
        <w:fldChar w:fldCharType="begin"/>
      </w:r>
      <w:r w:rsidRPr="00AD2CF5">
        <w:instrText xml:space="preserve"> XE "frequentie" </w:instrText>
      </w:r>
      <w:r w:rsidRPr="00AD2CF5">
        <w:fldChar w:fldCharType="end"/>
      </w:r>
      <w:r w:rsidRPr="00AD2CF5">
        <w:t xml:space="preserve"> Bij het berekenen van de overdrachtsfuncties zoals deze in het gegevensbestand</w:t>
      </w:r>
      <w:r w:rsidRPr="00AD2CF5">
        <w:fldChar w:fldCharType="begin"/>
      </w:r>
      <w:r w:rsidRPr="00AD2CF5">
        <w:instrText xml:space="preserve"> XE "gegevensbestand" </w:instrText>
      </w:r>
      <w:r w:rsidRPr="00AD2CF5">
        <w:fldChar w:fldCharType="end"/>
      </w:r>
      <w:r w:rsidRPr="00AD2CF5">
        <w:t xml:space="preserve"> zijn opgenomen is dit effect niet verdisconteerd. Deze invloed wordt in rekening gebracht door een bovengrens </w:t>
      </w:r>
      <w:r w:rsidRPr="00AD2CF5">
        <w:rPr>
          <w:i/>
          <w:iCs/>
        </w:rPr>
        <w:t>D</w:t>
      </w:r>
      <w:r w:rsidRPr="00AD2CF5">
        <w:rPr>
          <w:i/>
          <w:iCs/>
          <w:vertAlign w:val="subscript"/>
        </w:rPr>
        <w:t>bodem,max</w:t>
      </w:r>
      <w:r w:rsidRPr="00AD2CF5">
        <w:t xml:space="preserve"> te stellen aan de bo</w:t>
      </w:r>
      <w:r w:rsidRPr="00AD2CF5">
        <w:softHyphen/>
        <w:t>demdemping zoals die met formule 4.37 bepaald is. In situaties met afscher</w:t>
      </w:r>
      <w:r w:rsidRPr="00AD2CF5">
        <w:softHyphen/>
        <w:t>men</w:t>
      </w:r>
      <w:r w:rsidRPr="00AD2CF5">
        <w:softHyphen/>
        <w:t xml:space="preserve">de objecten moet de bovengrens toegepast worden op de som </w:t>
      </w:r>
      <w:r w:rsidRPr="00AD2CF5">
        <w:rPr>
          <w:i/>
          <w:iCs/>
        </w:rPr>
        <w:t>D</w:t>
      </w:r>
      <w:r w:rsidRPr="00AD2CF5">
        <w:rPr>
          <w:i/>
          <w:iCs/>
          <w:vertAlign w:val="subscript"/>
        </w:rPr>
        <w:t>bodem</w:t>
      </w:r>
      <w:r w:rsidRPr="00AD2CF5">
        <w:rPr>
          <w:i/>
          <w:iCs/>
        </w:rPr>
        <w:t xml:space="preserve"> + D</w:t>
      </w:r>
      <w:r w:rsidRPr="00AD2CF5">
        <w:rPr>
          <w:i/>
          <w:iCs/>
          <w:vertAlign w:val="subscript"/>
        </w:rPr>
        <w:t>scherm</w:t>
      </w:r>
      <w:r w:rsidRPr="00AD2CF5">
        <w: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In tabel 4.6 zijn de grenswaarden van de bodemdemping</w:t>
      </w:r>
      <w:r w:rsidRPr="00AD2CF5">
        <w:fldChar w:fldCharType="begin"/>
      </w:r>
      <w:r w:rsidRPr="00AD2CF5">
        <w:instrText xml:space="preserve"> XE "bodemdemping" </w:instrText>
      </w:r>
      <w:r w:rsidRPr="00AD2CF5">
        <w:fldChar w:fldCharType="end"/>
      </w:r>
      <w:r w:rsidRPr="00AD2CF5">
        <w:t xml:space="preserve"> gegeven voor de verschil</w:t>
      </w:r>
      <w:r w:rsidRPr="00AD2CF5">
        <w:softHyphen/>
        <w:t>lende bodemhard</w:t>
      </w:r>
      <w:r w:rsidRPr="00AD2CF5">
        <w:softHyphen/>
        <w:t>heden, de 27 meteorologische klasse</w:t>
      </w:r>
      <w:r w:rsidRPr="00AD2CF5">
        <w:fldChar w:fldCharType="begin"/>
      </w:r>
      <w:r w:rsidRPr="00AD2CF5">
        <w:instrText xml:space="preserve"> XE "meteorologische klasse" </w:instrText>
      </w:r>
      <w:r w:rsidRPr="00AD2CF5">
        <w:fldChar w:fldCharType="end"/>
      </w:r>
      <w:r w:rsidRPr="00AD2CF5">
        <w:t>n en de 9 octaafbanden.</w:t>
      </w:r>
    </w:p>
    <w:p w:rsidR="00F43C9B" w:rsidRPr="00AD2CF5" w:rsidRDefault="00F43C9B" w:rsidP="00F43C9B">
      <w:pPr>
        <w:shd w:val="clear" w:color="auto" w:fill="D9D9D9" w:themeFill="background1" w:themeFillShade="D9"/>
        <w:suppressAutoHyphens/>
        <w:spacing w:line="240" w:lineRule="auto"/>
        <w:ind w:left="993" w:hanging="993"/>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Default="00F43C9B" w:rsidP="00F43C9B">
      <w:pPr>
        <w:shd w:val="clear" w:color="auto" w:fill="D9D9D9" w:themeFill="background1" w:themeFillShade="D9"/>
        <w:suppressAutoHyphens/>
        <w:spacing w:line="240" w:lineRule="auto"/>
        <w:rPr>
          <w:b/>
        </w:rPr>
      </w:pPr>
    </w:p>
    <w:p w:rsidR="00F43C9B" w:rsidRPr="00AD2CF5" w:rsidRDefault="00F43C9B" w:rsidP="00F43C9B">
      <w:pPr>
        <w:shd w:val="clear" w:color="auto" w:fill="D9D9D9" w:themeFill="background1" w:themeFillShade="D9"/>
        <w:suppressAutoHyphens/>
        <w:spacing w:line="240" w:lineRule="auto"/>
      </w:pPr>
      <w:r w:rsidRPr="00AD2CF5">
        <w:rPr>
          <w:b/>
        </w:rPr>
        <w:t>Tabel 4.6:</w:t>
      </w:r>
      <w:r w:rsidRPr="00AD2CF5">
        <w:t xml:space="preserve"> Bovengrens van de bodemdemping</w:t>
      </w:r>
      <w:r w:rsidRPr="00AD2CF5">
        <w:fldChar w:fldCharType="begin"/>
      </w:r>
      <w:r w:rsidRPr="00AD2CF5">
        <w:instrText xml:space="preserve"> XE "bodemdemping" </w:instrText>
      </w:r>
      <w:r w:rsidRPr="00AD2CF5">
        <w:fldChar w:fldCharType="end"/>
      </w:r>
      <w:r w:rsidRPr="00AD2CF5">
        <w:t xml:space="preserve"> </w:t>
      </w:r>
      <w:r w:rsidRPr="00AD2CF5">
        <w:rPr>
          <w:i/>
        </w:rPr>
        <w:t>D</w:t>
      </w:r>
      <w:r w:rsidRPr="00AD2CF5">
        <w:rPr>
          <w:i/>
          <w:vertAlign w:val="subscript"/>
        </w:rPr>
        <w:t>bodem,max</w:t>
      </w:r>
      <w:r w:rsidRPr="00AD2CF5">
        <w:t>(</w:t>
      </w:r>
      <w:r w:rsidRPr="00AD2CF5">
        <w:rPr>
          <w:i/>
        </w:rPr>
        <w:t>v</w:t>
      </w:r>
      <w:r w:rsidRPr="00AD2CF5">
        <w:t>) voor akoestisch "zeer absor</w:t>
      </w:r>
      <w:r w:rsidRPr="00AD2CF5">
        <w:softHyphen/>
        <w:t>berende" (</w:t>
      </w:r>
      <w:r w:rsidRPr="00AD2CF5">
        <w:rPr>
          <w:i/>
        </w:rPr>
        <w:t>v=z</w:t>
      </w:r>
      <w:r w:rsidRPr="00AD2CF5">
        <w:t>) "absorberende" (</w:t>
      </w:r>
      <w:r w:rsidRPr="00AD2CF5">
        <w:rPr>
          <w:i/>
        </w:rPr>
        <w:t>v=a</w:t>
      </w:r>
      <w:r w:rsidRPr="00AD2CF5">
        <w:t>) en "reflecterende" (</w:t>
      </w:r>
      <w:r w:rsidRPr="00AD2CF5">
        <w:rPr>
          <w:i/>
        </w:rPr>
        <w:t>v=h</w:t>
      </w:r>
      <w:r w:rsidRPr="00AD2CF5">
        <w:t>) bodems.</w:t>
      </w:r>
    </w:p>
    <w:tbl>
      <w:tblPr>
        <w:tblW w:w="0" w:type="auto"/>
        <w:tblInd w:w="57" w:type="dxa"/>
        <w:tblLayout w:type="fixed"/>
        <w:tblCellMar>
          <w:left w:w="57" w:type="dxa"/>
          <w:right w:w="57" w:type="dxa"/>
        </w:tblCellMar>
        <w:tblLook w:val="0000" w:firstRow="0" w:lastRow="0" w:firstColumn="0" w:lastColumn="0" w:noHBand="0" w:noVBand="0"/>
      </w:tblPr>
      <w:tblGrid>
        <w:gridCol w:w="676"/>
        <w:gridCol w:w="676"/>
        <w:gridCol w:w="676"/>
        <w:gridCol w:w="675"/>
        <w:gridCol w:w="675"/>
        <w:gridCol w:w="675"/>
        <w:gridCol w:w="675"/>
        <w:gridCol w:w="675"/>
        <w:gridCol w:w="675"/>
        <w:gridCol w:w="675"/>
        <w:gridCol w:w="675"/>
      </w:tblGrid>
      <w:tr w:rsidR="00F43C9B" w:rsidRPr="00AD2CF5" w:rsidTr="00F43C9B">
        <w:tc>
          <w:tcPr>
            <w:tcW w:w="676" w:type="dxa"/>
            <w:tcBorders>
              <w:top w:val="double" w:sz="6" w:space="0" w:color="auto"/>
              <w:left w:val="doub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rPr>
            </w:pPr>
            <w:r w:rsidRPr="00AD2CF5">
              <w:rPr>
                <w:i/>
                <w:iCs/>
              </w:rPr>
              <w:t>m</w:t>
            </w:r>
          </w:p>
        </w:tc>
        <w:tc>
          <w:tcPr>
            <w:tcW w:w="676" w:type="dxa"/>
            <w:tcBorders>
              <w:top w:val="double" w:sz="6" w:space="0" w:color="auto"/>
              <w:left w:val="single" w:sz="6" w:space="0" w:color="auto"/>
              <w:right w:val="sing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pPr>
            <w:r w:rsidRPr="00AD2CF5">
              <w:rPr>
                <w:i/>
              </w:rPr>
              <w:t>v</w:t>
            </w:r>
          </w:p>
        </w:tc>
        <w:tc>
          <w:tcPr>
            <w:tcW w:w="676" w:type="dxa"/>
            <w:tcBorders>
              <w:top w:val="double" w:sz="6"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pPr>
            <w:r w:rsidRPr="00AD2CF5">
              <w:t>16</w:t>
            </w:r>
          </w:p>
        </w:tc>
        <w:tc>
          <w:tcPr>
            <w:tcW w:w="675" w:type="dxa"/>
            <w:tcBorders>
              <w:top w:val="double" w:sz="6"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pPr>
            <w:r w:rsidRPr="00AD2CF5">
              <w:t>31.5</w:t>
            </w:r>
          </w:p>
        </w:tc>
        <w:tc>
          <w:tcPr>
            <w:tcW w:w="675" w:type="dxa"/>
            <w:tcBorders>
              <w:top w:val="double" w:sz="6"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pPr>
            <w:r w:rsidRPr="00AD2CF5">
              <w:t>63</w:t>
            </w:r>
          </w:p>
        </w:tc>
        <w:tc>
          <w:tcPr>
            <w:tcW w:w="675" w:type="dxa"/>
            <w:tcBorders>
              <w:top w:val="double" w:sz="6"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pPr>
            <w:r w:rsidRPr="00AD2CF5">
              <w:t>125</w:t>
            </w:r>
          </w:p>
        </w:tc>
        <w:tc>
          <w:tcPr>
            <w:tcW w:w="675" w:type="dxa"/>
            <w:tcBorders>
              <w:top w:val="double" w:sz="6"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pPr>
            <w:r w:rsidRPr="00AD2CF5">
              <w:t>250</w:t>
            </w:r>
          </w:p>
        </w:tc>
        <w:tc>
          <w:tcPr>
            <w:tcW w:w="675" w:type="dxa"/>
            <w:tcBorders>
              <w:top w:val="double" w:sz="6"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pPr>
            <w:r w:rsidRPr="00AD2CF5">
              <w:t>500</w:t>
            </w:r>
          </w:p>
        </w:tc>
        <w:tc>
          <w:tcPr>
            <w:tcW w:w="675" w:type="dxa"/>
            <w:tcBorders>
              <w:top w:val="double" w:sz="6"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pPr>
            <w:r w:rsidRPr="00AD2CF5">
              <w:t>1000</w:t>
            </w:r>
          </w:p>
        </w:tc>
        <w:tc>
          <w:tcPr>
            <w:tcW w:w="675" w:type="dxa"/>
            <w:tcBorders>
              <w:top w:val="double" w:sz="6" w:space="0" w:color="auto"/>
              <w:left w:val="sing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pPr>
            <w:r w:rsidRPr="00AD2CF5">
              <w:t>2000</w:t>
            </w:r>
          </w:p>
        </w:tc>
        <w:tc>
          <w:tcPr>
            <w:tcW w:w="675" w:type="dxa"/>
            <w:tcBorders>
              <w:top w:val="double" w:sz="6" w:space="0" w:color="auto"/>
              <w:left w:val="single" w:sz="6" w:space="0" w:color="auto"/>
              <w:right w:val="double" w:sz="6" w:space="0" w:color="auto"/>
            </w:tcBorders>
            <w:shd w:val="pct10" w:color="auto" w:fill="auto"/>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pPr>
            <w:r w:rsidRPr="00AD2CF5">
              <w:t>4000</w:t>
            </w:r>
          </w:p>
        </w:tc>
      </w:tr>
      <w:tr w:rsidR="00F43C9B" w:rsidRPr="00AD2CF5" w:rsidTr="00F43C9B">
        <w:tc>
          <w:tcPr>
            <w:tcW w:w="676" w:type="dxa"/>
            <w:tcBorders>
              <w:top w:val="double" w:sz="6" w:space="0" w:color="auto"/>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rPr>
            </w:pPr>
          </w:p>
        </w:tc>
        <w:tc>
          <w:tcPr>
            <w:tcW w:w="676" w:type="dxa"/>
            <w:tcBorders>
              <w:top w:val="double" w:sz="6" w:space="0" w:color="auto"/>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rPr>
            </w:pPr>
            <w:r w:rsidRPr="00AD2CF5">
              <w:rPr>
                <w:i/>
                <w:iCs/>
                <w:sz w:val="18"/>
              </w:rPr>
              <w:t>z</w:t>
            </w:r>
          </w:p>
        </w:tc>
        <w:tc>
          <w:tcPr>
            <w:tcW w:w="676" w:type="dxa"/>
            <w:tcBorders>
              <w:top w:val="doub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top w:val="doub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top w:val="doub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top w:val="doub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top w:val="doub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doub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top w:val="doub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top w:val="doub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top w:val="double" w:sz="6"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w:t>
            </w: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a</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h</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13</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r>
      <w:tr w:rsidR="00F43C9B" w:rsidRPr="00AD2CF5" w:rsidTr="00F43C9B">
        <w:tc>
          <w:tcPr>
            <w:tcW w:w="676" w:type="dxa"/>
            <w:tcBorders>
              <w:top w:val="single" w:sz="6" w:space="0" w:color="auto"/>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top w:val="single" w:sz="6" w:space="0" w:color="auto"/>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z</w:t>
            </w:r>
          </w:p>
        </w:tc>
        <w:tc>
          <w:tcPr>
            <w:tcW w:w="676"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6"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w:t>
            </w: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a</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h</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13</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r>
      <w:tr w:rsidR="00F43C9B" w:rsidRPr="00AD2CF5" w:rsidTr="00F43C9B">
        <w:tc>
          <w:tcPr>
            <w:tcW w:w="676" w:type="dxa"/>
            <w:tcBorders>
              <w:top w:val="single" w:sz="6" w:space="0" w:color="auto"/>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top w:val="single" w:sz="6" w:space="0" w:color="auto"/>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z</w:t>
            </w:r>
          </w:p>
        </w:tc>
        <w:tc>
          <w:tcPr>
            <w:tcW w:w="676"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top w:val="single" w:sz="6"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3</w:t>
            </w: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a</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h</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r>
      <w:tr w:rsidR="00F43C9B" w:rsidRPr="00AD2CF5" w:rsidTr="00F43C9B">
        <w:tc>
          <w:tcPr>
            <w:tcW w:w="676" w:type="dxa"/>
            <w:tcBorders>
              <w:top w:val="single" w:sz="6" w:space="0" w:color="auto"/>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top w:val="single" w:sz="6" w:space="0" w:color="auto"/>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z</w:t>
            </w:r>
          </w:p>
        </w:tc>
        <w:tc>
          <w:tcPr>
            <w:tcW w:w="676"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14</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27</w:t>
            </w:r>
          </w:p>
        </w:tc>
        <w:tc>
          <w:tcPr>
            <w:tcW w:w="675" w:type="dxa"/>
            <w:tcBorders>
              <w:top w:val="single" w:sz="6"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28</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8</w:t>
            </w: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a</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12</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27</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28</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h</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12</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28</w:t>
            </w:r>
          </w:p>
        </w:tc>
      </w:tr>
      <w:tr w:rsidR="00F43C9B" w:rsidRPr="00AD2CF5" w:rsidTr="00F43C9B">
        <w:tc>
          <w:tcPr>
            <w:tcW w:w="676" w:type="dxa"/>
            <w:tcBorders>
              <w:top w:val="single" w:sz="6" w:space="0" w:color="auto"/>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top w:val="single" w:sz="6" w:space="0" w:color="auto"/>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z</w:t>
            </w:r>
          </w:p>
        </w:tc>
        <w:tc>
          <w:tcPr>
            <w:tcW w:w="676"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top w:val="single" w:sz="6"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9</w:t>
            </w: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a</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h</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12</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r>
      <w:tr w:rsidR="00F43C9B" w:rsidRPr="00AD2CF5" w:rsidTr="00F43C9B">
        <w:tc>
          <w:tcPr>
            <w:tcW w:w="676" w:type="dxa"/>
            <w:tcBorders>
              <w:top w:val="single" w:sz="6" w:space="0" w:color="auto"/>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top w:val="single" w:sz="6" w:space="0" w:color="auto"/>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z</w:t>
            </w:r>
          </w:p>
        </w:tc>
        <w:tc>
          <w:tcPr>
            <w:tcW w:w="676"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6"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10</w:t>
            </w: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a</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h</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12</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r>
      <w:tr w:rsidR="00F43C9B" w:rsidRPr="00AD2CF5" w:rsidTr="00F43C9B">
        <w:tc>
          <w:tcPr>
            <w:tcW w:w="676" w:type="dxa"/>
            <w:tcBorders>
              <w:top w:val="single" w:sz="6" w:space="0" w:color="auto"/>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top w:val="single" w:sz="6" w:space="0" w:color="auto"/>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z</w:t>
            </w:r>
          </w:p>
        </w:tc>
        <w:tc>
          <w:tcPr>
            <w:tcW w:w="676"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27</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top w:val="single" w:sz="6"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11</w:t>
            </w: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a</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h</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r>
      <w:tr w:rsidR="00F43C9B" w:rsidRPr="00AD2CF5" w:rsidTr="00F43C9B">
        <w:tc>
          <w:tcPr>
            <w:tcW w:w="676" w:type="dxa"/>
            <w:tcBorders>
              <w:top w:val="single" w:sz="6" w:space="0" w:color="auto"/>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top w:val="single" w:sz="6" w:space="0" w:color="auto"/>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z</w:t>
            </w:r>
          </w:p>
        </w:tc>
        <w:tc>
          <w:tcPr>
            <w:tcW w:w="676"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28</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14</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top w:val="single" w:sz="6"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a</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13</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r>
      <w:tr w:rsidR="00F43C9B" w:rsidRPr="00AD2CF5" w:rsidTr="00F43C9B">
        <w:tc>
          <w:tcPr>
            <w:tcW w:w="676" w:type="dxa"/>
            <w:tcBorders>
              <w:left w:val="double" w:sz="6" w:space="0" w:color="auto"/>
              <w:bottom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h</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24</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11</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27</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29</w:t>
            </w:r>
          </w:p>
        </w:tc>
      </w:tr>
      <w:tr w:rsidR="00F43C9B" w:rsidRPr="00AD2CF5" w:rsidTr="00F43C9B">
        <w:tc>
          <w:tcPr>
            <w:tcW w:w="676" w:type="dxa"/>
            <w:tcBorders>
              <w:top w:val="single" w:sz="6" w:space="0" w:color="auto"/>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top w:val="single" w:sz="6" w:space="0" w:color="auto"/>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z</w:t>
            </w:r>
          </w:p>
        </w:tc>
        <w:tc>
          <w:tcPr>
            <w:tcW w:w="676"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14</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top w:val="single" w:sz="6" w:space="0" w:color="auto"/>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top w:val="single" w:sz="6" w:space="0" w:color="auto"/>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27</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a</w:t>
            </w:r>
          </w:p>
        </w:tc>
        <w:tc>
          <w:tcPr>
            <w:tcW w:w="676"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12</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27</w:t>
            </w:r>
          </w:p>
        </w:tc>
      </w:tr>
      <w:tr w:rsidR="00F43C9B" w:rsidRPr="00AD2CF5" w:rsidTr="00F43C9B">
        <w:tc>
          <w:tcPr>
            <w:tcW w:w="676" w:type="dxa"/>
            <w:tcBorders>
              <w:left w:val="double" w:sz="6" w:space="0" w:color="auto"/>
              <w:bottom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h</w:t>
            </w:r>
          </w:p>
        </w:tc>
        <w:tc>
          <w:tcPr>
            <w:tcW w:w="676" w:type="dxa"/>
            <w:tcBorders>
              <w:left w:val="single" w:sz="6" w:space="0" w:color="auto"/>
              <w:bottom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13</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6</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13</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c>
          <w:tcPr>
            <w:tcW w:w="675" w:type="dxa"/>
            <w:tcBorders>
              <w:lef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25</w:t>
            </w:r>
          </w:p>
        </w:tc>
        <w:tc>
          <w:tcPr>
            <w:tcW w:w="675" w:type="dxa"/>
            <w:tcBorders>
              <w:left w:val="single" w:sz="6" w:space="0" w:color="auto"/>
              <w:bottom w:val="single" w:sz="4"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27</w:t>
            </w:r>
          </w:p>
        </w:tc>
      </w:tr>
      <w:tr w:rsidR="00F43C9B" w:rsidRPr="00AD2CF5" w:rsidTr="00F43C9B">
        <w:tc>
          <w:tcPr>
            <w:tcW w:w="676" w:type="dxa"/>
            <w:tcBorders>
              <w:top w:val="single" w:sz="4" w:space="0" w:color="auto"/>
              <w:left w:val="double" w:sz="6"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top w:val="single" w:sz="4" w:space="0" w:color="auto"/>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z</w:t>
            </w:r>
          </w:p>
        </w:tc>
        <w:tc>
          <w:tcPr>
            <w:tcW w:w="676" w:type="dxa"/>
            <w:tcBorders>
              <w:top w:val="single" w:sz="4" w:space="0" w:color="auto"/>
              <w:left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c>
          <w:tcPr>
            <w:tcW w:w="675" w:type="dxa"/>
            <w:tcBorders>
              <w:top w:val="single" w:sz="4" w:space="0" w:color="auto"/>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c>
          <w:tcPr>
            <w:tcW w:w="675" w:type="dxa"/>
            <w:tcBorders>
              <w:top w:val="single" w:sz="4" w:space="0" w:color="auto"/>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top w:val="single" w:sz="4" w:space="0" w:color="auto"/>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15</w:t>
            </w:r>
          </w:p>
        </w:tc>
        <w:tc>
          <w:tcPr>
            <w:tcW w:w="675" w:type="dxa"/>
            <w:tcBorders>
              <w:top w:val="single" w:sz="4" w:space="0" w:color="auto"/>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top w:val="single" w:sz="4" w:space="0" w:color="auto"/>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top w:val="single" w:sz="4" w:space="0" w:color="auto"/>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top w:val="single" w:sz="4" w:space="0" w:color="auto"/>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top w:val="single" w:sz="4" w:space="0" w:color="auto"/>
              <w:left w:val="nil"/>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r>
      <w:tr w:rsidR="00F43C9B" w:rsidRPr="00AD2CF5" w:rsidTr="00F43C9B">
        <w:tc>
          <w:tcPr>
            <w:tcW w:w="676" w:type="dxa"/>
            <w:tcBorders>
              <w:left w:val="double" w:sz="6"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6" w:type="dxa"/>
            <w:tcBorders>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a</w:t>
            </w:r>
          </w:p>
        </w:tc>
        <w:tc>
          <w:tcPr>
            <w:tcW w:w="676" w:type="dxa"/>
            <w:tcBorders>
              <w:left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c>
          <w:tcPr>
            <w:tcW w:w="675" w:type="dxa"/>
            <w:tcBorders>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c>
          <w:tcPr>
            <w:tcW w:w="675" w:type="dxa"/>
            <w:tcBorders>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13</w:t>
            </w:r>
          </w:p>
        </w:tc>
        <w:tc>
          <w:tcPr>
            <w:tcW w:w="675" w:type="dxa"/>
            <w:tcBorders>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17</w:t>
            </w:r>
          </w:p>
        </w:tc>
        <w:tc>
          <w:tcPr>
            <w:tcW w:w="675" w:type="dxa"/>
            <w:tcBorders>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19</w:t>
            </w:r>
          </w:p>
        </w:tc>
        <w:tc>
          <w:tcPr>
            <w:tcW w:w="675" w:type="dxa"/>
            <w:tcBorders>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left w:val="nil"/>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21</w:t>
            </w:r>
          </w:p>
        </w:tc>
        <w:tc>
          <w:tcPr>
            <w:tcW w:w="675" w:type="dxa"/>
            <w:tcBorders>
              <w:left w:val="nil"/>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r>
      <w:tr w:rsidR="00F43C9B" w:rsidRPr="00AD2CF5" w:rsidTr="00F43C9B">
        <w:tc>
          <w:tcPr>
            <w:tcW w:w="676" w:type="dxa"/>
            <w:tcBorders>
              <w:left w:val="double" w:sz="6" w:space="0" w:color="auto"/>
              <w:bottom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nil"/>
              <w:bottom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h</w:t>
            </w:r>
          </w:p>
        </w:tc>
        <w:tc>
          <w:tcPr>
            <w:tcW w:w="676" w:type="dxa"/>
            <w:tcBorders>
              <w:left w:val="single" w:sz="4" w:space="0" w:color="auto"/>
              <w:bottom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23</w:t>
            </w:r>
          </w:p>
        </w:tc>
        <w:tc>
          <w:tcPr>
            <w:tcW w:w="675" w:type="dxa"/>
            <w:tcBorders>
              <w:left w:val="nil"/>
              <w:bottom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c>
          <w:tcPr>
            <w:tcW w:w="675" w:type="dxa"/>
            <w:tcBorders>
              <w:left w:val="nil"/>
              <w:bottom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15</w:t>
            </w:r>
          </w:p>
        </w:tc>
        <w:tc>
          <w:tcPr>
            <w:tcW w:w="675" w:type="dxa"/>
            <w:tcBorders>
              <w:left w:val="nil"/>
              <w:bottom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7</w:t>
            </w:r>
          </w:p>
        </w:tc>
        <w:tc>
          <w:tcPr>
            <w:tcW w:w="675" w:type="dxa"/>
            <w:tcBorders>
              <w:left w:val="nil"/>
              <w:bottom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12</w:t>
            </w:r>
          </w:p>
        </w:tc>
        <w:tc>
          <w:tcPr>
            <w:tcW w:w="675" w:type="dxa"/>
            <w:tcBorders>
              <w:left w:val="nil"/>
              <w:bottom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16</w:t>
            </w:r>
          </w:p>
        </w:tc>
        <w:tc>
          <w:tcPr>
            <w:tcW w:w="675" w:type="dxa"/>
            <w:tcBorders>
              <w:left w:val="nil"/>
              <w:bottom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18</w:t>
            </w:r>
          </w:p>
        </w:tc>
        <w:tc>
          <w:tcPr>
            <w:tcW w:w="675" w:type="dxa"/>
            <w:tcBorders>
              <w:left w:val="nil"/>
              <w:bottom w:val="single" w:sz="4" w:space="0" w:color="auto"/>
              <w:right w:val="single" w:sz="4"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20</w:t>
            </w:r>
          </w:p>
        </w:tc>
        <w:tc>
          <w:tcPr>
            <w:tcW w:w="675" w:type="dxa"/>
            <w:tcBorders>
              <w:left w:val="nil"/>
              <w:bottom w:val="single" w:sz="4" w:space="0" w:color="auto"/>
              <w:righ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r w:rsidRPr="00AD2CF5">
              <w:rPr>
                <w:sz w:val="18"/>
                <w:lang w:val="en-US"/>
              </w:rPr>
              <w:t>22</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lang w:val="en-US"/>
              </w:rPr>
            </w:pP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lang w:val="en-US"/>
              </w:rPr>
            </w:pPr>
            <w:r w:rsidRPr="00AD2CF5">
              <w:rPr>
                <w:i/>
                <w:iCs/>
                <w:sz w:val="18"/>
                <w:lang w:val="en-US"/>
              </w:rPr>
              <w:t>z</w:t>
            </w:r>
          </w:p>
        </w:tc>
        <w:tc>
          <w:tcPr>
            <w:tcW w:w="676"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22</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24</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27</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24</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r>
      <w:tr w:rsidR="00F43C9B" w:rsidRPr="00AD2CF5" w:rsidTr="00F43C9B">
        <w:tc>
          <w:tcPr>
            <w:tcW w:w="676" w:type="dxa"/>
            <w:tcBorders>
              <w:left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rPr>
            </w:pPr>
            <w:r w:rsidRPr="00AD2CF5">
              <w:rPr>
                <w:sz w:val="18"/>
              </w:rPr>
              <w:t>Overig</w:t>
            </w:r>
          </w:p>
        </w:tc>
        <w:tc>
          <w:tcPr>
            <w:tcW w:w="676" w:type="dxa"/>
            <w:tcBorders>
              <w:left w:val="sing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rPr>
            </w:pPr>
            <w:r w:rsidRPr="00AD2CF5">
              <w:rPr>
                <w:i/>
                <w:iCs/>
                <w:sz w:val="18"/>
              </w:rPr>
              <w:t>a</w:t>
            </w:r>
          </w:p>
        </w:tc>
        <w:tc>
          <w:tcPr>
            <w:tcW w:w="676"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21</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22</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26</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24</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right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r>
      <w:tr w:rsidR="00F43C9B" w:rsidRPr="00AD2CF5" w:rsidTr="00F43C9B">
        <w:tc>
          <w:tcPr>
            <w:tcW w:w="676" w:type="dxa"/>
            <w:tcBorders>
              <w:left w:val="double" w:sz="6" w:space="0" w:color="auto"/>
              <w:bottom w:val="doub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sz w:val="18"/>
              </w:rPr>
            </w:pPr>
          </w:p>
        </w:tc>
        <w:tc>
          <w:tcPr>
            <w:tcW w:w="676" w:type="dxa"/>
            <w:tcBorders>
              <w:left w:val="single" w:sz="6" w:space="0" w:color="auto"/>
              <w:bottom w:val="double" w:sz="6" w:space="0" w:color="auto"/>
              <w:right w:val="single" w:sz="6" w:space="0" w:color="auto"/>
            </w:tcBorders>
          </w:tcPr>
          <w:p w:rsidR="00F43C9B" w:rsidRPr="00AD2CF5" w:rsidRDefault="00F43C9B" w:rsidP="00F43C9B">
            <w:pPr>
              <w:shd w:val="clear" w:color="auto" w:fill="D9D9D9" w:themeFill="background1" w:themeFillShade="D9"/>
              <w:tabs>
                <w:tab w:val="left" w:pos="-1440"/>
                <w:tab w:val="left" w:pos="-720"/>
              </w:tabs>
              <w:suppressAutoHyphens/>
              <w:spacing w:after="22" w:line="240" w:lineRule="auto"/>
              <w:rPr>
                <w:i/>
                <w:iCs/>
                <w:sz w:val="18"/>
              </w:rPr>
            </w:pPr>
            <w:r w:rsidRPr="00AD2CF5">
              <w:rPr>
                <w:i/>
                <w:iCs/>
                <w:sz w:val="18"/>
              </w:rPr>
              <w:t>h</w:t>
            </w:r>
          </w:p>
        </w:tc>
        <w:tc>
          <w:tcPr>
            <w:tcW w:w="676" w:type="dxa"/>
            <w:tcBorders>
              <w:left w:val="single" w:sz="6" w:space="0" w:color="auto"/>
              <w:bottom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bottom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bottom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19</w:t>
            </w:r>
          </w:p>
        </w:tc>
        <w:tc>
          <w:tcPr>
            <w:tcW w:w="675" w:type="dxa"/>
            <w:tcBorders>
              <w:left w:val="single" w:sz="6" w:space="0" w:color="auto"/>
              <w:bottom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16</w:t>
            </w:r>
          </w:p>
        </w:tc>
        <w:tc>
          <w:tcPr>
            <w:tcW w:w="675" w:type="dxa"/>
            <w:tcBorders>
              <w:left w:val="single" w:sz="6" w:space="0" w:color="auto"/>
              <w:bottom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21</w:t>
            </w:r>
          </w:p>
        </w:tc>
        <w:tc>
          <w:tcPr>
            <w:tcW w:w="675" w:type="dxa"/>
            <w:tcBorders>
              <w:left w:val="single" w:sz="6" w:space="0" w:color="auto"/>
              <w:bottom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21</w:t>
            </w:r>
          </w:p>
        </w:tc>
        <w:tc>
          <w:tcPr>
            <w:tcW w:w="675" w:type="dxa"/>
            <w:tcBorders>
              <w:left w:val="single" w:sz="6" w:space="0" w:color="auto"/>
              <w:bottom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27</w:t>
            </w:r>
          </w:p>
        </w:tc>
        <w:tc>
          <w:tcPr>
            <w:tcW w:w="675" w:type="dxa"/>
            <w:tcBorders>
              <w:left w:val="single" w:sz="6" w:space="0" w:color="auto"/>
              <w:bottom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c>
          <w:tcPr>
            <w:tcW w:w="675" w:type="dxa"/>
            <w:tcBorders>
              <w:left w:val="single" w:sz="6" w:space="0" w:color="auto"/>
              <w:bottom w:val="double" w:sz="6" w:space="0" w:color="auto"/>
              <w:right w:val="double" w:sz="6" w:space="0" w:color="auto"/>
            </w:tcBorders>
          </w:tcPr>
          <w:p w:rsidR="00F43C9B" w:rsidRPr="00AD2CF5" w:rsidRDefault="00F43C9B" w:rsidP="00F43C9B">
            <w:pPr>
              <w:shd w:val="clear" w:color="auto" w:fill="D9D9D9" w:themeFill="background1" w:themeFillShade="D9"/>
              <w:rPr>
                <w:snapToGrid w:val="0"/>
                <w:sz w:val="18"/>
              </w:rPr>
            </w:pPr>
            <w:r w:rsidRPr="00AD2CF5">
              <w:rPr>
                <w:snapToGrid w:val="0"/>
                <w:sz w:val="18"/>
              </w:rPr>
              <w:t>29</w:t>
            </w:r>
          </w:p>
        </w:tc>
      </w:tr>
    </w:tbl>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br w:type="page"/>
        <w:t>Als onder het geluidpad verschillende bodemtypen liggen met verschillende bodemhardheid</w:t>
      </w:r>
      <w:r w:rsidRPr="00AD2CF5">
        <w:fldChar w:fldCharType="begin"/>
      </w:r>
      <w:r w:rsidRPr="00AD2CF5">
        <w:instrText xml:space="preserve"> XE "bodemhardheid" </w:instrText>
      </w:r>
      <w:r w:rsidRPr="00AD2CF5">
        <w:fldChar w:fldCharType="end"/>
      </w:r>
      <w:r w:rsidRPr="00AD2CF5">
        <w:t xml:space="preserve"> wordt de bovengrens </w:t>
      </w:r>
      <w:r w:rsidRPr="00AD2CF5">
        <w:rPr>
          <w:i/>
          <w:iCs/>
        </w:rPr>
        <w:t>D</w:t>
      </w:r>
      <w:r w:rsidRPr="00AD2CF5">
        <w:rPr>
          <w:i/>
          <w:iCs/>
          <w:vertAlign w:val="subscript"/>
        </w:rPr>
        <w:t>bodem,max</w:t>
      </w:r>
      <w:r w:rsidRPr="00AD2CF5">
        <w:t xml:space="preserve"> gegeven door:</w:t>
      </w:r>
    </w:p>
    <w:p w:rsidR="00F43C9B" w:rsidRPr="00AD2CF5" w:rsidRDefault="00F43C9B" w:rsidP="00F43C9B">
      <w:pPr>
        <w:shd w:val="clear" w:color="auto" w:fill="D9D9D9" w:themeFill="background1" w:themeFillShade="D9"/>
        <w:tabs>
          <w:tab w:val="center" w:pos="3686"/>
          <w:tab w:val="right" w:pos="7371"/>
        </w:tabs>
        <w:suppressAutoHyphens/>
        <w:spacing w:line="240" w:lineRule="auto"/>
      </w:pPr>
    </w:p>
    <w:p w:rsidR="00F43C9B" w:rsidRPr="00AD2CF5" w:rsidRDefault="00F43C9B" w:rsidP="00F43C9B">
      <w:pPr>
        <w:shd w:val="clear" w:color="auto" w:fill="D9D9D9" w:themeFill="background1" w:themeFillShade="D9"/>
        <w:tabs>
          <w:tab w:val="left" w:pos="567"/>
          <w:tab w:val="right" w:pos="7371"/>
        </w:tabs>
        <w:suppressAutoHyphens/>
        <w:spacing w:line="240" w:lineRule="auto"/>
      </w:pPr>
      <w:r w:rsidRPr="00AD2CF5">
        <w:rPr>
          <w:position w:val="-12"/>
        </w:rPr>
        <w:object w:dxaOrig="5760" w:dyaOrig="340">
          <v:shape id="_x0000_i1100" type="#_x0000_t75" style="width:4in;height:17.25pt" o:ole="">
            <v:imagedata r:id="rId235" o:title=""/>
          </v:shape>
          <o:OLEObject Type="Embed" ProgID="Equation.3" ShapeID="_x0000_i1100" DrawAspect="Content" ObjectID="_1511255438" r:id="rId236"/>
        </w:object>
      </w:r>
      <w:r w:rsidRPr="00AD2CF5">
        <w:tab/>
      </w:r>
      <w:r w:rsidRPr="00AD2CF5">
        <w:rPr>
          <w:b/>
        </w:rPr>
        <w:t>(4. 37)</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rPr>
          <w:vanish/>
        </w:rPr>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met:</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rPr>
          <w:i/>
        </w:rPr>
        <w:t>D</w:t>
      </w:r>
      <w:r w:rsidRPr="00AD2CF5">
        <w:rPr>
          <w:i/>
          <w:vertAlign w:val="subscript"/>
        </w:rPr>
        <w:t>bodem,max</w:t>
      </w:r>
      <w:r w:rsidRPr="00AD2CF5">
        <w:t>(</w:t>
      </w:r>
      <w:r w:rsidRPr="00AD2CF5">
        <w:rPr>
          <w:i/>
        </w:rPr>
        <w:t>v</w:t>
      </w:r>
      <w:r w:rsidRPr="00AD2CF5">
        <w:t>)</w:t>
      </w:r>
      <w:r w:rsidRPr="00AD2CF5">
        <w:tab/>
        <w:t>bovengrens voor bodemtype</w:t>
      </w:r>
      <w:r w:rsidRPr="00AD2CF5">
        <w:fldChar w:fldCharType="begin"/>
      </w:r>
      <w:r w:rsidRPr="00AD2CF5">
        <w:instrText xml:space="preserve"> XE "bodemtype" </w:instrText>
      </w:r>
      <w:r w:rsidRPr="00AD2CF5">
        <w:fldChar w:fldCharType="end"/>
      </w:r>
      <w:r w:rsidRPr="00AD2CF5">
        <w:t xml:space="preserve"> </w:t>
      </w:r>
      <w:r w:rsidRPr="00AD2CF5">
        <w:rPr>
          <w:i/>
        </w:rPr>
        <w:t>v</w:t>
      </w:r>
      <w:r w:rsidRPr="00AD2CF5">
        <w:t xml:space="preserve"> voor een bepaald profiel.</w:t>
      </w: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p>
    <w:p w:rsidR="00F43C9B" w:rsidRPr="00AD2CF5" w:rsidRDefault="00F43C9B" w:rsidP="00F43C9B">
      <w:pPr>
        <w:shd w:val="clear" w:color="auto" w:fill="D9D9D9" w:themeFill="background1" w:themeFillShade="D9"/>
        <w:tabs>
          <w:tab w:val="left" w:pos="-108"/>
          <w:tab w:val="left" w:pos="573"/>
          <w:tab w:val="left" w:pos="1309"/>
          <w:tab w:val="left" w:pos="2387"/>
        </w:tabs>
        <w:suppressAutoHyphens/>
        <w:spacing w:line="240" w:lineRule="auto"/>
      </w:pPr>
      <w:r w:rsidRPr="00AD2CF5">
        <w:t xml:space="preserve">De fracties </w:t>
      </w:r>
      <w:r w:rsidRPr="00AD2CF5">
        <w:rPr>
          <w:i/>
        </w:rPr>
        <w:t>f</w:t>
      </w:r>
      <w:r w:rsidRPr="00AD2CF5">
        <w:rPr>
          <w:i/>
          <w:vertAlign w:val="subscript"/>
        </w:rPr>
        <w:t>z</w:t>
      </w:r>
      <w:r w:rsidRPr="00AD2CF5">
        <w:rPr>
          <w:i/>
        </w:rPr>
        <w:t>, f</w:t>
      </w:r>
      <w:r w:rsidRPr="00AD2CF5">
        <w:rPr>
          <w:i/>
          <w:vertAlign w:val="subscript"/>
        </w:rPr>
        <w:t>a</w:t>
      </w:r>
      <w:r w:rsidRPr="00AD2CF5">
        <w:rPr>
          <w:i/>
        </w:rPr>
        <w:t xml:space="preserve"> en f</w:t>
      </w:r>
      <w:r w:rsidRPr="00AD2CF5">
        <w:rPr>
          <w:i/>
          <w:vertAlign w:val="subscript"/>
        </w:rPr>
        <w:t>h</w:t>
      </w:r>
      <w:r w:rsidRPr="00AD2CF5">
        <w:t xml:space="preserve"> worden voor de meewindprofielen en het neutrale profiel bepaald over de totale afstand tussen bron en rekenpunt, voor de tegenwind</w:t>
      </w:r>
      <w:r w:rsidRPr="00AD2CF5">
        <w:softHyphen/>
        <w:t>profielen worden de fracties bepaald over een gereduceerd gebied bij bron- en rekenpunt, zoals dit boven formule 4.36 is beschreven. De begrenzing wordt eerst toegepast nadat met formule 4.33 c.q. 4.36 de bodemdemping</w:t>
      </w:r>
      <w:r w:rsidRPr="00AD2CF5">
        <w:fldChar w:fldCharType="begin"/>
      </w:r>
      <w:r w:rsidRPr="00AD2CF5">
        <w:instrText xml:space="preserve"> XE "bodemdemping" </w:instrText>
      </w:r>
      <w:r w:rsidRPr="00AD2CF5">
        <w:fldChar w:fldCharType="end"/>
      </w:r>
      <w:r w:rsidRPr="00AD2CF5">
        <w:t xml:space="preserve"> berekend is en de eventuele schermwerking</w:t>
      </w:r>
      <w:r w:rsidRPr="00AD2CF5">
        <w:fldChar w:fldCharType="begin"/>
      </w:r>
      <w:r w:rsidRPr="00AD2CF5">
        <w:instrText xml:space="preserve"> XE "schermwerking" </w:instrText>
      </w:r>
      <w:r w:rsidRPr="00AD2CF5">
        <w:fldChar w:fldCharType="end"/>
      </w:r>
      <w:r w:rsidRPr="00AD2CF5">
        <w:t xml:space="preserve"> bepaald is.</w:t>
      </w:r>
    </w:p>
    <w:p w:rsidR="00F43C9B" w:rsidRPr="00AD2CF5" w:rsidRDefault="00F43C9B" w:rsidP="00F43C9B">
      <w:pPr>
        <w:keepNext/>
        <w:keepLines/>
        <w:shd w:val="clear" w:color="auto" w:fill="D9D9D9" w:themeFill="background1" w:themeFillShade="D9"/>
        <w:tabs>
          <w:tab w:val="left" w:pos="-1440"/>
          <w:tab w:val="left" w:pos="-720"/>
        </w:tabs>
        <w:suppressAutoHyphens/>
        <w:spacing w:line="240" w:lineRule="auto"/>
      </w:pPr>
      <w:r w:rsidRPr="00AD2CF5">
        <w:rPr>
          <w:i/>
        </w:rPr>
        <w:t>Effectieve hoogte van bron of rekenpunt</w:t>
      </w:r>
      <w:r w:rsidRPr="00AD2CF5">
        <w:br/>
        <w:t>Bij de bepaling van de bodemdemping</w:t>
      </w:r>
      <w:r w:rsidRPr="00AD2CF5">
        <w:fldChar w:fldCharType="begin"/>
      </w:r>
      <w:r w:rsidRPr="00AD2CF5">
        <w:instrText xml:space="preserve"> XE "bodemdemping" </w:instrText>
      </w:r>
      <w:r w:rsidRPr="00AD2CF5">
        <w:fldChar w:fldCharType="end"/>
      </w:r>
      <w:r w:rsidRPr="00AD2CF5">
        <w:t xml:space="preserve"> is ook de hoogte van bron- en rekenpunt van belang. Indien het geluidpad één scherm</w:t>
      </w:r>
      <w:r w:rsidRPr="00AD2CF5">
        <w:fldChar w:fldCharType="begin"/>
      </w:r>
      <w:r w:rsidRPr="00AD2CF5">
        <w:instrText xml:space="preserve"> XE "afschermende objecten:scherm" </w:instrText>
      </w:r>
      <w:r w:rsidRPr="00AD2CF5">
        <w:fldChar w:fldCharType="end"/>
      </w:r>
      <w:r w:rsidRPr="00AD2CF5">
        <w:t xml:space="preserve"> snijdt dan wordt de hoogte van één van beide vervangen door een effectieve hoogte</w:t>
      </w:r>
      <w:r w:rsidRPr="00AD2CF5">
        <w:fldChar w:fldCharType="begin"/>
      </w:r>
      <w:r w:rsidRPr="00AD2CF5">
        <w:instrText xml:space="preserve"> XE "effectieve hoogte" </w:instrText>
      </w:r>
      <w:r w:rsidRPr="00AD2CF5">
        <w:fldChar w:fldCharType="end"/>
      </w:r>
      <w:r w:rsidRPr="00AD2CF5">
        <w:t>, afhankelijk van welk punt het dichtst bij het scherm staat. Als meer dan één scherm doorsneden wordt, worden de effectieve hoogtes van zowel het bron- als rekenpunt gebruikt. Eerst worden de schermen daartoe in twee groepen verdeeld; schermen die dichter bij de bron staan dan bij het rekenpunt en schermen die dichter bij het rekenpunt staan dan bij de bron. De effectieve hoogte voor de bron wordt bepaald op basis van het meest effectieve scherm uit de eerste groep, de effectieve hoogte voor het rekenpunt wordt bepaald op basis van het meest effectieve scherm uit de tweede groep (zie formule 4.53 in § 4.6.5 ). Indien geen schermen in een groep vallen wordt voor de effectieve hoogte de werkelijke hoogte van de bron of het rekenpunt genomen.</w:t>
      </w:r>
    </w:p>
    <w:bookmarkEnd w:id="591"/>
    <w:p w:rsidR="00F43C9B" w:rsidRPr="00AD2CF5" w:rsidRDefault="00F43C9B" w:rsidP="00F43C9B">
      <w:pPr>
        <w:pStyle w:val="Kop3"/>
        <w:shd w:val="clear" w:color="auto" w:fill="D9D9D9" w:themeFill="background1" w:themeFillShade="D9"/>
      </w:pPr>
      <w:r w:rsidRPr="00AD2CF5">
        <w:fldChar w:fldCharType="begin"/>
      </w:r>
      <w:r w:rsidRPr="00AD2CF5">
        <w:instrText xml:space="preserve"> SEQ numchaplev1 \c \* MERGEFORMAT </w:instrText>
      </w:r>
      <w:r w:rsidRPr="00AD2CF5">
        <w:fldChar w:fldCharType="separate"/>
      </w:r>
      <w:bookmarkStart w:id="592" w:name="_Toc413945845"/>
      <w:bookmarkStart w:id="593" w:name="_Toc431375858"/>
      <w:r>
        <w:rPr>
          <w:noProof/>
        </w:rPr>
        <w:t>4</w:t>
      </w:r>
      <w:r w:rsidRPr="00AD2CF5">
        <w:fldChar w:fldCharType="end"/>
      </w:r>
      <w:r w:rsidRPr="00AD2CF5">
        <w:t>.</w:t>
      </w:r>
      <w:r w:rsidR="00C428B8">
        <w:fldChar w:fldCharType="begin"/>
      </w:r>
      <w:r w:rsidR="00C428B8">
        <w:instrText xml:space="preserve"> S</w:instrText>
      </w:r>
      <w:r w:rsidR="00C428B8">
        <w:instrText xml:space="preserve">EQ numchaplev2 \c \* MERGEFORMAT </w:instrText>
      </w:r>
      <w:r w:rsidR="00C428B8">
        <w:fldChar w:fldCharType="separate"/>
      </w:r>
      <w:r w:rsidRPr="00B15E90">
        <w:rPr>
          <w:noProof/>
        </w:rPr>
        <w:t>6</w:t>
      </w:r>
      <w:r w:rsidR="00C428B8">
        <w:rPr>
          <w:noProof/>
        </w:rPr>
        <w:fldChar w:fldCharType="end"/>
      </w:r>
      <w:r w:rsidRPr="00AD2CF5">
        <w:t>.</w:t>
      </w:r>
      <w:r w:rsidR="00C428B8">
        <w:fldChar w:fldCharType="begin"/>
      </w:r>
      <w:r w:rsidR="00C428B8">
        <w:instrText xml:space="preserve"> SEQ numchaplev3 \n \* MERGEFORMAT </w:instrText>
      </w:r>
      <w:r w:rsidR="00C428B8">
        <w:fldChar w:fldCharType="separate"/>
      </w:r>
      <w:r w:rsidRPr="00B15E90">
        <w:rPr>
          <w:noProof/>
        </w:rPr>
        <w:t>5</w:t>
      </w:r>
      <w:r w:rsidR="00C428B8">
        <w:rPr>
          <w:noProof/>
        </w:rPr>
        <w:fldChar w:fldCharType="end"/>
      </w:r>
      <w:r w:rsidRPr="00AD2CF5">
        <w:fldChar w:fldCharType="begin"/>
      </w:r>
      <w:r w:rsidRPr="00AD2CF5">
        <w:instrText xml:space="preserve"> SEQ numchaplev4 \r0\h \* MERGEFORMAT </w:instrText>
      </w:r>
      <w:r w:rsidRPr="00AD2CF5">
        <w:fldChar w:fldCharType="end"/>
      </w:r>
      <w:r w:rsidRPr="00AD2CF5">
        <w:tab/>
        <w:t>Afscherming</w:t>
      </w:r>
      <w:bookmarkEnd w:id="592"/>
      <w:bookmarkEnd w:id="593"/>
    </w:p>
    <w:bookmarkStart w:id="594" w:name="afschermingtheorie"/>
    <w:p w:rsidR="00F43C9B" w:rsidRPr="00AD2CF5" w:rsidRDefault="00F43C9B" w:rsidP="00F43C9B">
      <w:pPr>
        <w:pStyle w:val="Plattetekst"/>
        <w:shd w:val="clear" w:color="auto" w:fill="D9D9D9" w:themeFill="background1" w:themeFillShade="D9"/>
        <w:rPr>
          <w:rFonts w:asciiTheme="minorHAnsi" w:hAnsiTheme="minorHAnsi"/>
          <w:b w:val="0"/>
        </w:rPr>
      </w:pPr>
      <w:r w:rsidRPr="00AD2CF5">
        <w:rPr>
          <w:rFonts w:asciiTheme="minorHAnsi" w:hAnsiTheme="minorHAnsi"/>
          <w:b w:val="0"/>
          <w:bCs/>
        </w:rPr>
        <w:fldChar w:fldCharType="begin"/>
      </w:r>
      <w:r w:rsidRPr="00AD2CF5">
        <w:rPr>
          <w:rFonts w:asciiTheme="minorHAnsi" w:hAnsiTheme="minorHAnsi"/>
          <w:b w:val="0"/>
        </w:rPr>
        <w:instrText xml:space="preserve"> XE "afscherming" </w:instrText>
      </w:r>
      <w:r w:rsidRPr="00AD2CF5">
        <w:rPr>
          <w:rFonts w:asciiTheme="minorHAnsi" w:hAnsiTheme="minorHAnsi"/>
          <w:b w:val="0"/>
          <w:bCs/>
        </w:rPr>
        <w:fldChar w:fldCharType="end"/>
      </w:r>
      <w:r w:rsidRPr="00AD2CF5">
        <w:rPr>
          <w:rFonts w:asciiTheme="minorHAnsi" w:hAnsiTheme="minorHAnsi"/>
          <w:b w:val="0"/>
        </w:rPr>
        <w:t>In situaties waarin het verticale vlak door het bron- en rekenpunt een object snijdt (bijvoor</w:t>
      </w:r>
      <w:r w:rsidRPr="00AD2CF5">
        <w:rPr>
          <w:rFonts w:asciiTheme="minorHAnsi" w:hAnsiTheme="minorHAnsi"/>
          <w:b w:val="0"/>
        </w:rPr>
        <w:softHyphen/>
        <w:t xml:space="preserve">beeld een geluidscherm), wordt de invloed van dit object in formule 4.2 in rekening worden gebracht door de term </w:t>
      </w:r>
      <w:r w:rsidRPr="00AD2CF5">
        <w:rPr>
          <w:rFonts w:asciiTheme="minorHAnsi" w:hAnsiTheme="minorHAnsi"/>
          <w:b w:val="0"/>
          <w:i/>
        </w:rPr>
        <w:t>D</w:t>
      </w:r>
      <w:r w:rsidRPr="00AD2CF5">
        <w:rPr>
          <w:rFonts w:asciiTheme="minorHAnsi" w:hAnsiTheme="minorHAnsi"/>
          <w:b w:val="0"/>
          <w:i/>
          <w:vertAlign w:val="subscript"/>
        </w:rPr>
        <w:t>scherm</w:t>
      </w:r>
      <w:r w:rsidRPr="00AD2CF5">
        <w:rPr>
          <w:rFonts w:asciiTheme="minorHAnsi" w:hAnsiTheme="minorHAnsi"/>
          <w:b w:val="0"/>
        </w:rPr>
        <w:t>. In andere situaties is deze term gelijk aan nul.</w:t>
      </w:r>
    </w:p>
    <w:p w:rsidR="00F43C9B" w:rsidRDefault="00F43C9B" w:rsidP="00F43C9B">
      <w:pPr>
        <w:keepNext/>
        <w:keepLines/>
        <w:shd w:val="clear" w:color="auto" w:fill="D9D9D9" w:themeFill="background1" w:themeFillShade="D9"/>
        <w:tabs>
          <w:tab w:val="left" w:pos="-1440"/>
          <w:tab w:val="left" w:pos="-720"/>
        </w:tabs>
        <w:suppressAutoHyphens/>
        <w:spacing w:line="240" w:lineRule="auto"/>
      </w:pPr>
      <w:r w:rsidRPr="00AD2CF5">
        <w:rPr>
          <w:i/>
        </w:rPr>
        <w:t>Situaties met één scherm</w:t>
      </w:r>
      <w:r w:rsidRPr="00AD2CF5">
        <w:rPr>
          <w:i/>
        </w:rPr>
        <w:fldChar w:fldCharType="begin"/>
      </w:r>
      <w:r w:rsidRPr="00AD2CF5">
        <w:rPr>
          <w:i/>
        </w:rPr>
        <w:instrText xml:space="preserve"> XE "</w:instrText>
      </w:r>
      <w:r w:rsidRPr="00AD2CF5">
        <w:instrText>afschermende objecten:scherm"</w:instrText>
      </w:r>
      <w:r w:rsidRPr="00AD2CF5">
        <w:rPr>
          <w:i/>
        </w:rPr>
        <w:instrText xml:space="preserve"> </w:instrText>
      </w:r>
      <w:r w:rsidRPr="00AD2CF5">
        <w:rPr>
          <w:i/>
        </w:rPr>
        <w:fldChar w:fldCharType="end"/>
      </w:r>
      <w:r w:rsidRPr="00AD2CF5">
        <w:br/>
        <w:t>Een scherm</w:t>
      </w:r>
      <w:r w:rsidRPr="00AD2CF5">
        <w:fldChar w:fldCharType="begin"/>
      </w:r>
      <w:r w:rsidRPr="00AD2CF5">
        <w:instrText xml:space="preserve"> XE "afschermende objecten:scherm" </w:instrText>
      </w:r>
      <w:r w:rsidRPr="00AD2CF5">
        <w:fldChar w:fldCharType="end"/>
      </w:r>
      <w:r w:rsidRPr="00AD2CF5">
        <w:t xml:space="preserve"> wordt geschematiseerd door een verticaal staande rechthoek. Drie geluidpaden worden onderscheiden. Eén pad via de top van het scherm en twee paden via de zijkanten van het scherm (zie figuur 4.8). De verticale schermhoogte </w:t>
      </w:r>
      <w:r w:rsidRPr="00AD2CF5">
        <w:rPr>
          <w:i/>
          <w:iCs/>
        </w:rPr>
        <w:t>z</w:t>
      </w:r>
      <w:r w:rsidRPr="00AD2CF5">
        <w:rPr>
          <w:vertAlign w:val="subscript"/>
        </w:rPr>
        <w:t>sch,1</w:t>
      </w:r>
      <w:r w:rsidRPr="00AD2CF5">
        <w:t xml:space="preserve"> is de hoogte van het scherm ten opzichte van het laagste aan het scherm grenzende maaiveld. De "horizontale schermhoogten"  </w:t>
      </w:r>
      <w:r w:rsidRPr="00AD2CF5">
        <w:rPr>
          <w:i/>
          <w:iCs/>
        </w:rPr>
        <w:t>z</w:t>
      </w:r>
      <w:r w:rsidRPr="00AD2CF5">
        <w:rPr>
          <w:vertAlign w:val="subscript"/>
        </w:rPr>
        <w:t>sch,2</w:t>
      </w:r>
      <w:r w:rsidRPr="00AD2CF5">
        <w:t xml:space="preserve"> en </w:t>
      </w:r>
      <w:r w:rsidRPr="00AD2CF5">
        <w:rPr>
          <w:i/>
          <w:iCs/>
        </w:rPr>
        <w:t>z</w:t>
      </w:r>
      <w:r w:rsidRPr="00AD2CF5">
        <w:rPr>
          <w:vertAlign w:val="subscript"/>
        </w:rPr>
        <w:t>sch,3</w:t>
      </w:r>
      <w:r w:rsidRPr="00AD2CF5">
        <w:t xml:space="preserve"> zijn in figuur 4.9 gedefinieerd.</w:t>
      </w:r>
    </w:p>
    <w:p w:rsidR="00F43C9B" w:rsidRPr="00AD2CF5" w:rsidRDefault="00F43C9B" w:rsidP="00F43C9B">
      <w:pPr>
        <w:keepLines/>
        <w:shd w:val="clear" w:color="auto" w:fill="D9D9D9" w:themeFill="background1" w:themeFillShade="D9"/>
        <w:tabs>
          <w:tab w:val="left" w:pos="-1440"/>
          <w:tab w:val="left" w:pos="-720"/>
        </w:tabs>
        <w:suppressAutoHyphens/>
        <w:spacing w:line="240" w:lineRule="auto"/>
      </w:pPr>
    </w:p>
    <w:tbl>
      <w:tblPr>
        <w:tblW w:w="0" w:type="auto"/>
        <w:tblLayout w:type="fixed"/>
        <w:tblCellMar>
          <w:left w:w="70" w:type="dxa"/>
          <w:right w:w="70" w:type="dxa"/>
        </w:tblCellMar>
        <w:tblLook w:val="0000" w:firstRow="0" w:lastRow="0" w:firstColumn="0" w:lastColumn="0" w:noHBand="0" w:noVBand="0"/>
      </w:tblPr>
      <w:tblGrid>
        <w:gridCol w:w="3756"/>
        <w:gridCol w:w="3754"/>
      </w:tblGrid>
      <w:tr w:rsidR="00F43C9B" w:rsidRPr="00AD2CF5" w:rsidTr="00F43C9B">
        <w:tc>
          <w:tcPr>
            <w:tcW w:w="3756" w:type="dxa"/>
          </w:tcPr>
          <w:p w:rsidR="00F43C9B" w:rsidRPr="00AD2CF5" w:rsidRDefault="00F43C9B" w:rsidP="00F43C9B">
            <w:pPr>
              <w:keepLines/>
              <w:shd w:val="clear" w:color="auto" w:fill="D9D9D9" w:themeFill="background1" w:themeFillShade="D9"/>
              <w:tabs>
                <w:tab w:val="left" w:pos="-1440"/>
                <w:tab w:val="left" w:pos="-720"/>
              </w:tabs>
              <w:suppressAutoHyphens/>
              <w:spacing w:line="240" w:lineRule="auto"/>
              <w:ind w:left="284"/>
              <w:rPr>
                <w:b/>
                <w:sz w:val="21"/>
              </w:rPr>
            </w:pPr>
          </w:p>
          <w:p w:rsidR="00F43C9B" w:rsidRPr="00AD2CF5" w:rsidRDefault="00F43C9B" w:rsidP="00F43C9B">
            <w:pPr>
              <w:keepLines/>
              <w:shd w:val="clear" w:color="auto" w:fill="D9D9D9" w:themeFill="background1" w:themeFillShade="D9"/>
              <w:tabs>
                <w:tab w:val="left" w:pos="-1440"/>
                <w:tab w:val="left" w:pos="-720"/>
              </w:tabs>
              <w:suppressAutoHyphens/>
              <w:spacing w:line="240" w:lineRule="auto"/>
              <w:rPr>
                <w:b/>
                <w:sz w:val="21"/>
              </w:rPr>
            </w:pPr>
            <w:r w:rsidRPr="00AD2CF5">
              <w:rPr>
                <w:b/>
                <w:noProof/>
                <w:sz w:val="21"/>
                <w:lang w:eastAsia="nl-NL"/>
              </w:rPr>
              <w:drawing>
                <wp:inline distT="0" distB="0" distL="0" distR="0" wp14:anchorId="6CE707F7" wp14:editId="76296E69">
                  <wp:extent cx="2305050" cy="1323975"/>
                  <wp:effectExtent l="19050" t="0" r="0" b="0"/>
                  <wp:docPr id="128" name="Afbeelding 109" descr="fig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ig4_9"/>
                          <pic:cNvPicPr>
                            <a:picLocks noChangeAspect="1" noChangeArrowheads="1"/>
                          </pic:cNvPicPr>
                        </pic:nvPicPr>
                        <pic:blipFill>
                          <a:blip r:embed="rId237" cstate="print"/>
                          <a:srcRect/>
                          <a:stretch>
                            <a:fillRect/>
                          </a:stretch>
                        </pic:blipFill>
                        <pic:spPr bwMode="auto">
                          <a:xfrm>
                            <a:off x="0" y="0"/>
                            <a:ext cx="2305050" cy="1323975"/>
                          </a:xfrm>
                          <a:prstGeom prst="rect">
                            <a:avLst/>
                          </a:prstGeom>
                          <a:noFill/>
                          <a:ln w="9525">
                            <a:noFill/>
                            <a:miter lim="800000"/>
                            <a:headEnd/>
                            <a:tailEnd/>
                          </a:ln>
                        </pic:spPr>
                      </pic:pic>
                    </a:graphicData>
                  </a:graphic>
                </wp:inline>
              </w:drawing>
            </w:r>
          </w:p>
          <w:p w:rsidR="00F43C9B" w:rsidRPr="00AD2CF5" w:rsidRDefault="00F43C9B" w:rsidP="00F43C9B">
            <w:pPr>
              <w:keepLines/>
              <w:shd w:val="clear" w:color="auto" w:fill="D9D9D9" w:themeFill="background1" w:themeFillShade="D9"/>
              <w:tabs>
                <w:tab w:val="left" w:pos="-1440"/>
                <w:tab w:val="left" w:pos="-720"/>
              </w:tabs>
              <w:suppressAutoHyphens/>
              <w:spacing w:line="240" w:lineRule="auto"/>
            </w:pPr>
          </w:p>
        </w:tc>
        <w:tc>
          <w:tcPr>
            <w:tcW w:w="3754" w:type="dxa"/>
          </w:tcPr>
          <w:p w:rsidR="00F43C9B" w:rsidRPr="00AD2CF5" w:rsidRDefault="00F43C9B" w:rsidP="00F43C9B">
            <w:pPr>
              <w:keepLines/>
              <w:shd w:val="clear" w:color="auto" w:fill="D9D9D9" w:themeFill="background1" w:themeFillShade="D9"/>
              <w:tabs>
                <w:tab w:val="left" w:pos="-1440"/>
                <w:tab w:val="left" w:pos="-720"/>
                <w:tab w:val="right" w:pos="3474"/>
              </w:tabs>
              <w:suppressAutoHyphens/>
              <w:spacing w:line="240" w:lineRule="auto"/>
            </w:pPr>
            <w:r w:rsidRPr="00AD2CF5">
              <w:rPr>
                <w:noProof/>
                <w:lang w:eastAsia="nl-NL"/>
              </w:rPr>
              <w:drawing>
                <wp:inline distT="0" distB="0" distL="0" distR="0" wp14:anchorId="2E7DB0B3" wp14:editId="26F094ED">
                  <wp:extent cx="2305050" cy="1838325"/>
                  <wp:effectExtent l="19050" t="0" r="0" b="0"/>
                  <wp:docPr id="129" name="Afbeelding 110" descr="fig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g4_10"/>
                          <pic:cNvPicPr>
                            <a:picLocks noChangeAspect="1" noChangeArrowheads="1"/>
                          </pic:cNvPicPr>
                        </pic:nvPicPr>
                        <pic:blipFill>
                          <a:blip r:embed="rId238" cstate="print"/>
                          <a:srcRect/>
                          <a:stretch>
                            <a:fillRect/>
                          </a:stretch>
                        </pic:blipFill>
                        <pic:spPr bwMode="auto">
                          <a:xfrm>
                            <a:off x="0" y="0"/>
                            <a:ext cx="2305050" cy="1838325"/>
                          </a:xfrm>
                          <a:prstGeom prst="rect">
                            <a:avLst/>
                          </a:prstGeom>
                          <a:noFill/>
                          <a:ln w="9525">
                            <a:noFill/>
                            <a:miter lim="800000"/>
                            <a:headEnd/>
                            <a:tailEnd/>
                          </a:ln>
                        </pic:spPr>
                      </pic:pic>
                    </a:graphicData>
                  </a:graphic>
                </wp:inline>
              </w:drawing>
            </w:r>
          </w:p>
        </w:tc>
      </w:tr>
      <w:tr w:rsidR="00F43C9B" w:rsidRPr="00AD2CF5" w:rsidTr="00F43C9B">
        <w:tc>
          <w:tcPr>
            <w:tcW w:w="3756" w:type="dxa"/>
          </w:tcPr>
          <w:p w:rsidR="00F43C9B" w:rsidRPr="00AD2CF5" w:rsidRDefault="00F43C9B" w:rsidP="00F43C9B">
            <w:pPr>
              <w:pStyle w:val="Bijschrift"/>
              <w:shd w:val="clear" w:color="auto" w:fill="D9D9D9" w:themeFill="background1" w:themeFillShade="D9"/>
              <w:rPr>
                <w:b w:val="0"/>
                <w:lang w:val="nl-NL"/>
              </w:rPr>
            </w:pPr>
            <w:r w:rsidRPr="00AD2CF5">
              <w:rPr>
                <w:lang w:val="nl-NL"/>
              </w:rPr>
              <w:t>Figuur 4. 8:</w:t>
            </w:r>
            <w:r w:rsidRPr="00AD2CF5">
              <w:rPr>
                <w:b w:val="0"/>
                <w:lang w:val="nl-NL"/>
              </w:rPr>
              <w:t xml:space="preserve"> Geluid bereikt het reken</w:t>
            </w:r>
            <w:r w:rsidRPr="00AD2CF5">
              <w:rPr>
                <w:b w:val="0"/>
                <w:lang w:val="nl-NL"/>
              </w:rPr>
              <w:softHyphen/>
              <w:t>punt achter een eindig scherm</w:t>
            </w:r>
            <w:r w:rsidRPr="00AD2CF5">
              <w:rPr>
                <w:b w:val="0"/>
              </w:rPr>
              <w:fldChar w:fldCharType="begin"/>
            </w:r>
            <w:r w:rsidRPr="00AD2CF5">
              <w:rPr>
                <w:b w:val="0"/>
                <w:lang w:val="nl-NL"/>
              </w:rPr>
              <w:instrText xml:space="preserve"> XE "</w:instrText>
            </w:r>
            <w:r w:rsidRPr="00AD2CF5">
              <w:rPr>
                <w:lang w:val="nl-NL"/>
              </w:rPr>
              <w:instrText>afschermende objecten:scherm"</w:instrText>
            </w:r>
            <w:r w:rsidRPr="00AD2CF5">
              <w:rPr>
                <w:b w:val="0"/>
                <w:lang w:val="nl-NL"/>
              </w:rPr>
              <w:instrText xml:space="preserve"> </w:instrText>
            </w:r>
            <w:r w:rsidRPr="00AD2CF5">
              <w:rPr>
                <w:b w:val="0"/>
              </w:rPr>
              <w:fldChar w:fldCharType="end"/>
            </w:r>
            <w:r w:rsidRPr="00AD2CF5">
              <w:rPr>
                <w:b w:val="0"/>
                <w:lang w:val="nl-NL"/>
              </w:rPr>
              <w:t xml:space="preserve"> via de top en via de zijkanten van een scherm.</w:t>
            </w:r>
          </w:p>
          <w:p w:rsidR="00F43C9B" w:rsidRPr="00AD2CF5" w:rsidRDefault="00F43C9B" w:rsidP="00F43C9B">
            <w:pPr>
              <w:keepLines/>
              <w:shd w:val="clear" w:color="auto" w:fill="D9D9D9" w:themeFill="background1" w:themeFillShade="D9"/>
              <w:tabs>
                <w:tab w:val="left" w:pos="-1440"/>
                <w:tab w:val="left" w:pos="-720"/>
              </w:tabs>
              <w:suppressAutoHyphens/>
              <w:spacing w:line="240" w:lineRule="auto"/>
            </w:pPr>
          </w:p>
        </w:tc>
        <w:tc>
          <w:tcPr>
            <w:tcW w:w="3754" w:type="dxa"/>
          </w:tcPr>
          <w:p w:rsidR="00F43C9B" w:rsidRPr="00AD2CF5" w:rsidRDefault="00F43C9B" w:rsidP="00F43C9B">
            <w:pPr>
              <w:pStyle w:val="Bijschrift"/>
              <w:shd w:val="clear" w:color="auto" w:fill="D9D9D9" w:themeFill="background1" w:themeFillShade="D9"/>
              <w:rPr>
                <w:b w:val="0"/>
                <w:lang w:val="nl-NL"/>
              </w:rPr>
            </w:pPr>
            <w:r w:rsidRPr="00AD2CF5">
              <w:rPr>
                <w:lang w:val="nl-NL"/>
              </w:rPr>
              <w:t>Figuur 4. 9:</w:t>
            </w:r>
            <w:r w:rsidRPr="00AD2CF5">
              <w:rPr>
                <w:b w:val="0"/>
                <w:lang w:val="nl-NL"/>
              </w:rPr>
              <w:t xml:space="preserve"> Definitie van "horizontale" scherm</w:t>
            </w:r>
            <w:r w:rsidRPr="00AD2CF5">
              <w:rPr>
                <w:b w:val="0"/>
                <w:lang w:val="nl-NL"/>
              </w:rPr>
              <w:softHyphen/>
            </w:r>
            <w:r w:rsidRPr="00AD2CF5">
              <w:rPr>
                <w:b w:val="0"/>
              </w:rPr>
              <w:fldChar w:fldCharType="begin"/>
            </w:r>
            <w:r w:rsidRPr="00AD2CF5">
              <w:rPr>
                <w:b w:val="0"/>
                <w:lang w:val="nl-NL"/>
              </w:rPr>
              <w:instrText xml:space="preserve"> XE "</w:instrText>
            </w:r>
            <w:r w:rsidRPr="00AD2CF5">
              <w:rPr>
                <w:lang w:val="nl-NL"/>
              </w:rPr>
              <w:instrText>afschermende objecten:scherm"</w:instrText>
            </w:r>
            <w:r w:rsidRPr="00AD2CF5">
              <w:rPr>
                <w:b w:val="0"/>
                <w:lang w:val="nl-NL"/>
              </w:rPr>
              <w:instrText xml:space="preserve"> </w:instrText>
            </w:r>
            <w:r w:rsidRPr="00AD2CF5">
              <w:rPr>
                <w:b w:val="0"/>
              </w:rPr>
              <w:fldChar w:fldCharType="end"/>
            </w:r>
            <w:r w:rsidRPr="00AD2CF5">
              <w:rPr>
                <w:b w:val="0"/>
                <w:lang w:val="nl-NL"/>
              </w:rPr>
              <w:t>hoogtes in een bovenaanzicht van een scherm tussen bron en rekenpunt.</w:t>
            </w:r>
          </w:p>
          <w:p w:rsidR="00F43C9B" w:rsidRPr="00AD2CF5" w:rsidRDefault="00F43C9B" w:rsidP="00F43C9B">
            <w:pPr>
              <w:keepLines/>
              <w:shd w:val="clear" w:color="auto" w:fill="D9D9D9" w:themeFill="background1" w:themeFillShade="D9"/>
              <w:tabs>
                <w:tab w:val="left" w:pos="-1440"/>
                <w:tab w:val="left" w:pos="-720"/>
              </w:tabs>
              <w:suppressAutoHyphens/>
              <w:spacing w:line="240" w:lineRule="auto"/>
            </w:pPr>
          </w:p>
        </w:tc>
      </w:tr>
    </w:tbl>
    <w:p w:rsidR="00F43C9B" w:rsidRPr="00AD2CF5" w:rsidRDefault="00F43C9B" w:rsidP="00F43C9B">
      <w:pPr>
        <w:shd w:val="clear" w:color="auto" w:fill="D9D9D9" w:themeFill="background1" w:themeFillShade="D9"/>
        <w:tabs>
          <w:tab w:val="left" w:pos="-1440"/>
          <w:tab w:val="left" w:pos="-720"/>
        </w:tabs>
        <w:suppressAutoHyphens/>
        <w:spacing w:line="240" w:lineRule="auto"/>
      </w:pP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t>Afhankelijk van de meteorologische situatie zijn de geluidpaden meer of minder gekromd. Hiermee wordt rekening gehouden bij de bepaling van de scherm</w:t>
      </w:r>
      <w:r w:rsidRPr="00AD2CF5">
        <w:softHyphen/>
        <w:t>werking</w:t>
      </w:r>
      <w:r w:rsidRPr="00AD2CF5">
        <w:fldChar w:fldCharType="begin"/>
      </w:r>
      <w:r w:rsidRPr="00AD2CF5">
        <w:instrText xml:space="preserve"> XE "schermwerking" </w:instrText>
      </w:r>
      <w:r w:rsidRPr="00AD2CF5">
        <w:fldChar w:fldCharType="end"/>
      </w:r>
      <w:r w:rsidRPr="00AD2CF5">
        <w:t>. De schermwerking wordt daarom per meteorologische klasse</w:t>
      </w:r>
      <w:r w:rsidRPr="00AD2CF5">
        <w:fldChar w:fldCharType="begin"/>
      </w:r>
      <w:r w:rsidRPr="00AD2CF5">
        <w:instrText xml:space="preserve"> XE "meteorologische klasse" </w:instrText>
      </w:r>
      <w:r w:rsidRPr="00AD2CF5">
        <w:fldChar w:fldCharType="end"/>
      </w:r>
      <w:r w:rsidRPr="00AD2CF5">
        <w:t xml:space="preserve"> bepaald.</w:t>
      </w:r>
    </w:p>
    <w:p w:rsidR="00F43C9B" w:rsidRPr="00AD2CF5" w:rsidRDefault="00F43C9B" w:rsidP="00F43C9B">
      <w:pPr>
        <w:shd w:val="clear" w:color="auto" w:fill="D9D9D9" w:themeFill="background1" w:themeFillShade="D9"/>
        <w:tabs>
          <w:tab w:val="left" w:pos="-1440"/>
          <w:tab w:val="left" w:pos="-720"/>
        </w:tabs>
        <w:suppressAutoHyphens/>
        <w:spacing w:line="240" w:lineRule="auto"/>
      </w:pPr>
    </w:p>
    <w:tbl>
      <w:tblPr>
        <w:tblW w:w="0" w:type="auto"/>
        <w:tblLayout w:type="fixed"/>
        <w:tblCellMar>
          <w:left w:w="70" w:type="dxa"/>
          <w:right w:w="70" w:type="dxa"/>
        </w:tblCellMar>
        <w:tblLook w:val="0000" w:firstRow="0" w:lastRow="0" w:firstColumn="0" w:lastColumn="0" w:noHBand="0" w:noVBand="0"/>
      </w:tblPr>
      <w:tblGrid>
        <w:gridCol w:w="7300"/>
        <w:gridCol w:w="210"/>
      </w:tblGrid>
      <w:tr w:rsidR="00F43C9B" w:rsidRPr="00AD2CF5" w:rsidTr="00F43C9B">
        <w:tc>
          <w:tcPr>
            <w:tcW w:w="7300" w:type="dxa"/>
          </w:tcPr>
          <w:p w:rsidR="00F43C9B" w:rsidRPr="00AD2CF5" w:rsidRDefault="00F43C9B" w:rsidP="00F43C9B">
            <w:pPr>
              <w:keepNext/>
              <w:keepLines/>
              <w:shd w:val="clear" w:color="auto" w:fill="D9D9D9" w:themeFill="background1" w:themeFillShade="D9"/>
              <w:suppressAutoHyphens/>
              <w:spacing w:line="240" w:lineRule="auto"/>
              <w:rPr>
                <w:sz w:val="18"/>
              </w:rPr>
            </w:pPr>
            <w:r>
              <w:rPr>
                <w:noProof/>
                <w:lang w:eastAsia="nl-NL"/>
              </w:rPr>
              <mc:AlternateContent>
                <mc:Choice Requires="wps">
                  <w:drawing>
                    <wp:anchor distT="0" distB="0" distL="114300" distR="114300" simplePos="0" relativeHeight="251660288" behindDoc="0" locked="0" layoutInCell="1" allowOverlap="1" wp14:anchorId="768E1007" wp14:editId="4309C4C5">
                      <wp:simplePos x="0" y="0"/>
                      <wp:positionH relativeFrom="column">
                        <wp:posOffset>1315720</wp:posOffset>
                      </wp:positionH>
                      <wp:positionV relativeFrom="paragraph">
                        <wp:posOffset>450215</wp:posOffset>
                      </wp:positionV>
                      <wp:extent cx="6985" cy="404495"/>
                      <wp:effectExtent l="76200" t="38100" r="69215" b="14605"/>
                      <wp:wrapNone/>
                      <wp:docPr id="64" name="Rechte verbindingslijn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40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6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35.45pt" to="104.1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">
                      <v:stroke endarrow="block"/>
                    </v:line>
                  </w:pict>
                </mc:Fallback>
              </mc:AlternateContent>
            </w:r>
            <w:r>
              <w:rPr>
                <w:noProof/>
                <w:lang w:eastAsia="nl-NL"/>
              </w:rPr>
              <mc:AlternateContent>
                <mc:Choice Requires="wps">
                  <w:drawing>
                    <wp:anchor distT="0" distB="0" distL="114299" distR="114299" simplePos="0" relativeHeight="251661312" behindDoc="0" locked="0" layoutInCell="1" allowOverlap="1" wp14:anchorId="68CE8684" wp14:editId="560B64B2">
                      <wp:simplePos x="0" y="0"/>
                      <wp:positionH relativeFrom="column">
                        <wp:posOffset>1325244</wp:posOffset>
                      </wp:positionH>
                      <wp:positionV relativeFrom="paragraph">
                        <wp:posOffset>1170940</wp:posOffset>
                      </wp:positionV>
                      <wp:extent cx="0" cy="357505"/>
                      <wp:effectExtent l="76200" t="0" r="76200" b="61595"/>
                      <wp:wrapNone/>
                      <wp:docPr id="145" name="Rechte verbindingslijn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45"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35pt,92.2pt" to="104.35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">
                      <v:stroke endarrow="block"/>
                    </v:line>
                  </w:pict>
                </mc:Fallback>
              </mc:AlternateContent>
            </w:r>
            <w:r>
              <w:rPr>
                <w:noProof/>
                <w:lang w:eastAsia="nl-NL"/>
              </w:rPr>
              <mc:AlternateContent>
                <mc:Choice Requires="wps">
                  <w:drawing>
                    <wp:anchor distT="0" distB="0" distL="114300" distR="114300" simplePos="0" relativeHeight="251662336" behindDoc="0" locked="0" layoutInCell="1" allowOverlap="1" wp14:anchorId="0E22EC57" wp14:editId="6CD179C1">
                      <wp:simplePos x="0" y="0"/>
                      <wp:positionH relativeFrom="column">
                        <wp:posOffset>976630</wp:posOffset>
                      </wp:positionH>
                      <wp:positionV relativeFrom="paragraph">
                        <wp:posOffset>862330</wp:posOffset>
                      </wp:positionV>
                      <wp:extent cx="457200" cy="342900"/>
                      <wp:effectExtent l="0" t="0" r="0" b="0"/>
                      <wp:wrapNone/>
                      <wp:docPr id="144" name="Tekstvak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26" w:rsidRDefault="005D7626" w:rsidP="00F43C9B">
                                  <w:pPr>
                                    <w:rPr>
                                      <w:vertAlign w:val="subscript"/>
                                    </w:rPr>
                                  </w:pPr>
                                  <w:r>
                                    <w:t>Z</w:t>
                                  </w:r>
                                  <w:r>
                                    <w:rPr>
                                      <w:vertAlign w:val="subscript"/>
                                    </w:rPr>
                                    <w:t>sch,1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44" o:spid="_x0000_s1026" type="#_x0000_t202" style="position:absolute;margin-left:76.9pt;margin-top:67.9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" filled="f" stroked="f">
                      <v:textbox>
                        <w:txbxContent>
                          <w:p w:rsidR="005D7626" w:rsidRDefault="005D7626" w:rsidP="00F43C9B">
                            <w:pPr>
                              <w:rPr>
                                <w:vertAlign w:val="subscript"/>
                              </w:rPr>
                            </w:pPr>
                            <w:r>
                              <w:t>Z</w:t>
                            </w:r>
                            <w:r>
                              <w:rPr>
                                <w:vertAlign w:val="subscript"/>
                              </w:rPr>
                              <w:t>sch,1</w:t>
                            </w:r>
                          </w:p>
                        </w:txbxContent>
                      </v:textbox>
                    </v:shape>
                  </w:pict>
                </mc:Fallback>
              </mc:AlternateContent>
            </w:r>
            <w:r w:rsidRPr="00AD2CF5">
              <w:rPr>
                <w:noProof/>
                <w:sz w:val="18"/>
                <w:lang w:eastAsia="nl-NL"/>
              </w:rPr>
              <w:drawing>
                <wp:inline distT="0" distB="0" distL="0" distR="0" wp14:anchorId="3B38CB23" wp14:editId="0CD5D875">
                  <wp:extent cx="3590925" cy="1676400"/>
                  <wp:effectExtent l="0" t="0" r="9525" b="0"/>
                  <wp:docPr id="130" name="Afbeelding 111" descr="diffr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iffrgeo"/>
                          <pic:cNvPicPr>
                            <a:picLocks noChangeAspect="1" noChangeArrowheads="1"/>
                          </pic:cNvPicPr>
                        </pic:nvPicPr>
                        <pic:blipFill>
                          <a:blip r:embed="rId239" cstate="print"/>
                          <a:srcRect/>
                          <a:stretch>
                            <a:fillRect/>
                          </a:stretch>
                        </pic:blipFill>
                        <pic:spPr bwMode="auto">
                          <a:xfrm>
                            <a:off x="0" y="0"/>
                            <a:ext cx="3590925" cy="1676400"/>
                          </a:xfrm>
                          <a:prstGeom prst="rect">
                            <a:avLst/>
                          </a:prstGeom>
                          <a:noFill/>
                          <a:ln w="9525">
                            <a:noFill/>
                            <a:miter lim="800000"/>
                            <a:headEnd/>
                            <a:tailEnd/>
                          </a:ln>
                        </pic:spPr>
                      </pic:pic>
                    </a:graphicData>
                  </a:graphic>
                </wp:inline>
              </w:drawing>
            </w:r>
          </w:p>
          <w:p w:rsidR="00F43C9B" w:rsidRPr="00AD2CF5" w:rsidRDefault="00F43C9B" w:rsidP="00F43C9B">
            <w:pPr>
              <w:keepNext/>
              <w:keepLines/>
              <w:shd w:val="clear" w:color="auto" w:fill="D9D9D9" w:themeFill="background1" w:themeFillShade="D9"/>
              <w:suppressAutoHyphens/>
              <w:spacing w:line="240" w:lineRule="auto"/>
              <w:rPr>
                <w:sz w:val="18"/>
              </w:rPr>
            </w:pPr>
          </w:p>
          <w:p w:rsidR="00F43C9B" w:rsidRPr="00AD2CF5" w:rsidRDefault="00F43C9B" w:rsidP="00F43C9B">
            <w:pPr>
              <w:keepNext/>
              <w:keepLines/>
              <w:shd w:val="clear" w:color="auto" w:fill="D9D9D9" w:themeFill="background1" w:themeFillShade="D9"/>
              <w:suppressAutoHyphens/>
              <w:spacing w:line="240" w:lineRule="auto"/>
              <w:rPr>
                <w:sz w:val="18"/>
              </w:rPr>
            </w:pPr>
            <w:r>
              <w:rPr>
                <w:noProof/>
                <w:lang w:eastAsia="nl-NL"/>
              </w:rPr>
              <mc:AlternateContent>
                <mc:Choice Requires="wps">
                  <w:drawing>
                    <wp:anchor distT="0" distB="0" distL="114300" distR="114300" simplePos="0" relativeHeight="251663360" behindDoc="0" locked="0" layoutInCell="1" allowOverlap="1" wp14:anchorId="02DDB2B6" wp14:editId="0E1D980F">
                      <wp:simplePos x="0" y="0"/>
                      <wp:positionH relativeFrom="column">
                        <wp:posOffset>1319530</wp:posOffset>
                      </wp:positionH>
                      <wp:positionV relativeFrom="paragraph">
                        <wp:posOffset>420370</wp:posOffset>
                      </wp:positionV>
                      <wp:extent cx="6350" cy="441960"/>
                      <wp:effectExtent l="76200" t="38100" r="69850" b="15240"/>
                      <wp:wrapNone/>
                      <wp:docPr id="143" name="Rechte verbindingslijn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4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33.1pt" to="104.4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">
                      <v:stroke endarrow="block"/>
                    </v:line>
                  </w:pict>
                </mc:Fallback>
              </mc:AlternateContent>
            </w:r>
            <w:r>
              <w:rPr>
                <w:noProof/>
                <w:lang w:eastAsia="nl-NL"/>
              </w:rPr>
              <mc:AlternateContent>
                <mc:Choice Requires="wps">
                  <w:drawing>
                    <wp:anchor distT="0" distB="0" distL="114300" distR="114300" simplePos="0" relativeHeight="251664384" behindDoc="0" locked="0" layoutInCell="1" allowOverlap="1" wp14:anchorId="205F23D0" wp14:editId="7CED9B0E">
                      <wp:simplePos x="0" y="0"/>
                      <wp:positionH relativeFrom="column">
                        <wp:posOffset>1313815</wp:posOffset>
                      </wp:positionH>
                      <wp:positionV relativeFrom="paragraph">
                        <wp:posOffset>1117600</wp:posOffset>
                      </wp:positionV>
                      <wp:extent cx="3810" cy="395605"/>
                      <wp:effectExtent l="76200" t="0" r="72390" b="61595"/>
                      <wp:wrapNone/>
                      <wp:docPr id="142" name="Rechte verbindingslijn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4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88pt" to="103.7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">
                      <v:stroke endarrow="block"/>
                    </v:line>
                  </w:pict>
                </mc:Fallback>
              </mc:AlternateContent>
            </w:r>
            <w:r>
              <w:rPr>
                <w:noProof/>
                <w:lang w:eastAsia="nl-NL"/>
              </w:rPr>
              <mc:AlternateContent>
                <mc:Choice Requires="wps">
                  <w:drawing>
                    <wp:anchor distT="0" distB="0" distL="114300" distR="114300" simplePos="0" relativeHeight="251665408" behindDoc="0" locked="0" layoutInCell="1" allowOverlap="1" wp14:anchorId="426266A4" wp14:editId="54087379">
                      <wp:simplePos x="0" y="0"/>
                      <wp:positionH relativeFrom="column">
                        <wp:posOffset>974725</wp:posOffset>
                      </wp:positionH>
                      <wp:positionV relativeFrom="paragraph">
                        <wp:posOffset>869950</wp:posOffset>
                      </wp:positionV>
                      <wp:extent cx="457200" cy="342900"/>
                      <wp:effectExtent l="0" t="0" r="0" b="0"/>
                      <wp:wrapNone/>
                      <wp:docPr id="141" name="Tekstvak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26" w:rsidRDefault="005D7626" w:rsidP="00F43C9B">
                                  <w:pPr>
                                    <w:rPr>
                                      <w:vertAlign w:val="subscript"/>
                                    </w:rPr>
                                  </w:pPr>
                                  <w:r>
                                    <w:t>Z</w:t>
                                  </w:r>
                                  <w:r>
                                    <w:rPr>
                                      <w:vertAlign w:val="subscript"/>
                                    </w:rPr>
                                    <w:t>sch,1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1" o:spid="_x0000_s1027" type="#_x0000_t202" style="position:absolute;margin-left:76.75pt;margin-top:68.5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" filled="f" stroked="f">
                      <v:textbox>
                        <w:txbxContent>
                          <w:p w:rsidR="005D7626" w:rsidRDefault="005D7626" w:rsidP="00F43C9B">
                            <w:pPr>
                              <w:rPr>
                                <w:vertAlign w:val="subscript"/>
                              </w:rPr>
                            </w:pPr>
                            <w:r>
                              <w:t>Z</w:t>
                            </w:r>
                            <w:r>
                              <w:rPr>
                                <w:vertAlign w:val="subscript"/>
                              </w:rPr>
                              <w:t>sch,1</w:t>
                            </w:r>
                          </w:p>
                        </w:txbxContent>
                      </v:textbox>
                    </v:shape>
                  </w:pict>
                </mc:Fallback>
              </mc:AlternateContent>
            </w:r>
            <w:r w:rsidRPr="00AD2CF5">
              <w:rPr>
                <w:noProof/>
                <w:sz w:val="18"/>
                <w:lang w:eastAsia="nl-NL"/>
              </w:rPr>
              <w:drawing>
                <wp:inline distT="0" distB="0" distL="0" distR="0" wp14:anchorId="6342D740" wp14:editId="16489A7A">
                  <wp:extent cx="3590925" cy="1666875"/>
                  <wp:effectExtent l="0" t="0" r="9525" b="0"/>
                  <wp:docPr id="131" name="Afbeelding 112" descr="diffrg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iffrgek"/>
                          <pic:cNvPicPr>
                            <a:picLocks noChangeAspect="1" noChangeArrowheads="1"/>
                          </pic:cNvPicPr>
                        </pic:nvPicPr>
                        <pic:blipFill>
                          <a:blip r:embed="rId240" cstate="print"/>
                          <a:srcRect/>
                          <a:stretch>
                            <a:fillRect/>
                          </a:stretch>
                        </pic:blipFill>
                        <pic:spPr bwMode="auto">
                          <a:xfrm>
                            <a:off x="0" y="0"/>
                            <a:ext cx="3590925" cy="1666875"/>
                          </a:xfrm>
                          <a:prstGeom prst="rect">
                            <a:avLst/>
                          </a:prstGeom>
                          <a:noFill/>
                          <a:ln w="9525">
                            <a:noFill/>
                            <a:miter lim="800000"/>
                            <a:headEnd/>
                            <a:tailEnd/>
                          </a:ln>
                        </pic:spPr>
                      </pic:pic>
                    </a:graphicData>
                  </a:graphic>
                </wp:inline>
              </w:drawing>
            </w:r>
          </w:p>
          <w:p w:rsidR="00F43C9B" w:rsidRPr="00AD2CF5" w:rsidRDefault="00F43C9B" w:rsidP="00F43C9B">
            <w:pPr>
              <w:pStyle w:val="Bijschrift"/>
              <w:shd w:val="clear" w:color="auto" w:fill="D9D9D9" w:themeFill="background1" w:themeFillShade="D9"/>
              <w:rPr>
                <w:b w:val="0"/>
                <w:lang w:val="nl-NL"/>
              </w:rPr>
            </w:pPr>
            <w:r w:rsidRPr="00AD2CF5">
              <w:rPr>
                <w:lang w:val="nl-NL"/>
              </w:rPr>
              <w:t>Figuur 4. 10:</w:t>
            </w:r>
            <w:r w:rsidRPr="00AD2CF5">
              <w:rPr>
                <w:b w:val="0"/>
                <w:lang w:val="nl-NL"/>
              </w:rPr>
              <w:t xml:space="preserve"> Definitie van de geometrische parameters in het verticale vlak door bron- en rekenpunt.</w:t>
            </w:r>
          </w:p>
        </w:tc>
        <w:tc>
          <w:tcPr>
            <w:tcW w:w="210" w:type="dxa"/>
          </w:tcPr>
          <w:p w:rsidR="00F43C9B" w:rsidRPr="00AD2CF5" w:rsidRDefault="00F43C9B" w:rsidP="00F43C9B">
            <w:pPr>
              <w:shd w:val="clear" w:color="auto" w:fill="D9D9D9" w:themeFill="background1" w:themeFillShade="D9"/>
              <w:tabs>
                <w:tab w:val="left" w:pos="-1440"/>
                <w:tab w:val="left" w:pos="-720"/>
              </w:tabs>
              <w:suppressAutoHyphens/>
              <w:spacing w:line="240" w:lineRule="auto"/>
              <w:ind w:left="356"/>
            </w:pPr>
          </w:p>
        </w:tc>
      </w:tr>
    </w:tbl>
    <w:p w:rsidR="00F43C9B" w:rsidRPr="00AD2CF5" w:rsidRDefault="00F43C9B" w:rsidP="00F43C9B">
      <w:pPr>
        <w:shd w:val="clear" w:color="auto" w:fill="D9D9D9" w:themeFill="background1" w:themeFillShade="D9"/>
        <w:tabs>
          <w:tab w:val="left" w:pos="-1440"/>
          <w:tab w:val="left" w:pos="-720"/>
        </w:tabs>
        <w:suppressAutoHyphens/>
        <w:spacing w:line="240" w:lineRule="auto"/>
      </w:pPr>
    </w:p>
    <w:p w:rsidR="00F43C9B" w:rsidRPr="00AD2CF5" w:rsidRDefault="00F43C9B" w:rsidP="00F43C9B">
      <w:pPr>
        <w:pStyle w:val="Plattetekst"/>
        <w:shd w:val="clear" w:color="auto" w:fill="D9D9D9" w:themeFill="background1" w:themeFillShade="D9"/>
        <w:rPr>
          <w:b w:val="0"/>
        </w:rPr>
      </w:pPr>
      <w:r w:rsidRPr="00AD2CF5">
        <w:rPr>
          <w:b w:val="0"/>
        </w:rPr>
        <w:t>De straalkromming</w:t>
      </w:r>
      <w:r w:rsidRPr="00AD2CF5">
        <w:rPr>
          <w:b w:val="0"/>
        </w:rPr>
        <w:fldChar w:fldCharType="begin"/>
      </w:r>
      <w:r w:rsidRPr="00AD2CF5">
        <w:rPr>
          <w:b w:val="0"/>
        </w:rPr>
        <w:instrText xml:space="preserve"> XE "straalkromming" </w:instrText>
      </w:r>
      <w:r w:rsidRPr="00AD2CF5">
        <w:rPr>
          <w:b w:val="0"/>
        </w:rPr>
        <w:fldChar w:fldCharType="end"/>
      </w:r>
      <w:r w:rsidRPr="00AD2CF5">
        <w:rPr>
          <w:b w:val="0"/>
        </w:rPr>
        <w:t xml:space="preserve"> wordt in rekening gebracht door correcties </w:t>
      </w:r>
      <w:r w:rsidRPr="00AD2CF5">
        <w:rPr>
          <w:rFonts w:ascii="Symbol" w:hAnsi="Symbol"/>
          <w:b w:val="0"/>
        </w:rPr>
        <w:t></w:t>
      </w:r>
      <w:r w:rsidRPr="00AD2CF5">
        <w:rPr>
          <w:rFonts w:ascii="Symbol" w:hAnsi="Symbol"/>
          <w:b w:val="0"/>
          <w:i/>
        </w:rPr>
        <w:t></w:t>
      </w:r>
      <w:r w:rsidRPr="00AD2CF5">
        <w:rPr>
          <w:b w:val="0"/>
          <w:i/>
          <w:vertAlign w:val="subscript"/>
        </w:rPr>
        <w:t>s</w:t>
      </w:r>
      <w:r w:rsidRPr="00AD2CF5">
        <w:rPr>
          <w:b w:val="0"/>
        </w:rPr>
        <w:t xml:space="preserve"> en </w:t>
      </w:r>
      <w:r w:rsidRPr="00AD2CF5">
        <w:rPr>
          <w:rFonts w:ascii="Symbol" w:hAnsi="Symbol"/>
          <w:b w:val="0"/>
        </w:rPr>
        <w:t></w:t>
      </w:r>
      <w:r w:rsidRPr="00AD2CF5">
        <w:rPr>
          <w:rFonts w:ascii="Symbol" w:hAnsi="Symbol"/>
          <w:b w:val="0"/>
          <w:i/>
        </w:rPr>
        <w:t></w:t>
      </w:r>
      <w:r w:rsidRPr="00AD2CF5">
        <w:rPr>
          <w:b w:val="0"/>
          <w:i/>
          <w:vertAlign w:val="subscript"/>
        </w:rPr>
        <w:t>r</w:t>
      </w:r>
      <w:r w:rsidRPr="00AD2CF5">
        <w:rPr>
          <w:b w:val="0"/>
        </w:rPr>
        <w:t xml:space="preserve"> toe te passen op de hoeken </w:t>
      </w:r>
      <w:r w:rsidRPr="00AD2CF5">
        <w:rPr>
          <w:b w:val="0"/>
          <w:i/>
        </w:rPr>
        <w:sym w:font="Symbol" w:char="F066"/>
      </w:r>
      <w:r w:rsidRPr="00AD2CF5">
        <w:rPr>
          <w:b w:val="0"/>
          <w:i/>
          <w:vertAlign w:val="subscript"/>
        </w:rPr>
        <w:t>s</w:t>
      </w:r>
      <w:r w:rsidRPr="00AD2CF5">
        <w:rPr>
          <w:b w:val="0"/>
          <w:vertAlign w:val="subscript"/>
        </w:rPr>
        <w:t>,</w:t>
      </w:r>
      <w:r w:rsidRPr="00AD2CF5">
        <w:rPr>
          <w:b w:val="0"/>
          <w:iCs/>
          <w:vertAlign w:val="subscript"/>
        </w:rPr>
        <w:t>0</w:t>
      </w:r>
      <w:r w:rsidRPr="00AD2CF5">
        <w:rPr>
          <w:b w:val="0"/>
        </w:rPr>
        <w:t xml:space="preserve"> en </w:t>
      </w:r>
      <w:r w:rsidRPr="00AD2CF5">
        <w:rPr>
          <w:b w:val="0"/>
          <w:i/>
        </w:rPr>
        <w:sym w:font="Symbol" w:char="F066"/>
      </w:r>
      <w:r w:rsidRPr="00AD2CF5">
        <w:rPr>
          <w:b w:val="0"/>
          <w:i/>
          <w:vertAlign w:val="subscript"/>
        </w:rPr>
        <w:t>r,</w:t>
      </w:r>
      <w:r w:rsidRPr="00AD2CF5">
        <w:rPr>
          <w:b w:val="0"/>
          <w:iCs/>
          <w:vertAlign w:val="subscript"/>
        </w:rPr>
        <w:t>0</w:t>
      </w:r>
      <w:r w:rsidRPr="00AD2CF5">
        <w:rPr>
          <w:b w:val="0"/>
        </w:rPr>
        <w:t xml:space="preserve"> die in figuur 4.10 zijn aangegeven (alle hoeken in deze paragraaf worden in radialen uitgedrukt). In formule:</w:t>
      </w:r>
    </w:p>
    <w:p w:rsidR="00F43C9B" w:rsidRPr="00AD2CF5" w:rsidRDefault="00F43C9B" w:rsidP="00F43C9B">
      <w:pPr>
        <w:pStyle w:val="Bijschrift"/>
        <w:keepNext/>
        <w:shd w:val="clear" w:color="auto" w:fill="D9D9D9" w:themeFill="background1" w:themeFillShade="D9"/>
        <w:tabs>
          <w:tab w:val="right" w:pos="6804"/>
        </w:tabs>
        <w:ind w:left="356"/>
        <w:rPr>
          <w:b w:val="0"/>
          <w:i/>
          <w:sz w:val="22"/>
          <w:szCs w:val="22"/>
          <w:lang w:val="nl-NL"/>
        </w:rPr>
      </w:pPr>
      <w:r w:rsidRPr="00AD2CF5">
        <w:rPr>
          <w:b w:val="0"/>
          <w:position w:val="-30"/>
          <w:sz w:val="22"/>
          <w:szCs w:val="22"/>
        </w:rPr>
        <w:object w:dxaOrig="1300" w:dyaOrig="720">
          <v:shape id="_x0000_i1101" type="#_x0000_t75" style="width:64.5pt;height:37.5pt" o:ole="" fillcolor="window">
            <v:imagedata r:id="rId241" o:title=""/>
          </v:shape>
          <o:OLEObject Type="Embed" ProgID="Equation.3" ShapeID="_x0000_i1101" DrawAspect="Content" ObjectID="_1511255439" r:id="rId242"/>
        </w:object>
      </w:r>
      <w:r w:rsidRPr="00AD2CF5">
        <w:rPr>
          <w:rStyle w:val="EquationCaption"/>
          <w:sz w:val="22"/>
          <w:szCs w:val="22"/>
          <w:lang w:val="nl-NL"/>
        </w:rPr>
        <w:tab/>
      </w:r>
      <w:r w:rsidRPr="00AD2CF5">
        <w:rPr>
          <w:b w:val="0"/>
          <w:sz w:val="22"/>
          <w:szCs w:val="22"/>
          <w:lang w:val="nl-NL"/>
        </w:rPr>
        <w:t>(4. 38)</w:t>
      </w:r>
    </w:p>
    <w:p w:rsidR="00F43C9B" w:rsidRPr="00AD2CF5" w:rsidRDefault="00F43C9B" w:rsidP="00F43C9B">
      <w:pPr>
        <w:pStyle w:val="Plattetekst"/>
        <w:shd w:val="clear" w:color="auto" w:fill="D9D9D9" w:themeFill="background1" w:themeFillShade="D9"/>
        <w:rPr>
          <w:b w:val="0"/>
        </w:rPr>
      </w:pPr>
      <w:r w:rsidRPr="00AD2CF5">
        <w:rPr>
          <w:b w:val="0"/>
        </w:rPr>
        <w:t>Er wordt alleen rekening gehouden met straalkromming</w:t>
      </w:r>
      <w:r w:rsidRPr="00AD2CF5">
        <w:rPr>
          <w:b w:val="0"/>
        </w:rPr>
        <w:fldChar w:fldCharType="begin"/>
      </w:r>
      <w:r w:rsidRPr="00AD2CF5">
        <w:rPr>
          <w:b w:val="0"/>
        </w:rPr>
        <w:instrText xml:space="preserve"> XE "straalkromming" </w:instrText>
      </w:r>
      <w:r w:rsidRPr="00AD2CF5">
        <w:rPr>
          <w:b w:val="0"/>
        </w:rPr>
        <w:fldChar w:fldCharType="end"/>
      </w:r>
      <w:r w:rsidRPr="00AD2CF5">
        <w:rPr>
          <w:b w:val="0"/>
        </w:rPr>
        <w:t xml:space="preserve"> voor de zogenaamde mee</w:t>
      </w:r>
      <w:r w:rsidRPr="00AD2CF5">
        <w:rPr>
          <w:b w:val="0"/>
        </w:rPr>
        <w:softHyphen/>
        <w:t>windprofielen (</w:t>
      </w:r>
      <w:r w:rsidRPr="00AD2CF5">
        <w:rPr>
          <w:b w:val="0"/>
          <w:i/>
        </w:rPr>
        <w:t>n</w:t>
      </w:r>
      <w:r w:rsidRPr="00AD2CF5">
        <w:rPr>
          <w:b w:val="0"/>
        </w:rPr>
        <w:t xml:space="preserve"> = 4 t/m 7, 12 t/m 18, 22 t/m 27 in tabel 4.1). Voor de andere pro</w:t>
      </w:r>
      <w:r w:rsidRPr="00AD2CF5">
        <w:rPr>
          <w:b w:val="0"/>
        </w:rPr>
        <w:softHyphen/>
        <w:t>fie</w:t>
      </w:r>
      <w:r w:rsidRPr="00AD2CF5">
        <w:rPr>
          <w:b w:val="0"/>
        </w:rPr>
        <w:softHyphen/>
        <w:t xml:space="preserve">len geldt </w:t>
      </w:r>
      <w:r w:rsidRPr="00AD2CF5">
        <w:rPr>
          <w:rFonts w:ascii="Symbol" w:hAnsi="Symbol"/>
          <w:b w:val="0"/>
        </w:rPr>
        <w:t></w:t>
      </w:r>
      <w:r w:rsidRPr="00AD2CF5">
        <w:rPr>
          <w:rFonts w:ascii="Symbol" w:hAnsi="Symbol"/>
          <w:b w:val="0"/>
          <w:i/>
        </w:rPr>
        <w:t></w:t>
      </w:r>
      <w:r w:rsidRPr="00AD2CF5">
        <w:rPr>
          <w:b w:val="0"/>
          <w:i/>
          <w:vertAlign w:val="subscript"/>
        </w:rPr>
        <w:t>s</w:t>
      </w:r>
      <w:r w:rsidRPr="00AD2CF5">
        <w:rPr>
          <w:b w:val="0"/>
        </w:rPr>
        <w:t xml:space="preserve"> = 0 en </w:t>
      </w:r>
      <w:r w:rsidRPr="00AD2CF5">
        <w:rPr>
          <w:rFonts w:ascii="Symbol" w:hAnsi="Symbol"/>
          <w:b w:val="0"/>
        </w:rPr>
        <w:t></w:t>
      </w:r>
      <w:r w:rsidRPr="00AD2CF5">
        <w:rPr>
          <w:rFonts w:ascii="Symbol" w:hAnsi="Symbol"/>
          <w:b w:val="0"/>
          <w:i/>
        </w:rPr>
        <w:t></w:t>
      </w:r>
      <w:r w:rsidRPr="00AD2CF5">
        <w:rPr>
          <w:b w:val="0"/>
          <w:i/>
          <w:vertAlign w:val="subscript"/>
        </w:rPr>
        <w:t>r</w:t>
      </w:r>
      <w:r w:rsidRPr="00AD2CF5">
        <w:rPr>
          <w:b w:val="0"/>
        </w:rPr>
        <w:t xml:space="preserve"> = 0. Ook voor de geluidpaden 2 en 3 (de horizontale om</w:t>
      </w:r>
      <w:r w:rsidRPr="00AD2CF5">
        <w:rPr>
          <w:b w:val="0"/>
        </w:rPr>
        <w:softHyphen/>
        <w:t>wegen) in figuur 4.9 wordt straalkromming buiten beschouwing gelaten. In de overige gevallen zijn deze correcties te bepalen uit de maximale hoogte van de geluidstraal z</w:t>
      </w:r>
      <w:r w:rsidRPr="00AD2CF5">
        <w:rPr>
          <w:b w:val="0"/>
          <w:vertAlign w:val="subscript"/>
        </w:rPr>
        <w:t>max,</w:t>
      </w:r>
      <w:r w:rsidRPr="00AD2CF5">
        <w:rPr>
          <w:b w:val="0"/>
          <w:i/>
          <w:iCs/>
          <w:vertAlign w:val="subscript"/>
        </w:rPr>
        <w:t>n</w:t>
      </w:r>
      <w:r w:rsidRPr="00AD2CF5">
        <w:rPr>
          <w:b w:val="0"/>
        </w:rPr>
        <w:t>.</w:t>
      </w:r>
    </w:p>
    <w:p w:rsidR="00F43C9B" w:rsidRPr="00AD2CF5" w:rsidRDefault="00F43C9B" w:rsidP="00F43C9B">
      <w:pPr>
        <w:pStyle w:val="Plattetekst"/>
        <w:shd w:val="clear" w:color="auto" w:fill="D9D9D9" w:themeFill="background1" w:themeFillShade="D9"/>
        <w:rPr>
          <w:b w:val="0"/>
        </w:rPr>
      </w:pPr>
    </w:p>
    <w:p w:rsidR="00F43C9B" w:rsidRPr="00AD2CF5" w:rsidRDefault="00F43C9B" w:rsidP="00F43C9B">
      <w:pPr>
        <w:pStyle w:val="Plattetekst"/>
        <w:shd w:val="clear" w:color="auto" w:fill="D9D9D9" w:themeFill="background1" w:themeFillShade="D9"/>
        <w:rPr>
          <w:b w:val="0"/>
        </w:rPr>
      </w:pPr>
      <w:r w:rsidRPr="00AD2CF5">
        <w:rPr>
          <w:b w:val="0"/>
        </w:rPr>
        <w:t xml:space="preserve">Voor de berekening van </w:t>
      </w:r>
      <w:r w:rsidRPr="00AD2CF5">
        <w:rPr>
          <w:b w:val="0"/>
          <w:i/>
          <w:iCs/>
        </w:rPr>
        <w:t>z</w:t>
      </w:r>
      <w:r w:rsidRPr="00AD2CF5">
        <w:rPr>
          <w:b w:val="0"/>
          <w:i/>
          <w:iCs/>
          <w:vertAlign w:val="subscript"/>
        </w:rPr>
        <w:t>max,n</w:t>
      </w:r>
      <w:r w:rsidRPr="00AD2CF5">
        <w:rPr>
          <w:b w:val="0"/>
        </w:rPr>
        <w:t xml:space="preserve"> wordt eerst voor elk meewindprofiel een hoogte </w:t>
      </w:r>
      <w:r w:rsidRPr="00AD2CF5">
        <w:rPr>
          <w:b w:val="0"/>
          <w:i/>
          <w:iCs/>
        </w:rPr>
        <w:t>z</w:t>
      </w:r>
      <w:r w:rsidRPr="00AD2CF5">
        <w:rPr>
          <w:b w:val="0"/>
          <w:i/>
          <w:iCs/>
          <w:vertAlign w:val="subscript"/>
        </w:rPr>
        <w:t>max0,n</w:t>
      </w:r>
      <w:r w:rsidRPr="00AD2CF5">
        <w:rPr>
          <w:b w:val="0"/>
        </w:rPr>
        <w:t xml:space="preserve"> berekend:</w:t>
      </w:r>
    </w:p>
    <w:p w:rsidR="00F43C9B" w:rsidRPr="00AD2CF5" w:rsidRDefault="00F43C9B" w:rsidP="00F43C9B">
      <w:pPr>
        <w:pStyle w:val="Bijschrift"/>
        <w:shd w:val="clear" w:color="auto" w:fill="D9D9D9" w:themeFill="background1" w:themeFillShade="D9"/>
        <w:tabs>
          <w:tab w:val="left" w:pos="567"/>
          <w:tab w:val="left" w:pos="4395"/>
          <w:tab w:val="right" w:pos="7371"/>
        </w:tabs>
        <w:rPr>
          <w:rStyle w:val="EquationCaption"/>
          <w:b/>
          <w:lang w:val="nl-NL"/>
        </w:rPr>
      </w:pPr>
      <w:r w:rsidRPr="00AD2CF5">
        <w:rPr>
          <w:position w:val="-36"/>
        </w:rPr>
        <w:object w:dxaOrig="3140" w:dyaOrig="880">
          <v:shape id="_x0000_i1102" type="#_x0000_t75" style="width:156.75pt;height:44.25pt" o:ole="" fillcolor="window">
            <v:imagedata r:id="rId243" o:title=""/>
          </v:shape>
          <o:OLEObject Type="Embed" ProgID="Equation.3" ShapeID="_x0000_i1102" DrawAspect="Content" ObjectID="_1511255440" r:id="rId244"/>
        </w:object>
      </w:r>
      <w:r w:rsidRPr="00AD2CF5">
        <w:rPr>
          <w:lang w:val="nl-NL"/>
        </w:rPr>
        <w:tab/>
      </w:r>
      <w:r w:rsidRPr="00AD2CF5">
        <w:rPr>
          <w:b w:val="0"/>
          <w:lang w:val="nl-NL"/>
        </w:rPr>
        <w:t xml:space="preserve">voor </w:t>
      </w:r>
      <w:r w:rsidRPr="00AD2CF5">
        <w:rPr>
          <w:b w:val="0"/>
          <w:i/>
          <w:iCs/>
          <w:lang w:val="nl-NL"/>
        </w:rPr>
        <w:t>n</w:t>
      </w:r>
      <w:r w:rsidRPr="00AD2CF5">
        <w:rPr>
          <w:b w:val="0"/>
          <w:lang w:val="nl-NL"/>
        </w:rPr>
        <w:t xml:space="preserve"> = 4 ... 7</w:t>
      </w:r>
      <w:r w:rsidRPr="00AD2CF5">
        <w:rPr>
          <w:rStyle w:val="EquationCaption"/>
          <w:lang w:val="nl-NL"/>
        </w:rPr>
        <w:tab/>
      </w:r>
      <w:r w:rsidRPr="00AD2CF5">
        <w:rPr>
          <w:lang w:val="nl-NL"/>
        </w:rPr>
        <w:t>(4. 39)</w:t>
      </w:r>
    </w:p>
    <w:p w:rsidR="00F43C9B" w:rsidRPr="00AD2CF5" w:rsidRDefault="00F43C9B" w:rsidP="00F43C9B">
      <w:pPr>
        <w:shd w:val="clear" w:color="auto" w:fill="D9D9D9" w:themeFill="background1" w:themeFillShade="D9"/>
        <w:tabs>
          <w:tab w:val="left" w:pos="-1440"/>
          <w:tab w:val="left" w:pos="-720"/>
          <w:tab w:val="left" w:pos="4395"/>
        </w:tabs>
        <w:suppressAutoHyphens/>
        <w:rPr>
          <w:b/>
        </w:rPr>
      </w:pPr>
    </w:p>
    <w:p w:rsidR="00F43C9B" w:rsidRPr="00AD2CF5" w:rsidRDefault="00F43C9B" w:rsidP="00F43C9B">
      <w:pPr>
        <w:pStyle w:val="Bijschrift"/>
        <w:shd w:val="clear" w:color="auto" w:fill="D9D9D9" w:themeFill="background1" w:themeFillShade="D9"/>
        <w:tabs>
          <w:tab w:val="left" w:pos="567"/>
          <w:tab w:val="left" w:pos="4395"/>
          <w:tab w:val="right" w:pos="7371"/>
        </w:tabs>
        <w:rPr>
          <w:rStyle w:val="EquationCaption"/>
          <w:b/>
          <w:lang w:val="nl-NL"/>
        </w:rPr>
      </w:pPr>
      <w:r w:rsidRPr="00AD2CF5">
        <w:rPr>
          <w:position w:val="-30"/>
        </w:rPr>
        <w:object w:dxaOrig="2000" w:dyaOrig="760">
          <v:shape id="_x0000_i1103" type="#_x0000_t75" style="width:100.5pt;height:39pt" o:ole="" fillcolor="window">
            <v:imagedata r:id="rId245" o:title=""/>
          </v:shape>
          <o:OLEObject Type="Embed" ProgID="Equation.3" ShapeID="_x0000_i1103" DrawAspect="Content" ObjectID="_1511255441" r:id="rId246"/>
        </w:object>
      </w:r>
      <w:r w:rsidRPr="00AD2CF5">
        <w:rPr>
          <w:b w:val="0"/>
          <w:lang w:val="nl-NL"/>
        </w:rPr>
        <w:t xml:space="preserve"> </w:t>
      </w:r>
      <w:r w:rsidRPr="00AD2CF5">
        <w:rPr>
          <w:b w:val="0"/>
          <w:lang w:val="nl-NL"/>
        </w:rPr>
        <w:tab/>
        <w:t xml:space="preserve">voor </w:t>
      </w:r>
      <w:r w:rsidRPr="00AD2CF5">
        <w:rPr>
          <w:b w:val="0"/>
          <w:i/>
          <w:iCs/>
          <w:lang w:val="nl-NL"/>
        </w:rPr>
        <w:t xml:space="preserve">n </w:t>
      </w:r>
      <w:r w:rsidRPr="00AD2CF5">
        <w:rPr>
          <w:b w:val="0"/>
          <w:lang w:val="nl-NL"/>
        </w:rPr>
        <w:t>= 12 ... 18</w:t>
      </w:r>
      <w:r w:rsidRPr="00AD2CF5">
        <w:rPr>
          <w:rStyle w:val="EquationCaption"/>
          <w:lang w:val="nl-NL"/>
        </w:rPr>
        <w:tab/>
      </w:r>
      <w:r w:rsidRPr="00AD2CF5">
        <w:rPr>
          <w:lang w:val="nl-NL"/>
        </w:rPr>
        <w:t>(4. 40)</w:t>
      </w:r>
    </w:p>
    <w:p w:rsidR="00F43C9B" w:rsidRPr="00AD2CF5" w:rsidRDefault="00F43C9B" w:rsidP="00F43C9B">
      <w:pPr>
        <w:shd w:val="clear" w:color="auto" w:fill="D9D9D9" w:themeFill="background1" w:themeFillShade="D9"/>
        <w:tabs>
          <w:tab w:val="left" w:pos="-1440"/>
          <w:tab w:val="left" w:pos="-720"/>
          <w:tab w:val="left" w:pos="4395"/>
        </w:tabs>
        <w:suppressAutoHyphens/>
        <w:rPr>
          <w:b/>
        </w:rPr>
      </w:pPr>
    </w:p>
    <w:p w:rsidR="00F43C9B" w:rsidRPr="00AD2CF5" w:rsidRDefault="00F43C9B" w:rsidP="00F43C9B">
      <w:pPr>
        <w:pStyle w:val="Bijschrift"/>
        <w:shd w:val="clear" w:color="auto" w:fill="D9D9D9" w:themeFill="background1" w:themeFillShade="D9"/>
        <w:tabs>
          <w:tab w:val="left" w:pos="567"/>
          <w:tab w:val="left" w:pos="4395"/>
          <w:tab w:val="right" w:pos="7371"/>
        </w:tabs>
        <w:rPr>
          <w:rStyle w:val="EquationCaption"/>
          <w:b/>
          <w:lang w:val="nl-NL"/>
        </w:rPr>
      </w:pPr>
      <w:r w:rsidRPr="00AD2CF5">
        <w:rPr>
          <w:position w:val="-36"/>
        </w:rPr>
        <w:object w:dxaOrig="3360" w:dyaOrig="880">
          <v:shape id="_x0000_i1104" type="#_x0000_t75" style="width:168pt;height:44.25pt" o:ole="" fillcolor="window">
            <v:imagedata r:id="rId247" o:title=""/>
          </v:shape>
          <o:OLEObject Type="Embed" ProgID="Equation.3" ShapeID="_x0000_i1104" DrawAspect="Content" ObjectID="_1511255442" r:id="rId248"/>
        </w:object>
      </w:r>
      <w:r w:rsidRPr="00AD2CF5">
        <w:rPr>
          <w:b w:val="0"/>
          <w:lang w:val="nl-NL"/>
        </w:rPr>
        <w:t xml:space="preserve"> </w:t>
      </w:r>
      <w:r w:rsidRPr="00AD2CF5">
        <w:rPr>
          <w:b w:val="0"/>
          <w:lang w:val="nl-NL"/>
        </w:rPr>
        <w:tab/>
        <w:t xml:space="preserve">voor </w:t>
      </w:r>
      <w:r w:rsidRPr="00AD2CF5">
        <w:rPr>
          <w:b w:val="0"/>
          <w:i/>
          <w:iCs/>
          <w:lang w:val="nl-NL"/>
        </w:rPr>
        <w:t>n</w:t>
      </w:r>
      <w:r w:rsidRPr="00AD2CF5">
        <w:rPr>
          <w:b w:val="0"/>
          <w:lang w:val="nl-NL"/>
        </w:rPr>
        <w:t xml:space="preserve"> = 22 ... 27</w:t>
      </w:r>
      <w:r w:rsidRPr="00AD2CF5">
        <w:rPr>
          <w:rStyle w:val="EquationCaption"/>
          <w:lang w:val="nl-NL"/>
        </w:rPr>
        <w:tab/>
      </w:r>
      <w:r w:rsidRPr="00AD2CF5">
        <w:rPr>
          <w:lang w:val="nl-NL"/>
        </w:rPr>
        <w:t>(4. 41)</w:t>
      </w:r>
    </w:p>
    <w:p w:rsidR="00F43C9B" w:rsidRPr="00AD2CF5" w:rsidRDefault="00F43C9B" w:rsidP="00F43C9B">
      <w:pPr>
        <w:shd w:val="clear" w:color="auto" w:fill="D9D9D9" w:themeFill="background1" w:themeFillShade="D9"/>
        <w:tabs>
          <w:tab w:val="left" w:pos="-1440"/>
          <w:tab w:val="left" w:pos="-720"/>
        </w:tabs>
        <w:suppressAutoHyphens/>
      </w:pPr>
      <w:r w:rsidRPr="00AD2CF5">
        <w:t>waarin:</w:t>
      </w:r>
    </w:p>
    <w:p w:rsidR="00F43C9B" w:rsidRPr="00AD2CF5" w:rsidRDefault="00F43C9B" w:rsidP="00F43C9B">
      <w:pPr>
        <w:pStyle w:val="Bijschrift"/>
        <w:shd w:val="clear" w:color="auto" w:fill="D9D9D9" w:themeFill="background1" w:themeFillShade="D9"/>
        <w:tabs>
          <w:tab w:val="left" w:pos="567"/>
          <w:tab w:val="right" w:pos="7371"/>
        </w:tabs>
        <w:rPr>
          <w:rStyle w:val="EquationCaption"/>
          <w:b/>
          <w:lang w:val="nl-NL"/>
        </w:rPr>
      </w:pPr>
      <w:r w:rsidRPr="00AD2CF5">
        <w:rPr>
          <w:position w:val="-34"/>
        </w:rPr>
        <w:object w:dxaOrig="3400" w:dyaOrig="800">
          <v:shape id="_x0000_i1105" type="#_x0000_t75" style="width:171pt;height:40.5pt" o:ole="" fillcolor="window">
            <v:imagedata r:id="rId249" o:title=""/>
          </v:shape>
          <o:OLEObject Type="Embed" ProgID="Equation.3" ShapeID="_x0000_i1105" DrawAspect="Content" ObjectID="_1511255443" r:id="rId250"/>
        </w:object>
      </w:r>
      <w:r w:rsidRPr="00AD2CF5">
        <w:rPr>
          <w:rStyle w:val="EquationCaption"/>
          <w:lang w:val="nl-NL"/>
        </w:rPr>
        <w:tab/>
      </w:r>
      <w:r w:rsidRPr="00AD2CF5">
        <w:rPr>
          <w:lang w:val="nl-NL"/>
        </w:rPr>
        <w:t>(4. 42)</w:t>
      </w:r>
    </w:p>
    <w:p w:rsidR="00F43C9B" w:rsidRPr="00AD2CF5" w:rsidRDefault="00F43C9B" w:rsidP="00F43C9B">
      <w:pPr>
        <w:shd w:val="clear" w:color="auto" w:fill="D9D9D9" w:themeFill="background1" w:themeFillShade="D9"/>
        <w:tabs>
          <w:tab w:val="left" w:pos="-1440"/>
          <w:tab w:val="left" w:pos="-720"/>
        </w:tabs>
        <w:suppressAutoHyphens/>
      </w:pPr>
      <w:r w:rsidRPr="00AD2CF5">
        <w:t>met:</w:t>
      </w:r>
    </w:p>
    <w:p w:rsidR="00F43C9B" w:rsidRPr="00AD2CF5" w:rsidRDefault="00F43C9B" w:rsidP="00F43C9B">
      <w:pPr>
        <w:shd w:val="clear" w:color="auto" w:fill="D9D9D9" w:themeFill="background1" w:themeFillShade="D9"/>
        <w:tabs>
          <w:tab w:val="left" w:pos="-1440"/>
          <w:tab w:val="left" w:pos="-720"/>
          <w:tab w:val="left" w:pos="0"/>
          <w:tab w:val="left" w:pos="567"/>
        </w:tabs>
        <w:suppressAutoHyphens/>
        <w:ind w:left="1440" w:hanging="1440"/>
      </w:pPr>
      <w:r w:rsidRPr="00AD2CF5">
        <w:rPr>
          <w:i/>
        </w:rPr>
        <w:t>f</w:t>
      </w:r>
      <w:r w:rsidRPr="00AD2CF5">
        <w:rPr>
          <w:i/>
          <w:vertAlign w:val="subscript"/>
        </w:rPr>
        <w:t>k</w:t>
      </w:r>
      <w:r w:rsidRPr="00AD2CF5">
        <w:tab/>
        <w:t>octaafband</w:t>
      </w:r>
      <w:r w:rsidRPr="00AD2CF5">
        <w:fldChar w:fldCharType="begin"/>
      </w:r>
      <w:r w:rsidRPr="00AD2CF5">
        <w:instrText xml:space="preserve"> XE "octaafband" </w:instrText>
      </w:r>
      <w:r w:rsidRPr="00AD2CF5">
        <w:fldChar w:fldCharType="end"/>
      </w:r>
      <w:r w:rsidRPr="00AD2CF5">
        <w:t xml:space="preserve"> middenfrequentie (</w:t>
      </w:r>
      <w:r w:rsidRPr="00AD2CF5">
        <w:rPr>
          <w:i/>
        </w:rPr>
        <w:t>f</w:t>
      </w:r>
      <w:r w:rsidRPr="00AD2CF5">
        <w:rPr>
          <w:iCs/>
          <w:vertAlign w:val="subscript"/>
        </w:rPr>
        <w:t>6</w:t>
      </w:r>
      <w:r w:rsidRPr="00AD2CF5">
        <w:t xml:space="preserve"> = 500 Hz);</w:t>
      </w:r>
    </w:p>
    <w:p w:rsidR="00F43C9B" w:rsidRPr="00AD2CF5" w:rsidRDefault="00F43C9B" w:rsidP="00F43C9B">
      <w:pPr>
        <w:shd w:val="clear" w:color="auto" w:fill="D9D9D9" w:themeFill="background1" w:themeFillShade="D9"/>
        <w:tabs>
          <w:tab w:val="left" w:pos="-1440"/>
          <w:tab w:val="left" w:pos="-720"/>
          <w:tab w:val="left" w:pos="0"/>
          <w:tab w:val="left" w:pos="567"/>
        </w:tabs>
        <w:suppressAutoHyphens/>
        <w:ind w:left="1440" w:hanging="1440"/>
      </w:pPr>
      <w:r w:rsidRPr="00AD2CF5">
        <w:rPr>
          <w:i/>
        </w:rPr>
        <w:t>f</w:t>
      </w:r>
      <w:r w:rsidRPr="00AD2CF5">
        <w:rPr>
          <w:i/>
          <w:vertAlign w:val="subscript"/>
        </w:rPr>
        <w:t>abs</w:t>
      </w:r>
      <w:r w:rsidRPr="00AD2CF5">
        <w:tab/>
        <w:t>fractie van het geluidpad waarvoor de bodem ‘absorberend’ of ‘zeer absorberend’ is.;</w:t>
      </w:r>
    </w:p>
    <w:p w:rsidR="00F43C9B" w:rsidRPr="00AD2CF5" w:rsidRDefault="00F43C9B" w:rsidP="00F43C9B">
      <w:pPr>
        <w:shd w:val="clear" w:color="auto" w:fill="D9D9D9" w:themeFill="background1" w:themeFillShade="D9"/>
        <w:tabs>
          <w:tab w:val="left" w:pos="-1440"/>
          <w:tab w:val="left" w:pos="-720"/>
          <w:tab w:val="left" w:pos="0"/>
          <w:tab w:val="left" w:pos="567"/>
        </w:tabs>
        <w:suppressAutoHyphens/>
        <w:ind w:left="1440" w:hanging="1440"/>
      </w:pPr>
      <w:r w:rsidRPr="00AD2CF5">
        <w:rPr>
          <w:rFonts w:ascii="Symbol" w:hAnsi="Symbol"/>
        </w:rPr>
        <w:t></w:t>
      </w:r>
      <w:r w:rsidRPr="00AD2CF5">
        <w:rPr>
          <w:i/>
        </w:rPr>
        <w:t>x</w:t>
      </w:r>
      <w:r w:rsidRPr="00AD2CF5">
        <w:t xml:space="preserve"> </w:t>
      </w:r>
      <w:r w:rsidRPr="00AD2CF5">
        <w:tab/>
        <w:t>de horizontale afstand (langs het geluidpad) van bron- of reken</w:t>
      </w:r>
      <w:r w:rsidRPr="00AD2CF5">
        <w:softHyphen/>
        <w:t>punt naar het scherm</w:t>
      </w:r>
      <w:r w:rsidRPr="00AD2CF5">
        <w:fldChar w:fldCharType="begin"/>
      </w:r>
      <w:r w:rsidRPr="00AD2CF5">
        <w:instrText xml:space="preserve"> XE "afschermende objecten:scherm" </w:instrText>
      </w:r>
      <w:r w:rsidRPr="00AD2CF5">
        <w:fldChar w:fldCharType="end"/>
      </w:r>
      <w:r w:rsidRPr="00AD2CF5">
        <w:t xml:space="preserve"> afhankelijk of </w:t>
      </w:r>
      <w:r w:rsidRPr="00AD2CF5">
        <w:rPr>
          <w:rFonts w:ascii="Symbol" w:hAnsi="Symbol"/>
        </w:rPr>
        <w:t></w:t>
      </w:r>
      <w:r w:rsidRPr="00AD2CF5">
        <w:rPr>
          <w:rFonts w:ascii="Symbol" w:hAnsi="Symbol"/>
          <w:i/>
        </w:rPr>
        <w:t></w:t>
      </w:r>
      <w:r w:rsidRPr="00AD2CF5">
        <w:rPr>
          <w:i/>
          <w:vertAlign w:val="subscript"/>
        </w:rPr>
        <w:t>s</w:t>
      </w:r>
      <w:r w:rsidRPr="00AD2CF5">
        <w:t xml:space="preserve"> dan wel </w:t>
      </w:r>
      <w:r w:rsidRPr="00AD2CF5">
        <w:rPr>
          <w:rFonts w:ascii="Symbol" w:hAnsi="Symbol"/>
        </w:rPr>
        <w:t></w:t>
      </w:r>
      <w:r w:rsidRPr="00AD2CF5">
        <w:rPr>
          <w:rFonts w:ascii="Symbol" w:hAnsi="Symbol"/>
          <w:i/>
        </w:rPr>
        <w:t></w:t>
      </w:r>
      <w:r w:rsidRPr="00AD2CF5">
        <w:rPr>
          <w:i/>
          <w:vertAlign w:val="subscript"/>
        </w:rPr>
        <w:t>r</w:t>
      </w:r>
      <w:r w:rsidRPr="00AD2CF5">
        <w:t xml:space="preserve"> bepaald moet worden;</w:t>
      </w:r>
    </w:p>
    <w:p w:rsidR="00F43C9B" w:rsidRPr="00AD2CF5" w:rsidRDefault="00F43C9B" w:rsidP="00F43C9B">
      <w:pPr>
        <w:shd w:val="clear" w:color="auto" w:fill="D9D9D9" w:themeFill="background1" w:themeFillShade="D9"/>
        <w:tabs>
          <w:tab w:val="left" w:pos="-1440"/>
          <w:tab w:val="left" w:pos="-720"/>
          <w:tab w:val="left" w:pos="0"/>
          <w:tab w:val="left" w:pos="567"/>
        </w:tabs>
        <w:suppressAutoHyphens/>
        <w:ind w:left="1440" w:hanging="1440"/>
      </w:pPr>
      <w:r w:rsidRPr="00AD2CF5">
        <w:rPr>
          <w:i/>
        </w:rPr>
        <w:t>b</w:t>
      </w:r>
      <w:r w:rsidRPr="00AD2CF5">
        <w:rPr>
          <w:i/>
          <w:vertAlign w:val="subscript"/>
        </w:rPr>
        <w:t>n</w:t>
      </w:r>
      <w:r w:rsidRPr="00AD2CF5">
        <w:rPr>
          <w:i/>
          <w:vertAlign w:val="subscript"/>
        </w:rPr>
        <w:tab/>
      </w:r>
      <w:r w:rsidRPr="00AD2CF5">
        <w:t>parameter van het geluidsnelheidsprofiel</w:t>
      </w:r>
      <w:r w:rsidRPr="00AD2CF5">
        <w:fldChar w:fldCharType="begin"/>
      </w:r>
      <w:r w:rsidRPr="00AD2CF5">
        <w:instrText xml:space="preserve"> XE "geluidsnelheidsprofiel" </w:instrText>
      </w:r>
      <w:r w:rsidRPr="00AD2CF5">
        <w:fldChar w:fldCharType="end"/>
      </w:r>
      <w:r w:rsidRPr="00AD2CF5">
        <w:t xml:space="preserve"> (zie tabel 4.1).</w:t>
      </w:r>
    </w:p>
    <w:p w:rsidR="00F43C9B" w:rsidRPr="00AD2CF5" w:rsidRDefault="00F43C9B" w:rsidP="00F43C9B">
      <w:pPr>
        <w:pStyle w:val="Inhopg1"/>
        <w:shd w:val="clear" w:color="auto" w:fill="D9D9D9" w:themeFill="background1" w:themeFillShade="D9"/>
        <w:tabs>
          <w:tab w:val="left" w:pos="-1440"/>
          <w:tab w:val="left" w:pos="-720"/>
        </w:tabs>
        <w:suppressAutoHyphens/>
        <w:spacing w:after="0" w:line="240" w:lineRule="auto"/>
      </w:pPr>
    </w:p>
    <w:p w:rsidR="00F43C9B" w:rsidRPr="00AD2CF5" w:rsidRDefault="00F43C9B" w:rsidP="00F43C9B">
      <w:pPr>
        <w:keepNext/>
        <w:keepLines/>
        <w:shd w:val="clear" w:color="auto" w:fill="D9D9D9" w:themeFill="background1" w:themeFillShade="D9"/>
        <w:tabs>
          <w:tab w:val="left" w:pos="-1440"/>
          <w:tab w:val="left" w:pos="-720"/>
        </w:tabs>
        <w:suppressAutoHyphens/>
      </w:pPr>
      <w:r w:rsidRPr="00AD2CF5">
        <w:t xml:space="preserve">Voor </w:t>
      </w:r>
      <w:r w:rsidRPr="00AD2CF5">
        <w:rPr>
          <w:i/>
        </w:rPr>
        <w:t>z</w:t>
      </w:r>
      <w:r w:rsidRPr="00AD2CF5">
        <w:rPr>
          <w:i/>
          <w:vertAlign w:val="subscript"/>
        </w:rPr>
        <w:t>max,n</w:t>
      </w:r>
      <w:r w:rsidRPr="00AD2CF5">
        <w:t xml:space="preserve"> geldt nu:</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30"/>
        </w:rPr>
        <w:object w:dxaOrig="2780" w:dyaOrig="720">
          <v:shape id="_x0000_i1106" type="#_x0000_t75" style="width:138.75pt;height:37.5pt" o:ole="" fillcolor="window">
            <v:imagedata r:id="rId251" o:title=""/>
          </v:shape>
          <o:OLEObject Type="Embed" ProgID="Equation.3" ShapeID="_x0000_i1106" DrawAspect="Content" ObjectID="_1511255444" r:id="rId252"/>
        </w:object>
      </w:r>
      <w:r w:rsidRPr="00AD2CF5">
        <w:rPr>
          <w:rStyle w:val="EquationCaption"/>
          <w:lang w:val="nl-NL"/>
        </w:rPr>
        <w:tab/>
      </w:r>
      <w:r w:rsidRPr="00AD2CF5">
        <w:rPr>
          <w:lang w:val="nl-NL"/>
        </w:rPr>
        <w:t>(4. 43)</w:t>
      </w:r>
    </w:p>
    <w:p w:rsidR="00F43C9B" w:rsidRPr="00AD2CF5" w:rsidRDefault="00F43C9B" w:rsidP="00F43C9B">
      <w:pPr>
        <w:shd w:val="clear" w:color="auto" w:fill="D9D9D9" w:themeFill="background1" w:themeFillShade="D9"/>
        <w:tabs>
          <w:tab w:val="left" w:pos="-1440"/>
          <w:tab w:val="left" w:pos="-720"/>
        </w:tabs>
        <w:suppressAutoHyphens/>
      </w:pPr>
      <w:r w:rsidRPr="00AD2CF5">
        <w:t>De correcties zijn vervolgens te bepalen uit onderstaande formule (</w:t>
      </w:r>
      <w:r w:rsidRPr="00AD2CF5">
        <w:rPr>
          <w:i/>
          <w:iCs/>
        </w:rPr>
        <w:t>t</w:t>
      </w:r>
      <w:r w:rsidRPr="00AD2CF5">
        <w:t xml:space="preserve"> = s of </w:t>
      </w:r>
      <w:r w:rsidRPr="00AD2CF5">
        <w:rPr>
          <w:i/>
          <w:iCs/>
        </w:rPr>
        <w:t>r</w:t>
      </w:r>
      <w:r w:rsidRPr="00AD2CF5">
        <w:t>, zie ook formule 4.9):</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position w:val="-34"/>
        </w:rPr>
        <w:object w:dxaOrig="2240" w:dyaOrig="800">
          <v:shape id="_x0000_i1107" type="#_x0000_t75" style="width:112.5pt;height:40.5pt" o:ole="" fillcolor="window">
            <v:imagedata r:id="rId253" o:title=""/>
          </v:shape>
          <o:OLEObject Type="Embed" ProgID="Equation.3" ShapeID="_x0000_i1107" DrawAspect="Content" ObjectID="_1511255445" r:id="rId254"/>
        </w:object>
      </w:r>
      <w:r w:rsidRPr="00AD2CF5">
        <w:rPr>
          <w:rStyle w:val="EquationCaption"/>
          <w:lang w:val="nl-NL"/>
        </w:rPr>
        <w:tab/>
      </w:r>
      <w:r w:rsidRPr="00AD2CF5">
        <w:rPr>
          <w:lang w:val="nl-NL"/>
        </w:rPr>
        <w:t>(4. 44)</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t>De demping door het scherm</w:t>
      </w:r>
      <w:r w:rsidRPr="00AD2CF5">
        <w:fldChar w:fldCharType="begin"/>
      </w:r>
      <w:r w:rsidRPr="00AD2CF5">
        <w:instrText xml:space="preserve"> XE "afschermende objecten:scherm" </w:instrText>
      </w:r>
      <w:r w:rsidRPr="00AD2CF5">
        <w:fldChar w:fldCharType="end"/>
      </w:r>
      <w:r w:rsidRPr="00AD2CF5">
        <w:t xml:space="preserve"> wordt per geluidpad (</w:t>
      </w:r>
      <w:r w:rsidRPr="00AD2CF5">
        <w:rPr>
          <w:i/>
          <w:iCs/>
        </w:rPr>
        <w:t>p</w:t>
      </w:r>
      <w:r w:rsidRPr="00AD2CF5">
        <w:t>=1,2,3) gegeven door:</w:t>
      </w:r>
    </w:p>
    <w:p w:rsidR="00F43C9B" w:rsidRPr="00AD2CF5" w:rsidRDefault="00F43C9B" w:rsidP="00F43C9B">
      <w:pPr>
        <w:shd w:val="clear" w:color="auto" w:fill="D9D9D9" w:themeFill="background1" w:themeFillShade="D9"/>
        <w:tabs>
          <w:tab w:val="left" w:pos="-1440"/>
          <w:tab w:val="left" w:pos="-720"/>
          <w:tab w:val="left" w:pos="567"/>
        </w:tabs>
        <w:suppressAutoHyphens/>
        <w:spacing w:line="240" w:lineRule="auto"/>
      </w:pPr>
      <w:r w:rsidRPr="00AD2CF5">
        <w:rPr>
          <w:position w:val="-22"/>
        </w:rPr>
        <w:object w:dxaOrig="3920" w:dyaOrig="560">
          <v:shape id="_x0000_i1108" type="#_x0000_t75" style="width:195pt;height:27.75pt" o:ole="">
            <v:imagedata r:id="rId255" o:title=""/>
          </v:shape>
          <o:OLEObject Type="Embed" ProgID="Equation.3" ShapeID="_x0000_i1108" DrawAspect="Content" ObjectID="_1511255446" r:id="rId256"/>
        </w:object>
      </w:r>
    </w:p>
    <w:p w:rsidR="00F43C9B" w:rsidRPr="00AD2CF5" w:rsidRDefault="00F43C9B" w:rsidP="00F43C9B">
      <w:pPr>
        <w:shd w:val="clear" w:color="auto" w:fill="D9D9D9" w:themeFill="background1" w:themeFillShade="D9"/>
        <w:tabs>
          <w:tab w:val="left" w:pos="-1440"/>
          <w:tab w:val="left" w:pos="-720"/>
          <w:tab w:val="left" w:pos="567"/>
          <w:tab w:val="right" w:pos="7371"/>
        </w:tabs>
        <w:suppressAutoHyphens/>
        <w:spacing w:line="240" w:lineRule="auto"/>
        <w:rPr>
          <w:b/>
          <w:bCs/>
        </w:rPr>
      </w:pPr>
      <w:r w:rsidRPr="00AD2CF5">
        <w:t>met</w:t>
      </w:r>
      <w:r w:rsidRPr="00AD2CF5">
        <w:tab/>
      </w:r>
      <w:r w:rsidRPr="00AD2CF5">
        <w:tab/>
      </w:r>
      <w:r w:rsidRPr="00AD2CF5">
        <w:rPr>
          <w:b/>
          <w:bCs/>
          <w:sz w:val="18"/>
          <w:szCs w:val="18"/>
        </w:rPr>
        <w:t>(4.45)</w:t>
      </w:r>
    </w:p>
    <w:p w:rsidR="00F43C9B" w:rsidRPr="00AD2CF5" w:rsidRDefault="00F43C9B" w:rsidP="00F43C9B">
      <w:pPr>
        <w:shd w:val="clear" w:color="auto" w:fill="D9D9D9" w:themeFill="background1" w:themeFillShade="D9"/>
        <w:tabs>
          <w:tab w:val="left" w:pos="-1440"/>
          <w:tab w:val="left" w:pos="-720"/>
          <w:tab w:val="left" w:pos="567"/>
        </w:tabs>
        <w:suppressAutoHyphens/>
        <w:spacing w:line="240" w:lineRule="auto"/>
      </w:pPr>
      <w:r w:rsidRPr="00AD2CF5">
        <w:rPr>
          <w:position w:val="-30"/>
        </w:rPr>
        <w:object w:dxaOrig="5080" w:dyaOrig="720">
          <v:shape id="_x0000_i1109" type="#_x0000_t75" style="width:253.5pt;height:37.5pt" o:ole="">
            <v:imagedata r:id="rId257" o:title=""/>
          </v:shape>
          <o:OLEObject Type="Embed" ProgID="Equation.3" ShapeID="_x0000_i1109" DrawAspect="Content" ObjectID="_1511255447" r:id="rId258"/>
        </w:object>
      </w:r>
    </w:p>
    <w:p w:rsidR="00F43C9B" w:rsidRPr="00AD2CF5" w:rsidRDefault="00F43C9B" w:rsidP="00F43C9B">
      <w:pPr>
        <w:pStyle w:val="Eindnoottekst"/>
        <w:shd w:val="clear" w:color="auto" w:fill="D9D9D9" w:themeFill="background1" w:themeFillShade="D9"/>
      </w:pPr>
      <w:r w:rsidRPr="00AD2CF5">
        <w:t xml:space="preserve">opmerking: </w:t>
      </w:r>
      <w:r w:rsidRPr="00AD2CF5">
        <w:rPr>
          <w:i/>
        </w:rPr>
        <w:sym w:font="Symbol" w:char="F066"/>
      </w:r>
      <w:r w:rsidRPr="00AD2CF5">
        <w:rPr>
          <w:iCs/>
          <w:vertAlign w:val="subscript"/>
        </w:rPr>
        <w:t>s</w:t>
      </w:r>
      <w:r w:rsidRPr="00AD2CF5">
        <w:t xml:space="preserve"> en </w:t>
      </w:r>
      <w:r w:rsidRPr="00AD2CF5">
        <w:rPr>
          <w:i/>
        </w:rPr>
        <w:sym w:font="Symbol" w:char="F066"/>
      </w:r>
      <w:r w:rsidRPr="00AD2CF5">
        <w:rPr>
          <w:i/>
          <w:vertAlign w:val="subscript"/>
        </w:rPr>
        <w:t>r</w:t>
      </w:r>
      <w:r w:rsidRPr="00AD2CF5">
        <w:t xml:space="preserve"> zijn beide een functie van zowel de frequentie</w:t>
      </w:r>
      <w:r w:rsidRPr="00AD2CF5">
        <w:fldChar w:fldCharType="begin"/>
      </w:r>
      <w:r w:rsidRPr="00AD2CF5">
        <w:instrText xml:space="preserve"> XE "</w:instrText>
      </w:r>
      <w:r w:rsidRPr="00AD2CF5">
        <w:rPr>
          <w:sz w:val="22"/>
          <w:lang w:val="nl-NL"/>
        </w:rPr>
        <w:instrText>frequentie"</w:instrText>
      </w:r>
      <w:r w:rsidRPr="00AD2CF5">
        <w:instrText xml:space="preserve"> </w:instrText>
      </w:r>
      <w:r w:rsidRPr="00AD2CF5">
        <w:fldChar w:fldCharType="end"/>
      </w:r>
      <w:r w:rsidRPr="00AD2CF5">
        <w:t>, het meteorologisch profiel als het geluidpad.</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t>In bovenstaande formule worden de volgende functies toegepast:</w:t>
      </w: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rPr>
          <w:b/>
        </w:rPr>
        <w:t xml:space="preserve">max(x,y) </w:t>
      </w:r>
      <w:r w:rsidRPr="00AD2CF5">
        <w:t>is gelijk aan de grootste van zijn twee argumenten:</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20"/>
        </w:rPr>
        <w:object w:dxaOrig="2380" w:dyaOrig="520">
          <v:shape id="_x0000_i1110" type="#_x0000_t75" style="width:117.75pt;height:27pt" o:ole="" fillcolor="window">
            <v:imagedata r:id="rId259" o:title=""/>
          </v:shape>
          <o:OLEObject Type="Embed" ProgID="Equation.3" ShapeID="_x0000_i1110" DrawAspect="Content" ObjectID="_1511255448" r:id="rId260"/>
        </w:object>
      </w:r>
      <w:r w:rsidRPr="00AD2CF5">
        <w:rPr>
          <w:lang w:val="nl-NL"/>
        </w:rPr>
        <w:tab/>
        <w:t>(4. 46)</w:t>
      </w: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rPr>
          <w:b/>
        </w:rPr>
        <w:t>T(x)</w:t>
      </w:r>
      <w:r w:rsidRPr="00AD2CF5">
        <w:t xml:space="preserve"> geeft het teken van x aan:</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20"/>
        </w:rPr>
        <w:object w:dxaOrig="2100" w:dyaOrig="520">
          <v:shape id="_x0000_i1111" type="#_x0000_t75" style="width:105pt;height:27pt" o:ole="" fillcolor="window">
            <v:imagedata r:id="rId261" o:title=""/>
          </v:shape>
          <o:OLEObject Type="Embed" ProgID="Equation.3" ShapeID="_x0000_i1111" DrawAspect="Content" ObjectID="_1511255449" r:id="rId262"/>
        </w:object>
      </w:r>
      <w:r w:rsidRPr="00AD2CF5">
        <w:rPr>
          <w:rStyle w:val="EquationCaption"/>
          <w:lang w:val="nl-NL"/>
        </w:rPr>
        <w:tab/>
      </w:r>
      <w:r w:rsidRPr="00AD2CF5">
        <w:rPr>
          <w:lang w:val="nl-NL"/>
        </w:rPr>
        <w:t>(4. 47)</w:t>
      </w: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rPr>
          <w:rFonts w:ascii="Symbol" w:hAnsi="Symbol"/>
          <w:b/>
        </w:rPr>
        <w:t></w:t>
      </w:r>
      <w:r w:rsidRPr="00AD2CF5">
        <w:rPr>
          <w:i/>
          <w:iCs/>
          <w:vertAlign w:val="subscript"/>
        </w:rPr>
        <w:t>p</w:t>
      </w:r>
      <w:r w:rsidRPr="00AD2CF5">
        <w:rPr>
          <w:i/>
          <w:iCs/>
        </w:rPr>
        <w:t>(f</w:t>
      </w:r>
      <w:r w:rsidRPr="00AD2CF5">
        <w:rPr>
          <w:i/>
          <w:iCs/>
          <w:vertAlign w:val="subscript"/>
        </w:rPr>
        <w:t>k</w:t>
      </w:r>
      <w:r w:rsidRPr="00AD2CF5">
        <w:rPr>
          <w:i/>
          <w:iCs/>
        </w:rPr>
        <w:t>)</w:t>
      </w:r>
      <w:r w:rsidRPr="00AD2CF5">
        <w:t xml:space="preserve"> is gedefinieerd als:</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30"/>
        </w:rPr>
        <w:object w:dxaOrig="2700" w:dyaOrig="700">
          <v:shape id="_x0000_i1112" type="#_x0000_t75" style="width:136.5pt;height:34.5pt" o:ole="" fillcolor="window">
            <v:imagedata r:id="rId263" o:title=""/>
          </v:shape>
          <o:OLEObject Type="Embed" ProgID="Equation.3" ShapeID="_x0000_i1112" DrawAspect="Content" ObjectID="_1511255450" r:id="rId264"/>
        </w:object>
      </w:r>
      <w:r w:rsidRPr="00AD2CF5">
        <w:rPr>
          <w:rStyle w:val="EquationCaption"/>
          <w:lang w:val="nl-NL"/>
        </w:rPr>
        <w:tab/>
      </w:r>
      <w:r w:rsidRPr="00AD2CF5">
        <w:rPr>
          <w:lang w:val="nl-NL"/>
        </w:rPr>
        <w:t>(4.48)</w:t>
      </w: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t>waarin:</w:t>
      </w:r>
    </w:p>
    <w:p w:rsidR="00F43C9B" w:rsidRPr="00AD2CF5" w:rsidRDefault="00F43C9B" w:rsidP="00F43C9B">
      <w:pPr>
        <w:shd w:val="clear" w:color="auto" w:fill="D9D9D9" w:themeFill="background1" w:themeFillShade="D9"/>
        <w:tabs>
          <w:tab w:val="left" w:pos="-1440"/>
          <w:tab w:val="left" w:pos="-720"/>
          <w:tab w:val="left" w:pos="0"/>
          <w:tab w:val="left" w:pos="851"/>
        </w:tabs>
        <w:suppressAutoHyphens/>
        <w:spacing w:line="240" w:lineRule="auto"/>
        <w:ind w:left="567" w:hanging="567"/>
      </w:pPr>
      <w:r w:rsidRPr="00AD2CF5">
        <w:rPr>
          <w:i/>
        </w:rPr>
        <w:t>r</w:t>
      </w:r>
      <w:r w:rsidRPr="00AD2CF5">
        <w:rPr>
          <w:i/>
          <w:vertAlign w:val="subscript"/>
        </w:rPr>
        <w:t>s</w:t>
      </w:r>
      <w:r w:rsidRPr="00AD2CF5">
        <w:tab/>
        <w:t>afstand van bron naar top van scherm</w:t>
      </w:r>
      <w:r w:rsidRPr="00AD2CF5">
        <w:fldChar w:fldCharType="begin"/>
      </w:r>
      <w:r w:rsidRPr="00AD2CF5">
        <w:instrText xml:space="preserve"> XE "afschermende objecten:scherm" </w:instrText>
      </w:r>
      <w:r w:rsidRPr="00AD2CF5">
        <w:fldChar w:fldCharType="end"/>
      </w:r>
      <w:r w:rsidRPr="00AD2CF5">
        <w:t xml:space="preserve"> (zie figuur 4.10);</w:t>
      </w:r>
    </w:p>
    <w:p w:rsidR="00F43C9B" w:rsidRPr="00AD2CF5" w:rsidRDefault="00F43C9B" w:rsidP="00F43C9B">
      <w:pPr>
        <w:shd w:val="clear" w:color="auto" w:fill="D9D9D9" w:themeFill="background1" w:themeFillShade="D9"/>
        <w:tabs>
          <w:tab w:val="left" w:pos="-1440"/>
          <w:tab w:val="left" w:pos="-720"/>
          <w:tab w:val="left" w:pos="0"/>
          <w:tab w:val="left" w:pos="851"/>
        </w:tabs>
        <w:suppressAutoHyphens/>
        <w:spacing w:line="240" w:lineRule="auto"/>
        <w:ind w:left="567" w:hanging="567"/>
      </w:pPr>
      <w:r w:rsidRPr="00AD2CF5">
        <w:rPr>
          <w:i/>
        </w:rPr>
        <w:t>r</w:t>
      </w:r>
      <w:r w:rsidRPr="00AD2CF5">
        <w:rPr>
          <w:i/>
          <w:vertAlign w:val="subscript"/>
        </w:rPr>
        <w:t>r</w:t>
      </w:r>
      <w:r w:rsidRPr="00AD2CF5">
        <w:tab/>
        <w:t>afstand van rekenpunt naar top van scherm</w:t>
      </w:r>
      <w:r w:rsidRPr="00AD2CF5">
        <w:fldChar w:fldCharType="begin"/>
      </w:r>
      <w:r w:rsidRPr="00AD2CF5">
        <w:instrText xml:space="preserve"> XE "afschermende objecten:scherm" </w:instrText>
      </w:r>
      <w:r w:rsidRPr="00AD2CF5">
        <w:fldChar w:fldCharType="end"/>
      </w:r>
      <w:r w:rsidRPr="00AD2CF5">
        <w:t>.</w:t>
      </w:r>
    </w:p>
    <w:p w:rsidR="00F43C9B" w:rsidRPr="00AD2CF5" w:rsidRDefault="00F43C9B" w:rsidP="00F43C9B">
      <w:pPr>
        <w:pStyle w:val="Inhopg1"/>
        <w:shd w:val="clear" w:color="auto" w:fill="D9D9D9" w:themeFill="background1" w:themeFillShade="D9"/>
        <w:tabs>
          <w:tab w:val="left" w:pos="-1440"/>
          <w:tab w:val="left" w:pos="-720"/>
        </w:tabs>
        <w:suppressAutoHyphens/>
        <w:spacing w:after="0" w:line="240" w:lineRule="auto"/>
      </w:pPr>
    </w:p>
    <w:p w:rsidR="00F43C9B" w:rsidRPr="00AD2CF5" w:rsidRDefault="00F43C9B" w:rsidP="00F43C9B">
      <w:pPr>
        <w:keepNext/>
        <w:keepLines/>
        <w:shd w:val="clear" w:color="auto" w:fill="D9D9D9" w:themeFill="background1" w:themeFillShade="D9"/>
        <w:tabs>
          <w:tab w:val="left" w:pos="-1440"/>
          <w:tab w:val="left" w:pos="-720"/>
        </w:tabs>
        <w:suppressAutoHyphens/>
        <w:spacing w:line="240" w:lineRule="auto"/>
        <w:ind w:right="-426"/>
      </w:pPr>
      <w:r w:rsidRPr="00AD2CF5">
        <w:t xml:space="preserve">De factor </w:t>
      </w:r>
      <w:r w:rsidRPr="00AD2CF5">
        <w:rPr>
          <w:i/>
        </w:rPr>
        <w:t>H</w:t>
      </w:r>
      <w:r w:rsidRPr="00AD2CF5">
        <w:rPr>
          <w:i/>
          <w:vertAlign w:val="subscript"/>
        </w:rPr>
        <w:t>p</w:t>
      </w:r>
      <w:r w:rsidRPr="00AD2CF5">
        <w:t xml:space="preserve"> brengt de eindige afmetingen van het scherm</w:t>
      </w:r>
      <w:r w:rsidRPr="00AD2CF5">
        <w:fldChar w:fldCharType="begin"/>
      </w:r>
      <w:r w:rsidRPr="00AD2CF5">
        <w:instrText xml:space="preserve"> XE "afschermende objecten:scherm" </w:instrText>
      </w:r>
      <w:r w:rsidRPr="00AD2CF5">
        <w:fldChar w:fldCharType="end"/>
      </w:r>
      <w:r w:rsidRPr="00AD2CF5">
        <w:t xml:space="preserve"> in rekening:</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24"/>
        </w:rPr>
        <w:object w:dxaOrig="2520" w:dyaOrig="660">
          <v:shape id="_x0000_i1113" type="#_x0000_t75" style="width:126pt;height:33pt" o:ole="" fillcolor="window">
            <v:imagedata r:id="rId265" o:title=""/>
          </v:shape>
          <o:OLEObject Type="Embed" ProgID="Equation.3" ShapeID="_x0000_i1113" DrawAspect="Content" ObjectID="_1511255451" r:id="rId266"/>
        </w:object>
      </w:r>
      <w:r w:rsidRPr="00AD2CF5">
        <w:rPr>
          <w:rStyle w:val="EquationCaption"/>
          <w:lang w:val="nl-NL"/>
        </w:rPr>
        <w:tab/>
      </w:r>
      <w:r w:rsidRPr="00AD2CF5">
        <w:rPr>
          <w:lang w:val="nl-NL"/>
        </w:rPr>
        <w:t>(4. 49)</w:t>
      </w:r>
    </w:p>
    <w:p w:rsidR="00F43C9B" w:rsidRPr="00AD2CF5" w:rsidRDefault="00F43C9B" w:rsidP="00F43C9B">
      <w:pPr>
        <w:pStyle w:val="Plattetekst"/>
        <w:shd w:val="clear" w:color="auto" w:fill="D9D9D9" w:themeFill="background1" w:themeFillShade="D9"/>
        <w:tabs>
          <w:tab w:val="left" w:pos="567"/>
          <w:tab w:val="right" w:pos="7371"/>
        </w:tabs>
        <w:spacing w:line="240" w:lineRule="auto"/>
        <w:rPr>
          <w:b w:val="0"/>
        </w:rPr>
      </w:pPr>
      <w:r w:rsidRPr="00AD2CF5">
        <w:br w:type="page"/>
      </w:r>
      <w:r w:rsidRPr="00AD2CF5">
        <w:rPr>
          <w:rFonts w:ascii="Symbol" w:hAnsi="Symbol"/>
          <w:b w:val="0"/>
        </w:rPr>
        <w:t></w:t>
      </w:r>
      <w:r w:rsidRPr="00AD2CF5">
        <w:rPr>
          <w:b w:val="0"/>
          <w:i/>
          <w:iCs/>
        </w:rPr>
        <w:t>D</w:t>
      </w:r>
      <w:r w:rsidRPr="00AD2CF5">
        <w:rPr>
          <w:b w:val="0"/>
          <w:i/>
          <w:iCs/>
          <w:vertAlign w:val="subscript"/>
        </w:rPr>
        <w:t>p</w:t>
      </w:r>
      <w:r w:rsidRPr="00AD2CF5">
        <w:rPr>
          <w:b w:val="0"/>
        </w:rPr>
        <w:t xml:space="preserve"> is de tophoekcorrectie</w:t>
      </w:r>
      <w:r w:rsidRPr="00AD2CF5">
        <w:rPr>
          <w:b w:val="0"/>
        </w:rPr>
        <w:fldChar w:fldCharType="begin"/>
      </w:r>
      <w:r w:rsidRPr="00AD2CF5">
        <w:rPr>
          <w:b w:val="0"/>
        </w:rPr>
        <w:instrText xml:space="preserve"> XE "tophoekcorrectie" </w:instrText>
      </w:r>
      <w:r w:rsidRPr="00AD2CF5">
        <w:rPr>
          <w:b w:val="0"/>
        </w:rPr>
        <w:fldChar w:fldCharType="end"/>
      </w:r>
      <w:r w:rsidRPr="00AD2CF5">
        <w:rPr>
          <w:b w:val="0"/>
        </w:rPr>
        <w:t xml:space="preserve"> voor een wal</w:t>
      </w:r>
      <w:r w:rsidRPr="00AD2CF5">
        <w:rPr>
          <w:b w:val="0"/>
        </w:rPr>
        <w:fldChar w:fldCharType="begin"/>
      </w:r>
      <w:r w:rsidRPr="00AD2CF5">
        <w:rPr>
          <w:b w:val="0"/>
        </w:rPr>
        <w:instrText xml:space="preserve"> XE "afschermende objecten:wal" </w:instrText>
      </w:r>
      <w:r w:rsidRPr="00AD2CF5">
        <w:rPr>
          <w:b w:val="0"/>
        </w:rPr>
        <w:fldChar w:fldCharType="end"/>
      </w:r>
      <w:r w:rsidRPr="00AD2CF5">
        <w:rPr>
          <w:b w:val="0"/>
        </w:rPr>
        <w:t xml:space="preserve"> met tophoek </w:t>
      </w:r>
      <w:r w:rsidRPr="00AD2CF5">
        <w:rPr>
          <w:rFonts w:ascii="Symbol" w:hAnsi="Symbol"/>
          <w:b w:val="0"/>
        </w:rPr>
        <w:t></w:t>
      </w:r>
      <w:r w:rsidRPr="00AD2CF5">
        <w:rPr>
          <w:b w:val="0"/>
        </w:rPr>
        <w:t>  (zie figuur 4.5). Deze correctie wordt alleen toegepast voor geluidpad 1 over de top van het obstakel:</w:t>
      </w:r>
    </w:p>
    <w:p w:rsidR="00F43C9B" w:rsidRPr="00AD2CF5" w:rsidRDefault="00F43C9B" w:rsidP="00F43C9B">
      <w:pPr>
        <w:pStyle w:val="Bijschrift"/>
        <w:shd w:val="clear" w:color="auto" w:fill="D9D9D9" w:themeFill="background1" w:themeFillShade="D9"/>
        <w:tabs>
          <w:tab w:val="left" w:pos="567"/>
          <w:tab w:val="right" w:pos="7371"/>
        </w:tabs>
        <w:rPr>
          <w:rStyle w:val="EquationCaption"/>
          <w:lang w:val="nl-NL"/>
        </w:rPr>
      </w:pPr>
      <w:r w:rsidRPr="00AD2CF5">
        <w:rPr>
          <w:position w:val="-56"/>
        </w:rPr>
        <w:object w:dxaOrig="4440" w:dyaOrig="1680">
          <v:shape id="_x0000_i1114" type="#_x0000_t75" style="width:222pt;height:84pt" o:ole="" fillcolor="window">
            <v:imagedata r:id="rId267" o:title=""/>
          </v:shape>
          <o:OLEObject Type="Embed" ProgID="Equation.3" ShapeID="_x0000_i1114" DrawAspect="Content" ObjectID="_1511255452" r:id="rId268"/>
        </w:object>
      </w:r>
      <w:r w:rsidRPr="00AD2CF5">
        <w:rPr>
          <w:lang w:val="nl-NL"/>
        </w:rPr>
        <w:tab/>
        <w:t>(4. 50)</w:t>
      </w: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t>waarin:</w:t>
      </w:r>
    </w:p>
    <w:p w:rsidR="00F43C9B" w:rsidRPr="00AD2CF5" w:rsidRDefault="00F43C9B" w:rsidP="00F43C9B">
      <w:pPr>
        <w:shd w:val="clear" w:color="auto" w:fill="D9D9D9" w:themeFill="background1" w:themeFillShade="D9"/>
        <w:tabs>
          <w:tab w:val="left" w:pos="-1440"/>
          <w:tab w:val="left" w:pos="567"/>
          <w:tab w:val="left" w:pos="851"/>
          <w:tab w:val="left" w:pos="1276"/>
        </w:tabs>
        <w:suppressAutoHyphens/>
        <w:spacing w:line="240" w:lineRule="auto"/>
        <w:rPr>
          <w:rFonts w:ascii="Symbol" w:hAnsi="Symbol"/>
        </w:rPr>
      </w:pPr>
      <w:r w:rsidRPr="00AD2CF5">
        <w:rPr>
          <w:rFonts w:ascii="Symbol" w:hAnsi="Symbol"/>
          <w:i/>
        </w:rPr>
        <w:t></w:t>
      </w:r>
      <w:r w:rsidRPr="00AD2CF5">
        <w:tab/>
        <w:t>=</w:t>
      </w:r>
      <w:r w:rsidRPr="00AD2CF5">
        <w:tab/>
        <w:t xml:space="preserve">1 - </w:t>
      </w:r>
      <w:r w:rsidRPr="00AD2CF5">
        <w:rPr>
          <w:rFonts w:ascii="Symbol" w:hAnsi="Symbol"/>
          <w:i/>
        </w:rPr>
        <w:t></w:t>
      </w:r>
      <w:r w:rsidRPr="00AD2CF5">
        <w:rPr>
          <w:i/>
          <w:vertAlign w:val="subscript"/>
        </w:rPr>
        <w:t>abs</w:t>
      </w:r>
    </w:p>
    <w:p w:rsidR="00F43C9B" w:rsidRPr="00AD2CF5" w:rsidRDefault="00F43C9B" w:rsidP="00F43C9B">
      <w:pPr>
        <w:shd w:val="clear" w:color="auto" w:fill="D9D9D9" w:themeFill="background1" w:themeFillShade="D9"/>
        <w:tabs>
          <w:tab w:val="left" w:pos="-1440"/>
          <w:tab w:val="left" w:pos="567"/>
          <w:tab w:val="left" w:pos="851"/>
          <w:tab w:val="left" w:pos="1276"/>
        </w:tabs>
        <w:suppressAutoHyphens/>
        <w:spacing w:line="240" w:lineRule="auto"/>
        <w:rPr>
          <w:i/>
          <w:iCs/>
        </w:rPr>
      </w:pPr>
      <w:r w:rsidRPr="00AD2CF5">
        <w:rPr>
          <w:rFonts w:ascii="Symbol" w:hAnsi="Symbol"/>
          <w:i/>
          <w:iCs/>
        </w:rPr>
        <w:sym w:font="Symbol" w:char="F064"/>
      </w:r>
      <w:r w:rsidRPr="00AD2CF5">
        <w:rPr>
          <w:rFonts w:ascii="Symbol" w:hAnsi="Symbol"/>
          <w:i/>
          <w:iCs/>
        </w:rPr>
        <w:tab/>
      </w:r>
      <w:r w:rsidRPr="00AD2CF5">
        <w:t>=</w:t>
      </w:r>
      <w:r w:rsidRPr="00AD2CF5">
        <w:tab/>
      </w:r>
      <w:r w:rsidRPr="00AD2CF5">
        <w:rPr>
          <w:position w:val="-12"/>
        </w:rPr>
        <w:object w:dxaOrig="2799" w:dyaOrig="360">
          <v:shape id="_x0000_i1115" type="#_x0000_t75" style="width:139.5pt;height:18pt" o:ole="">
            <v:imagedata r:id="rId269" o:title=""/>
          </v:shape>
          <o:OLEObject Type="Embed" ProgID="Equation.3" ShapeID="_x0000_i1115" DrawAspect="Content" ObjectID="_1511255453" r:id="rId270"/>
        </w:object>
      </w:r>
    </w:p>
    <w:p w:rsidR="00F43C9B" w:rsidRPr="00AD2CF5" w:rsidRDefault="00F43C9B" w:rsidP="00F43C9B">
      <w:pPr>
        <w:shd w:val="clear" w:color="auto" w:fill="D9D9D9" w:themeFill="background1" w:themeFillShade="D9"/>
        <w:tabs>
          <w:tab w:val="left" w:pos="-1440"/>
          <w:tab w:val="left" w:pos="567"/>
          <w:tab w:val="left" w:pos="851"/>
          <w:tab w:val="left" w:pos="1276"/>
        </w:tabs>
        <w:suppressAutoHyphens/>
        <w:spacing w:line="240" w:lineRule="auto"/>
        <w:ind w:left="1276" w:hanging="1276"/>
      </w:pPr>
      <w:r w:rsidRPr="00AD2CF5">
        <w:rPr>
          <w:rFonts w:ascii="Symbol" w:hAnsi="Symbol"/>
          <w:i/>
        </w:rPr>
        <w:t></w:t>
      </w:r>
      <w:r w:rsidRPr="00AD2CF5">
        <w:rPr>
          <w:i/>
          <w:vertAlign w:val="subscript"/>
        </w:rPr>
        <w:t>abs</w:t>
      </w:r>
      <w:r w:rsidRPr="00AD2CF5">
        <w:rPr>
          <w:rFonts w:ascii="Symbol" w:hAnsi="Symbol"/>
        </w:rPr>
        <w:tab/>
      </w:r>
      <w:r w:rsidRPr="00AD2CF5">
        <w:t>de frequentieafhankelijke absorptiecoëfficiënt van de zijvlakken van de wal</w:t>
      </w:r>
      <w:r w:rsidRPr="00AD2CF5">
        <w:fldChar w:fldCharType="begin"/>
      </w:r>
      <w:r w:rsidRPr="00AD2CF5">
        <w:instrText xml:space="preserve"> XE "afschermende objecten:wal" </w:instrText>
      </w:r>
      <w:r w:rsidRPr="00AD2CF5">
        <w:fldChar w:fldCharType="end"/>
      </w:r>
      <w:r w:rsidRPr="00AD2CF5">
        <w:t xml:space="preserve"> (</w:t>
      </w:r>
      <w:r w:rsidRPr="00AD2CF5">
        <w:rPr>
          <w:position w:val="-10"/>
        </w:rPr>
        <w:object w:dxaOrig="1140" w:dyaOrig="320">
          <v:shape id="_x0000_i1116" type="#_x0000_t75" style="width:57pt;height:16.5pt" o:ole="">
            <v:imagedata r:id="rId271" o:title=""/>
          </v:shape>
          <o:OLEObject Type="Embed" ProgID="Equation.2" ShapeID="_x0000_i1116" DrawAspect="Content" ObjectID="_1511255454" r:id="rId272"/>
        </w:object>
      </w:r>
      <w:r w:rsidRPr="00AD2CF5">
        <w:t xml:space="preserve">). Voor een harde wal geldt </w:t>
      </w:r>
      <w:r w:rsidRPr="00AD2CF5">
        <w:rPr>
          <w:rFonts w:ascii="Symbol" w:hAnsi="Symbol"/>
          <w:i/>
        </w:rPr>
        <w:t></w:t>
      </w:r>
      <w:r w:rsidRPr="00AD2CF5">
        <w:rPr>
          <w:i/>
          <w:vertAlign w:val="subscript"/>
        </w:rPr>
        <w:t>abs</w:t>
      </w:r>
      <w:r w:rsidRPr="00AD2CF5">
        <w:t xml:space="preserve"> = 0, voor een zachte wal geldt </w:t>
      </w:r>
      <w:r w:rsidRPr="00AD2CF5">
        <w:rPr>
          <w:rFonts w:ascii="Symbol" w:hAnsi="Symbol"/>
          <w:i/>
        </w:rPr>
        <w:t></w:t>
      </w:r>
      <w:r w:rsidRPr="00AD2CF5">
        <w:rPr>
          <w:i/>
          <w:vertAlign w:val="subscript"/>
        </w:rPr>
        <w:t>abs</w:t>
      </w:r>
      <w:r w:rsidRPr="00AD2CF5">
        <w:t xml:space="preserve"> = 1, bij speciale gevallen kan hiervan worden afgeweken).</w:t>
      </w:r>
    </w:p>
    <w:p w:rsidR="00F43C9B" w:rsidRPr="00AD2CF5" w:rsidRDefault="00F43C9B" w:rsidP="00F43C9B">
      <w:pPr>
        <w:shd w:val="clear" w:color="auto" w:fill="D9D9D9" w:themeFill="background1" w:themeFillShade="D9"/>
        <w:tabs>
          <w:tab w:val="left" w:pos="-1440"/>
          <w:tab w:val="left" w:pos="567"/>
          <w:tab w:val="left" w:pos="851"/>
          <w:tab w:val="left" w:pos="1276"/>
        </w:tabs>
        <w:suppressAutoHyphens/>
        <w:spacing w:line="240" w:lineRule="auto"/>
        <w:ind w:left="1276" w:hanging="1276"/>
      </w:pPr>
      <w:r w:rsidRPr="00AD2CF5">
        <w:rPr>
          <w:rFonts w:ascii="Symbol" w:hAnsi="Symbol"/>
          <w:i/>
        </w:rPr>
        <w:sym w:font="Symbol" w:char="F066"/>
      </w:r>
      <w:r w:rsidRPr="00AD2CF5">
        <w:rPr>
          <w:i/>
          <w:vertAlign w:val="subscript"/>
        </w:rPr>
        <w:t>s</w:t>
      </w:r>
      <w:r w:rsidRPr="00AD2CF5">
        <w:rPr>
          <w:rFonts w:ascii="Symbol" w:hAnsi="Symbol"/>
          <w:i/>
          <w:vertAlign w:val="subscript"/>
        </w:rPr>
        <w:t></w:t>
      </w:r>
      <w:r w:rsidRPr="00AD2CF5">
        <w:rPr>
          <w:rFonts w:ascii="Symbol" w:hAnsi="Symbol"/>
          <w:i/>
          <w:vertAlign w:val="subscript"/>
        </w:rPr>
        <w:t></w:t>
      </w:r>
      <w:r w:rsidRPr="00AD2CF5">
        <w:rPr>
          <w:rFonts w:ascii="Symbol" w:hAnsi="Symbol"/>
          <w:i/>
        </w:rPr>
        <w:sym w:font="Symbol" w:char="F066"/>
      </w:r>
      <w:r w:rsidRPr="00AD2CF5">
        <w:rPr>
          <w:i/>
          <w:vertAlign w:val="subscript"/>
        </w:rPr>
        <w:t>r</w:t>
      </w:r>
      <w:r w:rsidRPr="00AD2CF5">
        <w:rPr>
          <w:i/>
        </w:rPr>
        <w:tab/>
      </w:r>
      <w:r w:rsidRPr="00AD2CF5">
        <w:t>diffractiehoeken voor geluidpad 1.</w:t>
      </w:r>
    </w:p>
    <w:p w:rsidR="00F43C9B" w:rsidRPr="00AD2CF5" w:rsidRDefault="00F43C9B" w:rsidP="00F43C9B">
      <w:pPr>
        <w:shd w:val="clear" w:color="auto" w:fill="D9D9D9" w:themeFill="background1" w:themeFillShade="D9"/>
        <w:tabs>
          <w:tab w:val="left" w:pos="-1440"/>
          <w:tab w:val="left" w:pos="567"/>
          <w:tab w:val="left" w:pos="851"/>
          <w:tab w:val="left" w:pos="1276"/>
        </w:tabs>
        <w:suppressAutoHyphens/>
        <w:spacing w:line="240" w:lineRule="auto"/>
      </w:pP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t xml:space="preserve">Voor de tophoek </w:t>
      </w:r>
      <w:r w:rsidRPr="00AD2CF5">
        <w:rPr>
          <w:rFonts w:ascii="Symbol" w:hAnsi="Symbol"/>
          <w:i/>
        </w:rPr>
        <w:t></w:t>
      </w:r>
      <w:r w:rsidRPr="00AD2CF5">
        <w:t xml:space="preserve"> geldt de restrictie 0.25</w:t>
      </w:r>
      <w:r w:rsidRPr="00AD2CF5">
        <w:rPr>
          <w:rFonts w:ascii="Symbol" w:hAnsi="Symbol"/>
        </w:rPr>
        <w:t></w:t>
      </w:r>
      <w:r w:rsidRPr="00AD2CF5">
        <w:rPr>
          <w:rFonts w:ascii="Symbol" w:hAnsi="Symbol"/>
        </w:rPr>
        <w:t></w:t>
      </w:r>
      <w:r w:rsidRPr="00AD2CF5">
        <w:rPr>
          <w:rFonts w:ascii="Symbol" w:hAnsi="Symbol"/>
        </w:rPr>
        <w:t></w:t>
      </w:r>
      <w:r w:rsidRPr="00AD2CF5">
        <w:rPr>
          <w:rFonts w:ascii="Symbol" w:hAnsi="Symbol"/>
        </w:rPr>
        <w:t></w:t>
      </w:r>
      <w:r w:rsidRPr="00AD2CF5">
        <w:rPr>
          <w:rFonts w:ascii="Symbol" w:hAnsi="Symbol"/>
          <w:i/>
        </w:rPr>
        <w:t></w:t>
      </w:r>
      <w:r w:rsidRPr="00AD2CF5">
        <w:rPr>
          <w:rFonts w:ascii="Symbol" w:hAnsi="Symbol"/>
        </w:rPr>
        <w:t></w:t>
      </w:r>
      <w:r w:rsidRPr="00AD2CF5">
        <w:rPr>
          <w:rFonts w:ascii="Symbol" w:hAnsi="Symbol"/>
        </w:rPr>
        <w:t></w:t>
      </w:r>
      <w:r w:rsidRPr="00AD2CF5">
        <w:rPr>
          <w:rFonts w:ascii="Symbol" w:hAnsi="Symbol"/>
        </w:rPr>
        <w:t></w:t>
      </w:r>
      <w:r w:rsidRPr="00AD2CF5">
        <w:t>0.9</w:t>
      </w:r>
      <w:r w:rsidRPr="00AD2CF5">
        <w:rPr>
          <w:rFonts w:ascii="Symbol" w:hAnsi="Symbol"/>
        </w:rPr>
        <w:t></w:t>
      </w:r>
      <w:r w:rsidRPr="00AD2CF5">
        <w:t>. Voor een wal</w:t>
      </w:r>
      <w:r w:rsidRPr="00AD2CF5">
        <w:fldChar w:fldCharType="begin"/>
      </w:r>
      <w:r w:rsidRPr="00AD2CF5">
        <w:instrText xml:space="preserve"> XE "afschermende objecten:wal" </w:instrText>
      </w:r>
      <w:r w:rsidRPr="00AD2CF5">
        <w:fldChar w:fldCharType="end"/>
      </w:r>
      <w:r w:rsidRPr="00AD2CF5">
        <w:t xml:space="preserve"> met </w:t>
      </w:r>
      <w:r w:rsidRPr="00AD2CF5">
        <w:rPr>
          <w:rFonts w:ascii="Symbol" w:hAnsi="Symbol"/>
          <w:i/>
        </w:rPr>
        <w:t></w:t>
      </w:r>
      <w:r w:rsidRPr="00AD2CF5">
        <w:rPr>
          <w:rFonts w:ascii="Symbol" w:hAnsi="Symbol"/>
        </w:rPr>
        <w:t></w:t>
      </w:r>
      <w:r w:rsidRPr="00AD2CF5">
        <w:t>&gt; 0.9</w:t>
      </w:r>
      <w:r w:rsidRPr="00AD2CF5">
        <w:rPr>
          <w:rFonts w:ascii="Symbol" w:hAnsi="Symbol"/>
        </w:rPr>
        <w:t></w:t>
      </w:r>
      <w:r w:rsidRPr="00AD2CF5">
        <w:t xml:space="preserve"> moet de waarde </w:t>
      </w:r>
      <w:r w:rsidRPr="00AD2CF5">
        <w:rPr>
          <w:rFonts w:ascii="Symbol" w:hAnsi="Symbol"/>
          <w:i/>
        </w:rPr>
        <w:t></w:t>
      </w:r>
      <w:r w:rsidRPr="00AD2CF5">
        <w:rPr>
          <w:rFonts w:ascii="Symbol" w:hAnsi="Symbol"/>
        </w:rPr>
        <w:t></w:t>
      </w:r>
      <w:r w:rsidRPr="00AD2CF5">
        <w:t>= 0.9</w:t>
      </w:r>
      <w:r w:rsidRPr="00AD2CF5">
        <w:rPr>
          <w:rFonts w:ascii="Symbol" w:hAnsi="Symbol"/>
        </w:rPr>
        <w:t></w:t>
      </w:r>
      <w:r w:rsidRPr="00AD2CF5">
        <w:t xml:space="preserve"> gebruikt worden. Voor een wig met </w:t>
      </w:r>
      <w:r w:rsidRPr="00AD2CF5">
        <w:rPr>
          <w:rFonts w:ascii="Symbol" w:hAnsi="Symbol"/>
          <w:i/>
        </w:rPr>
        <w:t></w:t>
      </w:r>
      <w:r w:rsidRPr="00AD2CF5">
        <w:rPr>
          <w:rFonts w:ascii="Symbol" w:hAnsi="Symbol"/>
        </w:rPr>
        <w:t></w:t>
      </w:r>
      <w:r w:rsidRPr="00AD2CF5">
        <w:t>&lt; 0.25</w:t>
      </w:r>
      <w:r w:rsidRPr="00AD2CF5">
        <w:rPr>
          <w:rFonts w:ascii="Symbol" w:hAnsi="Symbol"/>
        </w:rPr>
        <w:t></w:t>
      </w:r>
      <w:r w:rsidRPr="00AD2CF5">
        <w:t xml:space="preserve"> geldt </w:t>
      </w:r>
      <w:r w:rsidRPr="00AD2CF5">
        <w:rPr>
          <w:rFonts w:ascii="Symbol" w:hAnsi="Symbol"/>
          <w:i/>
          <w:iCs/>
        </w:rPr>
        <w:t></w:t>
      </w:r>
      <w:r w:rsidRPr="00AD2CF5">
        <w:rPr>
          <w:i/>
          <w:iCs/>
        </w:rPr>
        <w:t>D</w:t>
      </w:r>
      <w:r w:rsidRPr="00AD2CF5">
        <w:t> = 0.</w:t>
      </w:r>
    </w:p>
    <w:p w:rsidR="00F43C9B" w:rsidRPr="00AD2CF5" w:rsidRDefault="00F43C9B" w:rsidP="00F43C9B">
      <w:pPr>
        <w:shd w:val="clear" w:color="auto" w:fill="D9D9D9" w:themeFill="background1" w:themeFillShade="D9"/>
        <w:tabs>
          <w:tab w:val="left" w:pos="-1440"/>
          <w:tab w:val="left" w:pos="-720"/>
        </w:tabs>
        <w:suppressAutoHyphens/>
        <w:spacing w:line="240" w:lineRule="auto"/>
      </w:pP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t>De totale schermwerking</w:t>
      </w:r>
      <w:r w:rsidRPr="00AD2CF5">
        <w:fldChar w:fldCharType="begin"/>
      </w:r>
      <w:r w:rsidRPr="00AD2CF5">
        <w:instrText xml:space="preserve"> XE "schermwerking" </w:instrText>
      </w:r>
      <w:r w:rsidRPr="00AD2CF5">
        <w:fldChar w:fldCharType="end"/>
      </w:r>
      <w:r w:rsidRPr="00AD2CF5">
        <w:t xml:space="preserve"> </w:t>
      </w:r>
      <w:r w:rsidRPr="00AD2CF5">
        <w:rPr>
          <w:i/>
        </w:rPr>
        <w:t>D</w:t>
      </w:r>
      <w:r w:rsidRPr="00AD2CF5">
        <w:rPr>
          <w:i/>
          <w:vertAlign w:val="subscript"/>
        </w:rPr>
        <w:t>scherm</w:t>
      </w:r>
      <w:r w:rsidRPr="00AD2CF5">
        <w:t xml:space="preserve"> wordt berekend uit de schermwerkingen </w:t>
      </w:r>
      <w:r w:rsidRPr="00AD2CF5">
        <w:rPr>
          <w:i/>
        </w:rPr>
        <w:t>D</w:t>
      </w:r>
      <w:r w:rsidRPr="00AD2CF5">
        <w:rPr>
          <w:i/>
          <w:vertAlign w:val="subscript"/>
        </w:rPr>
        <w:t>scherm,p</w:t>
      </w:r>
      <w:r w:rsidRPr="00AD2CF5">
        <w:t xml:space="preserve"> van de drie geluidpaden, volgens de volgende formule:</w:t>
      </w:r>
    </w:p>
    <w:p w:rsidR="00F43C9B" w:rsidRPr="00AD2CF5" w:rsidRDefault="00F43C9B" w:rsidP="00F43C9B">
      <w:pPr>
        <w:shd w:val="clear" w:color="auto" w:fill="D9D9D9" w:themeFill="background1" w:themeFillShade="D9"/>
        <w:tabs>
          <w:tab w:val="left" w:pos="-1440"/>
          <w:tab w:val="left" w:pos="-720"/>
          <w:tab w:val="left" w:pos="567"/>
          <w:tab w:val="right" w:pos="7371"/>
        </w:tabs>
        <w:suppressAutoHyphens/>
        <w:spacing w:line="240" w:lineRule="auto"/>
        <w:rPr>
          <w:b/>
          <w:bCs/>
        </w:rPr>
      </w:pPr>
      <w:r w:rsidRPr="00AD2CF5">
        <w:rPr>
          <w:position w:val="-32"/>
        </w:rPr>
        <w:object w:dxaOrig="4320" w:dyaOrig="760">
          <v:shape id="_x0000_i1117" type="#_x0000_t75" style="width:3in;height:39pt" o:ole="">
            <v:imagedata r:id="rId273" o:title=""/>
          </v:shape>
          <o:OLEObject Type="Embed" ProgID="Equation.3" ShapeID="_x0000_i1117" DrawAspect="Content" ObjectID="_1511255455" r:id="rId274"/>
        </w:object>
      </w:r>
      <w:r w:rsidRPr="00AD2CF5">
        <w:t xml:space="preserve"> </w:t>
      </w:r>
      <w:r w:rsidRPr="00AD2CF5">
        <w:tab/>
      </w:r>
      <w:r w:rsidRPr="00AD2CF5">
        <w:rPr>
          <w:b/>
          <w:bCs/>
        </w:rPr>
        <w:t>(4.51)</w:t>
      </w:r>
    </w:p>
    <w:p w:rsidR="00F43C9B" w:rsidRPr="00AD2CF5" w:rsidRDefault="00F43C9B" w:rsidP="00F43C9B">
      <w:pPr>
        <w:shd w:val="clear" w:color="auto" w:fill="D9D9D9" w:themeFill="background1" w:themeFillShade="D9"/>
        <w:tabs>
          <w:tab w:val="left" w:pos="-1440"/>
          <w:tab w:val="left" w:pos="-720"/>
          <w:tab w:val="left" w:pos="567"/>
          <w:tab w:val="right" w:pos="7371"/>
        </w:tabs>
        <w:suppressAutoHyphens/>
        <w:spacing w:line="240" w:lineRule="auto"/>
      </w:pP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t>Bovenstaande formule geldt voor het neutrale profiel (profielnr. 11) en de tegenwindsituaties (profielnrs. 1 t/m 3, 8 t/m 10 en 19 t/m 21). Bij alle meewindsituaties (profielnrs. 4 t/m 7, 12 t/m 18 en 22 t/m 27) geldt formule 4.51 alleen voor de octaafband</w:t>
      </w:r>
      <w:r w:rsidRPr="00AD2CF5">
        <w:fldChar w:fldCharType="begin"/>
      </w:r>
      <w:r w:rsidRPr="00AD2CF5">
        <w:instrText xml:space="preserve"> XE "octaafband" </w:instrText>
      </w:r>
      <w:r w:rsidRPr="00AD2CF5">
        <w:fldChar w:fldCharType="end"/>
      </w:r>
      <w:r w:rsidRPr="00AD2CF5">
        <w:t xml:space="preserve"> middenfrequenties van 16 Hz tot 250 Hz. Boven 250 Hz geldt bij alle meewindsituaties:</w:t>
      </w:r>
    </w:p>
    <w:p w:rsidR="00F43C9B" w:rsidRPr="00AD2CF5" w:rsidRDefault="00F43C9B" w:rsidP="00F43C9B">
      <w:pPr>
        <w:shd w:val="clear" w:color="auto" w:fill="D9D9D9" w:themeFill="background1" w:themeFillShade="D9"/>
        <w:tabs>
          <w:tab w:val="left" w:pos="-1440"/>
          <w:tab w:val="left" w:pos="-720"/>
          <w:tab w:val="left" w:pos="567"/>
          <w:tab w:val="right" w:pos="7371"/>
        </w:tabs>
        <w:suppressAutoHyphens/>
        <w:spacing w:line="240" w:lineRule="auto"/>
      </w:pPr>
    </w:p>
    <w:p w:rsidR="00F43C9B" w:rsidRPr="00AD2CF5" w:rsidRDefault="00F43C9B" w:rsidP="00F43C9B">
      <w:pPr>
        <w:shd w:val="clear" w:color="auto" w:fill="D9D9D9" w:themeFill="background1" w:themeFillShade="D9"/>
        <w:tabs>
          <w:tab w:val="left" w:pos="-1440"/>
          <w:tab w:val="left" w:pos="-720"/>
          <w:tab w:val="left" w:pos="567"/>
          <w:tab w:val="right" w:pos="7371"/>
        </w:tabs>
        <w:suppressAutoHyphens/>
        <w:spacing w:line="240" w:lineRule="auto"/>
      </w:pPr>
      <w:r w:rsidRPr="00AD2CF5">
        <w:rPr>
          <w:position w:val="-12"/>
        </w:rPr>
        <w:object w:dxaOrig="5380" w:dyaOrig="360">
          <v:shape id="_x0000_i1118" type="#_x0000_t75" style="width:270pt;height:18pt" o:ole="" fillcolor="window">
            <v:imagedata r:id="rId275" o:title=""/>
          </v:shape>
          <o:OLEObject Type="Embed" ProgID="Equation.3" ShapeID="_x0000_i1118" DrawAspect="Content" ObjectID="_1511255456" r:id="rId276"/>
        </w:object>
      </w:r>
      <w:r w:rsidRPr="00AD2CF5">
        <w:tab/>
      </w:r>
      <w:r w:rsidRPr="00AD2CF5">
        <w:rPr>
          <w:b/>
        </w:rPr>
        <w:t>(4.52)</w:t>
      </w:r>
    </w:p>
    <w:p w:rsidR="00F43C9B" w:rsidRPr="00AD2CF5" w:rsidRDefault="00F43C9B" w:rsidP="00F43C9B">
      <w:pPr>
        <w:shd w:val="clear" w:color="auto" w:fill="D9D9D9" w:themeFill="background1" w:themeFillShade="D9"/>
        <w:tabs>
          <w:tab w:val="left" w:pos="-1440"/>
          <w:tab w:val="left" w:pos="-720"/>
        </w:tabs>
        <w:suppressAutoHyphens/>
        <w:spacing w:line="240" w:lineRule="auto"/>
        <w:rPr>
          <w:b/>
        </w:rPr>
      </w:pP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t>Een schermdemping groter dan 20 dB is over het algemeen moeilijk te realiseren. Indien de berekende schermdemping voor een octaafband</w:t>
      </w:r>
      <w:r w:rsidRPr="00AD2CF5">
        <w:fldChar w:fldCharType="begin"/>
      </w:r>
      <w:r w:rsidRPr="00AD2CF5">
        <w:instrText xml:space="preserve"> XE "octaafband" </w:instrText>
      </w:r>
      <w:r w:rsidRPr="00AD2CF5">
        <w:fldChar w:fldCharType="end"/>
      </w:r>
      <w:r w:rsidRPr="00AD2CF5">
        <w:t xml:space="preserve"> groter is dan 20 dB moet men er alert op zijn dat door omloopgeluid (bijvoorbeeld door een diffuse reflectie</w:t>
      </w:r>
      <w:r w:rsidRPr="00AD2CF5">
        <w:fldChar w:fldCharType="begin"/>
      </w:r>
      <w:r w:rsidRPr="00AD2CF5">
        <w:instrText xml:space="preserve"> XE "reflectie:diffuse reflectie" </w:instrText>
      </w:r>
      <w:r w:rsidRPr="00AD2CF5">
        <w:fldChar w:fldCharType="end"/>
      </w:r>
      <w:r w:rsidRPr="00AD2CF5">
        <w:t xml:space="preserve"> aan een bijliggend object) of door de aanwezigheid van turbulente wervels in de atmosfeer</w:t>
      </w:r>
      <w:r w:rsidRPr="00AD2CF5">
        <w:fldChar w:fldCharType="begin"/>
      </w:r>
      <w:r w:rsidRPr="00AD2CF5">
        <w:instrText xml:space="preserve"> XE "atmosfeer" </w:instrText>
      </w:r>
      <w:r w:rsidRPr="00AD2CF5">
        <w:fldChar w:fldCharType="end"/>
      </w:r>
      <w:r w:rsidRPr="00AD2CF5">
        <w:t xml:space="preserve"> de effectieve werking van het scherm</w:t>
      </w:r>
      <w:r w:rsidRPr="00AD2CF5">
        <w:fldChar w:fldCharType="begin"/>
      </w:r>
      <w:r w:rsidRPr="00AD2CF5">
        <w:instrText xml:space="preserve"> XE "afschermende objecten:scherm" </w:instrText>
      </w:r>
      <w:r w:rsidRPr="00AD2CF5">
        <w:fldChar w:fldCharType="end"/>
      </w:r>
      <w:r w:rsidRPr="00AD2CF5">
        <w:t xml:space="preserve"> deels teniet</w:t>
      </w:r>
      <w:r w:rsidRPr="00AD2CF5">
        <w:softHyphen/>
        <w:t>gedaan kan worden. Daarom wordt de schermdemping begrensd op 20 dB, tenzij nader onderzoek aantoond dat hogere reducties bereikt kunnen worden.</w:t>
      </w: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sidRPr="00AD2CF5">
        <w:rPr>
          <w:i/>
        </w:rPr>
        <w:t>Meervoudig scherm</w:t>
      </w:r>
      <w:r w:rsidRPr="00AD2CF5">
        <w:rPr>
          <w:i/>
        </w:rPr>
        <w:fldChar w:fldCharType="begin"/>
      </w:r>
      <w:r w:rsidRPr="00AD2CF5">
        <w:rPr>
          <w:i/>
        </w:rPr>
        <w:instrText xml:space="preserve"> XE "</w:instrText>
      </w:r>
      <w:r w:rsidRPr="00AD2CF5">
        <w:instrText>afschermende objecten:scherm"</w:instrText>
      </w:r>
      <w:r w:rsidRPr="00AD2CF5">
        <w:rPr>
          <w:i/>
        </w:rPr>
        <w:instrText xml:space="preserve"> </w:instrText>
      </w:r>
      <w:r w:rsidRPr="00AD2CF5">
        <w:rPr>
          <w:i/>
        </w:rPr>
        <w:fldChar w:fldCharType="end"/>
      </w:r>
      <w:r w:rsidRPr="00AD2CF5">
        <w:br/>
        <w:t>Als een aantal schermen aan elkaar vastzit, dan spreken we van een meervoudig scherm</w:t>
      </w:r>
      <w:r w:rsidRPr="00AD2CF5">
        <w:fldChar w:fldCharType="begin"/>
      </w:r>
      <w:r w:rsidRPr="00AD2CF5">
        <w:instrText xml:space="preserve"> XE "meervoudig scherm" </w:instrText>
      </w:r>
      <w:r w:rsidRPr="00AD2CF5">
        <w:fldChar w:fldCharType="end"/>
      </w:r>
      <w:r w:rsidRPr="00AD2CF5">
        <w:t>. Alleen concave meervoudige schermen worden in beschouwing genomen. Een voorbeeld van een concaaf meervoudig scherm</w:t>
      </w:r>
      <w:r w:rsidRPr="00AD2CF5">
        <w:fldChar w:fldCharType="begin"/>
      </w:r>
      <w:r w:rsidRPr="00AD2CF5">
        <w:instrText xml:space="preserve"> XE "afschermende objecten:scherm" </w:instrText>
      </w:r>
      <w:r w:rsidRPr="00AD2CF5">
        <w:fldChar w:fldCharType="end"/>
      </w:r>
      <w:r w:rsidRPr="00AD2CF5">
        <w:t xml:space="preserve"> is weergegeven in figuur 4.11.</w:t>
      </w:r>
    </w:p>
    <w:p w:rsidR="00F43C9B" w:rsidRDefault="00F43C9B" w:rsidP="00F43C9B">
      <w:pPr>
        <w:shd w:val="clear" w:color="auto" w:fill="D9D9D9" w:themeFill="background1" w:themeFillShade="D9"/>
        <w:tabs>
          <w:tab w:val="left" w:pos="-1440"/>
          <w:tab w:val="left" w:pos="-720"/>
        </w:tabs>
        <w:suppressAutoHyphens/>
        <w:spacing w:line="240" w:lineRule="auto"/>
      </w:pPr>
    </w:p>
    <w:p w:rsidR="00F43C9B" w:rsidRDefault="00F43C9B" w:rsidP="00F43C9B">
      <w:pPr>
        <w:shd w:val="clear" w:color="auto" w:fill="D9D9D9" w:themeFill="background1" w:themeFillShade="D9"/>
        <w:tabs>
          <w:tab w:val="left" w:pos="-1440"/>
          <w:tab w:val="left" w:pos="-720"/>
        </w:tabs>
        <w:suppressAutoHyphens/>
        <w:spacing w:line="240" w:lineRule="auto"/>
      </w:pPr>
    </w:p>
    <w:p w:rsidR="00F43C9B" w:rsidRPr="00AD2CF5" w:rsidRDefault="00F43C9B" w:rsidP="00F43C9B">
      <w:pPr>
        <w:shd w:val="clear" w:color="auto" w:fill="D9D9D9" w:themeFill="background1" w:themeFillShade="D9"/>
        <w:tabs>
          <w:tab w:val="left" w:pos="-1440"/>
          <w:tab w:val="left" w:pos="-720"/>
        </w:tabs>
        <w:suppressAutoHyphens/>
        <w:spacing w:line="240" w:lineRule="auto"/>
      </w:pPr>
    </w:p>
    <w:p w:rsidR="00F43C9B" w:rsidRPr="00AD2CF5" w:rsidRDefault="00F43C9B" w:rsidP="00F43C9B">
      <w:pPr>
        <w:shd w:val="clear" w:color="auto" w:fill="D9D9D9" w:themeFill="background1" w:themeFillShade="D9"/>
        <w:tabs>
          <w:tab w:val="left" w:pos="-1440"/>
          <w:tab w:val="left" w:pos="-720"/>
        </w:tabs>
        <w:suppressAutoHyphens/>
        <w:spacing w:line="240" w:lineRule="auto"/>
      </w:pPr>
      <w:r>
        <w:rPr>
          <w:noProof/>
          <w:lang w:eastAsia="nl-NL"/>
        </w:rPr>
        <mc:AlternateContent>
          <mc:Choice Requires="wps">
            <w:drawing>
              <wp:anchor distT="0" distB="0" distL="114300" distR="114300" simplePos="0" relativeHeight="251666432" behindDoc="0" locked="0" layoutInCell="1" allowOverlap="1" wp14:anchorId="7A5B0732" wp14:editId="112FF0F1">
                <wp:simplePos x="0" y="0"/>
                <wp:positionH relativeFrom="column">
                  <wp:posOffset>3491230</wp:posOffset>
                </wp:positionH>
                <wp:positionV relativeFrom="paragraph">
                  <wp:posOffset>74295</wp:posOffset>
                </wp:positionV>
                <wp:extent cx="457200" cy="342900"/>
                <wp:effectExtent l="0" t="0" r="0" b="0"/>
                <wp:wrapNone/>
                <wp:docPr id="140" name="Tekstvak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26" w:rsidRDefault="005D7626" w:rsidP="00F43C9B">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0" o:spid="_x0000_s1028" type="#_x0000_t202" style="position:absolute;margin-left:274.9pt;margin-top:5.8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" filled="f" stroked="f">
                <v:textbox>
                  <w:txbxContent>
                    <w:p w:rsidR="005D7626" w:rsidRDefault="005D7626" w:rsidP="00F43C9B">
                      <w:r>
                        <w:t>5</w:t>
                      </w:r>
                    </w:p>
                  </w:txbxContent>
                </v:textbox>
              </v:shape>
            </w:pict>
          </mc:Fallback>
        </mc:AlternateContent>
      </w:r>
      <w:r>
        <w:rPr>
          <w:noProof/>
          <w:lang w:eastAsia="nl-NL"/>
        </w:rPr>
        <mc:AlternateContent>
          <mc:Choice Requires="wps">
            <w:drawing>
              <wp:anchor distT="0" distB="0" distL="114300" distR="114300" simplePos="0" relativeHeight="251667456" behindDoc="0" locked="0" layoutInCell="1" allowOverlap="1" wp14:anchorId="773B170D" wp14:editId="30F05532">
                <wp:simplePos x="0" y="0"/>
                <wp:positionH relativeFrom="column">
                  <wp:posOffset>1891030</wp:posOffset>
                </wp:positionH>
                <wp:positionV relativeFrom="paragraph">
                  <wp:posOffset>74295</wp:posOffset>
                </wp:positionV>
                <wp:extent cx="342900" cy="342900"/>
                <wp:effectExtent l="0" t="0" r="0" b="0"/>
                <wp:wrapNone/>
                <wp:docPr id="139" name="Tekstvak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26" w:rsidRDefault="005D7626" w:rsidP="00F43C9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9" o:spid="_x0000_s1029" type="#_x0000_t202" style="position:absolute;margin-left:148.9pt;margin-top:5.85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" filled="f" stroked="f">
                <v:textbox>
                  <w:txbxContent>
                    <w:p w:rsidR="005D7626" w:rsidRDefault="005D7626" w:rsidP="00F43C9B">
                      <w:r>
                        <w:t>3</w:t>
                      </w:r>
                    </w:p>
                  </w:txbxContent>
                </v:textbox>
              </v:shape>
            </w:pict>
          </mc:Fallback>
        </mc:AlternateContent>
      </w:r>
      <w:r>
        <w:rPr>
          <w:noProof/>
          <w:lang w:eastAsia="nl-NL"/>
        </w:rPr>
        <mc:AlternateContent>
          <mc:Choice Requires="wps">
            <w:drawing>
              <wp:anchor distT="0" distB="0" distL="114300" distR="114300" simplePos="0" relativeHeight="251668480" behindDoc="0" locked="0" layoutInCell="1" allowOverlap="1" wp14:anchorId="0F01223A" wp14:editId="398AD45A">
                <wp:simplePos x="0" y="0"/>
                <wp:positionH relativeFrom="column">
                  <wp:posOffset>407035</wp:posOffset>
                </wp:positionH>
                <wp:positionV relativeFrom="paragraph">
                  <wp:posOffset>74295</wp:posOffset>
                </wp:positionV>
                <wp:extent cx="228600" cy="228600"/>
                <wp:effectExtent l="0" t="0" r="0" b="0"/>
                <wp:wrapNone/>
                <wp:docPr id="132" name="Tekstvak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26" w:rsidRDefault="005D7626" w:rsidP="00F43C9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2" o:spid="_x0000_s1030" type="#_x0000_t202" style="position:absolute;margin-left:32.05pt;margin-top:5.8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" filled="f" stroked="f">
                <v:textbox>
                  <w:txbxContent>
                    <w:p w:rsidR="005D7626" w:rsidRDefault="005D7626" w:rsidP="00F43C9B">
                      <w:r>
                        <w:t>1</w:t>
                      </w:r>
                    </w:p>
                  </w:txbxContent>
                </v:textbox>
              </v:shape>
            </w:pict>
          </mc:Fallback>
        </mc:AlternateContent>
      </w:r>
      <w:r>
        <w:rPr>
          <w:noProof/>
          <w:lang w:eastAsia="nl-NL"/>
        </w:rPr>
        <mc:AlternateContent>
          <mc:Choice Requires="wps">
            <w:drawing>
              <wp:anchor distT="0" distB="0" distL="114300" distR="114300" simplePos="0" relativeHeight="251669504" behindDoc="0" locked="0" layoutInCell="1" allowOverlap="1" wp14:anchorId="1E014CE6" wp14:editId="32EFE2FB">
                <wp:simplePos x="0" y="0"/>
                <wp:positionH relativeFrom="column">
                  <wp:posOffset>2993390</wp:posOffset>
                </wp:positionH>
                <wp:positionV relativeFrom="paragraph">
                  <wp:posOffset>1270</wp:posOffset>
                </wp:positionV>
                <wp:extent cx="635" cy="3345180"/>
                <wp:effectExtent l="0" t="0" r="37465" b="26670"/>
                <wp:wrapNone/>
                <wp:docPr id="63" name="Rechte verbindingslijn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45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6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7pt,.1pt" to="235.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"/>
            </w:pict>
          </mc:Fallback>
        </mc:AlternateContent>
      </w:r>
      <w:r>
        <w:rPr>
          <w:noProof/>
          <w:lang w:eastAsia="nl-NL"/>
        </w:rPr>
        <mc:AlternateContent>
          <mc:Choice Requires="wps">
            <w:drawing>
              <wp:anchor distT="0" distB="0" distL="114299" distR="114299" simplePos="0" relativeHeight="251670528" behindDoc="0" locked="0" layoutInCell="1" allowOverlap="1" wp14:anchorId="37E37F57" wp14:editId="2D990360">
                <wp:simplePos x="0" y="0"/>
                <wp:positionH relativeFrom="column">
                  <wp:posOffset>1158874</wp:posOffset>
                </wp:positionH>
                <wp:positionV relativeFrom="paragraph">
                  <wp:posOffset>35560</wp:posOffset>
                </wp:positionV>
                <wp:extent cx="0" cy="3276600"/>
                <wp:effectExtent l="0" t="0" r="19050" b="19050"/>
                <wp:wrapNone/>
                <wp:docPr id="62" name="Rechte verbindingslijn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76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62" o:spid="_x0000_s1026" style="position:absolute;flip:x;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25pt,2.8pt" to="91.25pt,2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"/>
            </w:pict>
          </mc:Fallback>
        </mc:AlternateContent>
      </w:r>
    </w:p>
    <w:p w:rsidR="00F43C9B" w:rsidRPr="00AD2CF5" w:rsidRDefault="00F43C9B" w:rsidP="00F43C9B">
      <w:pPr>
        <w:shd w:val="clear" w:color="auto" w:fill="D9D9D9" w:themeFill="background1" w:themeFillShade="D9"/>
        <w:rPr>
          <w:lang w:eastAsia="en-US" w:bidi="en-US"/>
        </w:rPr>
      </w:pPr>
    </w:p>
    <w:p w:rsidR="00F43C9B" w:rsidRPr="00AD2CF5" w:rsidRDefault="00F43C9B" w:rsidP="00F43C9B">
      <w:pPr>
        <w:shd w:val="clear" w:color="auto" w:fill="D9D9D9" w:themeFill="background1" w:themeFillShade="D9"/>
        <w:rPr>
          <w:lang w:eastAsia="en-US" w:bidi="en-US"/>
        </w:rPr>
      </w:pPr>
    </w:p>
    <w:p w:rsidR="00F43C9B" w:rsidRPr="00AD2CF5" w:rsidRDefault="00F43C9B" w:rsidP="00F43C9B">
      <w:pPr>
        <w:shd w:val="clear" w:color="auto" w:fill="D9D9D9" w:themeFill="background1" w:themeFillShade="D9"/>
        <w:rPr>
          <w:lang w:eastAsia="en-US" w:bidi="en-US"/>
        </w:rPr>
      </w:pPr>
      <w:r w:rsidRPr="00AD2CF5">
        <w:rPr>
          <w:noProof/>
          <w:lang w:eastAsia="nl-NL"/>
        </w:rPr>
        <w:drawing>
          <wp:inline distT="0" distB="0" distL="0" distR="0" wp14:anchorId="62233A63" wp14:editId="7C83D0DC">
            <wp:extent cx="4588625" cy="4114800"/>
            <wp:effectExtent l="0" t="0" r="2540" b="0"/>
            <wp:docPr id="13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7" cstate="print"/>
                    <a:srcRect l="32397" t="28989" r="37190" b="20661"/>
                    <a:stretch/>
                  </pic:blipFill>
                  <pic:spPr bwMode="auto">
                    <a:xfrm>
                      <a:off x="0" y="0"/>
                      <a:ext cx="4586605" cy="4112988"/>
                    </a:xfrm>
                    <a:prstGeom prst="rect">
                      <a:avLst/>
                    </a:prstGeom>
                    <a:ln>
                      <a:noFill/>
                    </a:ln>
                    <a:extLst>
                      <a:ext uri="{53640926-AAD7-44D8-BBD7-CCE9431645EC}">
                        <a14:shadowObscured xmlns:a14="http://schemas.microsoft.com/office/drawing/2010/main"/>
                      </a:ext>
                    </a:extLst>
                  </pic:spPr>
                </pic:pic>
              </a:graphicData>
            </a:graphic>
          </wp:inline>
        </w:drawing>
      </w:r>
    </w:p>
    <w:p w:rsidR="00F43C9B" w:rsidRPr="00AD2CF5" w:rsidRDefault="00F43C9B" w:rsidP="00F43C9B">
      <w:pPr>
        <w:shd w:val="clear" w:color="auto" w:fill="D9D9D9" w:themeFill="background1" w:themeFillShade="D9"/>
        <w:rPr>
          <w:lang w:eastAsia="en-US" w:bidi="en-US"/>
        </w:rPr>
      </w:pPr>
    </w:p>
    <w:p w:rsidR="00F43C9B" w:rsidRPr="00AD2CF5" w:rsidRDefault="00F43C9B" w:rsidP="00F43C9B">
      <w:pPr>
        <w:shd w:val="clear" w:color="auto" w:fill="D9D9D9" w:themeFill="background1" w:themeFillShade="D9"/>
        <w:rPr>
          <w:lang w:eastAsia="en-US" w:bidi="en-US"/>
        </w:rPr>
      </w:pPr>
    </w:p>
    <w:p w:rsidR="00F43C9B" w:rsidRPr="00AD2CF5" w:rsidRDefault="00F43C9B" w:rsidP="00F43C9B">
      <w:pPr>
        <w:pStyle w:val="Bijschrift"/>
        <w:shd w:val="clear" w:color="auto" w:fill="D9D9D9" w:themeFill="background1" w:themeFillShade="D9"/>
        <w:tabs>
          <w:tab w:val="left" w:pos="1418"/>
        </w:tabs>
        <w:ind w:right="1842"/>
        <w:rPr>
          <w:b w:val="0"/>
          <w:lang w:val="nl-NL"/>
        </w:rPr>
      </w:pPr>
      <w:r w:rsidRPr="00AD2CF5">
        <w:rPr>
          <w:lang w:val="nl-NL"/>
        </w:rPr>
        <w:t>Figuur 4. 11:</w:t>
      </w:r>
      <w:r w:rsidRPr="00AD2CF5">
        <w:rPr>
          <w:b w:val="0"/>
          <w:lang w:val="nl-NL"/>
        </w:rPr>
        <w:t xml:space="preserve"> </w:t>
      </w:r>
      <w:r w:rsidRPr="00AD2CF5">
        <w:rPr>
          <w:b w:val="0"/>
          <w:lang w:val="nl-NL"/>
        </w:rPr>
        <w:tab/>
        <w:t>Meervoudig scherm</w:t>
      </w:r>
      <w:r w:rsidRPr="00AD2CF5">
        <w:rPr>
          <w:b w:val="0"/>
        </w:rPr>
        <w:fldChar w:fldCharType="begin"/>
      </w:r>
      <w:r w:rsidRPr="00AD2CF5">
        <w:rPr>
          <w:b w:val="0"/>
          <w:lang w:val="nl-NL"/>
        </w:rPr>
        <w:instrText xml:space="preserve"> XE "</w:instrText>
      </w:r>
      <w:r w:rsidRPr="00AD2CF5">
        <w:rPr>
          <w:lang w:val="nl-NL"/>
        </w:rPr>
        <w:instrText>afschermende objecten:scherm"</w:instrText>
      </w:r>
      <w:r w:rsidRPr="00AD2CF5">
        <w:rPr>
          <w:b w:val="0"/>
          <w:lang w:val="nl-NL"/>
        </w:rPr>
        <w:instrText xml:space="preserve"> </w:instrText>
      </w:r>
      <w:r w:rsidRPr="00AD2CF5">
        <w:rPr>
          <w:b w:val="0"/>
        </w:rPr>
        <w:fldChar w:fldCharType="end"/>
      </w:r>
      <w:r w:rsidRPr="00AD2CF5">
        <w:rPr>
          <w:b w:val="0"/>
          <w:lang w:val="nl-NL"/>
        </w:rPr>
        <w:t xml:space="preserve"> met zes hoekpunten. De linker omweg is aangegeven. Er is geen rechter omweg mogelijk in deze situatie.</w:t>
      </w:r>
    </w:p>
    <w:p w:rsidR="00F43C9B" w:rsidRPr="00AD2CF5" w:rsidRDefault="00F43C9B" w:rsidP="00F43C9B">
      <w:pPr>
        <w:shd w:val="clear" w:color="auto" w:fill="D9D9D9" w:themeFill="background1" w:themeFillShade="D9"/>
        <w:tabs>
          <w:tab w:val="left" w:pos="-1440"/>
        </w:tabs>
        <w:suppressAutoHyphens/>
        <w:spacing w:line="240" w:lineRule="auto"/>
      </w:pPr>
      <w:r w:rsidRPr="00AD2CF5">
        <w:t>De scherm</w:t>
      </w:r>
      <w:r w:rsidRPr="00AD2CF5">
        <w:softHyphen/>
        <w:t>werking</w:t>
      </w:r>
      <w:r w:rsidRPr="00AD2CF5">
        <w:fldChar w:fldCharType="begin"/>
      </w:r>
      <w:r w:rsidRPr="00AD2CF5">
        <w:instrText xml:space="preserve"> XE "schermwerking" </w:instrText>
      </w:r>
      <w:r w:rsidRPr="00AD2CF5">
        <w:fldChar w:fldCharType="end"/>
      </w:r>
      <w:r w:rsidRPr="00AD2CF5">
        <w:t xml:space="preserve"> wordt als volgt berekend:</w:t>
      </w:r>
    </w:p>
    <w:p w:rsidR="00F43C9B" w:rsidRPr="00AD2CF5" w:rsidRDefault="00F43C9B" w:rsidP="00EB7F6B">
      <w:pPr>
        <w:numPr>
          <w:ilvl w:val="0"/>
          <w:numId w:val="4"/>
        </w:numPr>
        <w:shd w:val="clear" w:color="auto" w:fill="D9D9D9" w:themeFill="background1" w:themeFillShade="D9"/>
        <w:tabs>
          <w:tab w:val="left" w:pos="-1440"/>
        </w:tabs>
        <w:suppressAutoHyphens/>
        <w:spacing w:line="240" w:lineRule="auto"/>
      </w:pPr>
      <w:r w:rsidRPr="00AD2CF5">
        <w:t>Pad via top van het scherm:</w:t>
      </w:r>
      <w:r w:rsidRPr="00AD2CF5">
        <w:fldChar w:fldCharType="begin"/>
      </w:r>
      <w:r w:rsidRPr="00AD2CF5">
        <w:instrText xml:space="preserve"> XE "afschermende objecten:scherm" </w:instrText>
      </w:r>
      <w:r w:rsidRPr="00AD2CF5">
        <w:fldChar w:fldCharType="end"/>
      </w:r>
      <w:r w:rsidRPr="00AD2CF5">
        <w:t xml:space="preserve"> </w:t>
      </w:r>
      <w:r w:rsidRPr="00AD2CF5">
        <w:br/>
        <w:t>Eerst wordt bepaald welke schermen gesneden worden door het verticale vlak door bron- en rekenpunt. Vervolgens wordt het scherm geselec</w:t>
      </w:r>
      <w:r w:rsidRPr="00AD2CF5">
        <w:softHyphen/>
        <w:t xml:space="preserve">teerd waarbij het verschil tussen de diffractiehoeken </w:t>
      </w:r>
      <w:r w:rsidRPr="00AD2CF5">
        <w:rPr>
          <w:rFonts w:ascii="Symbol" w:hAnsi="Symbol"/>
          <w:i/>
          <w:iCs/>
        </w:rPr>
        <w:t></w:t>
      </w:r>
      <w:r w:rsidRPr="00AD2CF5">
        <w:rPr>
          <w:i/>
          <w:iCs/>
          <w:vertAlign w:val="subscript"/>
        </w:rPr>
        <w:t>s,</w:t>
      </w:r>
      <w:r w:rsidRPr="00AD2CF5">
        <w:rPr>
          <w:vertAlign w:val="subscript"/>
        </w:rPr>
        <w:t>0</w:t>
      </w:r>
      <w:r w:rsidRPr="00AD2CF5">
        <w:noBreakHyphen/>
      </w:r>
      <w:r w:rsidRPr="00AD2CF5">
        <w:rPr>
          <w:rFonts w:ascii="Symbol" w:hAnsi="Symbol"/>
          <w:i/>
          <w:iCs/>
        </w:rPr>
        <w:t></w:t>
      </w:r>
      <w:r w:rsidRPr="00AD2CF5">
        <w:rPr>
          <w:i/>
          <w:iCs/>
          <w:vertAlign w:val="subscript"/>
        </w:rPr>
        <w:t>r,</w:t>
      </w:r>
      <w:r w:rsidRPr="00AD2CF5">
        <w:rPr>
          <w:vertAlign w:val="subscript"/>
        </w:rPr>
        <w:t>0</w:t>
      </w:r>
      <w:r w:rsidRPr="00AD2CF5">
        <w:t xml:space="preserve"> het grootst is. Als geen enkel scherm gesneden wordt is </w:t>
      </w:r>
      <w:r w:rsidRPr="00AD2CF5">
        <w:rPr>
          <w:i/>
          <w:iCs/>
        </w:rPr>
        <w:t>D</w:t>
      </w:r>
      <w:r w:rsidRPr="00AD2CF5">
        <w:rPr>
          <w:i/>
          <w:iCs/>
          <w:vertAlign w:val="subscript"/>
        </w:rPr>
        <w:t>scherm</w:t>
      </w:r>
      <w:r w:rsidRPr="00AD2CF5">
        <w:rPr>
          <w:i/>
          <w:iCs/>
        </w:rPr>
        <w:t xml:space="preserve"> </w:t>
      </w:r>
      <w:r w:rsidRPr="00AD2CF5">
        <w:t>= 0.</w:t>
      </w:r>
    </w:p>
    <w:p w:rsidR="00F43C9B" w:rsidRPr="00AD2CF5" w:rsidRDefault="00F43C9B" w:rsidP="00EB7F6B">
      <w:pPr>
        <w:numPr>
          <w:ilvl w:val="0"/>
          <w:numId w:val="4"/>
        </w:numPr>
        <w:shd w:val="clear" w:color="auto" w:fill="D9D9D9" w:themeFill="background1" w:themeFillShade="D9"/>
        <w:tabs>
          <w:tab w:val="left" w:pos="-1440"/>
        </w:tabs>
        <w:suppressAutoHyphens/>
        <w:spacing w:line="240" w:lineRule="auto"/>
      </w:pPr>
      <w:r w:rsidRPr="00AD2CF5">
        <w:t>Pad via de zijkanten van het scherm</w:t>
      </w:r>
      <w:r w:rsidRPr="00AD2CF5">
        <w:fldChar w:fldCharType="begin"/>
      </w:r>
      <w:r w:rsidRPr="00AD2CF5">
        <w:instrText xml:space="preserve"> XE "afschermende objecten:scherm" </w:instrText>
      </w:r>
      <w:r w:rsidRPr="00AD2CF5">
        <w:fldChar w:fldCharType="end"/>
      </w:r>
      <w:r w:rsidRPr="00AD2CF5">
        <w:t>:</w:t>
      </w:r>
      <w:r w:rsidRPr="00AD2CF5">
        <w:br/>
        <w:t>Het horizontale vlak wordt verdeeld in zes gebieden, gescheiden door een lijn door rekenpunt en bronpunt en door twee lijnen a-b en c-d, die hier dwars opstaan (zie figuur 4.11).</w:t>
      </w:r>
    </w:p>
    <w:p w:rsidR="00F43C9B" w:rsidRPr="00AD2CF5" w:rsidRDefault="00F43C9B" w:rsidP="00EB7F6B">
      <w:pPr>
        <w:numPr>
          <w:ilvl w:val="0"/>
          <w:numId w:val="20"/>
        </w:numPr>
        <w:shd w:val="clear" w:color="auto" w:fill="D9D9D9" w:themeFill="background1" w:themeFillShade="D9"/>
        <w:tabs>
          <w:tab w:val="left" w:pos="-1440"/>
        </w:tabs>
        <w:suppressAutoHyphens/>
        <w:spacing w:line="240" w:lineRule="auto"/>
      </w:pPr>
      <w:r w:rsidRPr="00AD2CF5">
        <w:t>Linker omweg. Bepaal het snijpunt van de lijn van bronpunt naar rekenpunt met het in stap 1 geselecteerde scherm</w:t>
      </w:r>
      <w:r w:rsidRPr="00AD2CF5">
        <w:fldChar w:fldCharType="begin"/>
      </w:r>
      <w:r w:rsidRPr="00AD2CF5">
        <w:instrText xml:space="preserve"> XE "afschermende objecten:scherm" </w:instrText>
      </w:r>
      <w:r w:rsidRPr="00AD2CF5">
        <w:fldChar w:fldCharType="end"/>
      </w:r>
      <w:r w:rsidRPr="00AD2CF5">
        <w:t xml:space="preserve">. Volg het meervoudige scherm naar links. Als het meervoudige scherm lijn a of lijn c snijdt, wordt de linker omweg niet meegerekend. De betreffende </w:t>
      </w:r>
      <w:r w:rsidRPr="00AD2CF5">
        <w:rPr>
          <w:i/>
          <w:iCs/>
        </w:rPr>
        <w:t>H</w:t>
      </w:r>
      <w:r w:rsidRPr="00AD2CF5">
        <w:rPr>
          <w:i/>
          <w:iCs/>
          <w:vertAlign w:val="subscript"/>
        </w:rPr>
        <w:t>p</w:t>
      </w:r>
      <w:r w:rsidRPr="00AD2CF5">
        <w:t>(</w:t>
      </w:r>
      <w:r w:rsidRPr="00AD2CF5">
        <w:rPr>
          <w:i/>
        </w:rPr>
        <w:t>f</w:t>
      </w:r>
      <w:r w:rsidRPr="00AD2CF5">
        <w:rPr>
          <w:vertAlign w:val="subscript"/>
        </w:rPr>
        <w:t>k</w:t>
      </w:r>
      <w:r w:rsidRPr="00AD2CF5">
        <w:t xml:space="preserve">) is dan gelijk aan 1 (zie formule 4.49 en 4.51) en </w:t>
      </w:r>
      <w:r w:rsidRPr="00AD2CF5">
        <w:rPr>
          <w:i/>
          <w:iCs/>
        </w:rPr>
        <w:t>D</w:t>
      </w:r>
      <w:r w:rsidRPr="00AD2CF5">
        <w:rPr>
          <w:i/>
          <w:iCs/>
          <w:vertAlign w:val="subscript"/>
        </w:rPr>
        <w:t>scherm,p</w:t>
      </w:r>
      <w:r w:rsidRPr="00AD2CF5">
        <w:t xml:space="preserve"> = </w:t>
      </w:r>
      <w:r w:rsidRPr="00AD2CF5">
        <w:sym w:font="Symbol" w:char="F0A5"/>
      </w:r>
      <w:r w:rsidRPr="00AD2CF5">
        <w:t xml:space="preserve">. Als het meervoudige scherm lijn a en lijn c niet snijdt, wordt van alle hoekpunten in gebied 3 het hoekpunt geselecteerd met de grootste waarde van het </w:t>
      </w:r>
      <w:r w:rsidRPr="00AD2CF5">
        <w:rPr>
          <w:i/>
          <w:iCs/>
        </w:rPr>
        <w:t>horizontaal</w:t>
      </w:r>
      <w:r w:rsidRPr="00AD2CF5">
        <w:t xml:space="preserve"> diffractiehoek</w:t>
      </w:r>
      <w:r w:rsidRPr="00AD2CF5">
        <w:fldChar w:fldCharType="begin"/>
      </w:r>
      <w:r w:rsidRPr="00AD2CF5">
        <w:instrText xml:space="preserve"> XE "diffractiehoek" </w:instrText>
      </w:r>
      <w:r w:rsidRPr="00AD2CF5">
        <w:fldChar w:fldCharType="end"/>
      </w:r>
      <w:r w:rsidRPr="00AD2CF5">
        <w:noBreakHyphen/>
        <w:t xml:space="preserve">verschil </w:t>
      </w:r>
      <w:r w:rsidRPr="00AD2CF5">
        <w:rPr>
          <w:rFonts w:ascii="Symbol" w:hAnsi="Symbol"/>
          <w:i/>
          <w:iCs/>
        </w:rPr>
        <w:t></w:t>
      </w:r>
      <w:r w:rsidRPr="00AD2CF5">
        <w:rPr>
          <w:vertAlign w:val="subscript"/>
        </w:rPr>
        <w:t>s</w:t>
      </w:r>
      <w:r w:rsidRPr="00AD2CF5">
        <w:noBreakHyphen/>
      </w:r>
      <w:r w:rsidRPr="00AD2CF5">
        <w:rPr>
          <w:rFonts w:ascii="Symbol" w:hAnsi="Symbol"/>
          <w:i/>
          <w:iCs/>
        </w:rPr>
        <w:t></w:t>
      </w:r>
      <w:r w:rsidRPr="00AD2CF5">
        <w:rPr>
          <w:vertAlign w:val="subscript"/>
        </w:rPr>
        <w:t>r</w:t>
      </w:r>
      <w:r w:rsidRPr="00AD2CF5">
        <w:t>. Dit hoekpunt bepaalt de linker omweg.</w:t>
      </w:r>
    </w:p>
    <w:p w:rsidR="00F43C9B" w:rsidRPr="00AD2CF5" w:rsidRDefault="00F43C9B" w:rsidP="00EB7F6B">
      <w:pPr>
        <w:numPr>
          <w:ilvl w:val="0"/>
          <w:numId w:val="20"/>
        </w:numPr>
        <w:shd w:val="clear" w:color="auto" w:fill="D9D9D9" w:themeFill="background1" w:themeFillShade="D9"/>
        <w:tabs>
          <w:tab w:val="left" w:pos="-1440"/>
        </w:tabs>
        <w:suppressAutoHyphens/>
        <w:spacing w:line="240" w:lineRule="auto"/>
      </w:pPr>
      <w:r w:rsidRPr="00AD2CF5">
        <w:t>Rechter omweg: analoog.</w:t>
      </w:r>
    </w:p>
    <w:p w:rsidR="00F43C9B" w:rsidRPr="00AD2CF5" w:rsidRDefault="00F43C9B" w:rsidP="00F43C9B">
      <w:pPr>
        <w:shd w:val="clear" w:color="auto" w:fill="D9D9D9" w:themeFill="background1" w:themeFillShade="D9"/>
        <w:tabs>
          <w:tab w:val="left" w:pos="-1440"/>
        </w:tabs>
        <w:suppressAutoHyphens/>
        <w:spacing w:line="240" w:lineRule="auto"/>
        <w:ind w:left="645"/>
      </w:pPr>
    </w:p>
    <w:p w:rsidR="00F43C9B" w:rsidRPr="00AD2CF5" w:rsidRDefault="00F43C9B" w:rsidP="00F43C9B">
      <w:pPr>
        <w:pStyle w:val="Plattetekst"/>
        <w:shd w:val="clear" w:color="auto" w:fill="D9D9D9" w:themeFill="background1" w:themeFillShade="D9"/>
        <w:rPr>
          <w:rFonts w:asciiTheme="minorHAnsi" w:hAnsiTheme="minorHAnsi"/>
          <w:b w:val="0"/>
        </w:rPr>
      </w:pPr>
      <w:r w:rsidRPr="00AD2CF5">
        <w:rPr>
          <w:rFonts w:asciiTheme="minorHAnsi" w:hAnsiTheme="minorHAnsi"/>
          <w:b w:val="0"/>
        </w:rPr>
        <w:t>De procedure is ook van toepassing op een gesloten meervoudig scherm</w:t>
      </w:r>
      <w:r w:rsidRPr="00AD2CF5">
        <w:rPr>
          <w:rFonts w:asciiTheme="minorHAnsi" w:hAnsiTheme="minorHAnsi"/>
          <w:b w:val="0"/>
        </w:rPr>
        <w:fldChar w:fldCharType="begin"/>
      </w:r>
      <w:r w:rsidRPr="00AD2CF5">
        <w:rPr>
          <w:rFonts w:asciiTheme="minorHAnsi" w:hAnsiTheme="minorHAnsi"/>
          <w:b w:val="0"/>
        </w:rPr>
        <w:instrText xml:space="preserve"> XE "meervoudig scherm" </w:instrText>
      </w:r>
      <w:r w:rsidRPr="00AD2CF5">
        <w:rPr>
          <w:rFonts w:asciiTheme="minorHAnsi" w:hAnsiTheme="minorHAnsi"/>
          <w:b w:val="0"/>
        </w:rPr>
        <w:fldChar w:fldCharType="end"/>
      </w:r>
      <w:r w:rsidRPr="00AD2CF5">
        <w:rPr>
          <w:rFonts w:asciiTheme="minorHAnsi" w:hAnsiTheme="minorHAnsi"/>
          <w:b w:val="0"/>
        </w:rPr>
        <w:t>, waarbij beginpunt en eindpunt van het scherm</w:t>
      </w:r>
      <w:r w:rsidRPr="00AD2CF5">
        <w:rPr>
          <w:rFonts w:asciiTheme="minorHAnsi" w:hAnsiTheme="minorHAnsi"/>
          <w:b w:val="0"/>
        </w:rPr>
        <w:fldChar w:fldCharType="begin"/>
      </w:r>
      <w:r w:rsidRPr="00AD2CF5">
        <w:rPr>
          <w:rFonts w:asciiTheme="minorHAnsi" w:hAnsiTheme="minorHAnsi"/>
          <w:b w:val="0"/>
        </w:rPr>
        <w:instrText xml:space="preserve"> XE "afschermende objecten:scherm" </w:instrText>
      </w:r>
      <w:r w:rsidRPr="00AD2CF5">
        <w:rPr>
          <w:rFonts w:asciiTheme="minorHAnsi" w:hAnsiTheme="minorHAnsi"/>
          <w:b w:val="0"/>
        </w:rPr>
        <w:fldChar w:fldCharType="end"/>
      </w:r>
      <w:r w:rsidRPr="00AD2CF5">
        <w:rPr>
          <w:rFonts w:asciiTheme="minorHAnsi" w:hAnsiTheme="minorHAnsi"/>
          <w:b w:val="0"/>
        </w:rPr>
        <w:t xml:space="preserve"> samenvallen. Een voorbeeld hiervan is een gebouw</w:t>
      </w:r>
      <w:r w:rsidRPr="00AD2CF5">
        <w:rPr>
          <w:rFonts w:asciiTheme="minorHAnsi" w:hAnsiTheme="minorHAnsi"/>
          <w:b w:val="0"/>
        </w:rPr>
        <w:fldChar w:fldCharType="begin"/>
      </w:r>
      <w:r w:rsidRPr="00AD2CF5">
        <w:rPr>
          <w:rFonts w:asciiTheme="minorHAnsi" w:hAnsiTheme="minorHAnsi"/>
          <w:b w:val="0"/>
        </w:rPr>
        <w:instrText xml:space="preserve"> XE "afschermende objecten:gebouw" </w:instrText>
      </w:r>
      <w:r w:rsidRPr="00AD2CF5">
        <w:rPr>
          <w:rFonts w:asciiTheme="minorHAnsi" w:hAnsiTheme="minorHAnsi"/>
          <w:b w:val="0"/>
        </w:rPr>
        <w:fldChar w:fldCharType="end"/>
      </w:r>
      <w:r w:rsidRPr="00AD2CF5">
        <w:rPr>
          <w:rFonts w:asciiTheme="minorHAnsi" w:hAnsiTheme="minorHAnsi"/>
          <w:b w:val="0"/>
        </w:rPr>
        <w:t>.</w:t>
      </w: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r w:rsidRPr="00AD2CF5">
        <w:rPr>
          <w:i/>
        </w:rPr>
        <w:t>Meer dan één scherm</w:t>
      </w:r>
      <w:r w:rsidRPr="00AD2CF5">
        <w:rPr>
          <w:i/>
        </w:rPr>
        <w:fldChar w:fldCharType="begin"/>
      </w:r>
      <w:r w:rsidRPr="00AD2CF5">
        <w:rPr>
          <w:i/>
        </w:rPr>
        <w:instrText xml:space="preserve"> XE "</w:instrText>
      </w:r>
      <w:r w:rsidRPr="00AD2CF5">
        <w:instrText>afschermende objecten:scherm"</w:instrText>
      </w:r>
      <w:r w:rsidRPr="00AD2CF5">
        <w:rPr>
          <w:i/>
        </w:rPr>
        <w:instrText xml:space="preserve"> </w:instrText>
      </w:r>
      <w:r w:rsidRPr="00AD2CF5">
        <w:rPr>
          <w:i/>
        </w:rPr>
        <w:fldChar w:fldCharType="end"/>
      </w:r>
      <w:r w:rsidRPr="00AD2CF5">
        <w:rPr>
          <w:i/>
        </w:rPr>
        <w:br/>
      </w:r>
      <w:r w:rsidRPr="00AD2CF5">
        <w:t>In situaties met meer dan één scherm</w:t>
      </w:r>
      <w:r w:rsidRPr="00AD2CF5">
        <w:fldChar w:fldCharType="begin"/>
      </w:r>
      <w:r w:rsidRPr="00AD2CF5">
        <w:instrText xml:space="preserve"> XE "afschermende objecten:scherm" </w:instrText>
      </w:r>
      <w:r w:rsidRPr="00AD2CF5">
        <w:fldChar w:fldCharType="end"/>
      </w:r>
      <w:r w:rsidRPr="00AD2CF5">
        <w:t xml:space="preserve"> tussen bron- en rekenpunt worden maximaal twee schermen in rekening gebracht. Eerst worden de schermen in twee groepen verdeeld: een groep met schermen die zich dichter bij de bron bevinden en een groep met schermen die zich dichter bij het rekenpunt bevinden. Van beide groepen wordt het scherm geselecteerd met het grootste verschil van de diffractie</w:t>
      </w:r>
      <w:r w:rsidRPr="00AD2CF5">
        <w:softHyphen/>
        <w:t xml:space="preserve">hoeken ( </w:t>
      </w:r>
      <w:r w:rsidRPr="00AD2CF5">
        <w:rPr>
          <w:rFonts w:ascii="Symbol" w:hAnsi="Symbol"/>
          <w:i/>
          <w:iCs/>
        </w:rPr>
        <w:t></w:t>
      </w:r>
      <w:r w:rsidRPr="00AD2CF5">
        <w:rPr>
          <w:i/>
          <w:iCs/>
          <w:vertAlign w:val="subscript"/>
        </w:rPr>
        <w:t>s,</w:t>
      </w:r>
      <w:r w:rsidRPr="00AD2CF5">
        <w:rPr>
          <w:vertAlign w:val="subscript"/>
        </w:rPr>
        <w:t>0</w:t>
      </w:r>
      <w:r w:rsidRPr="00AD2CF5">
        <w:noBreakHyphen/>
      </w:r>
      <w:r w:rsidRPr="00AD2CF5">
        <w:rPr>
          <w:rFonts w:ascii="Symbol" w:hAnsi="Symbol"/>
          <w:i/>
          <w:iCs/>
        </w:rPr>
        <w:t></w:t>
      </w:r>
      <w:r w:rsidRPr="00AD2CF5">
        <w:rPr>
          <w:i/>
          <w:iCs/>
          <w:vertAlign w:val="subscript"/>
        </w:rPr>
        <w:t>r,</w:t>
      </w:r>
      <w:r w:rsidRPr="00AD2CF5">
        <w:rPr>
          <w:vertAlign w:val="subscript"/>
        </w:rPr>
        <w:t>0</w:t>
      </w:r>
      <w:r w:rsidRPr="00AD2CF5">
        <w:t>) voor de verticale omweg. De schermwerkingen van de twee geselec</w:t>
      </w:r>
      <w:r w:rsidRPr="00AD2CF5">
        <w:softHyphen/>
        <w:t>teerde schermen worden, inclusief de bijdragen van de horizontale omwegen, bij elkaar opgeteld. Deze som geeft de totale schermwerking</w:t>
      </w:r>
      <w:r w:rsidRPr="00AD2CF5">
        <w:fldChar w:fldCharType="begin"/>
      </w:r>
      <w:r w:rsidRPr="00AD2CF5">
        <w:instrText xml:space="preserve"> XE "schermwerking" </w:instrText>
      </w:r>
      <w:r w:rsidRPr="00AD2CF5">
        <w:fldChar w:fldCharType="end"/>
      </w:r>
      <w:r w:rsidRPr="00AD2CF5">
        <w:t>.</w:t>
      </w: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r w:rsidRPr="00AD2CF5">
        <w:t>De effectieve bronhoogte (van toepassing bij de bepaling van de bodemdemping</w:t>
      </w:r>
      <w:r w:rsidRPr="00AD2CF5">
        <w:fldChar w:fldCharType="begin"/>
      </w:r>
      <w:r w:rsidRPr="00AD2CF5">
        <w:instrText xml:space="preserve"> XE "bodemdemping" </w:instrText>
      </w:r>
      <w:r w:rsidRPr="00AD2CF5">
        <w:fldChar w:fldCharType="end"/>
      </w:r>
      <w:r w:rsidRPr="00AD2CF5">
        <w:t>) wordt bepaald op basis van het geselecteerde scherm</w:t>
      </w:r>
      <w:r w:rsidRPr="00AD2CF5">
        <w:fldChar w:fldCharType="begin"/>
      </w:r>
      <w:r w:rsidRPr="00AD2CF5">
        <w:instrText xml:space="preserve"> XE "afschermende objecten:scherm" </w:instrText>
      </w:r>
      <w:r w:rsidRPr="00AD2CF5">
        <w:fldChar w:fldCharType="end"/>
      </w:r>
      <w:r w:rsidRPr="00AD2CF5">
        <w:t xml:space="preserve"> uit de eerste groep, de effectieve hoogte</w:t>
      </w:r>
      <w:r w:rsidRPr="00AD2CF5">
        <w:fldChar w:fldCharType="begin"/>
      </w:r>
      <w:r w:rsidRPr="00AD2CF5">
        <w:instrText xml:space="preserve"> XE "effectieve hoogte" </w:instrText>
      </w:r>
      <w:r w:rsidRPr="00AD2CF5">
        <w:fldChar w:fldCharType="end"/>
      </w:r>
      <w:r w:rsidRPr="00AD2CF5">
        <w:t xml:space="preserve"> van het rekenpunt wordt bepaald op basis van het geselecteerde scherm uit de tweede groep.</w:t>
      </w: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r w:rsidRPr="00AD2CF5">
        <w:rPr>
          <w:i/>
        </w:rPr>
        <w:t>Effectieve hoogte van bron- of rekenpunt</w:t>
      </w:r>
      <w:r w:rsidRPr="00AD2CF5">
        <w:br/>
        <w:t>Bij de bepaling van de bodemdemping</w:t>
      </w:r>
      <w:r w:rsidRPr="00AD2CF5">
        <w:fldChar w:fldCharType="begin"/>
      </w:r>
      <w:r w:rsidRPr="00AD2CF5">
        <w:instrText xml:space="preserve"> XE "bodemdemping" </w:instrText>
      </w:r>
      <w:r w:rsidRPr="00AD2CF5">
        <w:fldChar w:fldCharType="end"/>
      </w:r>
      <w:r w:rsidRPr="00AD2CF5">
        <w:t xml:space="preserve"> wordt, indien het geluidpad één scherm</w:t>
      </w:r>
      <w:r w:rsidRPr="00AD2CF5">
        <w:fldChar w:fldCharType="begin"/>
      </w:r>
      <w:r w:rsidRPr="00AD2CF5">
        <w:instrText xml:space="preserve"> XE "afschermende objecten:scherm" </w:instrText>
      </w:r>
      <w:r w:rsidRPr="00AD2CF5">
        <w:fldChar w:fldCharType="end"/>
      </w:r>
      <w:r w:rsidRPr="00AD2CF5">
        <w:t xml:space="preserve"> snijdt, de hoogte van het bronpunt of van het rekenpunt (afhankelijk van het feit of het bronpunt of het rekenpunt dichter bij het scherm ligt) vervangen door een effectieve hoogte</w:t>
      </w:r>
      <w:r w:rsidRPr="00AD2CF5">
        <w:fldChar w:fldCharType="begin"/>
      </w:r>
      <w:r w:rsidRPr="00AD2CF5">
        <w:instrText xml:space="preserve"> XE "effectieve hoogte" </w:instrText>
      </w:r>
      <w:r w:rsidRPr="00AD2CF5">
        <w:fldChar w:fldCharType="end"/>
      </w:r>
      <w:r w:rsidRPr="00AD2CF5">
        <w:t>:</w:t>
      </w:r>
    </w:p>
    <w:p w:rsidR="00F43C9B" w:rsidRPr="00AD2CF5" w:rsidRDefault="00F43C9B" w:rsidP="00F43C9B">
      <w:pPr>
        <w:pStyle w:val="Bijschrift"/>
        <w:shd w:val="clear" w:color="auto" w:fill="D9D9D9" w:themeFill="background1" w:themeFillShade="D9"/>
        <w:tabs>
          <w:tab w:val="center" w:pos="3686"/>
          <w:tab w:val="right" w:pos="7371"/>
        </w:tabs>
        <w:rPr>
          <w:rStyle w:val="EquationCaption"/>
          <w:lang w:val="nl-NL"/>
        </w:rPr>
      </w:pPr>
      <w:r w:rsidRPr="00AD2CF5">
        <w:rPr>
          <w:position w:val="-32"/>
        </w:rPr>
        <w:object w:dxaOrig="6920" w:dyaOrig="760">
          <v:shape id="_x0000_i1119" type="#_x0000_t75" style="width:345.75pt;height:39pt" o:ole="" fillcolor="window">
            <v:imagedata r:id="rId278" o:title=""/>
          </v:shape>
          <o:OLEObject Type="Embed" ProgID="Equation.3" ShapeID="_x0000_i1119" DrawAspect="Content" ObjectID="_1511255457" r:id="rId279"/>
        </w:object>
      </w:r>
      <w:r w:rsidRPr="00AD2CF5">
        <w:rPr>
          <w:lang w:val="nl-NL"/>
        </w:rPr>
        <w:tab/>
        <w:t>(4.53)</w:t>
      </w: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r w:rsidRPr="00AD2CF5">
        <w:t>waarin:</w:t>
      </w:r>
    </w:p>
    <w:p w:rsidR="00F43C9B" w:rsidRPr="00AD2CF5" w:rsidRDefault="00F43C9B" w:rsidP="00F43C9B">
      <w:pPr>
        <w:shd w:val="clear" w:color="auto" w:fill="D9D9D9" w:themeFill="background1" w:themeFillShade="D9"/>
        <w:tabs>
          <w:tab w:val="left" w:pos="-1440"/>
          <w:tab w:val="left" w:pos="567"/>
          <w:tab w:val="left" w:pos="851"/>
          <w:tab w:val="left" w:pos="1276"/>
        </w:tabs>
        <w:suppressAutoHyphens/>
        <w:spacing w:line="240" w:lineRule="auto"/>
        <w:ind w:left="1276" w:hanging="1276"/>
      </w:pPr>
      <w:r w:rsidRPr="00AD2CF5">
        <w:rPr>
          <w:rFonts w:ascii="Symbol" w:hAnsi="Symbol"/>
          <w:i/>
        </w:rPr>
        <w:sym w:font="Symbol" w:char="F066"/>
      </w:r>
      <w:r w:rsidRPr="00AD2CF5">
        <w:rPr>
          <w:i/>
          <w:vertAlign w:val="subscript"/>
        </w:rPr>
        <w:t>s</w:t>
      </w:r>
      <w:r w:rsidRPr="00AD2CF5">
        <w:rPr>
          <w:rFonts w:ascii="Symbol" w:hAnsi="Symbol"/>
          <w:i/>
          <w:vertAlign w:val="subscript"/>
        </w:rPr>
        <w:t></w:t>
      </w:r>
      <w:r w:rsidRPr="00AD2CF5">
        <w:rPr>
          <w:rFonts w:ascii="Symbol" w:hAnsi="Symbol"/>
          <w:i/>
          <w:vertAlign w:val="subscript"/>
        </w:rPr>
        <w:t></w:t>
      </w:r>
      <w:r w:rsidRPr="00AD2CF5">
        <w:rPr>
          <w:rFonts w:ascii="Symbol" w:hAnsi="Symbol"/>
          <w:i/>
        </w:rPr>
        <w:sym w:font="Symbol" w:char="F066"/>
      </w:r>
      <w:r w:rsidRPr="00AD2CF5">
        <w:rPr>
          <w:i/>
          <w:vertAlign w:val="subscript"/>
        </w:rPr>
        <w:t>r</w:t>
      </w:r>
      <w:r w:rsidRPr="00AD2CF5">
        <w:rPr>
          <w:i/>
        </w:rPr>
        <w:tab/>
      </w:r>
      <w:r w:rsidRPr="00AD2CF5">
        <w:t>diffractiehoeken voor geluidpad 1.</w:t>
      </w:r>
    </w:p>
    <w:p w:rsidR="00F43C9B" w:rsidRPr="00AD2CF5" w:rsidRDefault="00F43C9B" w:rsidP="00F43C9B">
      <w:pPr>
        <w:shd w:val="clear" w:color="auto" w:fill="D9D9D9" w:themeFill="background1" w:themeFillShade="D9"/>
        <w:tabs>
          <w:tab w:val="left" w:pos="-1440"/>
          <w:tab w:val="left" w:pos="567"/>
          <w:tab w:val="left" w:pos="851"/>
          <w:tab w:val="left" w:pos="1276"/>
        </w:tabs>
        <w:suppressAutoHyphens/>
        <w:spacing w:line="240" w:lineRule="auto"/>
        <w:ind w:left="1276" w:hanging="1276"/>
      </w:pPr>
      <w:r w:rsidRPr="00AD2CF5">
        <w:rPr>
          <w:position w:val="-34"/>
        </w:rPr>
        <w:object w:dxaOrig="5860" w:dyaOrig="720">
          <v:shape id="_x0000_i1120" type="#_x0000_t75" style="width:293.25pt;height:37.5pt" o:ole="">
            <v:imagedata r:id="rId280" o:title=""/>
          </v:shape>
          <o:OLEObject Type="Embed" ProgID="Equation.3" ShapeID="_x0000_i1120" DrawAspect="Content" ObjectID="_1511255458" r:id="rId281"/>
        </w:object>
      </w:r>
      <w:r w:rsidRPr="00AD2CF5">
        <w:t xml:space="preserve"> met</w:t>
      </w:r>
    </w:p>
    <w:p w:rsidR="00F43C9B" w:rsidRPr="00AD2CF5" w:rsidRDefault="00F43C9B" w:rsidP="00F43C9B">
      <w:pPr>
        <w:shd w:val="clear" w:color="auto" w:fill="D9D9D9" w:themeFill="background1" w:themeFillShade="D9"/>
        <w:tabs>
          <w:tab w:val="left" w:pos="-1440"/>
          <w:tab w:val="left" w:pos="567"/>
          <w:tab w:val="left" w:pos="851"/>
          <w:tab w:val="left" w:pos="1276"/>
        </w:tabs>
        <w:suppressAutoHyphens/>
        <w:spacing w:line="240" w:lineRule="auto"/>
        <w:ind w:left="1276" w:hanging="1276"/>
      </w:pPr>
      <w:r w:rsidRPr="00AD2CF5">
        <w:rPr>
          <w:position w:val="-14"/>
        </w:rPr>
        <w:object w:dxaOrig="5440" w:dyaOrig="420">
          <v:shape id="_x0000_i1121" type="#_x0000_t75" style="width:272.25pt;height:22.5pt" o:ole="">
            <v:imagedata r:id="rId282" o:title=""/>
          </v:shape>
          <o:OLEObject Type="Embed" ProgID="Equation.3" ShapeID="_x0000_i1121" DrawAspect="Content" ObjectID="_1511255459" r:id="rId283"/>
        </w:object>
      </w: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r w:rsidRPr="00AD2CF5">
        <w:t>Bovenstaande formule is gegeven voor het bepalen van de effectieve hoogte</w:t>
      </w:r>
      <w:r w:rsidRPr="00AD2CF5">
        <w:fldChar w:fldCharType="begin"/>
      </w:r>
      <w:r w:rsidRPr="00AD2CF5">
        <w:instrText xml:space="preserve"> XE "effectieve hoogte" </w:instrText>
      </w:r>
      <w:r w:rsidRPr="00AD2CF5">
        <w:fldChar w:fldCharType="end"/>
      </w:r>
      <w:r w:rsidRPr="00AD2CF5">
        <w:t xml:space="preserve"> van de bron. Voor de bepaling van de effectieve hoogte van het rekenpunt moet </w:t>
      </w:r>
      <w:r w:rsidRPr="00AD2CF5">
        <w:rPr>
          <w:i/>
          <w:iCs/>
        </w:rPr>
        <w:t>h</w:t>
      </w:r>
      <w:r w:rsidRPr="00AD2CF5">
        <w:rPr>
          <w:i/>
          <w:iCs/>
          <w:vertAlign w:val="subscript"/>
        </w:rPr>
        <w:t>s</w:t>
      </w:r>
      <w:r w:rsidRPr="00AD2CF5">
        <w:t xml:space="preserve"> worden vervangen door </w:t>
      </w:r>
      <w:r w:rsidRPr="00AD2CF5">
        <w:rPr>
          <w:i/>
          <w:iCs/>
        </w:rPr>
        <w:t>h</w:t>
      </w:r>
      <w:r w:rsidRPr="00AD2CF5">
        <w:rPr>
          <w:i/>
          <w:iCs/>
          <w:vertAlign w:val="subscript"/>
        </w:rPr>
        <w:t>r</w:t>
      </w:r>
      <w:r w:rsidRPr="00AD2CF5">
        <w:t>.</w:t>
      </w: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r w:rsidRPr="00AD2CF5">
        <w:t>Bij de berekening van de bodemdemping</w:t>
      </w:r>
      <w:r w:rsidRPr="00AD2CF5">
        <w:fldChar w:fldCharType="begin"/>
      </w:r>
      <w:r w:rsidRPr="00AD2CF5">
        <w:instrText xml:space="preserve"> XE "bodemdemping" </w:instrText>
      </w:r>
      <w:r w:rsidRPr="00AD2CF5">
        <w:fldChar w:fldCharType="end"/>
      </w:r>
      <w:r w:rsidRPr="00AD2CF5">
        <w:t xml:space="preserve"> bij reflecties wordt – indien sprake is van afscherming</w:t>
      </w:r>
      <w:r w:rsidRPr="00AD2CF5">
        <w:fldChar w:fldCharType="begin"/>
      </w:r>
      <w:r w:rsidRPr="00AD2CF5">
        <w:instrText xml:space="preserve"> XE "afscherming" </w:instrText>
      </w:r>
      <w:r w:rsidRPr="00AD2CF5">
        <w:fldChar w:fldCharType="end"/>
      </w:r>
      <w:r w:rsidRPr="00AD2CF5">
        <w:t>- voor de bepaling van de effectieve hoogte</w:t>
      </w:r>
      <w:r w:rsidRPr="00AD2CF5">
        <w:fldChar w:fldCharType="begin"/>
      </w:r>
      <w:r w:rsidRPr="00AD2CF5">
        <w:instrText xml:space="preserve"> XE "effectieve hoogte" </w:instrText>
      </w:r>
      <w:r w:rsidRPr="00AD2CF5">
        <w:fldChar w:fldCharType="end"/>
      </w:r>
      <w:r w:rsidRPr="00AD2CF5">
        <w:t xml:space="preserve"> uitgegaan van het geluidpad van gespiegelde bron naar rekenpunt. Het reflecterend vlak heeft hierbij geen invloed op de bepaling van de effectieve hoogte.</w:t>
      </w: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rPr>
          <w:i/>
        </w:rPr>
      </w:pPr>
    </w:p>
    <w:p w:rsidR="00F43C9B" w:rsidRPr="00AD2CF5" w:rsidRDefault="00F43C9B" w:rsidP="00F43C9B">
      <w:pPr>
        <w:keepNext/>
        <w:keepLines/>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r w:rsidRPr="00AD2CF5">
        <w:rPr>
          <w:noProof/>
          <w:lang w:eastAsia="nl-NL"/>
        </w:rPr>
        <w:drawing>
          <wp:inline distT="0" distB="0" distL="0" distR="0" wp14:anchorId="67F09383" wp14:editId="1357F1B8">
            <wp:extent cx="2800350" cy="1981200"/>
            <wp:effectExtent l="19050" t="0" r="0" b="0"/>
            <wp:docPr id="134" name="Afbeelding 134" descr="sch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chkog"/>
                    <pic:cNvPicPr>
                      <a:picLocks noChangeAspect="1" noChangeArrowheads="1"/>
                    </pic:cNvPicPr>
                  </pic:nvPicPr>
                  <pic:blipFill>
                    <a:blip r:embed="rId284" cstate="print"/>
                    <a:srcRect/>
                    <a:stretch>
                      <a:fillRect/>
                    </a:stretch>
                  </pic:blipFill>
                  <pic:spPr bwMode="auto">
                    <a:xfrm>
                      <a:off x="0" y="0"/>
                      <a:ext cx="2800350" cy="1981200"/>
                    </a:xfrm>
                    <a:prstGeom prst="rect">
                      <a:avLst/>
                    </a:prstGeom>
                    <a:noFill/>
                    <a:ln w="9525">
                      <a:noFill/>
                      <a:miter lim="800000"/>
                      <a:headEnd/>
                      <a:tailEnd/>
                    </a:ln>
                  </pic:spPr>
                </pic:pic>
              </a:graphicData>
            </a:graphic>
          </wp:inline>
        </w:drawing>
      </w:r>
    </w:p>
    <w:p w:rsidR="00F43C9B" w:rsidRPr="00AD2CF5" w:rsidRDefault="00F43C9B" w:rsidP="00F43C9B">
      <w:pPr>
        <w:pStyle w:val="Bijschrift"/>
        <w:shd w:val="clear" w:color="auto" w:fill="D9D9D9" w:themeFill="background1" w:themeFillShade="D9"/>
        <w:rPr>
          <w:b w:val="0"/>
          <w:bCs w:val="0"/>
          <w:i/>
          <w:lang w:val="nl-NL"/>
        </w:rPr>
      </w:pPr>
      <w:r w:rsidRPr="00AD2CF5">
        <w:rPr>
          <w:lang w:val="nl-NL"/>
        </w:rPr>
        <w:t xml:space="preserve">Figuur 4. 12: </w:t>
      </w:r>
      <w:r w:rsidRPr="00AD2CF5">
        <w:rPr>
          <w:b w:val="0"/>
          <w:lang w:val="nl-NL"/>
        </w:rPr>
        <w:t>Schematische weergave van afscherming</w:t>
      </w:r>
      <w:r w:rsidRPr="00AD2CF5">
        <w:rPr>
          <w:b w:val="0"/>
          <w:bCs w:val="0"/>
        </w:rPr>
        <w:fldChar w:fldCharType="begin"/>
      </w:r>
      <w:r w:rsidRPr="00AD2CF5">
        <w:rPr>
          <w:b w:val="0"/>
          <w:lang w:val="nl-NL"/>
        </w:rPr>
        <w:instrText xml:space="preserve"> XE "</w:instrText>
      </w:r>
      <w:r w:rsidRPr="00AD2CF5">
        <w:rPr>
          <w:lang w:val="nl-NL"/>
        </w:rPr>
        <w:instrText>afscherming"</w:instrText>
      </w:r>
      <w:r w:rsidRPr="00AD2CF5">
        <w:rPr>
          <w:b w:val="0"/>
          <w:lang w:val="nl-NL"/>
        </w:rPr>
        <w:instrText xml:space="preserve"> </w:instrText>
      </w:r>
      <w:r w:rsidRPr="00AD2CF5">
        <w:rPr>
          <w:b w:val="0"/>
          <w:bCs w:val="0"/>
        </w:rPr>
        <w:fldChar w:fldCharType="end"/>
      </w:r>
      <w:r w:rsidRPr="00AD2CF5">
        <w:rPr>
          <w:b w:val="0"/>
          <w:lang w:val="nl-NL"/>
        </w:rPr>
        <w:t xml:space="preserve"> van kogelgeluid</w:t>
      </w:r>
      <w:r w:rsidRPr="00AD2CF5">
        <w:rPr>
          <w:b w:val="0"/>
          <w:bCs w:val="0"/>
        </w:rPr>
        <w:fldChar w:fldCharType="begin"/>
      </w:r>
      <w:r w:rsidRPr="00AD2CF5">
        <w:rPr>
          <w:b w:val="0"/>
          <w:lang w:val="nl-NL"/>
        </w:rPr>
        <w:instrText xml:space="preserve"> XE "</w:instrText>
      </w:r>
      <w:r w:rsidRPr="00AD2CF5">
        <w:rPr>
          <w:lang w:val="nl-NL"/>
        </w:rPr>
        <w:instrText>kogelgeluid"</w:instrText>
      </w:r>
      <w:r w:rsidRPr="00AD2CF5">
        <w:rPr>
          <w:b w:val="0"/>
          <w:lang w:val="nl-NL"/>
        </w:rPr>
        <w:instrText xml:space="preserve"> </w:instrText>
      </w:r>
      <w:r w:rsidRPr="00AD2CF5">
        <w:rPr>
          <w:b w:val="0"/>
          <w:bCs w:val="0"/>
        </w:rPr>
        <w:fldChar w:fldCharType="end"/>
      </w:r>
      <w:r w:rsidRPr="00AD2CF5">
        <w:rPr>
          <w:b w:val="0"/>
          <w:sz w:val="19"/>
          <w:lang w:val="nl-NL"/>
        </w:rPr>
        <w:t>.</w:t>
      </w:r>
    </w:p>
    <w:p w:rsidR="00F43C9B" w:rsidRPr="00AD2CF5" w:rsidRDefault="00F43C9B" w:rsidP="00F43C9B">
      <w:pPr>
        <w:shd w:val="clear" w:color="auto" w:fill="D9D9D9" w:themeFill="background1" w:themeFillShade="D9"/>
        <w:autoSpaceDE w:val="0"/>
        <w:autoSpaceDN w:val="0"/>
        <w:adjustRightInd w:val="0"/>
        <w:spacing w:line="240" w:lineRule="auto"/>
        <w:rPr>
          <w:i/>
        </w:rPr>
      </w:pPr>
    </w:p>
    <w:p w:rsidR="00F43C9B" w:rsidRDefault="00F43C9B" w:rsidP="00F43C9B">
      <w:pPr>
        <w:shd w:val="clear" w:color="auto" w:fill="D9D9D9" w:themeFill="background1" w:themeFillShade="D9"/>
        <w:autoSpaceDE w:val="0"/>
        <w:autoSpaceDN w:val="0"/>
        <w:adjustRightInd w:val="0"/>
        <w:spacing w:line="240" w:lineRule="auto"/>
        <w:rPr>
          <w:i/>
        </w:rPr>
      </w:pPr>
    </w:p>
    <w:p w:rsidR="00F43C9B" w:rsidRPr="00AD2CF5" w:rsidRDefault="00F43C9B" w:rsidP="00F43C9B">
      <w:pPr>
        <w:shd w:val="clear" w:color="auto" w:fill="D9D9D9" w:themeFill="background1" w:themeFillShade="D9"/>
        <w:autoSpaceDE w:val="0"/>
        <w:autoSpaceDN w:val="0"/>
        <w:adjustRightInd w:val="0"/>
        <w:spacing w:line="240" w:lineRule="auto"/>
      </w:pPr>
      <w:r w:rsidRPr="00AD2CF5">
        <w:rPr>
          <w:i/>
        </w:rPr>
        <w:t>Afscherming kogelgeluid</w:t>
      </w:r>
      <w:r w:rsidRPr="00AD2CF5">
        <w:rPr>
          <w:i/>
        </w:rPr>
        <w:fldChar w:fldCharType="begin"/>
      </w:r>
      <w:r w:rsidRPr="00AD2CF5">
        <w:rPr>
          <w:i/>
        </w:rPr>
        <w:instrText xml:space="preserve"> XE "</w:instrText>
      </w:r>
      <w:r w:rsidRPr="00AD2CF5">
        <w:instrText>kogelgeluid"</w:instrText>
      </w:r>
      <w:r w:rsidRPr="00AD2CF5">
        <w:rPr>
          <w:i/>
        </w:rPr>
        <w:instrText xml:space="preserve"> </w:instrText>
      </w:r>
      <w:r w:rsidRPr="00AD2CF5">
        <w:rPr>
          <w:i/>
        </w:rPr>
        <w:fldChar w:fldCharType="end"/>
      </w:r>
      <w:r w:rsidRPr="00AD2CF5">
        <w:br/>
        <w:t>Voor de afscherming</w:t>
      </w:r>
      <w:r w:rsidRPr="00AD2CF5">
        <w:fldChar w:fldCharType="begin"/>
      </w:r>
      <w:r w:rsidRPr="00AD2CF5">
        <w:instrText xml:space="preserve"> XE "afscherming" </w:instrText>
      </w:r>
      <w:r w:rsidRPr="00AD2CF5">
        <w:fldChar w:fldCharType="end"/>
      </w:r>
      <w:r w:rsidRPr="00AD2CF5">
        <w:t xml:space="preserve"> van kogelgeluid</w:t>
      </w:r>
      <w:r w:rsidRPr="00AD2CF5">
        <w:fldChar w:fldCharType="begin"/>
      </w:r>
      <w:r w:rsidRPr="00AD2CF5">
        <w:instrText xml:space="preserve"> XE "kogelgeluid" </w:instrText>
      </w:r>
      <w:r w:rsidRPr="00AD2CF5">
        <w:fldChar w:fldCharType="end"/>
      </w:r>
      <w:r w:rsidRPr="00AD2CF5">
        <w:t xml:space="preserve"> wordt in principe dezelfde benadering gevolgd als bij afscherming voor mondingsgeluid</w:t>
      </w:r>
      <w:r w:rsidRPr="00AD2CF5">
        <w:fldChar w:fldCharType="begin"/>
      </w:r>
      <w:r w:rsidRPr="00AD2CF5">
        <w:instrText xml:space="preserve"> XE "mondingsgeluid" </w:instrText>
      </w:r>
      <w:r w:rsidRPr="00AD2CF5">
        <w:fldChar w:fldCharType="end"/>
      </w:r>
      <w:r w:rsidRPr="00AD2CF5">
        <w:t xml:space="preserve"> of detonatiegeluid. Ook hierbij worden drie geluidpaden onderscheiden: een pad over de top van het obstakel en twee paden langs de zijkanten van het scherm.</w:t>
      </w:r>
      <w:r w:rsidRPr="00AD2CF5">
        <w:fldChar w:fldCharType="begin"/>
      </w:r>
      <w:r w:rsidRPr="00AD2CF5">
        <w:instrText xml:space="preserve"> XE "afschermende objecten:scherm" </w:instrText>
      </w:r>
      <w:r w:rsidRPr="00AD2CF5">
        <w:fldChar w:fldCharType="end"/>
      </w:r>
      <w:r w:rsidRPr="00AD2CF5">
        <w:t xml:space="preserve"> Het verschil is echter dat deze drie geluidpaden over het algemeen verschil</w:t>
      </w:r>
      <w:r w:rsidRPr="00AD2CF5">
        <w:softHyphen/>
        <w:t>lende bronpunten op de kogelbaan</w:t>
      </w:r>
      <w:r w:rsidRPr="00AD2CF5">
        <w:fldChar w:fldCharType="begin"/>
      </w:r>
      <w:r w:rsidRPr="00AD2CF5">
        <w:instrText xml:space="preserve"> XE "kogelbaan" </w:instrText>
      </w:r>
      <w:r w:rsidRPr="00AD2CF5">
        <w:fldChar w:fldCharType="end"/>
      </w:r>
      <w:r w:rsidRPr="00AD2CF5">
        <w:t xml:space="preserve"> hebben (zie figuur 4.12). Het bronpunt van het pad over de top is gelijk aan het bronpunt voor de onafgeschermde situatie; de twee andere bronpunten worden bepaald door formule 4.19 met (</w:t>
      </w:r>
      <w:r w:rsidRPr="00AD2CF5">
        <w:rPr>
          <w:i/>
          <w:iCs/>
        </w:rPr>
        <w:t>x</w:t>
      </w:r>
      <w:r w:rsidRPr="00AD2CF5">
        <w:rPr>
          <w:i/>
          <w:iCs/>
          <w:vertAlign w:val="subscript"/>
        </w:rPr>
        <w:t>r</w:t>
      </w:r>
      <w:r w:rsidRPr="00AD2CF5">
        <w:rPr>
          <w:i/>
          <w:iCs/>
        </w:rPr>
        <w:t>, y</w:t>
      </w:r>
      <w:r w:rsidRPr="00AD2CF5">
        <w:rPr>
          <w:i/>
          <w:iCs/>
          <w:vertAlign w:val="subscript"/>
        </w:rPr>
        <w:t>r</w:t>
      </w:r>
      <w:r w:rsidRPr="00AD2CF5">
        <w:t>) respectievelijk de linker en rechter zijkant van het scherm. Indien kogelgeluid is afgeschermd wordt de bijdrage van het kogelgeluid bepaald uit de energetisch gesommeerde bijdragen van de drie bronnen die op deze drie bronposities gedacht kunnen worden. Dit betekent dat per bron alle dempingstermen (geometrische-,  lucht-, bodem-, nietlineaire- en schermdemping) bepaald moeten worden.</w:t>
      </w:r>
    </w:p>
    <w:p w:rsidR="00F43C9B" w:rsidRPr="00AD2CF5" w:rsidRDefault="00F43C9B" w:rsidP="00F43C9B">
      <w:pPr>
        <w:shd w:val="clear" w:color="auto" w:fill="D9D9D9" w:themeFill="background1" w:themeFillShade="D9"/>
        <w:autoSpaceDE w:val="0"/>
        <w:autoSpaceDN w:val="0"/>
        <w:adjustRightInd w:val="0"/>
        <w:spacing w:line="240" w:lineRule="auto"/>
      </w:pPr>
      <w:r>
        <w:rPr>
          <w:noProof/>
          <w:lang w:eastAsia="nl-NL"/>
        </w:rPr>
        <mc:AlternateContent>
          <mc:Choice Requires="wps">
            <w:drawing>
              <wp:anchor distT="0" distB="0" distL="114300" distR="114300" simplePos="0" relativeHeight="251671552" behindDoc="0" locked="0" layoutInCell="1" allowOverlap="1" wp14:anchorId="2FE0CD40" wp14:editId="5E2EECEF">
                <wp:simplePos x="0" y="0"/>
                <wp:positionH relativeFrom="column">
                  <wp:posOffset>-99695</wp:posOffset>
                </wp:positionH>
                <wp:positionV relativeFrom="paragraph">
                  <wp:posOffset>2038350</wp:posOffset>
                </wp:positionV>
                <wp:extent cx="1964055" cy="1257300"/>
                <wp:effectExtent l="0" t="0" r="0" b="0"/>
                <wp:wrapSquare wrapText="bothSides"/>
                <wp:docPr id="61" name="Tekstvak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626" w:rsidRDefault="005D7626" w:rsidP="00F43C9B">
                            <w:r>
                              <w:rPr>
                                <w:b/>
                                <w:bCs/>
                              </w:rPr>
                              <w:t>Figuur 4.13:</w:t>
                            </w:r>
                            <w:r>
                              <w:t xml:space="preserve"> Berekening van kogel</w:t>
                            </w:r>
                            <w:r>
                              <w:softHyphen/>
                              <w:t>geluidbijdrage voor  situaties waarbij het mon</w:t>
                            </w:r>
                            <w:r>
                              <w:softHyphen/>
                              <w:t>dings</w:t>
                            </w:r>
                            <w:r>
                              <w:softHyphen/>
                              <w:t>geluid is afgeschermd maar een rand van het scherm in het Mach-gebied ligt.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1" o:spid="_x0000_s1031" type="#_x0000_t202" style="position:absolute;margin-left:-7.85pt;margin-top:160.5pt;width:154.65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" stroked="f">
                <v:textbox>
                  <w:txbxContent>
                    <w:p w:rsidR="005D7626" w:rsidRDefault="005D7626" w:rsidP="00F43C9B">
                      <w:r>
                        <w:rPr>
                          <w:b/>
                          <w:bCs/>
                        </w:rPr>
                        <w:t>Figuur 4.13:</w:t>
                      </w:r>
                      <w:r>
                        <w:t xml:space="preserve"> Berekening van kogel</w:t>
                      </w:r>
                      <w:r>
                        <w:softHyphen/>
                        <w:t>geluidbijdrage voor  situaties waarbij het mon</w:t>
                      </w:r>
                      <w:r>
                        <w:softHyphen/>
                        <w:t>dings</w:t>
                      </w:r>
                      <w:r>
                        <w:softHyphen/>
                        <w:t>geluid is afgeschermd maar een rand van het scherm in het Mach-gebied ligt.</w:t>
                      </w:r>
                    </w:p>
                  </w:txbxContent>
                </v:textbox>
                <w10:wrap type="square"/>
              </v:shape>
            </w:pict>
          </mc:Fallback>
        </mc:AlternateContent>
      </w:r>
      <w:r w:rsidR="00C428B8">
        <w:rPr>
          <w:noProof/>
          <w:lang w:val="en-US" w:eastAsia="en-US"/>
        </w:rPr>
        <w:pict>
          <v:shape id="_x0000_s1042" type="#_x0000_t75" style="position:absolute;margin-left:-3.85pt;margin-top:-28.5pt;width:150.4pt;height:177pt;z-index:251658240;mso-position-horizontal-relative:text;mso-position-vertical-relative:text">
            <v:imagedata r:id="rId285" o:title="" cropright="-30870f"/>
            <w10:wrap type="square"/>
          </v:shape>
          <o:OLEObject Type="Embed" ProgID="Word.Picture.8" ShapeID="_x0000_s1042" DrawAspect="Content" ObjectID="_1511255484" r:id="rId286"/>
        </w:pict>
      </w:r>
      <w:r w:rsidRPr="00AD2CF5">
        <w:t>Er is sprake van afscherming</w:t>
      </w:r>
      <w:r w:rsidRPr="00AD2CF5">
        <w:fldChar w:fldCharType="begin"/>
      </w:r>
      <w:r w:rsidRPr="00AD2CF5">
        <w:instrText xml:space="preserve"> XE "afscherming" </w:instrText>
      </w:r>
      <w:r w:rsidRPr="00AD2CF5">
        <w:fldChar w:fldCharType="end"/>
      </w:r>
      <w:r w:rsidRPr="00AD2CF5">
        <w:t xml:space="preserve"> indien de lijn van het bronpunt van het kogelgeluid</w:t>
      </w:r>
      <w:r w:rsidRPr="00AD2CF5">
        <w:fldChar w:fldCharType="begin"/>
      </w:r>
      <w:r w:rsidRPr="00AD2CF5">
        <w:instrText xml:space="preserve"> XE "kogelgeluid" </w:instrText>
      </w:r>
      <w:r w:rsidRPr="00AD2CF5">
        <w:fldChar w:fldCharType="end"/>
      </w:r>
      <w:r w:rsidRPr="00AD2CF5">
        <w:t xml:space="preserve"> (bepaald in de niet afgeschermde situatie) naar het rekenpunt het scherm</w:t>
      </w:r>
      <w:r w:rsidRPr="00AD2CF5">
        <w:fldChar w:fldCharType="begin"/>
      </w:r>
      <w:r w:rsidRPr="00AD2CF5">
        <w:instrText xml:space="preserve"> XE "afschermende objecten:scherm" </w:instrText>
      </w:r>
      <w:r w:rsidRPr="00AD2CF5">
        <w:fldChar w:fldCharType="end"/>
      </w:r>
      <w:r w:rsidRPr="00AD2CF5">
        <w:t xml:space="preserve"> snijdt, anders is er sprake van een onafgeschermde situatie en wordt de syste</w:t>
      </w:r>
      <w:r w:rsidRPr="00AD2CF5">
        <w:softHyphen/>
        <w:t>ma</w:t>
      </w:r>
      <w:r w:rsidRPr="00AD2CF5">
        <w:softHyphen/>
        <w:t>tiek gehanteerd, die hiervoor beschreven is. Een uitzondering hierop is de situatie die in neven</w:t>
      </w:r>
      <w:r w:rsidRPr="00AD2CF5">
        <w:softHyphen/>
        <w:t>staande figuur is afgebeeld waarbij het reken</w:t>
      </w:r>
      <w:r w:rsidRPr="00AD2CF5">
        <w:softHyphen/>
        <w:t>punt in gebied I ligt en het mondingsgeluid</w:t>
      </w:r>
      <w:r w:rsidRPr="00AD2CF5">
        <w:fldChar w:fldCharType="begin"/>
      </w:r>
      <w:r w:rsidRPr="00AD2CF5">
        <w:instrText xml:space="preserve"> XE "mondingsgeluid" </w:instrText>
      </w:r>
      <w:r w:rsidRPr="00AD2CF5">
        <w:fldChar w:fldCharType="end"/>
      </w:r>
      <w:r w:rsidRPr="00AD2CF5">
        <w:t xml:space="preserve"> wordt afgeschermd. Eén verticale rand van het scherm ligt echter in het Mach-gebied</w:t>
      </w:r>
      <w:r w:rsidRPr="00AD2CF5">
        <w:fldChar w:fldCharType="begin"/>
      </w:r>
      <w:r w:rsidRPr="00AD2CF5">
        <w:instrText xml:space="preserve"> XE "mach-gebied" </w:instrText>
      </w:r>
      <w:r w:rsidRPr="00AD2CF5">
        <w:fldChar w:fldCharType="end"/>
      </w:r>
      <w:r w:rsidRPr="00AD2CF5">
        <w:t xml:space="preserve"> (gebied II). Ook in deze situatie wordt een kogelgeluid</w:t>
      </w:r>
      <w:r w:rsidRPr="00AD2CF5">
        <w:softHyphen/>
        <w:t>bijdrage berekend. Hierbij wordt er maar één (horizontaal) geluidpad beschouwd en wel langs de verticale rand van het scherm dat in het kogelgeluidgebied ligt. Deze bijdrage wordt echter alleen meegenomen als de bovenrand van het scherm minimaal 1 m boven de mond van het wapen uitsteekt.</w:t>
      </w:r>
    </w:p>
    <w:p w:rsidR="00F43C9B" w:rsidRPr="00AD2CF5" w:rsidRDefault="00F43C9B" w:rsidP="00F43C9B">
      <w:pPr>
        <w:pStyle w:val="Body"/>
        <w:shd w:val="clear" w:color="auto" w:fill="D9D9D9" w:themeFill="background1" w:themeFillShade="D9"/>
        <w:tabs>
          <w:tab w:val="left" w:pos="567"/>
        </w:tabs>
        <w:spacing w:line="240" w:lineRule="auto"/>
        <w:rPr>
          <w:rFonts w:asciiTheme="minorHAnsi" w:hAnsiTheme="minorHAnsi"/>
          <w:sz w:val="22"/>
          <w:szCs w:val="22"/>
        </w:rPr>
      </w:pPr>
      <w:r w:rsidRPr="00AD2CF5">
        <w:rPr>
          <w:rFonts w:asciiTheme="minorHAnsi" w:hAnsiTheme="minorHAnsi"/>
          <w:sz w:val="22"/>
          <w:szCs w:val="22"/>
        </w:rPr>
        <w:t>De bronsterkten van de genoemde drie bronnen (of één bron voor het laatst genoemde geval) worden bepaald zoals in § 4.6.1 beschreven. De geometrische demping</w:t>
      </w:r>
      <w:r w:rsidRPr="00AD2CF5">
        <w:rPr>
          <w:rFonts w:asciiTheme="minorHAnsi" w:hAnsiTheme="minorHAnsi"/>
          <w:sz w:val="22"/>
          <w:szCs w:val="22"/>
        </w:rPr>
        <w:fldChar w:fldCharType="begin"/>
      </w:r>
      <w:r w:rsidRPr="00AD2CF5">
        <w:rPr>
          <w:rFonts w:asciiTheme="minorHAnsi" w:hAnsiTheme="minorHAnsi"/>
          <w:sz w:val="22"/>
          <w:szCs w:val="22"/>
        </w:rPr>
        <w:instrText xml:space="preserve"> XE "geometrische demping" </w:instrText>
      </w:r>
      <w:r w:rsidRPr="00AD2CF5">
        <w:rPr>
          <w:rFonts w:asciiTheme="minorHAnsi" w:hAnsiTheme="minorHAnsi"/>
          <w:sz w:val="22"/>
          <w:szCs w:val="22"/>
        </w:rPr>
        <w:fldChar w:fldCharType="end"/>
      </w:r>
      <w:r w:rsidRPr="00AD2CF5">
        <w:rPr>
          <w:rFonts w:asciiTheme="minorHAnsi" w:hAnsiTheme="minorHAnsi"/>
          <w:sz w:val="22"/>
          <w:szCs w:val="22"/>
        </w:rPr>
        <w:t xml:space="preserve"> wordt op dezelfde manier bepaald als voor onafgeschermd kogelgeluid</w:t>
      </w:r>
      <w:r w:rsidRPr="00AD2CF5">
        <w:rPr>
          <w:rFonts w:asciiTheme="minorHAnsi" w:hAnsiTheme="minorHAnsi"/>
          <w:sz w:val="22"/>
          <w:szCs w:val="22"/>
        </w:rPr>
        <w:fldChar w:fldCharType="begin"/>
      </w:r>
      <w:r w:rsidRPr="00AD2CF5">
        <w:rPr>
          <w:rFonts w:asciiTheme="minorHAnsi" w:hAnsiTheme="minorHAnsi"/>
          <w:sz w:val="22"/>
          <w:szCs w:val="22"/>
        </w:rPr>
        <w:instrText xml:space="preserve"> XE "kogelgeluid" </w:instrText>
      </w:r>
      <w:r w:rsidRPr="00AD2CF5">
        <w:rPr>
          <w:rFonts w:asciiTheme="minorHAnsi" w:hAnsiTheme="minorHAnsi"/>
          <w:sz w:val="22"/>
          <w:szCs w:val="22"/>
        </w:rPr>
        <w:fldChar w:fldCharType="end"/>
      </w:r>
      <w:r w:rsidRPr="00AD2CF5">
        <w:rPr>
          <w:rFonts w:asciiTheme="minorHAnsi" w:hAnsiTheme="minorHAnsi"/>
          <w:sz w:val="22"/>
          <w:szCs w:val="22"/>
        </w:rPr>
        <w:t xml:space="preserve"> conform de formules die in § 4.6.2. voor kogelgeluid zijn beschreven. Het is hierbij van belang in welk gebied een verticale rand van een scherm</w:t>
      </w:r>
      <w:r w:rsidRPr="00AD2CF5">
        <w:rPr>
          <w:rFonts w:asciiTheme="minorHAnsi" w:hAnsiTheme="minorHAnsi"/>
          <w:sz w:val="22"/>
          <w:szCs w:val="22"/>
        </w:rPr>
        <w:fldChar w:fldCharType="begin"/>
      </w:r>
      <w:r w:rsidRPr="00AD2CF5">
        <w:rPr>
          <w:rFonts w:asciiTheme="minorHAnsi" w:hAnsiTheme="minorHAnsi"/>
          <w:sz w:val="22"/>
          <w:szCs w:val="22"/>
        </w:rPr>
        <w:instrText xml:space="preserve"> XE "afschermende objecten:scherm" </w:instrText>
      </w:r>
      <w:r w:rsidRPr="00AD2CF5">
        <w:rPr>
          <w:rFonts w:asciiTheme="minorHAnsi" w:hAnsiTheme="minorHAnsi"/>
          <w:sz w:val="22"/>
          <w:szCs w:val="22"/>
        </w:rPr>
        <w:fldChar w:fldCharType="end"/>
      </w:r>
      <w:r w:rsidRPr="00AD2CF5">
        <w:rPr>
          <w:rFonts w:asciiTheme="minorHAnsi" w:hAnsiTheme="minorHAnsi"/>
          <w:sz w:val="22"/>
          <w:szCs w:val="22"/>
        </w:rPr>
        <w:t xml:space="preserve"> ligt (zie figuur 4.7). Indien bijvoorbeeld een schermrand in gebied III ligt dient voor de geometrische demping formule 4.28 toegepast te worden. Over het algemeen is dus de geometrische demping voor de verschillende combinaties verschillend aangezien de bronposities niet gelijk hoeven te zijn. Ook de lucht-, bodem- en niet-lineaire</w:t>
      </w:r>
      <w:r w:rsidRPr="00AD2CF5">
        <w:rPr>
          <w:rFonts w:asciiTheme="minorHAnsi" w:hAnsiTheme="minorHAnsi"/>
          <w:sz w:val="22"/>
          <w:szCs w:val="22"/>
        </w:rPr>
        <w:fldChar w:fldCharType="begin"/>
      </w:r>
      <w:r w:rsidRPr="00AD2CF5">
        <w:rPr>
          <w:rFonts w:asciiTheme="minorHAnsi" w:hAnsiTheme="minorHAnsi"/>
          <w:sz w:val="22"/>
          <w:szCs w:val="22"/>
        </w:rPr>
        <w:instrText xml:space="preserve"> XE "niet-lineaire demping" </w:instrText>
      </w:r>
      <w:r w:rsidRPr="00AD2CF5">
        <w:rPr>
          <w:rFonts w:asciiTheme="minorHAnsi" w:hAnsiTheme="minorHAnsi"/>
          <w:sz w:val="22"/>
          <w:szCs w:val="22"/>
        </w:rPr>
        <w:fldChar w:fldCharType="end"/>
      </w:r>
      <w:r w:rsidRPr="00AD2CF5">
        <w:rPr>
          <w:rFonts w:asciiTheme="minorHAnsi" w:hAnsiTheme="minorHAnsi"/>
          <w:sz w:val="22"/>
          <w:szCs w:val="22"/>
        </w:rPr>
        <w:t xml:space="preserve"> demping worden (vergelijkbaar met de berekenings</w:t>
      </w:r>
      <w:r w:rsidRPr="00AD2CF5">
        <w:rPr>
          <w:rFonts w:asciiTheme="minorHAnsi" w:hAnsiTheme="minorHAnsi"/>
          <w:sz w:val="22"/>
          <w:szCs w:val="22"/>
        </w:rPr>
        <w:softHyphen/>
        <w:t>methode voor afgeschermd mondingsgeluid</w:t>
      </w:r>
      <w:r w:rsidRPr="00AD2CF5">
        <w:rPr>
          <w:rFonts w:asciiTheme="minorHAnsi" w:hAnsiTheme="minorHAnsi"/>
          <w:sz w:val="22"/>
          <w:szCs w:val="22"/>
        </w:rPr>
        <w:fldChar w:fldCharType="begin"/>
      </w:r>
      <w:r w:rsidRPr="00AD2CF5">
        <w:rPr>
          <w:rFonts w:asciiTheme="minorHAnsi" w:hAnsiTheme="minorHAnsi"/>
          <w:sz w:val="22"/>
          <w:szCs w:val="22"/>
        </w:rPr>
        <w:instrText xml:space="preserve"> XE "mondingsgeluid" </w:instrText>
      </w:r>
      <w:r w:rsidRPr="00AD2CF5">
        <w:rPr>
          <w:rFonts w:asciiTheme="minorHAnsi" w:hAnsiTheme="minorHAnsi"/>
          <w:sz w:val="22"/>
          <w:szCs w:val="22"/>
        </w:rPr>
        <w:fldChar w:fldCharType="end"/>
      </w:r>
      <w:r w:rsidRPr="00AD2CF5">
        <w:rPr>
          <w:rFonts w:asciiTheme="minorHAnsi" w:hAnsiTheme="minorHAnsi"/>
          <w:sz w:val="22"/>
          <w:szCs w:val="22"/>
        </w:rPr>
        <w:t>) bepaald voor het directe pad van bronpunt naar rekenpunt. De schermdemping tot slot wordt bepaald met formule 4.45 waarbij per bronpunt maar één pad wordt beschouwd overeenkomend met het pad dat in figuur 4.12 staat aangegeven. De tophoekcorrectie</w:t>
      </w:r>
      <w:r w:rsidRPr="00AD2CF5">
        <w:rPr>
          <w:rFonts w:asciiTheme="minorHAnsi" w:hAnsiTheme="minorHAnsi"/>
          <w:sz w:val="22"/>
          <w:szCs w:val="22"/>
        </w:rPr>
        <w:fldChar w:fldCharType="begin"/>
      </w:r>
      <w:r w:rsidRPr="00AD2CF5">
        <w:rPr>
          <w:rFonts w:asciiTheme="minorHAnsi" w:hAnsiTheme="minorHAnsi"/>
          <w:sz w:val="22"/>
          <w:szCs w:val="22"/>
        </w:rPr>
        <w:instrText xml:space="preserve"> XE "tophoekcorrectie" </w:instrText>
      </w:r>
      <w:r w:rsidRPr="00AD2CF5">
        <w:rPr>
          <w:rFonts w:asciiTheme="minorHAnsi" w:hAnsiTheme="minorHAnsi"/>
          <w:sz w:val="22"/>
          <w:szCs w:val="22"/>
        </w:rPr>
        <w:fldChar w:fldCharType="end"/>
      </w:r>
      <w:r w:rsidRPr="00AD2CF5">
        <w:rPr>
          <w:rFonts w:asciiTheme="minorHAnsi" w:hAnsiTheme="minorHAnsi"/>
          <w:sz w:val="22"/>
          <w:szCs w:val="22"/>
        </w:rPr>
        <w:t xml:space="preserve"> wordt alleen toegepast voor het pad over de top van het obstakel. Voor de situatie die in figuur 4.13 is weergegeven wordt dus geen tophoekcorrectie toegepast. Verder zijn dezelfde restricties van toepassing als die bij formule 4.50 en 4.52 zijn gegeven.</w:t>
      </w:r>
    </w:p>
    <w:p w:rsidR="00F43C9B" w:rsidRPr="00AD2CF5" w:rsidRDefault="00F43C9B" w:rsidP="00F43C9B">
      <w:pPr>
        <w:pStyle w:val="Body"/>
        <w:shd w:val="clear" w:color="auto" w:fill="D9D9D9" w:themeFill="background1" w:themeFillShade="D9"/>
        <w:spacing w:line="240" w:lineRule="auto"/>
        <w:rPr>
          <w:rFonts w:asciiTheme="minorHAnsi" w:hAnsiTheme="minorHAnsi"/>
          <w:sz w:val="22"/>
          <w:szCs w:val="22"/>
        </w:rPr>
      </w:pPr>
    </w:p>
    <w:p w:rsidR="00F43C9B" w:rsidRPr="00AD2CF5" w:rsidRDefault="00F43C9B" w:rsidP="00F43C9B">
      <w:pPr>
        <w:pStyle w:val="Body"/>
        <w:shd w:val="clear" w:color="auto" w:fill="D9D9D9" w:themeFill="background1" w:themeFillShade="D9"/>
        <w:spacing w:line="240" w:lineRule="auto"/>
        <w:rPr>
          <w:rFonts w:asciiTheme="minorHAnsi" w:hAnsiTheme="minorHAnsi"/>
          <w:sz w:val="22"/>
          <w:szCs w:val="22"/>
        </w:rPr>
      </w:pPr>
      <w:r w:rsidRPr="00AD2CF5">
        <w:rPr>
          <w:rFonts w:asciiTheme="minorHAnsi" w:hAnsiTheme="minorHAnsi"/>
          <w:sz w:val="22"/>
          <w:szCs w:val="22"/>
        </w:rPr>
        <w:t>Voor het bepalen van de geluidbelasting (zie formule 3.1 t/m 3.7 in hoofdstuk 3) worden eerst de verschillende bijdragen van het afgeschermde kogelgeluid</w:t>
      </w:r>
      <w:r w:rsidRPr="00AD2CF5">
        <w:rPr>
          <w:rFonts w:asciiTheme="minorHAnsi" w:hAnsiTheme="minorHAnsi"/>
          <w:sz w:val="22"/>
          <w:szCs w:val="22"/>
        </w:rPr>
        <w:fldChar w:fldCharType="begin"/>
      </w:r>
      <w:r w:rsidRPr="00AD2CF5">
        <w:rPr>
          <w:rFonts w:asciiTheme="minorHAnsi" w:hAnsiTheme="minorHAnsi"/>
          <w:sz w:val="22"/>
          <w:szCs w:val="22"/>
        </w:rPr>
        <w:instrText xml:space="preserve"> XE "kogelgeluid" </w:instrText>
      </w:r>
      <w:r w:rsidRPr="00AD2CF5">
        <w:rPr>
          <w:rFonts w:asciiTheme="minorHAnsi" w:hAnsiTheme="minorHAnsi"/>
          <w:sz w:val="22"/>
          <w:szCs w:val="22"/>
        </w:rPr>
        <w:fldChar w:fldCharType="end"/>
      </w:r>
      <w:r w:rsidRPr="00AD2CF5">
        <w:rPr>
          <w:rFonts w:asciiTheme="minorHAnsi" w:hAnsiTheme="minorHAnsi"/>
          <w:sz w:val="22"/>
          <w:szCs w:val="22"/>
        </w:rPr>
        <w:t xml:space="preserve"> - langs maximaal drie verschillende paden - energetisch gesommeerd.</w:t>
      </w:r>
    </w:p>
    <w:p w:rsidR="00F43C9B" w:rsidRPr="00AD2CF5" w:rsidRDefault="00F43C9B" w:rsidP="00F43C9B">
      <w:pPr>
        <w:keepNext/>
        <w:keepLines/>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p>
    <w:bookmarkEnd w:id="594"/>
    <w:p w:rsidR="00F43C9B" w:rsidRPr="00AD2CF5" w:rsidRDefault="00F43C9B" w:rsidP="00F43C9B">
      <w:pPr>
        <w:pStyle w:val="Kop3"/>
        <w:shd w:val="clear" w:color="auto" w:fill="D9D9D9" w:themeFill="background1" w:themeFillShade="D9"/>
        <w:rPr>
          <w:b w:val="0"/>
        </w:rPr>
      </w:pPr>
      <w:r w:rsidRPr="00AD2CF5">
        <w:fldChar w:fldCharType="begin"/>
      </w:r>
      <w:r w:rsidRPr="00AD2CF5">
        <w:instrText xml:space="preserve"> SEQ numchaplev1 \c \* MERGEFORMAT </w:instrText>
      </w:r>
      <w:r w:rsidRPr="00AD2CF5">
        <w:fldChar w:fldCharType="separate"/>
      </w:r>
      <w:bookmarkStart w:id="595" w:name="_Toc413945846"/>
      <w:bookmarkStart w:id="596" w:name="_Toc431375859"/>
      <w:r>
        <w:rPr>
          <w:noProof/>
        </w:rPr>
        <w:t>4</w:t>
      </w:r>
      <w:r w:rsidRPr="00AD2CF5">
        <w:fldChar w:fldCharType="end"/>
      </w:r>
      <w:r w:rsidRPr="00AD2CF5">
        <w:t>.</w:t>
      </w:r>
      <w:r w:rsidR="00C428B8">
        <w:fldChar w:fldCharType="begin"/>
      </w:r>
      <w:r w:rsidR="00C428B8">
        <w:instrText xml:space="preserve"> SEQ numchaplev2 \c \* MERGEFORMAT </w:instrText>
      </w:r>
      <w:r w:rsidR="00C428B8">
        <w:fldChar w:fldCharType="separate"/>
      </w:r>
      <w:r w:rsidRPr="00B15E90">
        <w:rPr>
          <w:noProof/>
        </w:rPr>
        <w:t>6</w:t>
      </w:r>
      <w:r w:rsidR="00C428B8">
        <w:rPr>
          <w:noProof/>
        </w:rPr>
        <w:fldChar w:fldCharType="end"/>
      </w:r>
      <w:r w:rsidRPr="00AD2CF5">
        <w:t>.</w:t>
      </w:r>
      <w:r w:rsidR="00C428B8">
        <w:fldChar w:fldCharType="begin"/>
      </w:r>
      <w:r w:rsidR="00C428B8">
        <w:instrText xml:space="preserve"> SEQ numchaplev3 \n \* MERGEFORMAT </w:instrText>
      </w:r>
      <w:r w:rsidR="00C428B8">
        <w:fldChar w:fldCharType="separate"/>
      </w:r>
      <w:r w:rsidRPr="00B15E90">
        <w:rPr>
          <w:noProof/>
        </w:rPr>
        <w:t>6</w:t>
      </w:r>
      <w:r w:rsidR="00C428B8">
        <w:rPr>
          <w:noProof/>
        </w:rPr>
        <w:fldChar w:fldCharType="end"/>
      </w:r>
      <w:r w:rsidRPr="00AD2CF5">
        <w:fldChar w:fldCharType="begin"/>
      </w:r>
      <w:r w:rsidRPr="00AD2CF5">
        <w:instrText xml:space="preserve"> SEQ numchaplev4 \r0\h \* MERGEFORMAT </w:instrText>
      </w:r>
      <w:r w:rsidRPr="00AD2CF5">
        <w:fldChar w:fldCharType="end"/>
      </w:r>
      <w:r w:rsidRPr="00AD2CF5">
        <w:tab/>
        <w:t>Niet-lineaire demping</w:t>
      </w:r>
      <w:bookmarkEnd w:id="595"/>
      <w:bookmarkEnd w:id="596"/>
    </w:p>
    <w:p w:rsidR="00F43C9B" w:rsidRPr="00AD2CF5" w:rsidRDefault="00F43C9B" w:rsidP="00F43C9B">
      <w:pPr>
        <w:shd w:val="clear" w:color="auto" w:fill="D9D9D9" w:themeFill="background1" w:themeFillShade="D9"/>
      </w:pPr>
      <w:r w:rsidRPr="00AD2CF5">
        <w:t>Alleen voor de berekening van de geluidbelasting door kogelgeluid</w:t>
      </w:r>
      <w:r w:rsidRPr="00AD2CF5">
        <w:fldChar w:fldCharType="begin"/>
      </w:r>
      <w:r w:rsidRPr="00AD2CF5">
        <w:instrText xml:space="preserve"> XE "kogelgeluid" </w:instrText>
      </w:r>
      <w:r w:rsidRPr="00AD2CF5">
        <w:fldChar w:fldCharType="end"/>
      </w:r>
      <w:r w:rsidRPr="00AD2CF5">
        <w:t xml:space="preserve"> wordt een dempingsterm in rekening gebracht, die voortkomt uit de niet-lineair</w:t>
      </w:r>
      <w:r w:rsidRPr="00AD2CF5">
        <w:fldChar w:fldCharType="begin"/>
      </w:r>
      <w:r w:rsidRPr="00AD2CF5">
        <w:instrText xml:space="preserve"> XE "niet-lineaire demping" </w:instrText>
      </w:r>
      <w:r w:rsidRPr="00AD2CF5">
        <w:fldChar w:fldCharType="end"/>
      </w:r>
      <w:r w:rsidRPr="00AD2CF5">
        <w:t>e overdracht van kogelgeluid. Deze term is alleen van toepassing voor rekenpunten in gebied II . Hiervoor geldt:</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spacing w:line="240" w:lineRule="auto"/>
      </w:pPr>
      <w:r w:rsidRPr="00AD2CF5">
        <w:rPr>
          <w:position w:val="-84"/>
        </w:rPr>
        <w:object w:dxaOrig="7260" w:dyaOrig="1800">
          <v:shape id="_x0000_i1123" type="#_x0000_t75" style="width:336.75pt;height:84pt" o:ole="" fillcolor="window">
            <v:imagedata r:id="rId287" o:title=""/>
          </v:shape>
          <o:OLEObject Type="Embed" ProgID="Equation.3" ShapeID="_x0000_i1123" DrawAspect="Content" ObjectID="_1511255460" r:id="rId288"/>
        </w:object>
      </w:r>
      <w:r w:rsidRPr="00AD2CF5">
        <w:rPr>
          <w:b/>
          <w:bCs/>
        </w:rPr>
        <w:t>(4.54)</w:t>
      </w:r>
    </w:p>
    <w:p w:rsidR="00F43C9B" w:rsidRPr="00AD2CF5" w:rsidRDefault="00F43C9B" w:rsidP="00F43C9B">
      <w:pPr>
        <w:shd w:val="clear" w:color="auto" w:fill="D9D9D9" w:themeFill="background1" w:themeFillShade="D9"/>
      </w:pPr>
      <w:r w:rsidRPr="00AD2CF5">
        <w:t>met</w:t>
      </w:r>
    </w:p>
    <w:p w:rsidR="00F43C9B" w:rsidRPr="00AD2CF5" w:rsidRDefault="00F43C9B" w:rsidP="00F43C9B">
      <w:pPr>
        <w:shd w:val="clear" w:color="auto" w:fill="D9D9D9" w:themeFill="background1" w:themeFillShade="D9"/>
        <w:tabs>
          <w:tab w:val="left" w:pos="567"/>
          <w:tab w:val="left" w:pos="993"/>
        </w:tabs>
      </w:pPr>
      <w:r w:rsidRPr="00AD2CF5">
        <w:rPr>
          <w:i/>
          <w:iCs/>
        </w:rPr>
        <w:t>r</w:t>
      </w:r>
      <w:r w:rsidRPr="00AD2CF5">
        <w:rPr>
          <w:vertAlign w:val="subscript"/>
        </w:rPr>
        <w:t>0</w:t>
      </w:r>
      <w:r w:rsidRPr="00AD2CF5">
        <w:t xml:space="preserve"> </w:t>
      </w:r>
      <w:r w:rsidRPr="00AD2CF5">
        <w:tab/>
        <w:t>= 1 m</w:t>
      </w:r>
    </w:p>
    <w:p w:rsidR="00F43C9B" w:rsidRPr="00AD2CF5" w:rsidRDefault="00F43C9B" w:rsidP="00F43C9B">
      <w:pPr>
        <w:shd w:val="clear" w:color="auto" w:fill="D9D9D9" w:themeFill="background1" w:themeFillShade="D9"/>
        <w:tabs>
          <w:tab w:val="left" w:pos="567"/>
          <w:tab w:val="left" w:pos="993"/>
        </w:tabs>
        <w:rPr>
          <w:vertAlign w:val="subscript"/>
        </w:rPr>
      </w:pPr>
      <w:r w:rsidRPr="00AD2CF5">
        <w:rPr>
          <w:i/>
          <w:iCs/>
        </w:rPr>
        <w:t>k</w:t>
      </w:r>
      <w:r w:rsidRPr="00AD2CF5">
        <w:tab/>
        <w:t>= -</w:t>
      </w:r>
      <w:r w:rsidRPr="00AD2CF5">
        <w:rPr>
          <w:i/>
          <w:iCs/>
        </w:rPr>
        <w:t>v</w:t>
      </w:r>
      <w:r w:rsidRPr="00AD2CF5">
        <w:rPr>
          <w:vertAlign w:val="subscript"/>
        </w:rPr>
        <w:t>1</w:t>
      </w:r>
      <w:r w:rsidRPr="00AD2CF5">
        <w:t xml:space="preserve"> / </w:t>
      </w:r>
      <w:r w:rsidRPr="00AD2CF5">
        <w:rPr>
          <w:i/>
          <w:iCs/>
        </w:rPr>
        <w:t>c</w:t>
      </w:r>
      <w:r w:rsidRPr="00AD2CF5">
        <w:rPr>
          <w:vertAlign w:val="subscript"/>
        </w:rPr>
        <w:t>10</w:t>
      </w:r>
    </w:p>
    <w:p w:rsidR="00F43C9B" w:rsidRPr="00AD2CF5" w:rsidRDefault="00F43C9B" w:rsidP="00F43C9B">
      <w:pPr>
        <w:pStyle w:val="Inhopg1"/>
        <w:shd w:val="clear" w:color="auto" w:fill="D9D9D9" w:themeFill="background1" w:themeFillShade="D9"/>
        <w:spacing w:after="0"/>
      </w:pPr>
    </w:p>
    <w:p w:rsidR="00F43C9B" w:rsidRPr="00AD2CF5" w:rsidRDefault="00F43C9B" w:rsidP="00F43C9B">
      <w:pPr>
        <w:shd w:val="clear" w:color="auto" w:fill="D9D9D9" w:themeFill="background1" w:themeFillShade="D9"/>
      </w:pPr>
      <w:r w:rsidRPr="00AD2CF5">
        <w:t xml:space="preserve">Voor rekenpunten in gebied III wordt deze term alleen over de afstand </w:t>
      </w:r>
      <w:r w:rsidRPr="00AD2CF5">
        <w:rPr>
          <w:i/>
          <w:iCs/>
        </w:rPr>
        <w:t>R</w:t>
      </w:r>
      <w:r w:rsidRPr="00AD2CF5">
        <w:rPr>
          <w:vertAlign w:val="subscript"/>
        </w:rPr>
        <w:t>1</w:t>
      </w:r>
      <w:r w:rsidRPr="00AD2CF5">
        <w:rPr>
          <w:i/>
          <w:iCs/>
        </w:rPr>
        <w:t xml:space="preserve"> </w:t>
      </w:r>
      <w:r w:rsidRPr="00AD2CF5">
        <w:t>in rekening gebracht.</w:t>
      </w:r>
    </w:p>
    <w:p w:rsidR="00F43C9B" w:rsidRPr="00AD2CF5" w:rsidRDefault="00F43C9B" w:rsidP="00F43C9B">
      <w:pPr>
        <w:pStyle w:val="Kop3"/>
        <w:shd w:val="clear" w:color="auto" w:fill="D9D9D9" w:themeFill="background1" w:themeFillShade="D9"/>
      </w:pPr>
      <w:r w:rsidRPr="00AD2CF5">
        <w:br w:type="page"/>
      </w:r>
      <w:r w:rsidR="00C428B8">
        <w:fldChar w:fldCharType="begin"/>
      </w:r>
      <w:r w:rsidR="00C428B8">
        <w:instrText xml:space="preserve"> SEQ numchaplev1 \c \* MERGEFORMAT </w:instrText>
      </w:r>
      <w:r w:rsidR="00C428B8">
        <w:fldChar w:fldCharType="separate"/>
      </w:r>
      <w:bookmarkStart w:id="597" w:name="_Toc413945847"/>
      <w:bookmarkStart w:id="598" w:name="_Toc431375860"/>
      <w:r w:rsidRPr="00B15E90">
        <w:rPr>
          <w:noProof/>
        </w:rPr>
        <w:t>4</w:t>
      </w:r>
      <w:r w:rsidR="00C428B8">
        <w:rPr>
          <w:noProof/>
        </w:rPr>
        <w:fldChar w:fldCharType="end"/>
      </w:r>
      <w:r w:rsidRPr="00AD2CF5">
        <w:t>.</w:t>
      </w:r>
      <w:r w:rsidR="00C428B8">
        <w:fldChar w:fldCharType="begin"/>
      </w:r>
      <w:r w:rsidR="00C428B8">
        <w:instrText xml:space="preserve"> SEQ numchaplev2 \c \* MERGEFORMAT </w:instrText>
      </w:r>
      <w:r w:rsidR="00C428B8">
        <w:fldChar w:fldCharType="separate"/>
      </w:r>
      <w:r w:rsidRPr="00B15E90">
        <w:rPr>
          <w:noProof/>
        </w:rPr>
        <w:t>6</w:t>
      </w:r>
      <w:r w:rsidR="00C428B8">
        <w:rPr>
          <w:noProof/>
        </w:rPr>
        <w:fldChar w:fldCharType="end"/>
      </w:r>
      <w:r w:rsidRPr="00AD2CF5">
        <w:t>.</w:t>
      </w:r>
      <w:r w:rsidR="00C428B8">
        <w:fldChar w:fldCharType="begin"/>
      </w:r>
      <w:r w:rsidR="00C428B8">
        <w:instrText xml:space="preserve"> SEQ numchaplev3 \n \* MERGEFORMAT </w:instrText>
      </w:r>
      <w:r w:rsidR="00C428B8">
        <w:fldChar w:fldCharType="separate"/>
      </w:r>
      <w:r w:rsidRPr="00B15E90">
        <w:rPr>
          <w:noProof/>
        </w:rPr>
        <w:t>7</w:t>
      </w:r>
      <w:r w:rsidR="00C428B8">
        <w:rPr>
          <w:noProof/>
        </w:rPr>
        <w:fldChar w:fldCharType="end"/>
      </w:r>
      <w:r w:rsidRPr="00AD2CF5">
        <w:fldChar w:fldCharType="begin"/>
      </w:r>
      <w:r w:rsidRPr="00AD2CF5">
        <w:instrText xml:space="preserve"> SEQ numchaplev4 \r0\h \* MERGEFORMAT </w:instrText>
      </w:r>
      <w:r w:rsidRPr="00AD2CF5">
        <w:fldChar w:fldCharType="end"/>
      </w:r>
      <w:r w:rsidRPr="00AD2CF5">
        <w:tab/>
        <w:t>Spiegelreflecties</w:t>
      </w:r>
      <w:bookmarkEnd w:id="597"/>
      <w:bookmarkEnd w:id="598"/>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p>
    <w:bookmarkStart w:id="599" w:name="_MON_1054555048"/>
    <w:bookmarkEnd w:id="599"/>
    <w:bookmarkStart w:id="600" w:name="_MON_1054542045"/>
    <w:bookmarkEnd w:id="600"/>
    <w:p w:rsidR="00F43C9B" w:rsidRPr="00AD2CF5" w:rsidRDefault="00F43C9B" w:rsidP="00F43C9B">
      <w:pPr>
        <w:shd w:val="clear" w:color="auto" w:fill="D9D9D9" w:themeFill="background1" w:themeFillShade="D9"/>
        <w:spacing w:line="240" w:lineRule="auto"/>
      </w:pPr>
      <w:r w:rsidRPr="00AD2CF5">
        <w:object w:dxaOrig="3616" w:dyaOrig="2806">
          <v:shape id="_x0000_i1124" type="#_x0000_t75" style="width:181.5pt;height:139.5pt" o:ole="" fillcolor="window">
            <v:imagedata r:id="rId289" o:title=""/>
          </v:shape>
          <o:OLEObject Type="Embed" ProgID="Word.Picture.8" ShapeID="_x0000_i1124" DrawAspect="Content" ObjectID="_1511255461" r:id="rId290"/>
        </w:object>
      </w:r>
    </w:p>
    <w:p w:rsidR="00F43C9B" w:rsidRPr="00AD2CF5" w:rsidRDefault="00F43C9B" w:rsidP="00F43C9B">
      <w:pPr>
        <w:shd w:val="clear" w:color="auto" w:fill="D9D9D9" w:themeFill="background1" w:themeFillShade="D9"/>
        <w:ind w:left="1134" w:right="1701"/>
        <w:rPr>
          <w:b/>
          <w:bCs/>
        </w:rPr>
      </w:pPr>
    </w:p>
    <w:p w:rsidR="00F43C9B" w:rsidRPr="00AD2CF5" w:rsidRDefault="00F43C9B" w:rsidP="00F43C9B">
      <w:pPr>
        <w:shd w:val="clear" w:color="auto" w:fill="D9D9D9" w:themeFill="background1" w:themeFillShade="D9"/>
        <w:ind w:right="1701"/>
      </w:pPr>
      <w:r w:rsidRPr="00AD2CF5">
        <w:rPr>
          <w:b/>
          <w:bCs/>
        </w:rPr>
        <w:t>Figuur 4.14:</w:t>
      </w:r>
      <w:r w:rsidRPr="00AD2CF5">
        <w:t xml:space="preserve"> Voor een spiegelreflectie</w:t>
      </w:r>
      <w:r w:rsidRPr="00AD2CF5">
        <w:fldChar w:fldCharType="begin"/>
      </w:r>
      <w:r w:rsidRPr="00AD2CF5">
        <w:instrText xml:space="preserve"> XE "reflectie:spiegelreflectie" </w:instrText>
      </w:r>
      <w:r w:rsidRPr="00AD2CF5">
        <w:fldChar w:fldCharType="end"/>
      </w:r>
      <w:r w:rsidRPr="00AD2CF5">
        <w:t xml:space="preserve"> geldt dat de hoek van inval (</w:t>
      </w:r>
      <w:r w:rsidRPr="00AD2CF5">
        <w:rPr>
          <w:i/>
        </w:rPr>
        <w:sym w:font="Symbol" w:char="F061"/>
      </w:r>
      <w:r w:rsidRPr="00AD2CF5">
        <w:rPr>
          <w:i/>
          <w:vertAlign w:val="subscript"/>
        </w:rPr>
        <w:t>in</w:t>
      </w:r>
      <w:r w:rsidRPr="00AD2CF5">
        <w:t xml:space="preserve">) </w:t>
      </w:r>
      <w:bookmarkStart w:id="601" w:name="reflectiespieg"/>
      <w:r w:rsidRPr="00AD2CF5">
        <w:t>gelijk is aan de hoek van reflectie</w:t>
      </w:r>
      <w:r w:rsidRPr="00AD2CF5">
        <w:fldChar w:fldCharType="begin"/>
      </w:r>
      <w:r w:rsidRPr="00AD2CF5">
        <w:instrText xml:space="preserve"> XE "reflectie" </w:instrText>
      </w:r>
      <w:r w:rsidRPr="00AD2CF5">
        <w:fldChar w:fldCharType="end"/>
      </w:r>
      <w:r w:rsidRPr="00AD2CF5">
        <w:t xml:space="preserve"> (</w:t>
      </w:r>
      <w:r w:rsidRPr="00AD2CF5">
        <w:rPr>
          <w:i/>
        </w:rPr>
        <w:sym w:font="Symbol" w:char="F061"/>
      </w:r>
      <w:r w:rsidRPr="00AD2CF5">
        <w:rPr>
          <w:i/>
          <w:vertAlign w:val="subscript"/>
        </w:rPr>
        <w:t>refl</w:t>
      </w:r>
      <w:r w:rsidRPr="00AD2CF5">
        <w:t>). Een spiegelreflectie wordt gemodelleerd met behulp van een spiegelbron.</w:t>
      </w:r>
    </w:p>
    <w:p w:rsidR="00F43C9B" w:rsidRPr="00AD2CF5" w:rsidRDefault="00F43C9B" w:rsidP="00F43C9B">
      <w:pPr>
        <w:keepNext/>
        <w:keepLines/>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r w:rsidRPr="00AD2CF5">
        <w:t>Spiegelreflecties aan objecten worden in rekening gebracht door gebruik te maken van spiegelbronnen. Hierbij moet aan een aantal eisen worden voldaan (zie § 4.5.4):</w:t>
      </w:r>
    </w:p>
    <w:p w:rsidR="00F43C9B" w:rsidRPr="00AD2CF5" w:rsidRDefault="00F43C9B" w:rsidP="00EB7F6B">
      <w:pPr>
        <w:numPr>
          <w:ilvl w:val="0"/>
          <w:numId w:val="19"/>
        </w:numPr>
        <w:shd w:val="clear" w:color="auto" w:fill="D9D9D9" w:themeFill="background1" w:themeFillShade="D9"/>
        <w:tabs>
          <w:tab w:val="left" w:pos="-1440"/>
        </w:tabs>
        <w:suppressAutoHyphens/>
        <w:spacing w:line="240" w:lineRule="auto"/>
      </w:pPr>
      <w:r w:rsidRPr="00AD2CF5">
        <w:t>Het object heeft een min of meer vlakke en geluidreflecterende wand.</w:t>
      </w:r>
    </w:p>
    <w:p w:rsidR="00F43C9B" w:rsidRPr="00AD2CF5" w:rsidRDefault="00F43C9B" w:rsidP="00EB7F6B">
      <w:pPr>
        <w:numPr>
          <w:ilvl w:val="0"/>
          <w:numId w:val="19"/>
        </w:numPr>
        <w:shd w:val="clear" w:color="auto" w:fill="D9D9D9" w:themeFill="background1" w:themeFillShade="D9"/>
        <w:tabs>
          <w:tab w:val="left" w:pos="-1440"/>
        </w:tabs>
        <w:suppressAutoHyphens/>
        <w:spacing w:line="240" w:lineRule="auto"/>
      </w:pPr>
      <w:r w:rsidRPr="00AD2CF5">
        <w:t>De reflecterende wand moet een dichtheid hebben groter dan 10 kg/m</w:t>
      </w:r>
      <w:r w:rsidRPr="00AD2CF5">
        <w:rPr>
          <w:vertAlign w:val="superscript"/>
        </w:rPr>
        <w:t>2</w:t>
      </w:r>
      <w:r w:rsidRPr="00AD2CF5">
        <w:t>. Bo</w:t>
      </w:r>
      <w:r w:rsidRPr="00AD2CF5">
        <w:softHyphen/>
        <w:t>men</w:t>
      </w:r>
      <w:r w:rsidRPr="00AD2CF5">
        <w:softHyphen/>
        <w:t>rij</w:t>
      </w:r>
      <w:r w:rsidRPr="00AD2CF5">
        <w:softHyphen/>
        <w:t>en en open procesinstal</w:t>
      </w:r>
      <w:r w:rsidRPr="00AD2CF5">
        <w:softHyphen/>
        <w:t>laties</w:t>
      </w:r>
      <w:r w:rsidRPr="00AD2CF5">
        <w:fldChar w:fldCharType="begin"/>
      </w:r>
      <w:r w:rsidRPr="00AD2CF5">
        <w:instrText xml:space="preserve"> XE "procesinstallaties" </w:instrText>
      </w:r>
      <w:r w:rsidRPr="00AD2CF5">
        <w:fldChar w:fldCharType="end"/>
      </w:r>
      <w:r w:rsidRPr="00AD2CF5">
        <w:t xml:space="preserve"> wor</w:t>
      </w:r>
      <w:r w:rsidRPr="00AD2CF5">
        <w:softHyphen/>
        <w:t>den zo bui</w:t>
      </w:r>
      <w:r w:rsidRPr="00AD2CF5">
        <w:softHyphen/>
        <w:t>ten</w:t>
      </w:r>
      <w:r w:rsidRPr="00AD2CF5">
        <w:softHyphen/>
        <w:t>ge</w:t>
      </w:r>
      <w:r w:rsidRPr="00AD2CF5">
        <w:softHyphen/>
        <w:t>slo</w:t>
      </w:r>
      <w:r w:rsidRPr="00AD2CF5">
        <w:softHyphen/>
        <w:t>ten.</w:t>
      </w:r>
    </w:p>
    <w:p w:rsidR="00F43C9B" w:rsidRPr="00AD2CF5" w:rsidRDefault="00F43C9B" w:rsidP="00EB7F6B">
      <w:pPr>
        <w:numPr>
          <w:ilvl w:val="0"/>
          <w:numId w:val="19"/>
        </w:numPr>
        <w:shd w:val="clear" w:color="auto" w:fill="D9D9D9" w:themeFill="background1" w:themeFillShade="D9"/>
        <w:tabs>
          <w:tab w:val="left" w:pos="-1440"/>
        </w:tabs>
        <w:suppressAutoHyphens/>
        <w:spacing w:line="240" w:lineRule="auto"/>
      </w:pPr>
      <w:r w:rsidRPr="00AD2CF5">
        <w:t>Het geluid moet via een reflectie</w:t>
      </w:r>
      <w:r w:rsidRPr="00AD2CF5">
        <w:fldChar w:fldCharType="begin"/>
      </w:r>
      <w:r w:rsidRPr="00AD2CF5">
        <w:instrText xml:space="preserve"> XE "reflectie" </w:instrText>
      </w:r>
      <w:r w:rsidRPr="00AD2CF5">
        <w:fldChar w:fldCharType="end"/>
      </w:r>
      <w:r w:rsidRPr="00AD2CF5">
        <w:t xml:space="preserve"> (zoals bij optische spiegeling) het rekenpunt kunnen berei</w:t>
      </w:r>
      <w:r w:rsidRPr="00AD2CF5">
        <w:softHyphen/>
        <w:t>ken. De hoek tussen de geluidreflecterende wand en de verticaal moet daarom kleiner zijn dan 10º. Van een talud kan dus geen reflectiebijdrage komen.</w:t>
      </w: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r w:rsidRPr="00AD2CF5">
        <w:t>Indien een object meer dan één reflectievlak heeft (zoals een scherm</w:t>
      </w:r>
      <w:r w:rsidRPr="00AD2CF5">
        <w:fldChar w:fldCharType="begin"/>
      </w:r>
      <w:r w:rsidRPr="00AD2CF5">
        <w:instrText xml:space="preserve"> XE "afschermende objecten:scherm" </w:instrText>
      </w:r>
      <w:r w:rsidRPr="00AD2CF5">
        <w:fldChar w:fldCharType="end"/>
      </w:r>
      <w:r w:rsidRPr="00AD2CF5">
        <w:t xml:space="preserve"> met enige hoeken) moet ieder vlak van het object als een mogelijk afzonderlijk reflecterend object beschouwd worden.</w:t>
      </w: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r w:rsidRPr="00AD2CF5">
        <w:t>Op het geluidpad tussen bron- en rekenpunt worden slechts enkelvoudige reflecties in de berekening meegeno</w:t>
      </w:r>
      <w:r w:rsidRPr="00AD2CF5">
        <w:softHyphen/>
        <w:t>men.</w:t>
      </w:r>
    </w:p>
    <w:p w:rsidR="00F43C9B" w:rsidRPr="00AD2CF5" w:rsidRDefault="00F43C9B" w:rsidP="00F43C9B">
      <w:pPr>
        <w:shd w:val="clear" w:color="auto" w:fill="D9D9D9" w:themeFill="background1" w:themeFillShade="D9"/>
        <w:tabs>
          <w:tab w:val="left" w:pos="-1440"/>
          <w:tab w:val="left" w:pos="-720"/>
          <w:tab w:val="left" w:pos="0"/>
          <w:tab w:val="left" w:pos="743"/>
          <w:tab w:val="left" w:pos="1083"/>
          <w:tab w:val="left" w:pos="2160"/>
        </w:tabs>
        <w:suppressAutoHyphens/>
        <w:spacing w:line="240" w:lineRule="auto"/>
      </w:pPr>
    </w:p>
    <w:p w:rsidR="00F43C9B" w:rsidRPr="00AD2CF5" w:rsidRDefault="00F43C9B" w:rsidP="00F43C9B">
      <w:pPr>
        <w:shd w:val="clear" w:color="auto" w:fill="D9D9D9" w:themeFill="background1" w:themeFillShade="D9"/>
        <w:tabs>
          <w:tab w:val="left" w:pos="-108"/>
          <w:tab w:val="left" w:pos="743"/>
          <w:tab w:val="left" w:pos="1819"/>
          <w:tab w:val="left" w:pos="3975"/>
        </w:tabs>
        <w:suppressAutoHyphens/>
        <w:spacing w:line="240" w:lineRule="auto"/>
      </w:pPr>
      <w:r w:rsidRPr="00AD2CF5">
        <w:br w:type="page"/>
        <w:t>Het bron</w:t>
      </w:r>
      <w:r w:rsidRPr="00AD2CF5">
        <w:softHyphen/>
        <w:t>niveau</w:t>
      </w:r>
      <w:r w:rsidRPr="00AD2CF5">
        <w:fldChar w:fldCharType="begin"/>
      </w:r>
      <w:r w:rsidRPr="00AD2CF5">
        <w:instrText xml:space="preserve"> XE "bronniveau" </w:instrText>
      </w:r>
      <w:r w:rsidRPr="00AD2CF5">
        <w:fldChar w:fldCharType="end"/>
      </w:r>
      <w:r w:rsidRPr="00AD2CF5">
        <w:t xml:space="preserve"> van een spiegelbron </w:t>
      </w:r>
      <w:r w:rsidRPr="00AD2CF5">
        <w:rPr>
          <w:position w:val="-10"/>
        </w:rPr>
        <w:object w:dxaOrig="380" w:dyaOrig="340">
          <v:shape id="_x0000_i1125" type="#_x0000_t75" style="width:19.5pt;height:17.25pt" o:ole="">
            <v:imagedata r:id="rId80" o:title=""/>
          </v:shape>
          <o:OLEObject Type="Embed" ProgID="Equation.2" ShapeID="_x0000_i1125" DrawAspect="Content" ObjectID="_1511255462" r:id="rId291"/>
        </w:object>
      </w:r>
      <w:r w:rsidRPr="00AD2CF5">
        <w:t xml:space="preserve"> is lager dan het bronniveau van de originele bron; </w:t>
      </w:r>
      <w:r w:rsidRPr="00AD2CF5">
        <w:rPr>
          <w:position w:val="-10"/>
        </w:rPr>
        <w:object w:dxaOrig="380" w:dyaOrig="340">
          <v:shape id="_x0000_i1126" type="#_x0000_t75" style="width:19.5pt;height:17.25pt" o:ole="">
            <v:imagedata r:id="rId80" o:title=""/>
          </v:shape>
          <o:OLEObject Type="Embed" ProgID="Equation.2" ShapeID="_x0000_i1126" DrawAspect="Content" ObjectID="_1511255463" r:id="rId292"/>
        </w:object>
      </w:r>
      <w:r w:rsidRPr="00AD2CF5">
        <w:t xml:space="preserve"> wordt bepaald uit bronniveau</w:t>
      </w:r>
      <w:r w:rsidRPr="00AD2CF5">
        <w:rPr>
          <w:i/>
          <w:iCs/>
        </w:rPr>
        <w:t xml:space="preserve"> L</w:t>
      </w:r>
      <w:r w:rsidRPr="00AD2CF5">
        <w:rPr>
          <w:i/>
          <w:iCs/>
          <w:vertAlign w:val="subscript"/>
        </w:rPr>
        <w:t>Eb</w:t>
      </w:r>
      <w:r w:rsidRPr="00AD2CF5">
        <w:t xml:space="preserve"> van de originele bron met behulp van onderstaande formule:</w:t>
      </w:r>
    </w:p>
    <w:p w:rsidR="00F43C9B" w:rsidRPr="00AD2CF5" w:rsidRDefault="00F43C9B" w:rsidP="00F43C9B">
      <w:pPr>
        <w:pStyle w:val="Bijschrift"/>
        <w:shd w:val="clear" w:color="auto" w:fill="D9D9D9" w:themeFill="background1" w:themeFillShade="D9"/>
        <w:tabs>
          <w:tab w:val="left" w:pos="567"/>
          <w:tab w:val="right" w:pos="7371"/>
        </w:tabs>
        <w:rPr>
          <w:rStyle w:val="EquationCaption"/>
          <w:b/>
          <w:lang w:val="nl-NL"/>
        </w:rPr>
      </w:pPr>
      <w:r w:rsidRPr="00AD2CF5">
        <w:rPr>
          <w:position w:val="-14"/>
        </w:rPr>
        <w:object w:dxaOrig="1540" w:dyaOrig="380">
          <v:shape id="_x0000_i1127" type="#_x0000_t75" style="width:76.5pt;height:19.5pt" o:ole="" fillcolor="window">
            <v:imagedata r:id="rId106" o:title=""/>
          </v:shape>
          <o:OLEObject Type="Embed" ProgID="Equation.3" ShapeID="_x0000_i1127" DrawAspect="Content" ObjectID="_1511255464" r:id="rId293"/>
        </w:object>
      </w:r>
      <w:r w:rsidRPr="00AD2CF5">
        <w:rPr>
          <w:rStyle w:val="EquationCaption"/>
          <w:lang w:val="nl-NL"/>
        </w:rPr>
        <w:tab/>
      </w:r>
      <w:r w:rsidRPr="00AD2CF5">
        <w:rPr>
          <w:lang w:val="nl-NL"/>
        </w:rPr>
        <w:t>(4. 55)</w:t>
      </w:r>
    </w:p>
    <w:p w:rsidR="00F43C9B" w:rsidRPr="00AD2CF5" w:rsidRDefault="00F43C9B" w:rsidP="00F43C9B">
      <w:pPr>
        <w:shd w:val="clear" w:color="auto" w:fill="D9D9D9" w:themeFill="background1" w:themeFillShade="D9"/>
        <w:tabs>
          <w:tab w:val="left" w:pos="-108"/>
          <w:tab w:val="left" w:pos="743"/>
          <w:tab w:val="left" w:pos="1819"/>
          <w:tab w:val="left" w:pos="3975"/>
        </w:tabs>
        <w:suppressAutoHyphens/>
        <w:spacing w:line="240" w:lineRule="auto"/>
      </w:pPr>
      <w:r w:rsidRPr="00AD2CF5">
        <w:t xml:space="preserve">waarin </w:t>
      </w:r>
      <w:r w:rsidRPr="00AD2CF5">
        <w:rPr>
          <w:i/>
          <w:iCs/>
        </w:rPr>
        <w:t>L</w:t>
      </w:r>
      <w:r w:rsidRPr="00AD2CF5">
        <w:rPr>
          <w:i/>
          <w:iCs/>
          <w:vertAlign w:val="subscript"/>
        </w:rPr>
        <w:t>Eb</w:t>
      </w:r>
      <w:r w:rsidRPr="00AD2CF5">
        <w:t xml:space="preserve"> het bronniveau</w:t>
      </w:r>
      <w:r w:rsidRPr="00AD2CF5">
        <w:fldChar w:fldCharType="begin"/>
      </w:r>
      <w:r w:rsidRPr="00AD2CF5">
        <w:instrText xml:space="preserve"> XE "bronniveau" </w:instrText>
      </w:r>
      <w:r w:rsidRPr="00AD2CF5">
        <w:fldChar w:fldCharType="end"/>
      </w:r>
      <w:r w:rsidRPr="00AD2CF5">
        <w:t xml:space="preserve"> (per octaafband)</w:t>
      </w:r>
      <w:r w:rsidRPr="00AD2CF5">
        <w:fldChar w:fldCharType="begin"/>
      </w:r>
      <w:r w:rsidRPr="00AD2CF5">
        <w:instrText xml:space="preserve"> XE "octaafband" </w:instrText>
      </w:r>
      <w:r w:rsidRPr="00AD2CF5">
        <w:fldChar w:fldCharType="end"/>
      </w:r>
      <w:r w:rsidRPr="00AD2CF5">
        <w:t xml:space="preserve"> van de originele bron in de richting van het reflectiepunt is en </w:t>
      </w:r>
      <w:r w:rsidRPr="00AD2CF5">
        <w:rPr>
          <w:i/>
          <w:iCs/>
        </w:rPr>
        <w:t>D</w:t>
      </w:r>
      <w:r w:rsidRPr="00AD2CF5">
        <w:rPr>
          <w:i/>
          <w:iCs/>
          <w:vertAlign w:val="subscript"/>
        </w:rPr>
        <w:t>refl</w:t>
      </w:r>
      <w:r w:rsidRPr="00AD2CF5">
        <w:t xml:space="preserve"> de reflectiedemping. De reflectiedemping voor spiegel</w:t>
      </w:r>
      <w:r w:rsidRPr="00AD2CF5">
        <w:softHyphen/>
        <w:t>reflecties wordt gegeven door</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object w:dxaOrig="2180" w:dyaOrig="360">
          <v:shape id="_x0000_i1128" type="#_x0000_t75" style="width:109.5pt;height:18pt" o:ole="" fillcolor="window">
            <v:imagedata r:id="rId294" o:title=""/>
          </v:shape>
          <o:OLEObject Type="Embed" ProgID="Equation.3" ShapeID="_x0000_i1128" DrawAspect="Content" ObjectID="_1511255465" r:id="rId295"/>
        </w:object>
      </w:r>
      <w:r w:rsidRPr="00AD2CF5">
        <w:rPr>
          <w:lang w:val="nl-NL"/>
        </w:rPr>
        <w:tab/>
        <w:t>(4.56)</w:t>
      </w:r>
    </w:p>
    <w:p w:rsidR="00F43C9B" w:rsidRPr="00AD2CF5" w:rsidRDefault="00F43C9B" w:rsidP="00F43C9B">
      <w:pPr>
        <w:shd w:val="clear" w:color="auto" w:fill="D9D9D9" w:themeFill="background1" w:themeFillShade="D9"/>
      </w:pPr>
      <w:r w:rsidRPr="00AD2CF5">
        <w:t>waarin:</w:t>
      </w:r>
    </w:p>
    <w:p w:rsidR="00F43C9B" w:rsidRPr="00AD2CF5" w:rsidRDefault="00F43C9B" w:rsidP="00F43C9B">
      <w:pPr>
        <w:shd w:val="clear" w:color="auto" w:fill="D9D9D9" w:themeFill="background1" w:themeFillShade="D9"/>
        <w:tabs>
          <w:tab w:val="left" w:pos="1418"/>
        </w:tabs>
        <w:ind w:firstLine="708"/>
      </w:pPr>
      <w:r w:rsidRPr="00AD2CF5">
        <w:rPr>
          <w:i/>
        </w:rPr>
        <w:sym w:font="Symbol" w:char="F065"/>
      </w:r>
      <w:r w:rsidRPr="00AD2CF5">
        <w:rPr>
          <w:i/>
          <w:vertAlign w:val="subscript"/>
        </w:rPr>
        <w:t>hor</w:t>
      </w:r>
      <w:r w:rsidRPr="00AD2CF5">
        <w:t xml:space="preserve"> </w:t>
      </w:r>
      <w:r w:rsidRPr="00AD2CF5">
        <w:tab/>
        <w:t>de ‘horizontale’ reflectie</w:t>
      </w:r>
      <w:r w:rsidRPr="00AD2CF5">
        <w:fldChar w:fldCharType="begin"/>
      </w:r>
      <w:r w:rsidRPr="00AD2CF5">
        <w:instrText xml:space="preserve"> XE "reflectie" </w:instrText>
      </w:r>
      <w:r w:rsidRPr="00AD2CF5">
        <w:fldChar w:fldCharType="end"/>
      </w:r>
      <w:r w:rsidRPr="00AD2CF5">
        <w:noBreakHyphen/>
        <w:t xml:space="preserve">effectiviteit (0 </w:t>
      </w:r>
      <w:r w:rsidRPr="00AD2CF5">
        <w:sym w:font="Symbol" w:char="F0A3"/>
      </w:r>
      <w:r w:rsidRPr="00AD2CF5">
        <w:t xml:space="preserve"> </w:t>
      </w:r>
      <w:r w:rsidRPr="00AD2CF5">
        <w:rPr>
          <w:i/>
        </w:rPr>
        <w:sym w:font="Symbol" w:char="F065"/>
      </w:r>
      <w:r w:rsidRPr="00AD2CF5">
        <w:rPr>
          <w:i/>
          <w:vertAlign w:val="subscript"/>
        </w:rPr>
        <w:t>hor</w:t>
      </w:r>
      <w:r w:rsidRPr="00AD2CF5">
        <w:t xml:space="preserve"> </w:t>
      </w:r>
      <w:r w:rsidRPr="00AD2CF5">
        <w:sym w:font="Symbol" w:char="F0A3"/>
      </w:r>
      <w:r w:rsidRPr="00AD2CF5">
        <w:t xml:space="preserve"> 1),</w:t>
      </w:r>
    </w:p>
    <w:p w:rsidR="00F43C9B" w:rsidRPr="00AD2CF5" w:rsidRDefault="00F43C9B" w:rsidP="00F43C9B">
      <w:pPr>
        <w:shd w:val="clear" w:color="auto" w:fill="D9D9D9" w:themeFill="background1" w:themeFillShade="D9"/>
        <w:tabs>
          <w:tab w:val="left" w:pos="1418"/>
        </w:tabs>
        <w:ind w:firstLine="708"/>
      </w:pPr>
      <w:r w:rsidRPr="00AD2CF5">
        <w:rPr>
          <w:i/>
        </w:rPr>
        <w:sym w:font="Symbol" w:char="F065"/>
      </w:r>
      <w:r w:rsidRPr="00AD2CF5">
        <w:rPr>
          <w:i/>
          <w:vertAlign w:val="subscript"/>
        </w:rPr>
        <w:t>ver</w:t>
      </w:r>
      <w:r w:rsidRPr="00AD2CF5">
        <w:t xml:space="preserve"> </w:t>
      </w:r>
      <w:r w:rsidRPr="00AD2CF5">
        <w:tab/>
        <w:t>de ‘verticale’ reflectie</w:t>
      </w:r>
      <w:r w:rsidRPr="00AD2CF5">
        <w:fldChar w:fldCharType="begin"/>
      </w:r>
      <w:r w:rsidRPr="00AD2CF5">
        <w:instrText xml:space="preserve"> XE "reflectie" </w:instrText>
      </w:r>
      <w:r w:rsidRPr="00AD2CF5">
        <w:fldChar w:fldCharType="end"/>
      </w:r>
      <w:r w:rsidRPr="00AD2CF5">
        <w:t xml:space="preserve">-effectiviteit (0 </w:t>
      </w:r>
      <w:r w:rsidRPr="00AD2CF5">
        <w:sym w:font="Symbol" w:char="F0A3"/>
      </w:r>
      <w:r w:rsidRPr="00AD2CF5">
        <w:t xml:space="preserve"> </w:t>
      </w:r>
      <w:r w:rsidRPr="00AD2CF5">
        <w:rPr>
          <w:i/>
        </w:rPr>
        <w:sym w:font="Symbol" w:char="F065"/>
      </w:r>
      <w:r w:rsidRPr="00AD2CF5">
        <w:rPr>
          <w:i/>
          <w:vertAlign w:val="subscript"/>
        </w:rPr>
        <w:t>ver</w:t>
      </w:r>
      <w:r w:rsidRPr="00AD2CF5">
        <w:t xml:space="preserve"> </w:t>
      </w:r>
      <w:r w:rsidRPr="00AD2CF5">
        <w:sym w:font="Symbol" w:char="F0A3"/>
      </w:r>
      <w:r w:rsidRPr="00AD2CF5">
        <w:t xml:space="preserve"> 1),</w:t>
      </w:r>
    </w:p>
    <w:p w:rsidR="00F43C9B" w:rsidRPr="00AD2CF5" w:rsidRDefault="00F43C9B" w:rsidP="00F43C9B">
      <w:pPr>
        <w:shd w:val="clear" w:color="auto" w:fill="D9D9D9" w:themeFill="background1" w:themeFillShade="D9"/>
        <w:tabs>
          <w:tab w:val="left" w:pos="1418"/>
        </w:tabs>
        <w:ind w:firstLine="708"/>
      </w:pPr>
      <w:r w:rsidRPr="00AD2CF5">
        <w:rPr>
          <w:rFonts w:ascii="Symbol" w:hAnsi="Symbol"/>
          <w:i/>
          <w:iCs/>
        </w:rPr>
        <w:t></w:t>
      </w:r>
      <w:r w:rsidRPr="00AD2CF5">
        <w:t xml:space="preserve"> </w:t>
      </w:r>
      <w:r w:rsidRPr="00AD2CF5">
        <w:tab/>
        <w:t>de reflectiviteit</w:t>
      </w:r>
      <w:r w:rsidRPr="00AD2CF5">
        <w:fldChar w:fldCharType="begin"/>
      </w:r>
      <w:r w:rsidRPr="00AD2CF5">
        <w:instrText xml:space="preserve"> XE "reflectiviteit" </w:instrText>
      </w:r>
      <w:r w:rsidRPr="00AD2CF5">
        <w:fldChar w:fldCharType="end"/>
      </w:r>
      <w:r w:rsidRPr="00AD2CF5">
        <w:t xml:space="preserve"> (0 </w:t>
      </w:r>
      <w:r w:rsidRPr="00AD2CF5">
        <w:sym w:font="Symbol" w:char="F0A3"/>
      </w:r>
      <w:r w:rsidRPr="00AD2CF5">
        <w:t xml:space="preserve"> </w:t>
      </w:r>
      <w:r w:rsidRPr="00AD2CF5">
        <w:rPr>
          <w:i/>
        </w:rPr>
        <w:sym w:font="Symbol" w:char="F072"/>
      </w:r>
      <w:r w:rsidRPr="00AD2CF5">
        <w:t xml:space="preserve"> </w:t>
      </w:r>
      <w:r w:rsidRPr="00AD2CF5">
        <w:sym w:font="Symbol" w:char="F0A3"/>
      </w:r>
      <w:r w:rsidRPr="00AD2CF5">
        <w:t xml:space="preserve"> 1).</w:t>
      </w:r>
    </w:p>
    <w:p w:rsidR="00F43C9B" w:rsidRPr="00AD2CF5" w:rsidRDefault="00F43C9B" w:rsidP="00F43C9B">
      <w:pPr>
        <w:pStyle w:val="Inhopg1"/>
        <w:shd w:val="clear" w:color="auto" w:fill="D9D9D9" w:themeFill="background1" w:themeFillShade="D9"/>
        <w:spacing w:after="0"/>
      </w:pPr>
    </w:p>
    <w:p w:rsidR="00F43C9B" w:rsidRPr="00AD2CF5" w:rsidRDefault="00F43C9B" w:rsidP="00F43C9B">
      <w:pPr>
        <w:shd w:val="clear" w:color="auto" w:fill="D9D9D9" w:themeFill="background1" w:themeFillShade="D9"/>
      </w:pPr>
      <w:r w:rsidRPr="00AD2CF5">
        <w:t>De reflectiviteit</w:t>
      </w:r>
      <w:r w:rsidRPr="00AD2CF5">
        <w:fldChar w:fldCharType="begin"/>
      </w:r>
      <w:r w:rsidRPr="00AD2CF5">
        <w:instrText xml:space="preserve"> XE "reflectiviteit" </w:instrText>
      </w:r>
      <w:r w:rsidRPr="00AD2CF5">
        <w:fldChar w:fldCharType="end"/>
      </w:r>
      <w:r w:rsidRPr="00AD2CF5">
        <w:t xml:space="preserve"> </w:t>
      </w:r>
      <w:r w:rsidRPr="00AD2CF5">
        <w:rPr>
          <w:i/>
        </w:rPr>
        <w:sym w:font="Symbol" w:char="F072"/>
      </w:r>
      <w:r w:rsidRPr="00AD2CF5">
        <w:rPr>
          <w:i/>
        </w:rPr>
        <w:t xml:space="preserve"> </w:t>
      </w:r>
      <w:r w:rsidRPr="00AD2CF5">
        <w:t xml:space="preserve">wordt bepaald door de absorberende eigenschappen van het materiaal waaruit het reflecterende vlak bestaat. In het algemeen is </w:t>
      </w:r>
      <w:r w:rsidRPr="00AD2CF5">
        <w:rPr>
          <w:i/>
        </w:rPr>
        <w:sym w:font="Symbol" w:char="F072"/>
      </w:r>
      <w:r w:rsidRPr="00AD2CF5">
        <w:t xml:space="preserve"> een functie van de frequentie</w:t>
      </w:r>
      <w:r w:rsidRPr="00AD2CF5">
        <w:fldChar w:fldCharType="begin"/>
      </w:r>
      <w:r w:rsidRPr="00AD2CF5">
        <w:instrText xml:space="preserve"> XE "frequentie" </w:instrText>
      </w:r>
      <w:r w:rsidRPr="00AD2CF5">
        <w:fldChar w:fldCharType="end"/>
      </w:r>
      <w:r w:rsidRPr="00AD2CF5">
        <w:t xml:space="preserve">. Voor een hard vlak geldt </w:t>
      </w:r>
      <w:r w:rsidRPr="00AD2CF5">
        <w:rPr>
          <w:i/>
        </w:rPr>
        <w:sym w:font="Symbol" w:char="F072"/>
      </w:r>
      <w:r w:rsidRPr="00AD2CF5">
        <w:t> = 1.</w:t>
      </w:r>
    </w:p>
    <w:p w:rsidR="00F43C9B" w:rsidRPr="00AD2CF5" w:rsidRDefault="00F43C9B" w:rsidP="00F43C9B">
      <w:pPr>
        <w:shd w:val="clear" w:color="auto" w:fill="D9D9D9" w:themeFill="background1" w:themeFillShade="D9"/>
      </w:pPr>
      <w:r w:rsidRPr="00AD2CF5">
        <w:t xml:space="preserve">De horizontale effectiviteit </w:t>
      </w:r>
      <w:r w:rsidRPr="00AD2CF5">
        <w:rPr>
          <w:i/>
        </w:rPr>
        <w:sym w:font="Symbol" w:char="F065"/>
      </w:r>
      <w:r w:rsidRPr="00AD2CF5">
        <w:rPr>
          <w:i/>
          <w:vertAlign w:val="subscript"/>
        </w:rPr>
        <w:t>hor</w:t>
      </w:r>
      <w:r w:rsidRPr="00AD2CF5">
        <w:t xml:space="preserve"> en de verticale effectiviteit </w:t>
      </w:r>
      <w:r w:rsidRPr="00AD2CF5">
        <w:rPr>
          <w:i/>
        </w:rPr>
        <w:sym w:font="Symbol" w:char="F065"/>
      </w:r>
      <w:r w:rsidRPr="00AD2CF5">
        <w:rPr>
          <w:i/>
          <w:vertAlign w:val="subscript"/>
        </w:rPr>
        <w:t>ver</w:t>
      </w:r>
      <w:r w:rsidRPr="00AD2CF5">
        <w:t xml:space="preserve"> representeren de invloed van de eindige breedte respectievelijk hoogte van het vlak.</w:t>
      </w:r>
    </w:p>
    <w:p w:rsidR="00F43C9B" w:rsidRPr="00AD2CF5" w:rsidRDefault="00F43C9B" w:rsidP="00F43C9B">
      <w:pPr>
        <w:shd w:val="clear" w:color="auto" w:fill="D9D9D9" w:themeFill="background1" w:themeFillShade="D9"/>
      </w:pPr>
    </w:p>
    <w:p w:rsidR="00F43C9B" w:rsidRPr="00AD2CF5" w:rsidRDefault="00F43C9B" w:rsidP="00F43C9B">
      <w:pPr>
        <w:pStyle w:val="Inhopg1"/>
        <w:shd w:val="clear" w:color="auto" w:fill="D9D9D9" w:themeFill="background1" w:themeFillShade="D9"/>
        <w:spacing w:after="0"/>
      </w:pPr>
      <w:r w:rsidRPr="00AD2CF5">
        <w:t>De ‘horizontale’ reflectie</w:t>
      </w:r>
      <w:r w:rsidRPr="00AD2CF5">
        <w:fldChar w:fldCharType="begin"/>
      </w:r>
      <w:r w:rsidRPr="00AD2CF5">
        <w:instrText xml:space="preserve"> XE "reflectie" </w:instrText>
      </w:r>
      <w:r w:rsidRPr="00AD2CF5">
        <w:fldChar w:fldCharType="end"/>
      </w:r>
      <w:r w:rsidRPr="00AD2CF5">
        <w:noBreakHyphen/>
        <w:t>effectiviteit wordt gegeven door de formule</w:t>
      </w: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position w:val="-32"/>
        </w:rPr>
        <w:object w:dxaOrig="2480" w:dyaOrig="760">
          <v:shape id="_x0000_i1129" type="#_x0000_t75" style="width:120pt;height:35.25pt" o:ole="" fillcolor="window">
            <v:imagedata r:id="rId296" o:title=""/>
          </v:shape>
          <o:OLEObject Type="Embed" ProgID="Equation.3" ShapeID="_x0000_i1129" DrawAspect="Content" ObjectID="_1511255466" r:id="rId297"/>
        </w:object>
      </w:r>
      <w:r w:rsidRPr="00AD2CF5">
        <w:rPr>
          <w:lang w:val="nl-NL"/>
        </w:rPr>
        <w:tab/>
        <w:t>(4.57)</w:t>
      </w:r>
    </w:p>
    <w:p w:rsidR="00F43C9B" w:rsidRPr="00AD2CF5" w:rsidRDefault="00F43C9B" w:rsidP="00F43C9B">
      <w:pPr>
        <w:shd w:val="clear" w:color="auto" w:fill="D9D9D9" w:themeFill="background1" w:themeFillShade="D9"/>
      </w:pPr>
      <w:r w:rsidRPr="00AD2CF5">
        <w:t>waarin:</w:t>
      </w:r>
    </w:p>
    <w:p w:rsidR="00F43C9B" w:rsidRPr="00AD2CF5" w:rsidRDefault="00F43C9B" w:rsidP="00F43C9B">
      <w:pPr>
        <w:shd w:val="clear" w:color="auto" w:fill="D9D9D9" w:themeFill="background1" w:themeFillShade="D9"/>
        <w:tabs>
          <w:tab w:val="left" w:pos="567"/>
          <w:tab w:val="left" w:pos="1701"/>
        </w:tabs>
        <w:ind w:left="1701" w:hanging="1134"/>
      </w:pPr>
      <w:r w:rsidRPr="00AD2CF5">
        <w:rPr>
          <w:i/>
        </w:rPr>
        <w:t>W</w:t>
      </w:r>
      <w:r w:rsidRPr="00AD2CF5">
        <w:rPr>
          <w:vertAlign w:val="subscript"/>
        </w:rPr>
        <w:t>1</w:t>
      </w:r>
      <w:r w:rsidRPr="00AD2CF5">
        <w:t xml:space="preserve">, </w:t>
      </w:r>
      <w:r w:rsidRPr="00AD2CF5">
        <w:rPr>
          <w:i/>
        </w:rPr>
        <w:t>W</w:t>
      </w:r>
      <w:r w:rsidRPr="00AD2CF5">
        <w:rPr>
          <w:vertAlign w:val="subscript"/>
        </w:rPr>
        <w:t>2</w:t>
      </w:r>
      <w:r w:rsidRPr="00AD2CF5">
        <w:t xml:space="preserve"> </w:t>
      </w:r>
      <w:r w:rsidRPr="00AD2CF5">
        <w:tab/>
        <w:t>horizontale afstand van reflectiepunt tot rand reflecterend vlak loodrecht op lijn van bron naar reflectiepunt (zie figuur 4.15);</w:t>
      </w:r>
    </w:p>
    <w:p w:rsidR="00F43C9B" w:rsidRPr="00AD2CF5" w:rsidRDefault="00F43C9B" w:rsidP="00F43C9B">
      <w:pPr>
        <w:shd w:val="clear" w:color="auto" w:fill="D9D9D9" w:themeFill="background1" w:themeFillShade="D9"/>
        <w:tabs>
          <w:tab w:val="left" w:pos="567"/>
          <w:tab w:val="left" w:pos="1701"/>
        </w:tabs>
        <w:ind w:left="1701" w:hanging="1134"/>
        <w:rPr>
          <w:iCs/>
        </w:rPr>
      </w:pPr>
      <w:r w:rsidRPr="00AD2CF5">
        <w:rPr>
          <w:i/>
        </w:rPr>
        <w:t>r</w:t>
      </w:r>
      <w:r w:rsidRPr="00AD2CF5">
        <w:rPr>
          <w:i/>
          <w:vertAlign w:val="subscript"/>
        </w:rPr>
        <w:t xml:space="preserve">b </w:t>
      </w:r>
      <w:r w:rsidRPr="00AD2CF5">
        <w:rPr>
          <w:i/>
        </w:rPr>
        <w:tab/>
      </w:r>
      <w:r w:rsidRPr="00AD2CF5">
        <w:t xml:space="preserve">horizontale </w:t>
      </w:r>
      <w:r w:rsidRPr="00AD2CF5">
        <w:rPr>
          <w:iCs/>
        </w:rPr>
        <w:t>afstand van de bron tot het reflectiepunt;</w:t>
      </w:r>
    </w:p>
    <w:p w:rsidR="00F43C9B" w:rsidRPr="00AD2CF5" w:rsidRDefault="00F43C9B" w:rsidP="00F43C9B">
      <w:pPr>
        <w:shd w:val="clear" w:color="auto" w:fill="D9D9D9" w:themeFill="background1" w:themeFillShade="D9"/>
        <w:tabs>
          <w:tab w:val="left" w:pos="567"/>
          <w:tab w:val="left" w:pos="1701"/>
        </w:tabs>
        <w:ind w:left="1701" w:hanging="1134"/>
        <w:rPr>
          <w:iCs/>
        </w:rPr>
      </w:pPr>
      <w:r w:rsidRPr="00AD2CF5">
        <w:rPr>
          <w:i/>
        </w:rPr>
        <w:sym w:font="Symbol" w:char="F06C"/>
      </w:r>
      <w:r w:rsidRPr="00AD2CF5">
        <w:rPr>
          <w:i/>
        </w:rPr>
        <w:t> = c</w:t>
      </w:r>
      <w:r w:rsidRPr="00AD2CF5">
        <w:rPr>
          <w:iCs/>
          <w:vertAlign w:val="subscript"/>
        </w:rPr>
        <w:t>10</w:t>
      </w:r>
      <w:r w:rsidRPr="00AD2CF5">
        <w:rPr>
          <w:i/>
        </w:rPr>
        <w:t>/f</w:t>
      </w:r>
      <w:r w:rsidRPr="00AD2CF5">
        <w:rPr>
          <w:i/>
          <w:vertAlign w:val="subscript"/>
        </w:rPr>
        <w:t>k</w:t>
      </w:r>
      <w:r w:rsidRPr="00AD2CF5">
        <w:rPr>
          <w:i/>
        </w:rPr>
        <w:t xml:space="preserve"> </w:t>
      </w:r>
      <w:r w:rsidRPr="00AD2CF5">
        <w:rPr>
          <w:i/>
        </w:rPr>
        <w:tab/>
      </w:r>
      <w:r w:rsidRPr="00AD2CF5">
        <w:rPr>
          <w:iCs/>
        </w:rPr>
        <w:t>golflengte die overeenkomt met de octaafbandmidden</w:t>
      </w:r>
      <w:r w:rsidRPr="00AD2CF5">
        <w:rPr>
          <w:iCs/>
        </w:rPr>
        <w:softHyphen/>
      </w:r>
      <w:r w:rsidRPr="00AD2CF5">
        <w:rPr>
          <w:iCs/>
        </w:rPr>
        <w:softHyphen/>
        <w:t>-frequentie</w:t>
      </w:r>
      <w:r w:rsidRPr="00AD2CF5">
        <w:rPr>
          <w:iCs/>
        </w:rPr>
        <w:fldChar w:fldCharType="begin"/>
      </w:r>
      <w:r w:rsidRPr="00AD2CF5">
        <w:rPr>
          <w:iCs/>
        </w:rPr>
        <w:instrText xml:space="preserve"> XE "</w:instrText>
      </w:r>
      <w:r w:rsidRPr="00AD2CF5">
        <w:instrText>frequentie"</w:instrText>
      </w:r>
      <w:r w:rsidRPr="00AD2CF5">
        <w:rPr>
          <w:iCs/>
        </w:rPr>
        <w:instrText xml:space="preserve"> </w:instrText>
      </w:r>
      <w:r w:rsidRPr="00AD2CF5">
        <w:rPr>
          <w:iCs/>
        </w:rPr>
        <w:fldChar w:fldCharType="end"/>
      </w:r>
      <w:r w:rsidRPr="00AD2CF5">
        <w:rPr>
          <w:iCs/>
        </w:rPr>
        <w:t xml:space="preserve"> </w:t>
      </w:r>
      <w:r w:rsidRPr="00AD2CF5">
        <w:rPr>
          <w:i/>
        </w:rPr>
        <w:t>f</w:t>
      </w:r>
      <w:r w:rsidRPr="00AD2CF5">
        <w:rPr>
          <w:iCs/>
          <w:vertAlign w:val="subscript"/>
        </w:rPr>
        <w:t>k</w:t>
      </w:r>
      <w:r w:rsidRPr="00AD2CF5">
        <w:rPr>
          <w:iCs/>
        </w:rPr>
        <w:t xml:space="preserve"> ;</w:t>
      </w:r>
    </w:p>
    <w:p w:rsidR="00F43C9B" w:rsidRPr="00AD2CF5" w:rsidRDefault="00F43C9B" w:rsidP="00F43C9B">
      <w:pPr>
        <w:shd w:val="clear" w:color="auto" w:fill="D9D9D9" w:themeFill="background1" w:themeFillShade="D9"/>
        <w:tabs>
          <w:tab w:val="left" w:pos="567"/>
          <w:tab w:val="left" w:pos="1701"/>
        </w:tabs>
        <w:ind w:left="1701" w:hanging="1134"/>
        <w:rPr>
          <w:i/>
        </w:rPr>
      </w:pPr>
      <w:r w:rsidRPr="00AD2CF5">
        <w:rPr>
          <w:i/>
        </w:rPr>
        <w:sym w:font="Symbol" w:char="F061"/>
      </w:r>
      <w:r w:rsidRPr="00AD2CF5">
        <w:rPr>
          <w:i/>
          <w:vertAlign w:val="subscript"/>
        </w:rPr>
        <w:t>hor</w:t>
      </w:r>
      <w:r w:rsidRPr="00AD2CF5">
        <w:rPr>
          <w:i/>
        </w:rPr>
        <w:t> = </w:t>
      </w:r>
      <w:r w:rsidRPr="00AD2CF5">
        <w:rPr>
          <w:iCs/>
        </w:rPr>
        <w:t>4.5</w:t>
      </w:r>
      <w:r w:rsidRPr="00AD2CF5">
        <w:rPr>
          <w:i/>
        </w:rPr>
        <w:t xml:space="preserve"> </w:t>
      </w:r>
      <w:r w:rsidRPr="00AD2CF5">
        <w:rPr>
          <w:i/>
        </w:rPr>
        <w:tab/>
      </w:r>
      <w:r w:rsidRPr="00AD2CF5">
        <w:rPr>
          <w:iCs/>
        </w:rPr>
        <w:t>een constante.</w:t>
      </w:r>
    </w:p>
    <w:p w:rsidR="00F43C9B" w:rsidRPr="00AD2CF5" w:rsidRDefault="00F43C9B" w:rsidP="00F43C9B">
      <w:pPr>
        <w:shd w:val="clear" w:color="auto" w:fill="D9D9D9" w:themeFill="background1" w:themeFillShade="D9"/>
        <w:tabs>
          <w:tab w:val="left" w:pos="1701"/>
        </w:tabs>
      </w:pPr>
    </w:p>
    <w:p w:rsidR="00F43C9B" w:rsidRPr="00AD2CF5" w:rsidRDefault="00F43C9B" w:rsidP="00F43C9B">
      <w:pPr>
        <w:shd w:val="clear" w:color="auto" w:fill="D9D9D9" w:themeFill="background1" w:themeFillShade="D9"/>
        <w:tabs>
          <w:tab w:val="left" w:pos="1701"/>
        </w:tabs>
      </w:pPr>
      <w:r w:rsidRPr="00AD2CF5">
        <w:t xml:space="preserve">De horizontale afstand </w:t>
      </w:r>
      <w:r w:rsidRPr="00AD2CF5">
        <w:rPr>
          <w:i/>
          <w:iCs/>
        </w:rPr>
        <w:t>r</w:t>
      </w:r>
      <w:r w:rsidRPr="00AD2CF5">
        <w:rPr>
          <w:i/>
          <w:iCs/>
          <w:vertAlign w:val="subscript"/>
        </w:rPr>
        <w:t>b</w:t>
      </w:r>
      <w:r w:rsidRPr="00AD2CF5">
        <w:t xml:space="preserve"> van de bron tot het reflectiepunt wordt hierbij kleiner verondersteld dan de afstand van het rekenpunt tot het reflectiepunt; als dit niet zo is dan wordt voor </w:t>
      </w:r>
      <w:r w:rsidRPr="00AD2CF5">
        <w:rPr>
          <w:i/>
        </w:rPr>
        <w:t>r</w:t>
      </w:r>
      <w:r w:rsidRPr="00AD2CF5">
        <w:rPr>
          <w:i/>
          <w:vertAlign w:val="subscript"/>
        </w:rPr>
        <w:t>b</w:t>
      </w:r>
      <w:r w:rsidRPr="00AD2CF5">
        <w:t xml:space="preserve"> de afstand van het rekenpunt tot het reflectiepunt gebruikt.</w:t>
      </w:r>
    </w:p>
    <w:p w:rsidR="00F43C9B" w:rsidRPr="00AD2CF5" w:rsidRDefault="00F43C9B" w:rsidP="00F43C9B">
      <w:pPr>
        <w:shd w:val="clear" w:color="auto" w:fill="D9D9D9" w:themeFill="background1" w:themeFillShade="D9"/>
        <w:tabs>
          <w:tab w:val="left" w:pos="1701"/>
        </w:tabs>
      </w:pPr>
      <w:r w:rsidRPr="00AD2CF5">
        <w:t xml:space="preserve">De afstanden </w:t>
      </w:r>
      <w:r w:rsidRPr="00AD2CF5">
        <w:rPr>
          <w:i/>
        </w:rPr>
        <w:t>W</w:t>
      </w:r>
      <w:r w:rsidRPr="00AD2CF5">
        <w:rPr>
          <w:vertAlign w:val="subscript"/>
        </w:rPr>
        <w:t>1</w:t>
      </w:r>
      <w:r w:rsidRPr="00AD2CF5">
        <w:t xml:space="preserve"> en </w:t>
      </w:r>
      <w:r w:rsidRPr="00AD2CF5">
        <w:rPr>
          <w:i/>
        </w:rPr>
        <w:t>W</w:t>
      </w:r>
      <w:r w:rsidRPr="00AD2CF5">
        <w:rPr>
          <w:vertAlign w:val="subscript"/>
        </w:rPr>
        <w:t>2</w:t>
      </w:r>
      <w:r w:rsidRPr="00AD2CF5">
        <w:t xml:space="preserve"> worden gegeven door de formules </w:t>
      </w:r>
      <w:r w:rsidRPr="00AD2CF5">
        <w:rPr>
          <w:position w:val="-10"/>
        </w:rPr>
        <w:object w:dxaOrig="1240" w:dyaOrig="320">
          <v:shape id="_x0000_i1130" type="#_x0000_t75" style="width:61.5pt;height:16.5pt" o:ole="" fillcolor="window">
            <v:imagedata r:id="rId298" o:title=""/>
          </v:shape>
          <o:OLEObject Type="Embed" ProgID="Equation.3" ShapeID="_x0000_i1130" DrawAspect="Content" ObjectID="_1511255467" r:id="rId299"/>
        </w:object>
      </w:r>
      <w:r w:rsidRPr="00AD2CF5">
        <w:t xml:space="preserve"> en </w:t>
      </w:r>
      <w:r w:rsidRPr="00AD2CF5">
        <w:rPr>
          <w:position w:val="-10"/>
        </w:rPr>
        <w:object w:dxaOrig="1320" w:dyaOrig="320">
          <v:shape id="_x0000_i1131" type="#_x0000_t75" style="width:66pt;height:16.5pt" o:ole="" fillcolor="window">
            <v:imagedata r:id="rId300" o:title=""/>
          </v:shape>
          <o:OLEObject Type="Embed" ProgID="Equation.3" ShapeID="_x0000_i1131" DrawAspect="Content" ObjectID="_1511255468" r:id="rId301"/>
        </w:object>
      </w:r>
      <w:r w:rsidRPr="00AD2CF5">
        <w:t xml:space="preserve">, waarin </w:t>
      </w:r>
      <w:r w:rsidRPr="00AD2CF5">
        <w:rPr>
          <w:i/>
        </w:rPr>
        <w:t>L</w:t>
      </w:r>
      <w:r w:rsidRPr="00AD2CF5">
        <w:rPr>
          <w:vertAlign w:val="subscript"/>
        </w:rPr>
        <w:t>1</w:t>
      </w:r>
      <w:r w:rsidRPr="00AD2CF5">
        <w:t xml:space="preserve"> en </w:t>
      </w:r>
      <w:r w:rsidRPr="00AD2CF5">
        <w:rPr>
          <w:i/>
        </w:rPr>
        <w:t>L</w:t>
      </w:r>
      <w:r w:rsidRPr="00AD2CF5">
        <w:rPr>
          <w:vertAlign w:val="subscript"/>
        </w:rPr>
        <w:t>2</w:t>
      </w:r>
      <w:r w:rsidRPr="00AD2CF5">
        <w:t xml:space="preserve"> de afstanden zijn van het reflectiepunt tot de beide randen van het vlak, en </w:t>
      </w:r>
      <w:r w:rsidRPr="00AD2CF5">
        <w:rPr>
          <w:i/>
        </w:rPr>
        <w:sym w:font="Symbol" w:char="F061"/>
      </w:r>
      <w:r w:rsidRPr="00AD2CF5">
        <w:t xml:space="preserve"> de reflectiehoek is (zie figuur 4.15).</w:t>
      </w:r>
    </w:p>
    <w:p w:rsidR="00F43C9B" w:rsidRPr="00AD2CF5" w:rsidRDefault="00F43C9B" w:rsidP="00F43C9B">
      <w:pPr>
        <w:pStyle w:val="Koptekst"/>
        <w:shd w:val="clear" w:color="auto" w:fill="D9D9D9" w:themeFill="background1" w:themeFillShade="D9"/>
      </w:pPr>
      <w:r w:rsidRPr="00AD2CF5">
        <w:rPr>
          <w:noProof/>
        </w:rPr>
        <w:drawing>
          <wp:inline distT="0" distB="0" distL="0" distR="0" wp14:anchorId="4944811D" wp14:editId="641A0BC7">
            <wp:extent cx="1619250" cy="2124075"/>
            <wp:effectExtent l="19050" t="0" r="0" b="0"/>
            <wp:docPr id="135" name="Afbeelding 144" descr="ilurefl4_han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lurefl4_handl"/>
                    <pic:cNvPicPr>
                      <a:picLocks noChangeAspect="1" noChangeArrowheads="1"/>
                    </pic:cNvPicPr>
                  </pic:nvPicPr>
                  <pic:blipFill>
                    <a:blip r:embed="rId302" cstate="print"/>
                    <a:srcRect/>
                    <a:stretch>
                      <a:fillRect/>
                    </a:stretch>
                  </pic:blipFill>
                  <pic:spPr bwMode="auto">
                    <a:xfrm>
                      <a:off x="0" y="0"/>
                      <a:ext cx="1619250" cy="2124075"/>
                    </a:xfrm>
                    <a:prstGeom prst="rect">
                      <a:avLst/>
                    </a:prstGeom>
                    <a:noFill/>
                    <a:ln w="9525">
                      <a:noFill/>
                      <a:miter lim="800000"/>
                      <a:headEnd/>
                      <a:tailEnd/>
                    </a:ln>
                  </pic:spPr>
                </pic:pic>
              </a:graphicData>
            </a:graphic>
          </wp:inline>
        </w:drawing>
      </w:r>
    </w:p>
    <w:p w:rsidR="00F43C9B" w:rsidRPr="00AD2CF5" w:rsidRDefault="00F43C9B" w:rsidP="00F43C9B">
      <w:pPr>
        <w:pStyle w:val="Koptekst"/>
        <w:shd w:val="clear" w:color="auto" w:fill="D9D9D9" w:themeFill="background1" w:themeFillShade="D9"/>
      </w:pPr>
    </w:p>
    <w:p w:rsidR="00F43C9B" w:rsidRPr="00AD2CF5" w:rsidRDefault="00F43C9B" w:rsidP="00F43C9B">
      <w:pPr>
        <w:pStyle w:val="Body"/>
        <w:shd w:val="clear" w:color="auto" w:fill="D9D9D9" w:themeFill="background1" w:themeFillShade="D9"/>
        <w:rPr>
          <w:sz w:val="22"/>
        </w:rPr>
      </w:pPr>
      <w:r w:rsidRPr="00AD2CF5">
        <w:rPr>
          <w:b/>
          <w:bCs/>
          <w:sz w:val="22"/>
        </w:rPr>
        <w:t>Figuur 4.15:</w:t>
      </w:r>
      <w:r w:rsidRPr="00AD2CF5">
        <w:rPr>
          <w:sz w:val="22"/>
        </w:rPr>
        <w:t xml:space="preserve"> Illustratie van een spiegelreflectie</w:t>
      </w:r>
      <w:r w:rsidRPr="00AD2CF5">
        <w:rPr>
          <w:sz w:val="22"/>
        </w:rPr>
        <w:fldChar w:fldCharType="begin"/>
      </w:r>
      <w:r w:rsidRPr="00AD2CF5">
        <w:rPr>
          <w:sz w:val="22"/>
        </w:rPr>
        <w:instrText xml:space="preserve"> XE "reflectie:spiegelreflectie" </w:instrText>
      </w:r>
      <w:r w:rsidRPr="00AD2CF5">
        <w:rPr>
          <w:sz w:val="22"/>
        </w:rPr>
        <w:fldChar w:fldCharType="end"/>
      </w:r>
      <w:r w:rsidRPr="00AD2CF5">
        <w:rPr>
          <w:sz w:val="22"/>
        </w:rPr>
        <w:t xml:space="preserve">, met daarin aangegeven de afstanden </w:t>
      </w:r>
      <w:r w:rsidRPr="00AD2CF5">
        <w:rPr>
          <w:i/>
          <w:sz w:val="22"/>
        </w:rPr>
        <w:t>W</w:t>
      </w:r>
      <w:r w:rsidRPr="00AD2CF5">
        <w:rPr>
          <w:sz w:val="22"/>
          <w:vertAlign w:val="subscript"/>
        </w:rPr>
        <w:t>1</w:t>
      </w:r>
      <w:r w:rsidRPr="00AD2CF5">
        <w:rPr>
          <w:sz w:val="22"/>
        </w:rPr>
        <w:t xml:space="preserve"> en </w:t>
      </w:r>
      <w:r w:rsidRPr="00AD2CF5">
        <w:rPr>
          <w:i/>
          <w:sz w:val="22"/>
        </w:rPr>
        <w:t>W</w:t>
      </w:r>
      <w:r w:rsidRPr="00AD2CF5">
        <w:rPr>
          <w:sz w:val="22"/>
          <w:vertAlign w:val="subscript"/>
        </w:rPr>
        <w:t>2</w:t>
      </w:r>
      <w:r w:rsidRPr="00AD2CF5">
        <w:rPr>
          <w:sz w:val="22"/>
        </w:rPr>
        <w:t xml:space="preserve">, de horizontale afstand </w:t>
      </w:r>
      <w:r w:rsidRPr="00AD2CF5">
        <w:rPr>
          <w:i/>
          <w:sz w:val="22"/>
        </w:rPr>
        <w:t>r</w:t>
      </w:r>
      <w:r w:rsidRPr="00AD2CF5">
        <w:rPr>
          <w:i/>
          <w:sz w:val="22"/>
          <w:vertAlign w:val="subscript"/>
        </w:rPr>
        <w:t>b</w:t>
      </w:r>
      <w:r w:rsidRPr="00AD2CF5">
        <w:rPr>
          <w:sz w:val="22"/>
        </w:rPr>
        <w:t xml:space="preserve"> van de bron tot het reflectiepunt, en de reflectiehoek </w:t>
      </w:r>
      <w:r w:rsidRPr="00AD2CF5">
        <w:rPr>
          <w:i/>
          <w:sz w:val="22"/>
        </w:rPr>
        <w:sym w:font="Symbol" w:char="F061"/>
      </w:r>
      <w:r w:rsidRPr="00AD2CF5">
        <w:rPr>
          <w:sz w:val="22"/>
        </w:rPr>
        <w:t>.</w:t>
      </w:r>
    </w:p>
    <w:p w:rsidR="00F43C9B" w:rsidRPr="00AD2CF5" w:rsidRDefault="00F43C9B" w:rsidP="00F43C9B">
      <w:pPr>
        <w:pStyle w:val="Koptekst"/>
        <w:shd w:val="clear" w:color="auto" w:fill="D9D9D9" w:themeFill="background1" w:themeFillShade="D9"/>
        <w:rPr>
          <w:rFonts w:ascii="Times New Roman" w:hAnsi="Times New Roman"/>
        </w:rPr>
      </w:pPr>
    </w:p>
    <w:p w:rsidR="00F43C9B" w:rsidRPr="00AD2CF5" w:rsidRDefault="00F43C9B" w:rsidP="00F43C9B">
      <w:pPr>
        <w:pStyle w:val="Koptekst"/>
        <w:shd w:val="clear" w:color="auto" w:fill="D9D9D9" w:themeFill="background1" w:themeFillShade="D9"/>
      </w:pPr>
      <w:r w:rsidRPr="00AD2CF5">
        <w:rPr>
          <w:rFonts w:ascii="Times New Roman" w:hAnsi="Times New Roman"/>
        </w:rPr>
        <w:t>De ‘verticale’ reflectie</w:t>
      </w:r>
      <w:r w:rsidRPr="00AD2CF5">
        <w:rPr>
          <w:rFonts w:ascii="Times New Roman" w:hAnsi="Times New Roman"/>
        </w:rPr>
        <w:fldChar w:fldCharType="begin"/>
      </w:r>
      <w:r w:rsidRPr="00AD2CF5">
        <w:rPr>
          <w:rFonts w:ascii="Times New Roman" w:hAnsi="Times New Roman"/>
        </w:rPr>
        <w:instrText xml:space="preserve"> XE "reflectie" </w:instrText>
      </w:r>
      <w:r w:rsidRPr="00AD2CF5">
        <w:rPr>
          <w:rFonts w:ascii="Times New Roman" w:hAnsi="Times New Roman"/>
        </w:rPr>
        <w:fldChar w:fldCharType="end"/>
      </w:r>
      <w:r w:rsidRPr="00AD2CF5">
        <w:rPr>
          <w:rFonts w:ascii="Times New Roman" w:hAnsi="Times New Roman"/>
        </w:rPr>
        <w:noBreakHyphen/>
        <w:t>effectiviteit wordt gegeven door de formule</w:t>
      </w:r>
    </w:p>
    <w:p w:rsidR="00F43C9B" w:rsidRPr="00AD2CF5" w:rsidRDefault="00F43C9B" w:rsidP="00F43C9B">
      <w:pPr>
        <w:shd w:val="clear" w:color="auto" w:fill="D9D9D9" w:themeFill="background1" w:themeFillShade="D9"/>
        <w:tabs>
          <w:tab w:val="center" w:pos="3402"/>
          <w:tab w:val="left" w:pos="7655"/>
          <w:tab w:val="left" w:pos="8789"/>
        </w:tabs>
        <w:ind w:right="-171"/>
      </w:pPr>
    </w:p>
    <w:p w:rsidR="00F43C9B" w:rsidRPr="00AD2CF5" w:rsidRDefault="00F43C9B" w:rsidP="00F43C9B">
      <w:pPr>
        <w:pStyle w:val="Bijschrift"/>
        <w:shd w:val="clear" w:color="auto" w:fill="D9D9D9" w:themeFill="background1" w:themeFillShade="D9"/>
        <w:tabs>
          <w:tab w:val="left" w:pos="567"/>
          <w:tab w:val="right" w:pos="7371"/>
        </w:tabs>
        <w:rPr>
          <w:lang w:val="nl-NL"/>
        </w:rPr>
      </w:pPr>
      <w:r w:rsidRPr="00AD2CF5">
        <w:rPr>
          <w:position w:val="-12"/>
        </w:rPr>
        <w:object w:dxaOrig="2120" w:dyaOrig="380">
          <v:shape id="_x0000_i1132" type="#_x0000_t75" style="width:106.5pt;height:18pt" o:ole="" o:allowoverlap="f" fillcolor="window">
            <v:imagedata r:id="rId303" o:title=""/>
          </v:shape>
          <o:OLEObject Type="Embed" ProgID="Equation.3" ShapeID="_x0000_i1132" DrawAspect="Content" ObjectID="_1511255469" r:id="rId304"/>
        </w:object>
      </w:r>
      <w:r w:rsidRPr="00AD2CF5">
        <w:rPr>
          <w:lang w:val="nl-NL"/>
        </w:rPr>
        <w:tab/>
        <w:t>(4.58)</w:t>
      </w:r>
    </w:p>
    <w:p w:rsidR="00F43C9B" w:rsidRPr="00AD2CF5" w:rsidRDefault="00F43C9B" w:rsidP="00F43C9B">
      <w:pPr>
        <w:shd w:val="clear" w:color="auto" w:fill="D9D9D9" w:themeFill="background1" w:themeFillShade="D9"/>
      </w:pPr>
      <w:r w:rsidRPr="00AD2CF5">
        <w:t xml:space="preserve">waarin </w:t>
      </w:r>
      <w:r w:rsidRPr="00AD2CF5">
        <w:rPr>
          <w:i/>
        </w:rPr>
        <w:t>D</w:t>
      </w:r>
      <w:r w:rsidRPr="00AD2CF5">
        <w:rPr>
          <w:i/>
          <w:vertAlign w:val="subscript"/>
        </w:rPr>
        <w:t>scherm</w:t>
      </w:r>
      <w:r w:rsidRPr="00AD2CF5">
        <w:t xml:space="preserve"> de schermwerking</w:t>
      </w:r>
      <w:r w:rsidRPr="00AD2CF5">
        <w:fldChar w:fldCharType="begin"/>
      </w:r>
      <w:r w:rsidRPr="00AD2CF5">
        <w:instrText xml:space="preserve"> XE "schermwerking" </w:instrText>
      </w:r>
      <w:r w:rsidRPr="00AD2CF5">
        <w:fldChar w:fldCharType="end"/>
      </w:r>
      <w:r w:rsidRPr="00AD2CF5">
        <w:t xml:space="preserve"> is van het reflecterende vlak voor de overdracht van de spiegelbron naar het rekenpunt (zie figuur 4.14). De schermwerking is afhankelijk van de geometrie, de frequentie</w:t>
      </w:r>
      <w:r w:rsidRPr="00AD2CF5">
        <w:fldChar w:fldCharType="begin"/>
      </w:r>
      <w:r w:rsidRPr="00AD2CF5">
        <w:instrText xml:space="preserve"> XE "frequentie" </w:instrText>
      </w:r>
      <w:r w:rsidRPr="00AD2CF5">
        <w:fldChar w:fldCharType="end"/>
      </w:r>
      <w:r w:rsidRPr="00AD2CF5">
        <w:t>, de meteorologische klasse</w:t>
      </w:r>
      <w:r w:rsidRPr="00AD2CF5">
        <w:fldChar w:fldCharType="begin"/>
      </w:r>
      <w:r w:rsidRPr="00AD2CF5">
        <w:instrText xml:space="preserve"> XE "meteorologische klasse" </w:instrText>
      </w:r>
      <w:r w:rsidRPr="00AD2CF5">
        <w:fldChar w:fldCharType="end"/>
      </w:r>
      <w:r w:rsidRPr="00AD2CF5">
        <w:t xml:space="preserve"> en het bodemtype</w:t>
      </w:r>
      <w:r w:rsidRPr="00AD2CF5">
        <w:fldChar w:fldCharType="begin"/>
      </w:r>
      <w:r w:rsidRPr="00AD2CF5">
        <w:instrText xml:space="preserve"> XE "bodemtype" </w:instrText>
      </w:r>
      <w:r w:rsidRPr="00AD2CF5">
        <w:fldChar w:fldCharType="end"/>
      </w:r>
      <w:r w:rsidRPr="00AD2CF5">
        <w:t xml:space="preserve">. Bij de berekening van </w:t>
      </w:r>
      <w:r w:rsidRPr="00AD2CF5">
        <w:rPr>
          <w:i/>
        </w:rPr>
        <w:t>D</w:t>
      </w:r>
      <w:r w:rsidRPr="00AD2CF5">
        <w:rPr>
          <w:i/>
          <w:vertAlign w:val="subscript"/>
        </w:rPr>
        <w:t>scherm</w:t>
      </w:r>
      <w:r w:rsidRPr="00AD2CF5">
        <w:t xml:space="preserve"> wordt alleen het geluidpad via de top van het scherm</w:t>
      </w:r>
      <w:r w:rsidRPr="00AD2CF5">
        <w:fldChar w:fldCharType="begin"/>
      </w:r>
      <w:r w:rsidRPr="00AD2CF5">
        <w:instrText xml:space="preserve"> XE "afschermende objecten:scherm" </w:instrText>
      </w:r>
      <w:r w:rsidRPr="00AD2CF5">
        <w:fldChar w:fldCharType="end"/>
      </w:r>
      <w:r w:rsidRPr="00AD2CF5">
        <w:t xml:space="preserve"> meegerekend; het scherm wordt in horizontale richting dus oneindig lang verondersteld. Er wordt geen tophoekcorrectie</w:t>
      </w:r>
      <w:r w:rsidRPr="00AD2CF5">
        <w:fldChar w:fldCharType="begin"/>
      </w:r>
      <w:r w:rsidRPr="00AD2CF5">
        <w:instrText xml:space="preserve"> XE "tophoekcorrectie" </w:instrText>
      </w:r>
      <w:r w:rsidRPr="00AD2CF5">
        <w:fldChar w:fldCharType="end"/>
      </w:r>
      <w:r w:rsidRPr="00AD2CF5">
        <w:t xml:space="preserve"> toegepast.</w:t>
      </w:r>
    </w:p>
    <w:p w:rsidR="00F43C9B" w:rsidRPr="00AD2CF5" w:rsidRDefault="00F43C9B" w:rsidP="00F43C9B">
      <w:pPr>
        <w:pStyle w:val="Body"/>
        <w:shd w:val="clear" w:color="auto" w:fill="D9D9D9" w:themeFill="background1" w:themeFillShade="D9"/>
      </w:pP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r w:rsidRPr="00AD2CF5">
        <w:t>Voor de berekening van de geluidoverdracht</w:t>
      </w:r>
      <w:r w:rsidRPr="00AD2CF5">
        <w:fldChar w:fldCharType="begin"/>
      </w:r>
      <w:r w:rsidRPr="00AD2CF5">
        <w:instrText xml:space="preserve"> XE "geluidoverdracht" </w:instrText>
      </w:r>
      <w:r w:rsidRPr="00AD2CF5">
        <w:fldChar w:fldCharType="end"/>
      </w:r>
      <w:r w:rsidRPr="00AD2CF5">
        <w:t xml:space="preserve"> langs een gereflecteerde straal moet dezelfde procedure gevolgd worden als voor de directe geluidoverdracht, met dien verstande dat het verloop van bodemruwheid</w:t>
      </w:r>
      <w:r w:rsidRPr="00AD2CF5">
        <w:fldChar w:fldCharType="begin"/>
      </w:r>
      <w:r w:rsidRPr="00AD2CF5">
        <w:instrText xml:space="preserve"> XE "bodemruwheid" </w:instrText>
      </w:r>
      <w:r w:rsidRPr="00AD2CF5">
        <w:fldChar w:fldCharType="end"/>
      </w:r>
      <w:r w:rsidRPr="00AD2CF5">
        <w:t xml:space="preserve"> en bodemhardheid</w:t>
      </w:r>
      <w:r w:rsidRPr="00AD2CF5">
        <w:fldChar w:fldCharType="begin"/>
      </w:r>
      <w:r w:rsidRPr="00AD2CF5">
        <w:instrText xml:space="preserve"> XE "bodemhardheid" </w:instrText>
      </w:r>
      <w:r w:rsidRPr="00AD2CF5">
        <w:fldChar w:fldCharType="end"/>
      </w:r>
      <w:r w:rsidRPr="00AD2CF5">
        <w:t xml:space="preserve"> bepaald wordt langs het </w:t>
      </w:r>
      <w:r w:rsidRPr="00AD2CF5">
        <w:rPr>
          <w:u w:val="single"/>
        </w:rPr>
        <w:t>gereflecteerde</w:t>
      </w:r>
      <w:r w:rsidRPr="00AD2CF5">
        <w:t xml:space="preserve"> geluidpad.</w:t>
      </w: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r w:rsidRPr="00AD2CF5">
        <w:t>Scherm</w:t>
      </w:r>
      <w:r w:rsidRPr="00AD2CF5">
        <w:softHyphen/>
        <w:t>werking langs dit gereflecteerde geluidpad wordt berekend voor die schermen die door dit pad worden doorsne</w:t>
      </w:r>
      <w:r w:rsidRPr="00AD2CF5">
        <w:softHyphen/>
        <w:t>den. Voor schermen tussen bron en reflecterend object wordt voor de schermwerking</w:t>
      </w:r>
      <w:r w:rsidRPr="00AD2CF5">
        <w:fldChar w:fldCharType="begin"/>
      </w:r>
      <w:r w:rsidRPr="00AD2CF5">
        <w:instrText xml:space="preserve"> XE "schermwerking" </w:instrText>
      </w:r>
      <w:r w:rsidRPr="00AD2CF5">
        <w:fldChar w:fldCharType="end"/>
      </w:r>
      <w:r w:rsidRPr="00AD2CF5">
        <w:t xml:space="preserve"> uitgegaan van bron en gespiegeld rekenpunt. Voor schermen tussen rekenpunt en reflecterend object wordt voor de scherm</w:t>
      </w:r>
      <w:r w:rsidRPr="00AD2CF5">
        <w:softHyphen/>
        <w:t>werking uitgegaan van de gespiegelde bron en het rekenpunt.</w:t>
      </w: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r w:rsidRPr="00AD2CF5">
        <w:t xml:space="preserve">De richting van het geluidpad, aangegeven door hoek </w:t>
      </w:r>
      <w:r w:rsidRPr="00AD2CF5">
        <w:rPr>
          <w:i/>
        </w:rPr>
        <w:sym w:font="Symbol" w:char="F071"/>
      </w:r>
      <w:r w:rsidRPr="00AD2CF5">
        <w:t>(</w:t>
      </w:r>
      <w:r w:rsidRPr="00AD2CF5">
        <w:rPr>
          <w:i/>
        </w:rPr>
        <w:t>b</w:t>
      </w:r>
      <w:r w:rsidRPr="00AD2CF5">
        <w:t>) in formule 3.2 en 3.3, verandert na een reflectie</w:t>
      </w:r>
      <w:r w:rsidRPr="00AD2CF5">
        <w:fldChar w:fldCharType="begin"/>
      </w:r>
      <w:r w:rsidRPr="00AD2CF5">
        <w:instrText xml:space="preserve"> XE "reflectie" </w:instrText>
      </w:r>
      <w:r w:rsidRPr="00AD2CF5">
        <w:fldChar w:fldCharType="end"/>
      </w:r>
      <w:r w:rsidRPr="00AD2CF5">
        <w:t>. Voor de berekening van de deelbijdrage tot de geluidbelasting wordt in de genoemde formules echter van de richting van het langste deel van het geluidpad uitgegaan (voor de vaststelling van de hoekafhankelijke bronsterkte wordt natuurlijk uitgegaan van het eerste deel van het geluidpad vanaf de bron).</w:t>
      </w: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rPr>
          <w:i/>
        </w:rPr>
      </w:pPr>
      <w:r w:rsidRPr="00AD2CF5">
        <w:rPr>
          <w:i/>
        </w:rPr>
        <w:br w:type="page"/>
        <w:t>Reflectie van kogelgeluid</w:t>
      </w:r>
      <w:r w:rsidRPr="00AD2CF5">
        <w:rPr>
          <w:i/>
        </w:rPr>
        <w:fldChar w:fldCharType="begin"/>
      </w:r>
      <w:r w:rsidRPr="00AD2CF5">
        <w:rPr>
          <w:i/>
        </w:rPr>
        <w:instrText xml:space="preserve"> XE "</w:instrText>
      </w:r>
      <w:r w:rsidRPr="00AD2CF5">
        <w:instrText>kogelgeluid"</w:instrText>
      </w:r>
      <w:r w:rsidRPr="00AD2CF5">
        <w:rPr>
          <w:i/>
        </w:rPr>
        <w:instrText xml:space="preserve"> </w:instrText>
      </w:r>
      <w:r w:rsidRPr="00AD2CF5">
        <w:rPr>
          <w:i/>
        </w:rPr>
        <w:fldChar w:fldCharType="end"/>
      </w: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rPr>
          <w:i/>
        </w:rPr>
      </w:pP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r w:rsidRPr="00AD2CF5">
        <w:rPr>
          <w:noProof/>
          <w:lang w:eastAsia="nl-NL"/>
        </w:rPr>
        <w:drawing>
          <wp:anchor distT="0" distB="0" distL="114300" distR="114300" simplePos="0" relativeHeight="251659264" behindDoc="0" locked="0" layoutInCell="1" allowOverlap="1" wp14:anchorId="5642ADC1" wp14:editId="5710A47F">
            <wp:simplePos x="0" y="0"/>
            <wp:positionH relativeFrom="column">
              <wp:posOffset>2874010</wp:posOffset>
            </wp:positionH>
            <wp:positionV relativeFrom="paragraph">
              <wp:posOffset>-334010</wp:posOffset>
            </wp:positionV>
            <wp:extent cx="1784985" cy="3238500"/>
            <wp:effectExtent l="19050" t="0" r="0" b="0"/>
            <wp:wrapSquare wrapText="bothSides"/>
            <wp:docPr id="136" name="Afbeelding 25" descr="fig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4_14"/>
                    <pic:cNvPicPr>
                      <a:picLocks noChangeAspect="1" noChangeArrowheads="1"/>
                    </pic:cNvPicPr>
                  </pic:nvPicPr>
                  <pic:blipFill>
                    <a:blip r:embed="rId305" cstate="print"/>
                    <a:srcRect r="-18681"/>
                    <a:stretch>
                      <a:fillRect/>
                    </a:stretch>
                  </pic:blipFill>
                  <pic:spPr bwMode="auto">
                    <a:xfrm>
                      <a:off x="0" y="0"/>
                      <a:ext cx="1784985" cy="3238500"/>
                    </a:xfrm>
                    <a:prstGeom prst="rect">
                      <a:avLst/>
                    </a:prstGeom>
                    <a:noFill/>
                  </pic:spPr>
                </pic:pic>
              </a:graphicData>
            </a:graphic>
          </wp:anchor>
        </w:drawing>
      </w:r>
      <w:r w:rsidRPr="00AD2CF5">
        <w:t>Een reflectie</w:t>
      </w:r>
      <w:r w:rsidRPr="00AD2CF5">
        <w:fldChar w:fldCharType="begin"/>
      </w:r>
      <w:r w:rsidRPr="00AD2CF5">
        <w:instrText xml:space="preserve"> XE "reflectie" </w:instrText>
      </w:r>
      <w:r w:rsidRPr="00AD2CF5">
        <w:fldChar w:fldCharType="end"/>
      </w:r>
      <w:r w:rsidRPr="00AD2CF5">
        <w:t xml:space="preserve"> van kogelgeluid</w:t>
      </w:r>
      <w:r w:rsidRPr="00AD2CF5">
        <w:fldChar w:fldCharType="begin"/>
      </w:r>
      <w:r w:rsidRPr="00AD2CF5">
        <w:instrText xml:space="preserve"> XE "kogelgeluid" </w:instrText>
      </w:r>
      <w:r w:rsidRPr="00AD2CF5">
        <w:fldChar w:fldCharType="end"/>
      </w:r>
      <w:r w:rsidRPr="00AD2CF5">
        <w:t xml:space="preserve"> kan het rekenpunt slechts bereiken als het rekenpunt zich binnen het gebied bevindt dat door spiegeling van het kogelgeluid wordt bestreken. Dit is geïllustreerd in figuur 4.16.</w:t>
      </w: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r w:rsidRPr="00AD2CF5">
        <w:t>Uit de positie van het gespiegelde rekenpunt kan het bronpunt op de kogelbaan</w:t>
      </w:r>
      <w:r w:rsidRPr="00AD2CF5">
        <w:fldChar w:fldCharType="begin"/>
      </w:r>
      <w:r w:rsidRPr="00AD2CF5">
        <w:instrText xml:space="preserve"> XE "kogelbaan" </w:instrText>
      </w:r>
      <w:r w:rsidRPr="00AD2CF5">
        <w:fldChar w:fldCharType="end"/>
      </w:r>
      <w:r w:rsidRPr="00AD2CF5">
        <w:t xml:space="preserve"> van het gereflecteerde kogelge</w:t>
      </w:r>
      <w:r w:rsidRPr="00AD2CF5">
        <w:softHyphen/>
        <w:t>luid</w:t>
      </w:r>
      <w:r w:rsidRPr="00AD2CF5">
        <w:fldChar w:fldCharType="begin"/>
      </w:r>
      <w:r w:rsidRPr="00AD2CF5">
        <w:instrText xml:space="preserve"> XE "kogelgeluid" </w:instrText>
      </w:r>
      <w:r w:rsidRPr="00AD2CF5">
        <w:fldChar w:fldCharType="end"/>
      </w:r>
      <w:r w:rsidRPr="00AD2CF5">
        <w:t xml:space="preserve"> bepaald worden. Als het gespiegelde rekenpunt in gebied III ligt wordt de reflectiebijdrage verwaarloosd.</w:t>
      </w: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r w:rsidRPr="00AD2CF5">
        <w:t>Voor de bepaling van de transitieafstand</w:t>
      </w:r>
      <w:r w:rsidRPr="00AD2CF5">
        <w:fldChar w:fldCharType="begin"/>
      </w:r>
      <w:r w:rsidRPr="00AD2CF5">
        <w:instrText xml:space="preserve"> XE "transitieafstand" </w:instrText>
      </w:r>
      <w:r w:rsidRPr="00AD2CF5">
        <w:fldChar w:fldCharType="end"/>
      </w:r>
      <w:r w:rsidRPr="00AD2CF5">
        <w:t xml:space="preserve"> (zie formule 4.26) wordt voor </w:t>
      </w:r>
      <w:r w:rsidRPr="00AD2CF5">
        <w:rPr>
          <w:i/>
          <w:iCs/>
        </w:rPr>
        <w:t>x</w:t>
      </w:r>
      <w:r w:rsidRPr="00AD2CF5">
        <w:rPr>
          <w:i/>
          <w:iCs/>
          <w:vertAlign w:val="subscript"/>
        </w:rPr>
        <w:t>t</w:t>
      </w:r>
      <w:r w:rsidRPr="00AD2CF5">
        <w:t xml:space="preserve"> bij de berekening van de reflectie</w:t>
      </w:r>
      <w:r w:rsidRPr="00AD2CF5">
        <w:softHyphen/>
        <w:t>bijdrage dat deel van de kogel</w:t>
      </w:r>
      <w:r w:rsidRPr="00AD2CF5">
        <w:softHyphen/>
        <w:t>baan</w:t>
      </w:r>
      <w:r w:rsidRPr="00AD2CF5">
        <w:fldChar w:fldCharType="begin"/>
      </w:r>
      <w:r w:rsidRPr="00AD2CF5">
        <w:instrText xml:space="preserve"> XE "kogelbaan" </w:instrText>
      </w:r>
      <w:r w:rsidRPr="00AD2CF5">
        <w:fldChar w:fldCharType="end"/>
      </w:r>
      <w:r w:rsidRPr="00AD2CF5">
        <w:t xml:space="preserve"> genomen waarop bronpunten liggen waar</w:t>
      </w:r>
      <w:r w:rsidRPr="00AD2CF5">
        <w:softHyphen/>
        <w:t>van het geluid kan reflecteren in het scherm</w:t>
      </w:r>
      <w:r w:rsidRPr="00AD2CF5">
        <w:fldChar w:fldCharType="begin"/>
      </w:r>
      <w:r w:rsidRPr="00AD2CF5">
        <w:instrText xml:space="preserve"> XE "afschermende objecten:scherm" </w:instrText>
      </w:r>
      <w:r w:rsidRPr="00AD2CF5">
        <w:fldChar w:fldCharType="end"/>
      </w:r>
      <w:r w:rsidRPr="00AD2CF5">
        <w:t xml:space="preserve"> (zie figuur 4.16).</w:t>
      </w:r>
      <w:bookmarkEnd w:id="601"/>
      <w:r w:rsidRPr="00AD2CF5">
        <w:t xml:space="preserve"> Alleen het gedeelte van het scherm dat in gebied II ligt wordt  hierbij verdisconteerd.</w:t>
      </w: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pPr>
    </w:p>
    <w:p w:rsidR="00F43C9B" w:rsidRPr="00AD2CF5" w:rsidRDefault="00F43C9B" w:rsidP="00F43C9B">
      <w:pPr>
        <w:shd w:val="clear" w:color="auto" w:fill="D9D9D9" w:themeFill="background1" w:themeFillShade="D9"/>
        <w:tabs>
          <w:tab w:val="left" w:pos="177"/>
          <w:tab w:val="left" w:pos="1111"/>
          <w:tab w:val="left" w:pos="1707"/>
        </w:tabs>
        <w:suppressAutoHyphens/>
        <w:spacing w:line="240" w:lineRule="auto"/>
        <w:rPr>
          <w:vanish/>
        </w:rPr>
      </w:pPr>
    </w:p>
    <w:p w:rsidR="00F43C9B" w:rsidRPr="00AD2CF5" w:rsidRDefault="00F43C9B" w:rsidP="00F43C9B">
      <w:pPr>
        <w:shd w:val="clear" w:color="auto" w:fill="D9D9D9" w:themeFill="background1" w:themeFillShade="D9"/>
        <w:tabs>
          <w:tab w:val="left" w:pos="-720"/>
        </w:tabs>
        <w:suppressAutoHyphens/>
        <w:spacing w:line="240" w:lineRule="auto"/>
        <w:rPr>
          <w:sz w:val="2"/>
        </w:rPr>
      </w:pPr>
    </w:p>
    <w:p w:rsidR="00F43C9B" w:rsidRPr="00AD2CF5" w:rsidRDefault="00F43C9B" w:rsidP="00F43C9B">
      <w:pPr>
        <w:pStyle w:val="bijschrift0"/>
        <w:shd w:val="clear" w:color="auto" w:fill="D9D9D9" w:themeFill="background1" w:themeFillShade="D9"/>
        <w:tabs>
          <w:tab w:val="left" w:pos="-720"/>
        </w:tabs>
        <w:suppressAutoHyphens/>
        <w:ind w:right="-30"/>
        <w:rPr>
          <w:rFonts w:ascii="Times New Roman" w:hAnsi="Times New Roman"/>
          <w:b/>
          <w:sz w:val="18"/>
          <w:lang w:val="nl-NL"/>
        </w:rPr>
      </w:pPr>
    </w:p>
    <w:p w:rsidR="00F43C9B" w:rsidRPr="00AD2CF5" w:rsidRDefault="00F43C9B" w:rsidP="00F43C9B">
      <w:pPr>
        <w:pStyle w:val="Bijschrift"/>
        <w:shd w:val="clear" w:color="auto" w:fill="D9D9D9" w:themeFill="background1" w:themeFillShade="D9"/>
        <w:rPr>
          <w:lang w:val="nl-NL"/>
        </w:rPr>
      </w:pPr>
      <w:r>
        <w:rPr>
          <w:noProof/>
          <w:sz w:val="20"/>
          <w:lang w:val="nl-NL" w:eastAsia="nl-NL" w:bidi="ar-SA"/>
        </w:rPr>
        <mc:AlternateContent>
          <mc:Choice Requires="wps">
            <w:drawing>
              <wp:anchor distT="0" distB="0" distL="114300" distR="114300" simplePos="0" relativeHeight="251673600" behindDoc="0" locked="0" layoutInCell="1" allowOverlap="1" wp14:anchorId="34837EBE" wp14:editId="33A21A5D">
                <wp:simplePos x="0" y="0"/>
                <wp:positionH relativeFrom="column">
                  <wp:posOffset>2874010</wp:posOffset>
                </wp:positionH>
                <wp:positionV relativeFrom="paragraph">
                  <wp:posOffset>71120</wp:posOffset>
                </wp:positionV>
                <wp:extent cx="2171700" cy="685800"/>
                <wp:effectExtent l="0" t="0" r="0" b="0"/>
                <wp:wrapSquare wrapText="bothSides"/>
                <wp:docPr id="60" name="Tekstvak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26" w:rsidRPr="001474DA" w:rsidRDefault="005D7626" w:rsidP="00F43C9B">
                            <w:pPr>
                              <w:pStyle w:val="Bijschrift"/>
                              <w:rPr>
                                <w:b w:val="0"/>
                                <w:sz w:val="19"/>
                                <w:lang w:val="nl-NL"/>
                              </w:rPr>
                            </w:pPr>
                            <w:r w:rsidRPr="001474DA">
                              <w:rPr>
                                <w:lang w:val="nl-NL"/>
                              </w:rPr>
                              <w:t>Figuur 4. 16:</w:t>
                            </w:r>
                            <w:r w:rsidRPr="001474DA">
                              <w:rPr>
                                <w:b w:val="0"/>
                                <w:lang w:val="nl-NL"/>
                              </w:rPr>
                              <w:t xml:space="preserve"> Schematische weergave van de reflectie van kogelgeluid</w:t>
                            </w:r>
                            <w:r w:rsidRPr="001474DA">
                              <w:rPr>
                                <w:b w:val="0"/>
                                <w:sz w:val="19"/>
                                <w:lang w:val="nl-NL"/>
                              </w:rPr>
                              <w:t>.</w:t>
                            </w:r>
                          </w:p>
                          <w:p w:rsidR="005D7626" w:rsidRDefault="005D7626" w:rsidP="00F43C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0" o:spid="_x0000_s1032" type="#_x0000_t202" style="position:absolute;left:0;text-align:left;margin-left:226.3pt;margin-top:5.6pt;width:171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" filled="f" stroked="f">
                <v:textbox>
                  <w:txbxContent>
                    <w:p w:rsidR="005D7626" w:rsidRPr="001474DA" w:rsidRDefault="005D7626" w:rsidP="00F43C9B">
                      <w:pPr>
                        <w:pStyle w:val="Bijschrift"/>
                        <w:rPr>
                          <w:b w:val="0"/>
                          <w:sz w:val="19"/>
                          <w:lang w:val="nl-NL"/>
                        </w:rPr>
                      </w:pPr>
                      <w:r w:rsidRPr="001474DA">
                        <w:rPr>
                          <w:lang w:val="nl-NL"/>
                        </w:rPr>
                        <w:t>Figuur 4. 16:</w:t>
                      </w:r>
                      <w:r w:rsidRPr="001474DA">
                        <w:rPr>
                          <w:b w:val="0"/>
                          <w:lang w:val="nl-NL"/>
                        </w:rPr>
                        <w:t xml:space="preserve"> Schematische weergave van de reflectie van kogelgeluid</w:t>
                      </w:r>
                      <w:r w:rsidRPr="001474DA">
                        <w:rPr>
                          <w:b w:val="0"/>
                          <w:sz w:val="19"/>
                          <w:lang w:val="nl-NL"/>
                        </w:rPr>
                        <w:t>.</w:t>
                      </w:r>
                    </w:p>
                    <w:p w:rsidR="005D7626" w:rsidRDefault="005D7626" w:rsidP="00F43C9B"/>
                  </w:txbxContent>
                </v:textbox>
                <w10:wrap type="square"/>
              </v:shape>
            </w:pict>
          </mc:Fallback>
        </mc:AlternateContent>
      </w:r>
    </w:p>
    <w:p w:rsidR="00F43C9B" w:rsidRPr="00AD2CF5" w:rsidRDefault="00F43C9B" w:rsidP="00F43C9B">
      <w:pPr>
        <w:pStyle w:val="Bijschrift"/>
        <w:shd w:val="clear" w:color="auto" w:fill="D9D9D9" w:themeFill="background1" w:themeFillShade="D9"/>
        <w:rPr>
          <w:lang w:val="nl-NL"/>
        </w:rPr>
      </w:pPr>
    </w:p>
    <w:p w:rsidR="00F43C9B" w:rsidRPr="00AD2CF5" w:rsidRDefault="00C428B8" w:rsidP="00F43C9B">
      <w:pPr>
        <w:pStyle w:val="Kop3"/>
        <w:shd w:val="clear" w:color="auto" w:fill="D9D9D9" w:themeFill="background1" w:themeFillShade="D9"/>
      </w:pPr>
      <w:r>
        <w:fldChar w:fldCharType="begin"/>
      </w:r>
      <w:r>
        <w:instrText xml:space="preserve"> SEQ numchaplev1 \c \* MERGEFORMAT </w:instrText>
      </w:r>
      <w:r>
        <w:fldChar w:fldCharType="separate"/>
      </w:r>
      <w:bookmarkStart w:id="602" w:name="_Toc413945848"/>
      <w:bookmarkStart w:id="603" w:name="_Toc431375861"/>
      <w:r w:rsidR="00F43C9B" w:rsidRPr="00B15E90">
        <w:rPr>
          <w:noProof/>
        </w:rPr>
        <w:t>4</w:t>
      </w:r>
      <w:r>
        <w:rPr>
          <w:noProof/>
        </w:rPr>
        <w:fldChar w:fldCharType="end"/>
      </w:r>
      <w:r w:rsidR="00F43C9B" w:rsidRPr="00AD2CF5">
        <w:t>.</w:t>
      </w:r>
      <w:r>
        <w:fldChar w:fldCharType="begin"/>
      </w:r>
      <w:r>
        <w:instrText xml:space="preserve"> SEQ numchaplev2 \c \* MERGEFORMAT </w:instrText>
      </w:r>
      <w:r>
        <w:fldChar w:fldCharType="separate"/>
      </w:r>
      <w:r w:rsidR="00F43C9B" w:rsidRPr="00B15E90">
        <w:rPr>
          <w:noProof/>
        </w:rPr>
        <w:t>6</w:t>
      </w:r>
      <w:r>
        <w:rPr>
          <w:noProof/>
        </w:rPr>
        <w:fldChar w:fldCharType="end"/>
      </w:r>
      <w:r w:rsidR="00F43C9B" w:rsidRPr="00AD2CF5">
        <w:t>.</w:t>
      </w:r>
      <w:r>
        <w:fldChar w:fldCharType="begin"/>
      </w:r>
      <w:r>
        <w:instrText xml:space="preserve"> SEQ numchaplev3 \n \* MERGEFORMAT </w:instrText>
      </w:r>
      <w:r>
        <w:fldChar w:fldCharType="separate"/>
      </w:r>
      <w:r w:rsidR="00F43C9B" w:rsidRPr="00B15E90">
        <w:rPr>
          <w:noProof/>
        </w:rPr>
        <w:t>8</w:t>
      </w:r>
      <w:r>
        <w:rPr>
          <w:noProof/>
        </w:rPr>
        <w:fldChar w:fldCharType="end"/>
      </w:r>
      <w:r w:rsidR="00F43C9B" w:rsidRPr="00AD2CF5">
        <w:fldChar w:fldCharType="begin"/>
      </w:r>
      <w:r w:rsidR="00F43C9B" w:rsidRPr="00AD2CF5">
        <w:instrText xml:space="preserve"> SEQ numchaplev4 \r0\h \* MERGEFORMAT </w:instrText>
      </w:r>
      <w:r w:rsidR="00F43C9B" w:rsidRPr="00AD2CF5">
        <w:fldChar w:fldCharType="end"/>
      </w:r>
      <w:r w:rsidR="00F43C9B" w:rsidRPr="00AD2CF5">
        <w:tab/>
        <w:t>Diffuse reflectie</w:t>
      </w:r>
      <w:bookmarkEnd w:id="602"/>
      <w:bookmarkEnd w:id="603"/>
      <w:r w:rsidR="00F43C9B" w:rsidRPr="00AD2CF5">
        <w:fldChar w:fldCharType="begin"/>
      </w:r>
      <w:r w:rsidR="00F43C9B" w:rsidRPr="00AD2CF5">
        <w:instrText xml:space="preserve"> XE "reflectie" </w:instrText>
      </w:r>
      <w:r w:rsidR="00F43C9B" w:rsidRPr="00AD2CF5">
        <w:fldChar w:fldCharType="end"/>
      </w:r>
    </w:p>
    <w:p w:rsidR="00F43C9B" w:rsidRPr="00AD2CF5" w:rsidRDefault="00F43C9B" w:rsidP="00F43C9B">
      <w:pPr>
        <w:shd w:val="clear" w:color="auto" w:fill="D9D9D9" w:themeFill="background1" w:themeFillShade="D9"/>
      </w:pPr>
      <w:bookmarkStart w:id="604" w:name="reflectiedif"/>
      <w:r w:rsidRPr="00AD2CF5">
        <w:t>Diffuse reflecties treden op aan een bosrand; minimaal moeten er drie bomenrijen aanwezig zijn voordat een diffuse reflectie</w:t>
      </w:r>
      <w:r w:rsidRPr="00AD2CF5">
        <w:fldChar w:fldCharType="begin"/>
      </w:r>
      <w:r w:rsidRPr="00AD2CF5">
        <w:instrText xml:space="preserve"> XE "reflectie:diffuse reflectie" </w:instrText>
      </w:r>
      <w:r w:rsidRPr="00AD2CF5">
        <w:fldChar w:fldCharType="end"/>
      </w:r>
      <w:r w:rsidRPr="00AD2CF5">
        <w:t xml:space="preserve"> wordt meegerekend. Een diffuse reflectie</w:t>
      </w:r>
      <w:r w:rsidRPr="00AD2CF5">
        <w:fldChar w:fldCharType="begin"/>
      </w:r>
      <w:r w:rsidRPr="00AD2CF5">
        <w:instrText xml:space="preserve"> XE "reflectie" </w:instrText>
      </w:r>
      <w:r w:rsidRPr="00AD2CF5">
        <w:fldChar w:fldCharType="end"/>
      </w:r>
      <w:r w:rsidRPr="00AD2CF5">
        <w:t xml:space="preserve"> treedt op indien er ‘zicht’ is op de bosrand vanuit zowel de positie van de bron als de positie van het rekenpunt; optische spiegeling is hierbij irrelevant. De bijdrage van diffuse reflecties is alleen relevant indien het rechtstreekse geluidpad van bron naar rekenpunt wordt afgeschermd. Indien deze afscherming voor de 250 Hz octaafband meer dan 8 dB bedraagt (berekend voor profiel 14 mbv formule 4.51) en aan de hiervoor genoemde voor</w:t>
      </w:r>
      <w:r w:rsidRPr="00AD2CF5">
        <w:softHyphen/>
        <w:t>waarden voldaan wordt, dient diffuus geluid in rekening te worden gebracht.</w:t>
      </w:r>
    </w:p>
    <w:p w:rsidR="00F43C9B" w:rsidRPr="00AD2CF5" w:rsidRDefault="00F43C9B" w:rsidP="00F43C9B">
      <w:pPr>
        <w:pStyle w:val="Koptekst"/>
        <w:shd w:val="clear" w:color="auto" w:fill="D9D9D9" w:themeFill="background1" w:themeFillShade="D9"/>
        <w:rPr>
          <w:rFonts w:ascii="Times New Roman" w:hAnsi="Times New Roman"/>
        </w:rPr>
      </w:pPr>
      <w:r w:rsidRPr="00AD2CF5">
        <w:rPr>
          <w:rFonts w:ascii="Times New Roman" w:hAnsi="Times New Roman"/>
        </w:rPr>
        <w:t xml:space="preserve">Een bosrand wordt gemodelleerd met een enkele rij equidistante cilinders (zie figuur 4.17). De afstand tussen naburige cilinders </w:t>
      </w:r>
      <w:r w:rsidRPr="00AD2CF5">
        <w:rPr>
          <w:rFonts w:ascii="Times New Roman" w:hAnsi="Times New Roman"/>
          <w:i/>
          <w:iCs/>
        </w:rPr>
        <w:t>d</w:t>
      </w:r>
      <w:r w:rsidRPr="00AD2CF5">
        <w:rPr>
          <w:rFonts w:ascii="Times New Roman" w:hAnsi="Times New Roman"/>
          <w:i/>
          <w:iCs/>
          <w:vertAlign w:val="subscript"/>
        </w:rPr>
        <w:t>eff</w:t>
      </w:r>
      <w:r w:rsidRPr="00AD2CF5">
        <w:rPr>
          <w:rFonts w:ascii="Times New Roman" w:hAnsi="Times New Roman"/>
          <w:i/>
          <w:iCs/>
        </w:rPr>
        <w:t xml:space="preserve"> </w:t>
      </w:r>
      <w:r w:rsidRPr="00AD2CF5">
        <w:rPr>
          <w:rFonts w:ascii="Times New Roman" w:hAnsi="Times New Roman"/>
        </w:rPr>
        <w:t>bedraagt de helft van de gemiddelde afstand tussen naburige bomen</w:t>
      </w:r>
      <w:r w:rsidRPr="00AD2CF5">
        <w:rPr>
          <w:rFonts w:ascii="Times New Roman" w:hAnsi="Times New Roman"/>
        </w:rPr>
        <w:fldChar w:fldCharType="begin"/>
      </w:r>
      <w:r w:rsidRPr="00AD2CF5">
        <w:rPr>
          <w:rFonts w:ascii="Times New Roman" w:hAnsi="Times New Roman"/>
        </w:rPr>
        <w:instrText xml:space="preserve"> XE "bomen" </w:instrText>
      </w:r>
      <w:r w:rsidRPr="00AD2CF5">
        <w:rPr>
          <w:rFonts w:ascii="Times New Roman" w:hAnsi="Times New Roman"/>
        </w:rPr>
        <w:fldChar w:fldCharType="end"/>
      </w:r>
      <w:r w:rsidRPr="00AD2CF5">
        <w:rPr>
          <w:rFonts w:ascii="Times New Roman" w:hAnsi="Times New Roman"/>
        </w:rPr>
        <w:t xml:space="preserve"> van de eerste drie bomenrijen van de bosrand. Deze gemiddelde afstand wordt benaderd door</w:t>
      </w:r>
      <w:r w:rsidRPr="00AD2CF5">
        <w:t xml:space="preserve"> </w:t>
      </w:r>
      <w:r w:rsidRPr="00AD2CF5">
        <w:rPr>
          <w:position w:val="-12"/>
        </w:rPr>
        <w:object w:dxaOrig="700" w:dyaOrig="400">
          <v:shape id="_x0000_i1133" type="#_x0000_t75" style="width:34.5pt;height:21pt" o:ole="">
            <v:imagedata r:id="rId306" o:title=""/>
          </v:shape>
          <o:OLEObject Type="Embed" ProgID="Equation.3" ShapeID="_x0000_i1133" DrawAspect="Content" ObjectID="_1511255470" r:id="rId307"/>
        </w:object>
      </w:r>
      <w:r w:rsidRPr="00AD2CF5">
        <w:t>,</w:t>
      </w:r>
      <w:r w:rsidRPr="00AD2CF5">
        <w:rPr>
          <w:rFonts w:ascii="Times New Roman" w:hAnsi="Times New Roman"/>
        </w:rPr>
        <w:t xml:space="preserve"> waarbij </w:t>
      </w:r>
      <w:r w:rsidRPr="00AD2CF5">
        <w:rPr>
          <w:rFonts w:ascii="Times New Roman" w:hAnsi="Times New Roman"/>
          <w:i/>
          <w:iCs/>
        </w:rPr>
        <w:t>n</w:t>
      </w:r>
      <w:r w:rsidRPr="00AD2CF5">
        <w:rPr>
          <w:rFonts w:ascii="Times New Roman" w:hAnsi="Times New Roman"/>
          <w:vertAlign w:val="subscript"/>
        </w:rPr>
        <w:t>2</w:t>
      </w:r>
      <w:r w:rsidRPr="00AD2CF5">
        <w:rPr>
          <w:rFonts w:ascii="Times New Roman" w:hAnsi="Times New Roman"/>
        </w:rPr>
        <w:t xml:space="preserve"> het gemiddeld aantal bomen per oppervlakte</w:t>
      </w:r>
      <w:r w:rsidRPr="00AD2CF5">
        <w:rPr>
          <w:rFonts w:ascii="Times New Roman" w:hAnsi="Times New Roman"/>
        </w:rPr>
        <w:noBreakHyphen/>
        <w:t xml:space="preserve">eenheid is. De straal van de cilinders </w:t>
      </w:r>
      <w:r w:rsidRPr="00AD2CF5">
        <w:rPr>
          <w:rFonts w:ascii="Times New Roman" w:hAnsi="Times New Roman"/>
          <w:i/>
          <w:iCs/>
        </w:rPr>
        <w:t>r</w:t>
      </w:r>
      <w:r w:rsidRPr="00AD2CF5">
        <w:rPr>
          <w:rFonts w:ascii="Times New Roman" w:hAnsi="Times New Roman"/>
          <w:vertAlign w:val="subscript"/>
        </w:rPr>
        <w:t>cil</w:t>
      </w:r>
      <w:r w:rsidRPr="00AD2CF5">
        <w:rPr>
          <w:rFonts w:ascii="Times New Roman" w:hAnsi="Times New Roman"/>
        </w:rPr>
        <w:t xml:space="preserve"> is gelijk aan de gemiddelde straal van de bomen in de bosrand. Indicatieve waarden voor een gemiddeld bos zijn </w:t>
      </w:r>
      <w:r w:rsidRPr="00AD2CF5">
        <w:rPr>
          <w:rFonts w:ascii="Times New Roman" w:hAnsi="Times New Roman"/>
          <w:i/>
          <w:iCs/>
        </w:rPr>
        <w:t>d</w:t>
      </w:r>
      <w:r w:rsidRPr="00AD2CF5">
        <w:rPr>
          <w:rFonts w:ascii="Times New Roman" w:hAnsi="Times New Roman"/>
          <w:i/>
          <w:iCs/>
          <w:vertAlign w:val="subscript"/>
        </w:rPr>
        <w:t>eff</w:t>
      </w:r>
      <w:r w:rsidRPr="00AD2CF5">
        <w:rPr>
          <w:rFonts w:ascii="Times New Roman" w:hAnsi="Times New Roman"/>
        </w:rPr>
        <w:t xml:space="preserve"> = 1,4 m en </w:t>
      </w:r>
      <w:r w:rsidRPr="00AD2CF5">
        <w:rPr>
          <w:rFonts w:ascii="Times New Roman" w:hAnsi="Times New Roman"/>
          <w:i/>
          <w:iCs/>
        </w:rPr>
        <w:t>r</w:t>
      </w:r>
      <w:r w:rsidRPr="00AD2CF5">
        <w:rPr>
          <w:rFonts w:ascii="Times New Roman" w:hAnsi="Times New Roman"/>
          <w:i/>
          <w:iCs/>
          <w:vertAlign w:val="subscript"/>
        </w:rPr>
        <w:t>cil</w:t>
      </w:r>
      <w:r w:rsidRPr="00AD2CF5">
        <w:rPr>
          <w:rFonts w:ascii="Times New Roman" w:hAnsi="Times New Roman"/>
        </w:rPr>
        <w:t> = 0,1 m.</w:t>
      </w:r>
    </w:p>
    <w:p w:rsidR="00F43C9B" w:rsidRPr="00AD2CF5" w:rsidRDefault="00F43C9B" w:rsidP="00F43C9B">
      <w:pPr>
        <w:shd w:val="clear" w:color="auto" w:fill="D9D9D9" w:themeFill="background1" w:themeFillShade="D9"/>
      </w:pPr>
      <w:r w:rsidRPr="00AD2CF5">
        <w:t>Alle cilinders dragen bij aan de diffuse reflectie</w:t>
      </w:r>
      <w:r w:rsidRPr="00AD2CF5">
        <w:fldChar w:fldCharType="begin"/>
      </w:r>
      <w:r w:rsidRPr="00AD2CF5">
        <w:instrText xml:space="preserve"> XE "reflectie:diffuse reflectie" </w:instrText>
      </w:r>
      <w:r w:rsidRPr="00AD2CF5">
        <w:fldChar w:fldCharType="end"/>
      </w:r>
      <w:r w:rsidRPr="00AD2CF5">
        <w:t>. Diffuse reflecties worden gemodelleerd met behulp van virtuele bronnen (zie figuur 4.18a). In principe kan voor elke cilinder een virtuele bron gebruikt worden, maar voor een efficiënte berekening worden de cilinders gegroepeerd in segmenten (zie figuur 4.18b). De lengtes van de segmenten worden zo gekozen dat de hoek waaronder elk segment vanuit de bron gezien wordt ongeveer 5</w:t>
      </w:r>
      <w:r w:rsidRPr="00AD2CF5">
        <w:rPr>
          <w:vertAlign w:val="superscript"/>
        </w:rPr>
        <w:t>o</w:t>
      </w:r>
      <w:r w:rsidRPr="00AD2CF5">
        <w:t xml:space="preserve"> is (of vanuit het rekenpunt, indien dit zich dichter bij de bosrand bevindt). Het aantal cilinders binnen een segment is geheeltallig. De hoek waaronder een segment gezien wordt kan hierdoor enigszins variëren. De precieze grootte van een hoeksector wordt bepaald door het maximaal aantal cilinders dat net binnen een sector van 5</w:t>
      </w:r>
      <w:r w:rsidRPr="00AD2CF5">
        <w:rPr>
          <w:vertAlign w:val="superscript"/>
        </w:rPr>
        <w:t>o</w:t>
      </w:r>
      <w:r w:rsidRPr="00AD2CF5">
        <w:t xml:space="preserve"> past. Indien de hoek waaronder de totale rij cilinders wordt gezien minder dan 5</w:t>
      </w:r>
      <w:r w:rsidRPr="00AD2CF5">
        <w:rPr>
          <w:vertAlign w:val="superscript"/>
        </w:rPr>
        <w:t>o</w:t>
      </w:r>
      <w:r w:rsidRPr="00AD2CF5">
        <w:t xml:space="preserve"> is wordt slechts één segment gebruikt. De bijdragen van de virtuele bronnen aan de reflectie</w:t>
      </w:r>
      <w:r w:rsidRPr="00AD2CF5">
        <w:fldChar w:fldCharType="begin"/>
      </w:r>
      <w:r w:rsidRPr="00AD2CF5">
        <w:instrText xml:space="preserve"> XE "reflectie" </w:instrText>
      </w:r>
      <w:r w:rsidRPr="00AD2CF5">
        <w:fldChar w:fldCharType="end"/>
      </w:r>
      <w:r w:rsidRPr="00AD2CF5">
        <w:t xml:space="preserve"> kunnen als incoherent worden beschouwd, zodat elke virtuele bron als een aparte bron kan worden behandeld.</w:t>
      </w:r>
    </w:p>
    <w:p w:rsidR="00F43C9B" w:rsidRPr="00AD2CF5" w:rsidRDefault="00F43C9B" w:rsidP="00F43C9B">
      <w:pPr>
        <w:pStyle w:val="Body"/>
        <w:shd w:val="clear" w:color="auto" w:fill="D9D9D9" w:themeFill="background1" w:themeFillShade="D9"/>
      </w:pPr>
    </w:p>
    <w:bookmarkStart w:id="605" w:name="_MON_1054555051"/>
    <w:bookmarkEnd w:id="605"/>
    <w:bookmarkStart w:id="606" w:name="_MON_1054542117"/>
    <w:bookmarkEnd w:id="606"/>
    <w:p w:rsidR="00F43C9B" w:rsidRPr="00AD2CF5" w:rsidRDefault="00F43C9B" w:rsidP="00F43C9B">
      <w:pPr>
        <w:pStyle w:val="Body"/>
        <w:shd w:val="clear" w:color="auto" w:fill="D9D9D9" w:themeFill="background1" w:themeFillShade="D9"/>
        <w:rPr>
          <w:sz w:val="22"/>
        </w:rPr>
      </w:pPr>
      <w:r w:rsidRPr="00AD2CF5">
        <w:object w:dxaOrig="4040" w:dyaOrig="3250">
          <v:shape id="_x0000_i1134" type="#_x0000_t75" style="width:167.25pt;height:135pt" o:ole="" filled="t">
            <v:imagedata r:id="rId308" o:title=""/>
          </v:shape>
          <o:OLEObject Type="Embed" ProgID="Word.Picture.8" ShapeID="_x0000_i1134" DrawAspect="Content" ObjectID="_1511255471" r:id="rId309"/>
        </w:object>
      </w:r>
      <w:r w:rsidRPr="00AD2CF5">
        <w:t xml:space="preserve">        </w:t>
      </w:r>
      <w:bookmarkStart w:id="607" w:name="_MON_1054555053"/>
      <w:bookmarkEnd w:id="607"/>
      <w:bookmarkStart w:id="608" w:name="_MON_1054542788"/>
      <w:bookmarkEnd w:id="608"/>
      <w:r w:rsidRPr="00AD2CF5">
        <w:object w:dxaOrig="4036" w:dyaOrig="3241">
          <v:shape id="_x0000_i1135" type="#_x0000_t75" style="width:168pt;height:133.5pt" o:ole="" fillcolor="window">
            <v:imagedata r:id="rId310" o:title=""/>
          </v:shape>
          <o:OLEObject Type="Embed" ProgID="Word.Picture.8" ShapeID="_x0000_i1135" DrawAspect="Content" ObjectID="_1511255472" r:id="rId311"/>
        </w:object>
      </w:r>
    </w:p>
    <w:p w:rsidR="00F43C9B" w:rsidRPr="00AD2CF5" w:rsidRDefault="00F43C9B" w:rsidP="00F43C9B">
      <w:pPr>
        <w:pStyle w:val="Koptekst"/>
        <w:shd w:val="clear" w:color="auto" w:fill="D9D9D9" w:themeFill="background1" w:themeFillShade="D9"/>
        <w:rPr>
          <w:rFonts w:ascii="Times New Roman" w:hAnsi="Times New Roman"/>
        </w:rPr>
      </w:pPr>
      <w:r w:rsidRPr="00AD2CF5">
        <w:rPr>
          <w:rFonts w:ascii="Times New Roman" w:hAnsi="Times New Roman"/>
          <w:b/>
          <w:bCs/>
        </w:rPr>
        <w:t>Figuur 4.17:</w:t>
      </w:r>
      <w:r w:rsidRPr="00AD2CF5">
        <w:rPr>
          <w:rFonts w:ascii="Times New Roman" w:hAnsi="Times New Roman"/>
        </w:rPr>
        <w:t xml:space="preserve"> Bij een diffuse reflectie</w:t>
      </w:r>
      <w:r w:rsidRPr="00AD2CF5">
        <w:rPr>
          <w:rFonts w:ascii="Times New Roman" w:hAnsi="Times New Roman"/>
        </w:rPr>
        <w:fldChar w:fldCharType="begin"/>
      </w:r>
      <w:r w:rsidRPr="00AD2CF5">
        <w:rPr>
          <w:rFonts w:ascii="Times New Roman" w:hAnsi="Times New Roman"/>
        </w:rPr>
        <w:instrText xml:space="preserve"> XE "reflectie:diffuse reflectie" </w:instrText>
      </w:r>
      <w:r w:rsidRPr="00AD2CF5">
        <w:rPr>
          <w:rFonts w:ascii="Times New Roman" w:hAnsi="Times New Roman"/>
        </w:rPr>
        <w:fldChar w:fldCharType="end"/>
      </w:r>
      <w:r w:rsidRPr="00AD2CF5">
        <w:rPr>
          <w:rFonts w:ascii="Times New Roman" w:hAnsi="Times New Roman"/>
        </w:rPr>
        <w:t xml:space="preserve"> aan een bosrand wordt de bosrand (links) vervangen door één rij equidistante cilinders aan de bosrand (rechts).</w:t>
      </w:r>
    </w:p>
    <w:p w:rsidR="00F43C9B" w:rsidRPr="00AD2CF5" w:rsidRDefault="00F43C9B" w:rsidP="00F43C9B">
      <w:pPr>
        <w:pStyle w:val="Plattetekst"/>
        <w:shd w:val="clear" w:color="auto" w:fill="D9D9D9" w:themeFill="background1" w:themeFillShade="D9"/>
      </w:pPr>
    </w:p>
    <w:p w:rsidR="00F43C9B" w:rsidRPr="00AD2CF5" w:rsidRDefault="00F43C9B" w:rsidP="00F43C9B">
      <w:pPr>
        <w:pStyle w:val="Plattetekst"/>
        <w:shd w:val="clear" w:color="auto" w:fill="D9D9D9" w:themeFill="background1" w:themeFillShade="D9"/>
        <w:spacing w:line="240" w:lineRule="auto"/>
      </w:pPr>
      <w:r w:rsidRPr="00AD2CF5">
        <w:rPr>
          <w:noProof/>
          <w:lang w:val="nl-NL"/>
        </w:rPr>
        <w:drawing>
          <wp:inline distT="0" distB="0" distL="0" distR="0" wp14:anchorId="6CDA255E" wp14:editId="07D88136">
            <wp:extent cx="2009775" cy="1485900"/>
            <wp:effectExtent l="19050" t="0" r="9525" b="0"/>
            <wp:docPr id="137" name="Afbeelding 149" descr="refl2d2_handl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efl2d2_handl_cor"/>
                    <pic:cNvPicPr>
                      <a:picLocks noChangeAspect="1" noChangeArrowheads="1"/>
                    </pic:cNvPicPr>
                  </pic:nvPicPr>
                  <pic:blipFill>
                    <a:blip r:embed="rId312" cstate="print"/>
                    <a:srcRect/>
                    <a:stretch>
                      <a:fillRect/>
                    </a:stretch>
                  </pic:blipFill>
                  <pic:spPr bwMode="auto">
                    <a:xfrm>
                      <a:off x="0" y="0"/>
                      <a:ext cx="2009775" cy="1485900"/>
                    </a:xfrm>
                    <a:prstGeom prst="rect">
                      <a:avLst/>
                    </a:prstGeom>
                    <a:noFill/>
                    <a:ln w="9525">
                      <a:noFill/>
                      <a:miter lim="800000"/>
                      <a:headEnd/>
                      <a:tailEnd/>
                    </a:ln>
                  </pic:spPr>
                </pic:pic>
              </a:graphicData>
            </a:graphic>
          </wp:inline>
        </w:drawing>
      </w:r>
      <w:r w:rsidRPr="00AD2CF5">
        <w:rPr>
          <w:noProof/>
          <w:lang w:val="nl-NL"/>
        </w:rPr>
        <w:drawing>
          <wp:inline distT="0" distB="0" distL="0" distR="0" wp14:anchorId="17E1A40D" wp14:editId="465F3960">
            <wp:extent cx="2390775" cy="1095375"/>
            <wp:effectExtent l="19050" t="0" r="9525" b="0"/>
            <wp:docPr id="138" name="Afbeelding 150" descr="geo4n_han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eo4n_handl"/>
                    <pic:cNvPicPr>
                      <a:picLocks noChangeAspect="1" noChangeArrowheads="1"/>
                    </pic:cNvPicPr>
                  </pic:nvPicPr>
                  <pic:blipFill>
                    <a:blip r:embed="rId313" cstate="print"/>
                    <a:srcRect/>
                    <a:stretch>
                      <a:fillRect/>
                    </a:stretch>
                  </pic:blipFill>
                  <pic:spPr bwMode="auto">
                    <a:xfrm>
                      <a:off x="0" y="0"/>
                      <a:ext cx="2390775" cy="1095375"/>
                    </a:xfrm>
                    <a:prstGeom prst="rect">
                      <a:avLst/>
                    </a:prstGeom>
                    <a:noFill/>
                    <a:ln w="9525">
                      <a:noFill/>
                      <a:miter lim="800000"/>
                      <a:headEnd/>
                      <a:tailEnd/>
                    </a:ln>
                  </pic:spPr>
                </pic:pic>
              </a:graphicData>
            </a:graphic>
          </wp:inline>
        </w:drawing>
      </w:r>
    </w:p>
    <w:p w:rsidR="00F43C9B" w:rsidRPr="00AD2CF5" w:rsidRDefault="00F43C9B" w:rsidP="00F43C9B">
      <w:pPr>
        <w:shd w:val="clear" w:color="auto" w:fill="D9D9D9" w:themeFill="background1" w:themeFillShade="D9"/>
      </w:pPr>
      <w:r>
        <w:rPr>
          <w:noProof/>
          <w:lang w:eastAsia="nl-NL"/>
        </w:rPr>
        <mc:AlternateContent>
          <mc:Choice Requires="wps">
            <w:drawing>
              <wp:anchor distT="0" distB="0" distL="114300" distR="114300" simplePos="0" relativeHeight="251674624" behindDoc="0" locked="0" layoutInCell="1" allowOverlap="1" wp14:anchorId="4E28E99F" wp14:editId="1297591F">
                <wp:simplePos x="0" y="0"/>
                <wp:positionH relativeFrom="column">
                  <wp:posOffset>2233930</wp:posOffset>
                </wp:positionH>
                <wp:positionV relativeFrom="paragraph">
                  <wp:posOffset>346710</wp:posOffset>
                </wp:positionV>
                <wp:extent cx="2514600" cy="1675130"/>
                <wp:effectExtent l="0" t="0" r="0" b="1270"/>
                <wp:wrapSquare wrapText="bothSides"/>
                <wp:docPr id="59" name="Tekstvak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7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26" w:rsidRDefault="005D7626" w:rsidP="00F43C9B">
                            <w:r>
                              <w:rPr>
                                <w:b/>
                                <w:bCs/>
                              </w:rPr>
                              <w:t>Figuur 4.18b:</w:t>
                            </w:r>
                            <w:r>
                              <w:t xml:space="preserve"> Voor een efficiënte bere</w:t>
                            </w:r>
                            <w:r>
                              <w:softHyphen/>
                              <w:t>ke</w:t>
                            </w:r>
                            <w:r>
                              <w:softHyphen/>
                              <w:t xml:space="preserve">ning worden de cilinders gegroepeerd in segmenten. De bijdragen van de cilinders binnen een segment worden aan elkaar gelijk gesteld, zodat per segment slechts een berekening voor de centrale cilinder uitgevoerd hoeft te worden.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9" o:spid="_x0000_s1033" type="#_x0000_t202" style="position:absolute;margin-left:175.9pt;margin-top:27.3pt;width:198pt;height:13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" filled="f" stroked="f">
                <v:textbox>
                  <w:txbxContent>
                    <w:p w:rsidR="005D7626" w:rsidRDefault="005D7626" w:rsidP="00F43C9B">
                      <w:r>
                        <w:rPr>
                          <w:b/>
                          <w:bCs/>
                        </w:rPr>
                        <w:t>Figuur 4.18b:</w:t>
                      </w:r>
                      <w:r>
                        <w:t xml:space="preserve"> Voor een efficiënte bere</w:t>
                      </w:r>
                      <w:r>
                        <w:softHyphen/>
                        <w:t>ke</w:t>
                      </w:r>
                      <w:r>
                        <w:softHyphen/>
                        <w:t xml:space="preserve">ning worden de cilinders gegroepeerd in segmenten. De bijdragen van de cilinders binnen een segment worden aan elkaar gelijk gesteld, zodat per segment slechts een berekening voor de centrale cilinder uitgevoerd hoeft te worden.   </w:t>
                      </w:r>
                    </w:p>
                  </w:txbxContent>
                </v:textbox>
                <w10:wrap type="square"/>
              </v:shape>
            </w:pict>
          </mc:Fallback>
        </mc:AlternateContent>
      </w:r>
      <w:r>
        <w:rPr>
          <w:noProof/>
          <w:lang w:eastAsia="nl-NL"/>
        </w:rPr>
        <mc:AlternateContent>
          <mc:Choice Requires="wps">
            <w:drawing>
              <wp:anchor distT="0" distB="0" distL="114300" distR="114300" simplePos="0" relativeHeight="251675648" behindDoc="0" locked="0" layoutInCell="1" allowOverlap="1" wp14:anchorId="5342C45D" wp14:editId="43741647">
                <wp:simplePos x="0" y="0"/>
                <wp:positionH relativeFrom="column">
                  <wp:posOffset>-52070</wp:posOffset>
                </wp:positionH>
                <wp:positionV relativeFrom="paragraph">
                  <wp:posOffset>346710</wp:posOffset>
                </wp:positionV>
                <wp:extent cx="2286000" cy="2514600"/>
                <wp:effectExtent l="0" t="0" r="0" b="0"/>
                <wp:wrapSquare wrapText="bothSides"/>
                <wp:docPr id="58" name="Tekstvak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26" w:rsidRDefault="005D7626" w:rsidP="00F43C9B">
                            <w:pPr>
                              <w:pStyle w:val="Plattetekstinspringen"/>
                            </w:pPr>
                            <w:r>
                              <w:rPr>
                                <w:b/>
                                <w:bCs/>
                              </w:rPr>
                              <w:t>Figuur 4.18a:</w:t>
                            </w:r>
                            <w:r>
                              <w:t xml:space="preserve"> De bijdrage van een cilinder aan een diffuse reflectie wordt gerepresenteerd door een virtuele bron. Een virtuele bron ligt in het verlengde van de lijn van de cilinder naar het rekenpunt. </w:t>
                            </w:r>
                          </w:p>
                          <w:p w:rsidR="005D7626" w:rsidRDefault="005D7626" w:rsidP="00F43C9B">
                            <w:pPr>
                              <w:pStyle w:val="Plattetekstinspringen"/>
                            </w:pPr>
                            <w:r>
                              <w:t xml:space="preserve">De afstand van de virtuele bron naar </w:t>
                            </w:r>
                          </w:p>
                          <w:p w:rsidR="005D7626" w:rsidRDefault="005D7626" w:rsidP="00F43C9B">
                            <w:pPr>
                              <w:pStyle w:val="Plattetekstinspringen"/>
                            </w:pPr>
                            <w:r>
                              <w:t>de cilinder is gelijk aan de afstand</w:t>
                            </w:r>
                          </w:p>
                          <w:p w:rsidR="005D7626" w:rsidRDefault="005D7626" w:rsidP="00F43C9B">
                            <w:pPr>
                              <w:pStyle w:val="Plattetekstinspringen"/>
                            </w:pPr>
                            <w:r>
                              <w:t>van de echte bron naar de cilinder.</w:t>
                            </w:r>
                          </w:p>
                          <w:p w:rsidR="005D7626" w:rsidRDefault="005D7626" w:rsidP="00F43C9B">
                            <w:pPr>
                              <w:pStyle w:val="Inhopg1"/>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8" o:spid="_x0000_s1034" type="#_x0000_t202" style="position:absolute;margin-left:-4.1pt;margin-top:27.3pt;width:180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" filled="f" stroked="f">
                <v:textbox>
                  <w:txbxContent>
                    <w:p w:rsidR="005D7626" w:rsidRDefault="005D7626" w:rsidP="00F43C9B">
                      <w:pPr>
                        <w:pStyle w:val="Plattetekstinspringen"/>
                      </w:pPr>
                      <w:r>
                        <w:rPr>
                          <w:b/>
                          <w:bCs/>
                        </w:rPr>
                        <w:t>Figuur 4.18a:</w:t>
                      </w:r>
                      <w:r>
                        <w:t xml:space="preserve"> De bijdrage van een cilinder aan een diffuse reflectie wordt gerepresenteerd door een virtuele bron. Een virtuele bron ligt in het verlengde van de lijn van de cilinder naar het rekenpunt. </w:t>
                      </w:r>
                    </w:p>
                    <w:p w:rsidR="005D7626" w:rsidRDefault="005D7626" w:rsidP="00F43C9B">
                      <w:pPr>
                        <w:pStyle w:val="Plattetekstinspringen"/>
                      </w:pPr>
                      <w:r>
                        <w:t xml:space="preserve">De afstand van de virtuele bron naar </w:t>
                      </w:r>
                    </w:p>
                    <w:p w:rsidR="005D7626" w:rsidRDefault="005D7626" w:rsidP="00F43C9B">
                      <w:pPr>
                        <w:pStyle w:val="Plattetekstinspringen"/>
                      </w:pPr>
                      <w:r>
                        <w:t>de cilinder is gelijk aan de afstand</w:t>
                      </w:r>
                    </w:p>
                    <w:p w:rsidR="005D7626" w:rsidRDefault="005D7626" w:rsidP="00F43C9B">
                      <w:pPr>
                        <w:pStyle w:val="Plattetekstinspringen"/>
                      </w:pPr>
                      <w:r>
                        <w:t>van de echte bron naar de cilinder.</w:t>
                      </w:r>
                    </w:p>
                    <w:p w:rsidR="005D7626" w:rsidRDefault="005D7626" w:rsidP="00F43C9B">
                      <w:pPr>
                        <w:pStyle w:val="Inhopg1"/>
                        <w:spacing w:after="0"/>
                      </w:pPr>
                    </w:p>
                  </w:txbxContent>
                </v:textbox>
                <w10:wrap type="square"/>
              </v:shape>
            </w:pict>
          </mc:Fallback>
        </mc:AlternateContent>
      </w:r>
      <w:r w:rsidRPr="00AD2CF5">
        <w:br w:type="page"/>
        <w:t xml:space="preserve">Net als bij spiegelreflecties wordt door middel van een reflectiedemping </w:t>
      </w:r>
      <w:r w:rsidRPr="00AD2CF5">
        <w:rPr>
          <w:i/>
        </w:rPr>
        <w:t>D</w:t>
      </w:r>
      <w:r w:rsidRPr="00AD2CF5">
        <w:rPr>
          <w:i/>
          <w:vertAlign w:val="subscript"/>
        </w:rPr>
        <w:t>refl</w:t>
      </w:r>
      <w:r w:rsidRPr="00AD2CF5">
        <w:t xml:space="preserve"> rekening gehouden met het feit dat een virtuele bron zwakker is dan de echte bron. Het bronniveau</w:t>
      </w:r>
      <w:r w:rsidRPr="00AD2CF5">
        <w:fldChar w:fldCharType="begin"/>
      </w:r>
      <w:r w:rsidRPr="00AD2CF5">
        <w:instrText xml:space="preserve"> XE "bronniveau" </w:instrText>
      </w:r>
      <w:r w:rsidRPr="00AD2CF5">
        <w:fldChar w:fldCharType="end"/>
      </w:r>
      <w:r w:rsidRPr="00AD2CF5">
        <w:t xml:space="preserve"> </w:t>
      </w:r>
      <w:r w:rsidRPr="00AD2CF5">
        <w:rPr>
          <w:position w:val="-10"/>
        </w:rPr>
        <w:object w:dxaOrig="360" w:dyaOrig="360">
          <v:shape id="_x0000_i1136" type="#_x0000_t75" style="width:18pt;height:18pt" o:ole="" fillcolor="window">
            <v:imagedata r:id="rId314" o:title=""/>
          </v:shape>
          <o:OLEObject Type="Embed" ProgID="Equation.3" ShapeID="_x0000_i1136" DrawAspect="Content" ObjectID="_1511255473" r:id="rId315"/>
        </w:object>
      </w:r>
      <w:r w:rsidRPr="00AD2CF5">
        <w:t xml:space="preserve"> van een virtuele bron (per octaafband</w:t>
      </w:r>
      <w:r w:rsidRPr="00AD2CF5">
        <w:fldChar w:fldCharType="begin"/>
      </w:r>
      <w:r w:rsidRPr="00AD2CF5">
        <w:instrText xml:space="preserve"> XE "octaafband" </w:instrText>
      </w:r>
      <w:r w:rsidRPr="00AD2CF5">
        <w:fldChar w:fldCharType="end"/>
      </w:r>
      <w:r w:rsidRPr="00AD2CF5">
        <w:t xml:space="preserve">) wordt bepaald met formule 4.55. De reflectiedemping </w:t>
      </w:r>
      <w:r w:rsidRPr="00AD2CF5">
        <w:rPr>
          <w:i/>
        </w:rPr>
        <w:t>D</w:t>
      </w:r>
      <w:r w:rsidRPr="00AD2CF5">
        <w:rPr>
          <w:i/>
          <w:vertAlign w:val="subscript"/>
        </w:rPr>
        <w:t>refl</w:t>
      </w:r>
      <w:r w:rsidRPr="00AD2CF5">
        <w:t xml:space="preserve"> voor diffuse reflectie</w:t>
      </w:r>
      <w:r w:rsidRPr="00AD2CF5">
        <w:fldChar w:fldCharType="begin"/>
      </w:r>
      <w:r w:rsidRPr="00AD2CF5">
        <w:instrText xml:space="preserve"> XE "reflectie:diffuse reflectie" </w:instrText>
      </w:r>
      <w:r w:rsidRPr="00AD2CF5">
        <w:fldChar w:fldCharType="end"/>
      </w:r>
      <w:r w:rsidRPr="00AD2CF5">
        <w:t>s wordt hierin gegeven door:</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tabs>
          <w:tab w:val="left" w:pos="567"/>
          <w:tab w:val="right" w:pos="7513"/>
        </w:tabs>
        <w:spacing w:line="240" w:lineRule="auto"/>
        <w:ind w:right="-29"/>
        <w:rPr>
          <w:b/>
          <w:bCs/>
        </w:rPr>
      </w:pPr>
      <w:r w:rsidRPr="00AD2CF5">
        <w:rPr>
          <w:position w:val="-14"/>
        </w:rPr>
        <w:object w:dxaOrig="2400" w:dyaOrig="380">
          <v:shape id="_x0000_i1137" type="#_x0000_t75" style="width:120pt;height:19.5pt" o:ole="" fillcolor="window">
            <v:imagedata r:id="rId316" o:title=""/>
          </v:shape>
          <o:OLEObject Type="Embed" ProgID="Equation.3" ShapeID="_x0000_i1137" DrawAspect="Content" ObjectID="_1511255474" r:id="rId317"/>
        </w:object>
      </w:r>
      <w:r w:rsidRPr="00AD2CF5">
        <w:tab/>
      </w:r>
      <w:r w:rsidRPr="00AD2CF5">
        <w:rPr>
          <w:b/>
          <w:bCs/>
        </w:rPr>
        <w:t>(4.59)</w:t>
      </w:r>
    </w:p>
    <w:p w:rsidR="00F43C9B" w:rsidRPr="00AD2CF5" w:rsidRDefault="00F43C9B" w:rsidP="00F43C9B">
      <w:pPr>
        <w:pStyle w:val="Inhopg1"/>
        <w:shd w:val="clear" w:color="auto" w:fill="D9D9D9" w:themeFill="background1" w:themeFillShade="D9"/>
        <w:spacing w:after="0"/>
      </w:pPr>
      <w:r w:rsidRPr="00AD2CF5">
        <w:t>waarin</w:t>
      </w:r>
    </w:p>
    <w:p w:rsidR="00F43C9B" w:rsidRPr="00AD2CF5" w:rsidRDefault="00F43C9B" w:rsidP="00F43C9B">
      <w:pPr>
        <w:shd w:val="clear" w:color="auto" w:fill="D9D9D9" w:themeFill="background1" w:themeFillShade="D9"/>
        <w:tabs>
          <w:tab w:val="left" w:pos="993"/>
        </w:tabs>
        <w:ind w:firstLine="567"/>
      </w:pPr>
      <w:r w:rsidRPr="00AD2CF5">
        <w:rPr>
          <w:i/>
        </w:rPr>
        <w:sym w:font="Symbol" w:char="F065"/>
      </w:r>
      <w:r w:rsidRPr="00AD2CF5">
        <w:rPr>
          <w:i/>
          <w:vertAlign w:val="subscript"/>
        </w:rPr>
        <w:t>ver</w:t>
      </w:r>
      <w:r w:rsidRPr="00AD2CF5">
        <w:tab/>
        <w:t>‘verticale’ reflectie</w:t>
      </w:r>
      <w:r w:rsidRPr="00AD2CF5">
        <w:fldChar w:fldCharType="begin"/>
      </w:r>
      <w:r w:rsidRPr="00AD2CF5">
        <w:instrText xml:space="preserve"> XE "reflectie" </w:instrText>
      </w:r>
      <w:r w:rsidRPr="00AD2CF5">
        <w:fldChar w:fldCharType="end"/>
      </w:r>
      <w:r w:rsidRPr="00AD2CF5">
        <w:t xml:space="preserve">-effectiviteit (0 </w:t>
      </w:r>
      <w:r w:rsidRPr="00AD2CF5">
        <w:sym w:font="Symbol" w:char="F0A3"/>
      </w:r>
      <w:r w:rsidRPr="00AD2CF5">
        <w:t xml:space="preserve"> </w:t>
      </w:r>
      <w:r w:rsidRPr="00AD2CF5">
        <w:rPr>
          <w:i/>
        </w:rPr>
        <w:sym w:font="Symbol" w:char="F065"/>
      </w:r>
      <w:r w:rsidRPr="00AD2CF5">
        <w:rPr>
          <w:i/>
          <w:vertAlign w:val="subscript"/>
        </w:rPr>
        <w:t>ver</w:t>
      </w:r>
      <w:r w:rsidRPr="00AD2CF5">
        <w:t xml:space="preserve"> </w:t>
      </w:r>
      <w:r w:rsidRPr="00AD2CF5">
        <w:sym w:font="Symbol" w:char="F0A3"/>
      </w:r>
      <w:r w:rsidRPr="00AD2CF5">
        <w:t xml:space="preserve"> 1),</w:t>
      </w:r>
    </w:p>
    <w:p w:rsidR="00F43C9B" w:rsidRPr="00AD2CF5" w:rsidRDefault="00F43C9B" w:rsidP="00F43C9B">
      <w:pPr>
        <w:shd w:val="clear" w:color="auto" w:fill="D9D9D9" w:themeFill="background1" w:themeFillShade="D9"/>
        <w:tabs>
          <w:tab w:val="left" w:pos="993"/>
        </w:tabs>
        <w:ind w:firstLine="567"/>
      </w:pPr>
      <w:r w:rsidRPr="00AD2CF5">
        <w:rPr>
          <w:i/>
        </w:rPr>
        <w:sym w:font="Symbol" w:char="F072"/>
      </w:r>
      <w:r w:rsidRPr="00AD2CF5">
        <w:t xml:space="preserve"> </w:t>
      </w:r>
      <w:r w:rsidRPr="00AD2CF5">
        <w:tab/>
        <w:t>reflectiviteit</w:t>
      </w:r>
      <w:r w:rsidRPr="00AD2CF5">
        <w:fldChar w:fldCharType="begin"/>
      </w:r>
      <w:r w:rsidRPr="00AD2CF5">
        <w:instrText xml:space="preserve"> XE "reflectiviteit" </w:instrText>
      </w:r>
      <w:r w:rsidRPr="00AD2CF5">
        <w:fldChar w:fldCharType="end"/>
      </w:r>
      <w:r w:rsidRPr="00AD2CF5">
        <w:t xml:space="preserve"> per cilinder (0 </w:t>
      </w:r>
      <w:r w:rsidRPr="00AD2CF5">
        <w:sym w:font="Symbol" w:char="F0A3"/>
      </w:r>
      <w:r w:rsidRPr="00AD2CF5">
        <w:t xml:space="preserve"> </w:t>
      </w:r>
      <w:r w:rsidRPr="00AD2CF5">
        <w:rPr>
          <w:i/>
        </w:rPr>
        <w:sym w:font="Symbol" w:char="F072"/>
      </w:r>
      <w:r w:rsidRPr="00AD2CF5">
        <w:t xml:space="preserve"> </w:t>
      </w:r>
      <w:r w:rsidRPr="00AD2CF5">
        <w:sym w:font="Symbol" w:char="F0A3"/>
      </w:r>
      <w:r w:rsidRPr="00AD2CF5">
        <w:t xml:space="preserve"> 1),</w:t>
      </w:r>
    </w:p>
    <w:p w:rsidR="00F43C9B" w:rsidRPr="00AD2CF5" w:rsidRDefault="00F43C9B" w:rsidP="00F43C9B">
      <w:pPr>
        <w:shd w:val="clear" w:color="auto" w:fill="D9D9D9" w:themeFill="background1" w:themeFillShade="D9"/>
        <w:tabs>
          <w:tab w:val="left" w:pos="993"/>
        </w:tabs>
        <w:ind w:firstLine="567"/>
      </w:pPr>
      <w:r w:rsidRPr="00AD2CF5">
        <w:rPr>
          <w:i/>
        </w:rPr>
        <w:t>N</w:t>
      </w:r>
      <w:r w:rsidRPr="00AD2CF5">
        <w:rPr>
          <w:i/>
          <w:vertAlign w:val="subscript"/>
        </w:rPr>
        <w:t>cil</w:t>
      </w:r>
      <w:r w:rsidRPr="00AD2CF5">
        <w:t xml:space="preserve"> </w:t>
      </w:r>
      <w:r w:rsidRPr="00AD2CF5">
        <w:tab/>
        <w:t>aantal cilinders in het segment.</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t>De verticale reflectie</w:t>
      </w:r>
      <w:r w:rsidRPr="00AD2CF5">
        <w:fldChar w:fldCharType="begin"/>
      </w:r>
      <w:r w:rsidRPr="00AD2CF5">
        <w:instrText xml:space="preserve"> XE "reflectie" </w:instrText>
      </w:r>
      <w:r w:rsidRPr="00AD2CF5">
        <w:fldChar w:fldCharType="end"/>
      </w:r>
      <w:r w:rsidRPr="00AD2CF5">
        <w:t xml:space="preserve">-effectiviteit </w:t>
      </w:r>
      <w:r w:rsidRPr="00AD2CF5">
        <w:rPr>
          <w:i/>
          <w:iCs/>
        </w:rPr>
        <w:sym w:font="Symbol" w:char="F065"/>
      </w:r>
      <w:r w:rsidRPr="00AD2CF5">
        <w:rPr>
          <w:vertAlign w:val="subscript"/>
        </w:rPr>
        <w:t>ver</w:t>
      </w:r>
      <w:r w:rsidRPr="00AD2CF5">
        <w:t xml:space="preserve"> wordt op dezelfde manier berekend als voor spiegelreflecties (zie formule 4.58), waarbij voor de schermhoogte de gemiddelde hoogte van de bomen</w:t>
      </w:r>
      <w:r w:rsidRPr="00AD2CF5">
        <w:fldChar w:fldCharType="begin"/>
      </w:r>
      <w:r w:rsidRPr="00AD2CF5">
        <w:instrText xml:space="preserve"> XE "bomen" </w:instrText>
      </w:r>
      <w:r w:rsidRPr="00AD2CF5">
        <w:fldChar w:fldCharType="end"/>
      </w:r>
      <w:r w:rsidRPr="00AD2CF5">
        <w:t xml:space="preserve"> wordt gebruikt.</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t>De reflectiviteit</w:t>
      </w:r>
      <w:r w:rsidRPr="00AD2CF5">
        <w:fldChar w:fldCharType="begin"/>
      </w:r>
      <w:r w:rsidRPr="00AD2CF5">
        <w:instrText xml:space="preserve"> XE "reflectiviteit" </w:instrText>
      </w:r>
      <w:r w:rsidRPr="00AD2CF5">
        <w:fldChar w:fldCharType="end"/>
      </w:r>
      <w:r w:rsidRPr="00AD2CF5">
        <w:t xml:space="preserve"> per cilinder </w:t>
      </w:r>
      <w:r w:rsidRPr="00AD2CF5">
        <w:rPr>
          <w:i/>
          <w:iCs/>
        </w:rPr>
        <w:sym w:font="Symbol" w:char="F072"/>
      </w:r>
      <w:r w:rsidRPr="00AD2CF5">
        <w:t xml:space="preserve"> wordt gegeven door</w:t>
      </w:r>
    </w:p>
    <w:p w:rsidR="00F43C9B" w:rsidRPr="00AD2CF5" w:rsidRDefault="00F43C9B" w:rsidP="00F43C9B">
      <w:pPr>
        <w:shd w:val="clear" w:color="auto" w:fill="D9D9D9" w:themeFill="background1" w:themeFillShade="D9"/>
        <w:tabs>
          <w:tab w:val="left" w:pos="567"/>
          <w:tab w:val="right" w:pos="7513"/>
        </w:tabs>
        <w:spacing w:line="240" w:lineRule="auto"/>
        <w:ind w:right="-29"/>
      </w:pPr>
      <w:r w:rsidRPr="00AD2CF5">
        <w:rPr>
          <w:position w:val="-30"/>
        </w:rPr>
        <w:object w:dxaOrig="2560" w:dyaOrig="700">
          <v:shape id="_x0000_i1138" type="#_x0000_t75" style="width:127.5pt;height:34.5pt" o:ole="" fillcolor="window">
            <v:imagedata r:id="rId318" o:title=""/>
          </v:shape>
          <o:OLEObject Type="Embed" ProgID="Equation.3" ShapeID="_x0000_i1138" DrawAspect="Content" ObjectID="_1511255475" r:id="rId319"/>
        </w:object>
      </w:r>
      <w:r w:rsidRPr="00AD2CF5">
        <w:tab/>
        <w:t xml:space="preserve">  </w:t>
      </w:r>
      <w:r w:rsidRPr="00AD2CF5">
        <w:rPr>
          <w:b/>
          <w:bCs/>
        </w:rPr>
        <w:t>(4.60)</w:t>
      </w:r>
    </w:p>
    <w:p w:rsidR="00F43C9B" w:rsidRPr="00AD2CF5" w:rsidRDefault="00F43C9B" w:rsidP="00F43C9B">
      <w:pPr>
        <w:pStyle w:val="Inhopg1"/>
        <w:shd w:val="clear" w:color="auto" w:fill="D9D9D9" w:themeFill="background1" w:themeFillShade="D9"/>
        <w:spacing w:after="0" w:line="240" w:lineRule="auto"/>
      </w:pPr>
      <w:r w:rsidRPr="00AD2CF5">
        <w:t>met</w:t>
      </w:r>
    </w:p>
    <w:p w:rsidR="00F43C9B" w:rsidRPr="00AD2CF5" w:rsidRDefault="00F43C9B" w:rsidP="00F43C9B">
      <w:pPr>
        <w:shd w:val="clear" w:color="auto" w:fill="D9D9D9" w:themeFill="background1" w:themeFillShade="D9"/>
        <w:tabs>
          <w:tab w:val="left" w:pos="567"/>
          <w:tab w:val="right" w:pos="7513"/>
        </w:tabs>
        <w:spacing w:line="240" w:lineRule="auto"/>
        <w:ind w:right="-29"/>
      </w:pPr>
      <w:r w:rsidRPr="00AD2CF5">
        <w:rPr>
          <w:position w:val="-30"/>
        </w:rPr>
        <w:object w:dxaOrig="859" w:dyaOrig="680">
          <v:shape id="_x0000_i1139" type="#_x0000_t75" style="width:43.5pt;height:34.5pt" o:ole="">
            <v:imagedata r:id="rId320" o:title=""/>
          </v:shape>
          <o:OLEObject Type="Embed" ProgID="Equation.3" ShapeID="_x0000_i1139" DrawAspect="Content" ObjectID="_1511255476" r:id="rId321"/>
        </w:object>
      </w:r>
      <w:r w:rsidRPr="00AD2CF5">
        <w:tab/>
      </w:r>
      <w:r w:rsidRPr="00AD2CF5">
        <w:rPr>
          <w:b/>
          <w:bCs/>
        </w:rPr>
        <w:t>(4.61)</w:t>
      </w:r>
    </w:p>
    <w:p w:rsidR="00F43C9B" w:rsidRPr="00AD2CF5" w:rsidRDefault="00F43C9B" w:rsidP="00F43C9B">
      <w:pPr>
        <w:pStyle w:val="Inhopg1"/>
        <w:shd w:val="clear" w:color="auto" w:fill="D9D9D9" w:themeFill="background1" w:themeFillShade="D9"/>
        <w:spacing w:after="0" w:line="240" w:lineRule="auto"/>
      </w:pPr>
      <w:r w:rsidRPr="00AD2CF5">
        <w:t>en</w:t>
      </w:r>
    </w:p>
    <w:p w:rsidR="00F43C9B" w:rsidRPr="00AD2CF5" w:rsidRDefault="00F43C9B" w:rsidP="00F43C9B">
      <w:pPr>
        <w:shd w:val="clear" w:color="auto" w:fill="D9D9D9" w:themeFill="background1" w:themeFillShade="D9"/>
        <w:tabs>
          <w:tab w:val="left" w:pos="567"/>
          <w:tab w:val="right" w:pos="7513"/>
        </w:tabs>
        <w:spacing w:line="240" w:lineRule="auto"/>
        <w:ind w:right="-29"/>
      </w:pPr>
      <w:r w:rsidRPr="00AD2CF5">
        <w:rPr>
          <w:position w:val="-32"/>
        </w:rPr>
        <w:object w:dxaOrig="3240" w:dyaOrig="760">
          <v:shape id="_x0000_i1140" type="#_x0000_t75" style="width:162pt;height:39pt" o:ole="" fillcolor="window">
            <v:imagedata r:id="rId322" o:title=""/>
          </v:shape>
          <o:OLEObject Type="Embed" ProgID="Equation.3" ShapeID="_x0000_i1140" DrawAspect="Content" ObjectID="_1511255477" r:id="rId323"/>
        </w:object>
      </w:r>
      <w:r w:rsidRPr="00AD2CF5">
        <w:t>,</w:t>
      </w:r>
      <w:r w:rsidRPr="00AD2CF5">
        <w:tab/>
      </w:r>
      <w:r w:rsidRPr="00AD2CF5">
        <w:rPr>
          <w:b/>
          <w:bCs/>
        </w:rPr>
        <w:t>(4.62)</w:t>
      </w:r>
    </w:p>
    <w:p w:rsidR="00F43C9B" w:rsidRPr="00AD2CF5" w:rsidRDefault="00F43C9B" w:rsidP="00F43C9B">
      <w:pPr>
        <w:shd w:val="clear" w:color="auto" w:fill="D9D9D9" w:themeFill="background1" w:themeFillShade="D9"/>
        <w:spacing w:line="240" w:lineRule="auto"/>
      </w:pPr>
      <w:r w:rsidRPr="00AD2CF5">
        <w:t xml:space="preserve">waarin </w:t>
      </w:r>
      <w:r w:rsidRPr="00AD2CF5">
        <w:rPr>
          <w:i/>
        </w:rPr>
        <w:t>c</w:t>
      </w:r>
      <w:r w:rsidRPr="00AD2CF5">
        <w:rPr>
          <w:vertAlign w:val="subscript"/>
        </w:rPr>
        <w:t>1</w:t>
      </w:r>
      <w:r w:rsidRPr="00AD2CF5">
        <w:t xml:space="preserve"> = 25 m/s, </w:t>
      </w:r>
      <w:r w:rsidRPr="00AD2CF5">
        <w:rPr>
          <w:i/>
        </w:rPr>
        <w:t>r</w:t>
      </w:r>
      <w:r w:rsidRPr="00AD2CF5">
        <w:rPr>
          <w:vertAlign w:val="subscript"/>
        </w:rPr>
        <w:t>1</w:t>
      </w:r>
      <w:r w:rsidRPr="00AD2CF5">
        <w:t xml:space="preserve"> = 25 m en </w:t>
      </w:r>
      <w:r w:rsidRPr="00AD2CF5">
        <w:rPr>
          <w:rFonts w:ascii="Symbol" w:hAnsi="Symbol"/>
          <w:i/>
        </w:rPr>
        <w:t></w:t>
      </w:r>
      <w:r w:rsidRPr="00AD2CF5">
        <w:rPr>
          <w:vertAlign w:val="subscript"/>
        </w:rPr>
        <w:t>1</w:t>
      </w:r>
      <w:r w:rsidRPr="00AD2CF5">
        <w:t xml:space="preserve"> = 10 constanten zijn, en </w:t>
      </w:r>
      <w:r w:rsidRPr="00AD2CF5">
        <w:rPr>
          <w:i/>
        </w:rPr>
        <w:t>r</w:t>
      </w:r>
      <w:r w:rsidRPr="00AD2CF5">
        <w:rPr>
          <w:vertAlign w:val="subscript"/>
        </w:rPr>
        <w:t>0</w:t>
      </w:r>
      <w:r w:rsidRPr="00AD2CF5">
        <w:t xml:space="preserve"> en </w:t>
      </w:r>
      <w:r w:rsidRPr="00AD2CF5">
        <w:rPr>
          <w:i/>
        </w:rPr>
        <w:sym w:font="Symbol" w:char="F064"/>
      </w:r>
      <w:r w:rsidRPr="00AD2CF5">
        <w:rPr>
          <w:i/>
        </w:rPr>
        <w:sym w:font="Symbol" w:char="F066"/>
      </w:r>
      <w:r w:rsidRPr="00AD2CF5">
        <w:t xml:space="preserve"> parameters die in figuur 4.18b aangegeven zijn; de index </w:t>
      </w:r>
      <w:r w:rsidRPr="00AD2CF5">
        <w:rPr>
          <w:i/>
        </w:rPr>
        <w:t>n</w:t>
      </w:r>
      <w:r w:rsidRPr="00AD2CF5">
        <w:t xml:space="preserve"> van het segment is hier voor het gemak weggelaten. De parameter </w:t>
      </w:r>
      <w:r w:rsidRPr="00AD2CF5">
        <w:rPr>
          <w:i/>
        </w:rPr>
        <w:sym w:font="Symbol" w:char="F064"/>
      </w:r>
      <w:r w:rsidRPr="00AD2CF5">
        <w:rPr>
          <w:i/>
        </w:rPr>
        <w:sym w:font="Symbol" w:char="F066"/>
      </w:r>
      <w:r w:rsidRPr="00AD2CF5">
        <w:t xml:space="preserve"> is de hoek tussen de lijnen van de centrale cilinder van het segment naar de bron en naar het rekenpunt.</w:t>
      </w:r>
    </w:p>
    <w:p w:rsidR="00F43C9B" w:rsidRPr="00AD2CF5" w:rsidRDefault="00F43C9B" w:rsidP="00F43C9B">
      <w:pPr>
        <w:shd w:val="clear" w:color="auto" w:fill="D9D9D9" w:themeFill="background1" w:themeFillShade="D9"/>
        <w:spacing w:line="240" w:lineRule="auto"/>
      </w:pPr>
    </w:p>
    <w:p w:rsidR="00F43C9B" w:rsidRPr="00AD2CF5" w:rsidRDefault="00F43C9B" w:rsidP="00F43C9B">
      <w:pPr>
        <w:shd w:val="clear" w:color="auto" w:fill="D9D9D9" w:themeFill="background1" w:themeFillShade="D9"/>
      </w:pPr>
      <w:r w:rsidRPr="00AD2CF5">
        <w:t xml:space="preserve">De parameter </w:t>
      </w:r>
      <w:r w:rsidRPr="00AD2CF5">
        <w:rPr>
          <w:i/>
        </w:rPr>
        <w:t>r</w:t>
      </w:r>
      <w:r w:rsidRPr="00AD2CF5">
        <w:rPr>
          <w:vertAlign w:val="subscript"/>
        </w:rPr>
        <w:t>0</w:t>
      </w:r>
      <w:r w:rsidRPr="00AD2CF5">
        <w:t xml:space="preserve"> is de afstand van de bron tot de centrale cilinder van het segment, waarbij de afstand van de bron tot de centrale cilinder kleiner wordt verondersteld dan de afstand van het rekenpunt tot de cilinder; als dit niet zo is dan moet voor </w:t>
      </w:r>
      <w:r w:rsidRPr="00AD2CF5">
        <w:rPr>
          <w:i/>
        </w:rPr>
        <w:t>r</w:t>
      </w:r>
      <w:r w:rsidRPr="00AD2CF5">
        <w:rPr>
          <w:vertAlign w:val="subscript"/>
        </w:rPr>
        <w:t>0</w:t>
      </w:r>
      <w:r w:rsidRPr="00AD2CF5">
        <w:t xml:space="preserve"> de afstand van het rekenpunt naar de centrale cilinder gebruikt worden.</w:t>
      </w:r>
    </w:p>
    <w:p w:rsidR="00F43C9B" w:rsidRPr="00AD2CF5" w:rsidRDefault="00F43C9B" w:rsidP="00F43C9B">
      <w:pPr>
        <w:pStyle w:val="Body"/>
        <w:shd w:val="clear" w:color="auto" w:fill="D9D9D9" w:themeFill="background1" w:themeFillShade="D9"/>
        <w:spacing w:line="240" w:lineRule="auto"/>
        <w:rPr>
          <w:sz w:val="22"/>
        </w:rPr>
      </w:pPr>
    </w:p>
    <w:p w:rsidR="00F43C9B" w:rsidRPr="00AD2CF5" w:rsidRDefault="00F43C9B" w:rsidP="00F43C9B">
      <w:pPr>
        <w:pStyle w:val="Body"/>
        <w:shd w:val="clear" w:color="auto" w:fill="D9D9D9" w:themeFill="background1" w:themeFillShade="D9"/>
        <w:spacing w:line="240" w:lineRule="auto"/>
        <w:rPr>
          <w:sz w:val="22"/>
        </w:rPr>
      </w:pPr>
      <w:r w:rsidRPr="00AD2CF5">
        <w:rPr>
          <w:sz w:val="22"/>
        </w:rPr>
        <w:t xml:space="preserve">Bij de overdracht van een virtuele bron naar het rekenpunt treden de dempingen </w:t>
      </w:r>
      <w:r w:rsidRPr="00AD2CF5">
        <w:rPr>
          <w:i/>
          <w:sz w:val="22"/>
        </w:rPr>
        <w:t>D</w:t>
      </w:r>
      <w:r w:rsidRPr="00AD2CF5">
        <w:rPr>
          <w:i/>
          <w:sz w:val="22"/>
          <w:vertAlign w:val="subscript"/>
        </w:rPr>
        <w:t>geo</w:t>
      </w:r>
      <w:r w:rsidRPr="00AD2CF5">
        <w:rPr>
          <w:sz w:val="22"/>
        </w:rPr>
        <w:t xml:space="preserve">, </w:t>
      </w:r>
      <w:r w:rsidRPr="00AD2CF5">
        <w:rPr>
          <w:i/>
          <w:sz w:val="22"/>
        </w:rPr>
        <w:t>D</w:t>
      </w:r>
      <w:r w:rsidRPr="00AD2CF5">
        <w:rPr>
          <w:i/>
          <w:sz w:val="22"/>
          <w:vertAlign w:val="subscript"/>
        </w:rPr>
        <w:t>lucht</w:t>
      </w:r>
      <w:r w:rsidRPr="00AD2CF5">
        <w:rPr>
          <w:sz w:val="22"/>
        </w:rPr>
        <w:t xml:space="preserve">, </w:t>
      </w:r>
      <w:r w:rsidRPr="00AD2CF5">
        <w:rPr>
          <w:i/>
          <w:sz w:val="22"/>
        </w:rPr>
        <w:t>D</w:t>
      </w:r>
      <w:r w:rsidRPr="00AD2CF5">
        <w:rPr>
          <w:i/>
          <w:sz w:val="22"/>
          <w:vertAlign w:val="subscript"/>
        </w:rPr>
        <w:t>bodem</w:t>
      </w:r>
      <w:r w:rsidRPr="00AD2CF5">
        <w:rPr>
          <w:sz w:val="22"/>
        </w:rPr>
        <w:t xml:space="preserve"> en eventueel </w:t>
      </w:r>
      <w:r w:rsidRPr="00AD2CF5">
        <w:rPr>
          <w:i/>
          <w:sz w:val="22"/>
        </w:rPr>
        <w:t>D</w:t>
      </w:r>
      <w:r w:rsidRPr="00AD2CF5">
        <w:rPr>
          <w:i/>
          <w:sz w:val="22"/>
          <w:vertAlign w:val="subscript"/>
        </w:rPr>
        <w:t>scherm</w:t>
      </w:r>
      <w:r w:rsidRPr="00AD2CF5">
        <w:rPr>
          <w:sz w:val="22"/>
        </w:rPr>
        <w:t xml:space="preserve"> op. De berekening van deze dempingen gaat op dezelfde manier als dit bij spiegelreflecties is beschreven.</w:t>
      </w:r>
      <w:bookmarkEnd w:id="604"/>
    </w:p>
    <w:p w:rsidR="00F43C9B" w:rsidRPr="00AD2CF5" w:rsidRDefault="00F43C9B" w:rsidP="00F43C9B">
      <w:pPr>
        <w:pStyle w:val="Body"/>
        <w:shd w:val="clear" w:color="auto" w:fill="D9D9D9" w:themeFill="background1" w:themeFillShade="D9"/>
        <w:spacing w:line="240" w:lineRule="auto"/>
      </w:pPr>
    </w:p>
    <w:p w:rsidR="00F43C9B" w:rsidRPr="00AD2CF5" w:rsidRDefault="00F43C9B" w:rsidP="00F43C9B">
      <w:pPr>
        <w:pStyle w:val="Kop1"/>
        <w:shd w:val="clear" w:color="auto" w:fill="D9D9D9" w:themeFill="background1" w:themeFillShade="D9"/>
      </w:pPr>
      <w:bookmarkStart w:id="609" w:name="_Toc428341403"/>
      <w:bookmarkStart w:id="610" w:name="_Toc428595739"/>
      <w:bookmarkStart w:id="611" w:name="_Toc428596315"/>
      <w:bookmarkStart w:id="612" w:name="_Toc431793363"/>
      <w:bookmarkStart w:id="613" w:name="_Toc413945849"/>
      <w:bookmarkStart w:id="614" w:name="_Toc431375862"/>
      <w:r w:rsidRPr="00AD2CF5">
        <w:t xml:space="preserve">5 </w:t>
      </w:r>
      <w:r w:rsidRPr="00AD2CF5">
        <w:fldChar w:fldCharType="begin"/>
      </w:r>
      <w:r w:rsidRPr="00AD2CF5">
        <w:instrText xml:space="preserve"> SEQ numchaplev3 \r0\h \* MERGEFORMAT </w:instrText>
      </w:r>
      <w:r w:rsidRPr="00AD2CF5">
        <w:fldChar w:fldCharType="end"/>
      </w:r>
      <w:r w:rsidRPr="00AD2CF5">
        <w:tab/>
        <w:t>Beschrijving invoergegevens</w:t>
      </w:r>
      <w:bookmarkEnd w:id="609"/>
      <w:bookmarkEnd w:id="610"/>
      <w:bookmarkEnd w:id="611"/>
      <w:bookmarkEnd w:id="612"/>
      <w:bookmarkEnd w:id="613"/>
      <w:bookmarkEnd w:id="614"/>
    </w:p>
    <w:p w:rsidR="00F43C9B" w:rsidRPr="00AD2CF5" w:rsidRDefault="00F43C9B" w:rsidP="00F43C9B">
      <w:pPr>
        <w:pStyle w:val="Kop2"/>
        <w:shd w:val="clear" w:color="auto" w:fill="D9D9D9" w:themeFill="background1" w:themeFillShade="D9"/>
        <w:rPr>
          <w:b w:val="0"/>
          <w:bCs w:val="0"/>
        </w:rPr>
      </w:pPr>
      <w:bookmarkStart w:id="615" w:name="_Toc413945851"/>
      <w:bookmarkStart w:id="616" w:name="_Toc431375863"/>
      <w:r w:rsidRPr="00AD2CF5">
        <w:t>5.1</w:t>
      </w:r>
      <w:r w:rsidRPr="00AD2CF5">
        <w:tab/>
        <w:t>Gebruiksbeschrijving</w:t>
      </w:r>
      <w:bookmarkEnd w:id="615"/>
      <w:bookmarkEnd w:id="616"/>
    </w:p>
    <w:p w:rsidR="00F43C9B" w:rsidRPr="00AD2CF5" w:rsidRDefault="00F43C9B" w:rsidP="00F43C9B">
      <w:pPr>
        <w:pStyle w:val="Kop3"/>
        <w:shd w:val="clear" w:color="auto" w:fill="D9D9D9" w:themeFill="background1" w:themeFillShade="D9"/>
      </w:pPr>
      <w:bookmarkStart w:id="617" w:name="_Toc413945852"/>
      <w:bookmarkStart w:id="618" w:name="_Toc431375864"/>
      <w:r w:rsidRPr="00AD2CF5">
        <w:t>5.1.1</w:t>
      </w:r>
      <w:r w:rsidRPr="00AD2CF5">
        <w:tab/>
        <w:t>Schietbanen</w:t>
      </w:r>
      <w:bookmarkEnd w:id="617"/>
      <w:bookmarkEnd w:id="618"/>
    </w:p>
    <w:p w:rsidR="00F43C9B" w:rsidRPr="00AD2CF5" w:rsidRDefault="00F43C9B" w:rsidP="00F43C9B">
      <w:pPr>
        <w:shd w:val="clear" w:color="auto" w:fill="D9D9D9" w:themeFill="background1" w:themeFillShade="D9"/>
      </w:pPr>
      <w:r w:rsidRPr="00AD2CF5">
        <w:t>Met betrekking tot het gebruik van de schietinrichting moeten de volgende gegevens worden vermeld:</w:t>
      </w:r>
    </w:p>
    <w:p w:rsidR="00F43C9B" w:rsidRPr="00AD2CF5" w:rsidRDefault="00F43C9B" w:rsidP="00EB7F6B">
      <w:pPr>
        <w:numPr>
          <w:ilvl w:val="0"/>
          <w:numId w:val="17"/>
        </w:numPr>
        <w:shd w:val="clear" w:color="auto" w:fill="D9D9D9" w:themeFill="background1" w:themeFillShade="D9"/>
        <w:spacing w:line="280" w:lineRule="exact"/>
      </w:pPr>
      <w:r w:rsidRPr="00AD2CF5">
        <w:t>aantal dagen (07.00 –19.00 uur), avonden (19.00 – 23.00 uur) en nachten (23.00 –7.00 uur) per jaar dat de schietbanen in gebruik zijn;</w:t>
      </w:r>
    </w:p>
    <w:p w:rsidR="00F43C9B" w:rsidRPr="00AD2CF5" w:rsidRDefault="00F43C9B" w:rsidP="00EB7F6B">
      <w:pPr>
        <w:numPr>
          <w:ilvl w:val="0"/>
          <w:numId w:val="17"/>
        </w:numPr>
        <w:shd w:val="clear" w:color="auto" w:fill="D9D9D9" w:themeFill="background1" w:themeFillShade="D9"/>
        <w:spacing w:line="280" w:lineRule="exact"/>
      </w:pPr>
      <w:r w:rsidRPr="00AD2CF5">
        <w:t>mogelijke beperkingen die gesteld zijn aan het gebruik van de schietinrichting;</w:t>
      </w:r>
    </w:p>
    <w:p w:rsidR="00F43C9B" w:rsidRPr="00AD2CF5" w:rsidRDefault="00F43C9B" w:rsidP="00EB7F6B">
      <w:pPr>
        <w:numPr>
          <w:ilvl w:val="0"/>
          <w:numId w:val="17"/>
        </w:numPr>
        <w:shd w:val="clear" w:color="auto" w:fill="D9D9D9" w:themeFill="background1" w:themeFillShade="D9"/>
        <w:spacing w:line="280" w:lineRule="exact"/>
      </w:pPr>
      <w:r w:rsidRPr="00AD2CF5">
        <w:t>schietbaantype (zie §2.7);</w:t>
      </w:r>
    </w:p>
    <w:p w:rsidR="00F43C9B" w:rsidRPr="00AD2CF5" w:rsidRDefault="00F43C9B" w:rsidP="00EB7F6B">
      <w:pPr>
        <w:numPr>
          <w:ilvl w:val="0"/>
          <w:numId w:val="17"/>
        </w:numPr>
        <w:shd w:val="clear" w:color="auto" w:fill="D9D9D9" w:themeFill="background1" w:themeFillShade="D9"/>
        <w:spacing w:line="280" w:lineRule="exact"/>
      </w:pPr>
      <w:r w:rsidRPr="00AD2CF5">
        <w:t>akoestische voorzieningen;</w:t>
      </w:r>
    </w:p>
    <w:p w:rsidR="00F43C9B" w:rsidRPr="00AD2CF5" w:rsidRDefault="00F43C9B" w:rsidP="00EB7F6B">
      <w:pPr>
        <w:numPr>
          <w:ilvl w:val="0"/>
          <w:numId w:val="17"/>
        </w:numPr>
        <w:shd w:val="clear" w:color="auto" w:fill="D9D9D9" w:themeFill="background1" w:themeFillShade="D9"/>
        <w:spacing w:line="280" w:lineRule="exact"/>
      </w:pPr>
      <w:r w:rsidRPr="00AD2CF5">
        <w:t>lengte van de schietbanen;</w:t>
      </w:r>
    </w:p>
    <w:p w:rsidR="00F43C9B" w:rsidRPr="00AD2CF5" w:rsidRDefault="00F43C9B" w:rsidP="00EB7F6B">
      <w:pPr>
        <w:numPr>
          <w:ilvl w:val="0"/>
          <w:numId w:val="17"/>
        </w:numPr>
        <w:shd w:val="clear" w:color="auto" w:fill="D9D9D9" w:themeFill="background1" w:themeFillShade="D9"/>
        <w:spacing w:line="280" w:lineRule="exact"/>
      </w:pPr>
      <w:r w:rsidRPr="00AD2CF5">
        <w:t>locatie van de schietposities;</w:t>
      </w:r>
    </w:p>
    <w:p w:rsidR="00F43C9B" w:rsidRPr="00AD2CF5" w:rsidRDefault="00F43C9B" w:rsidP="00EB7F6B">
      <w:pPr>
        <w:numPr>
          <w:ilvl w:val="0"/>
          <w:numId w:val="17"/>
        </w:numPr>
        <w:shd w:val="clear" w:color="auto" w:fill="D9D9D9" w:themeFill="background1" w:themeFillShade="D9"/>
        <w:spacing w:line="280" w:lineRule="exact"/>
      </w:pPr>
      <w:r w:rsidRPr="00AD2CF5">
        <w:t>locatie van de doelposities;</w:t>
      </w:r>
    </w:p>
    <w:p w:rsidR="00F43C9B" w:rsidRPr="00AD2CF5" w:rsidRDefault="00F43C9B" w:rsidP="00EB7F6B">
      <w:pPr>
        <w:numPr>
          <w:ilvl w:val="0"/>
          <w:numId w:val="17"/>
        </w:numPr>
        <w:shd w:val="clear" w:color="auto" w:fill="D9D9D9" w:themeFill="background1" w:themeFillShade="D9"/>
        <w:spacing w:line="280" w:lineRule="exact"/>
        <w:rPr>
          <w:b/>
          <w:bCs/>
        </w:rPr>
      </w:pPr>
      <w:r w:rsidRPr="00AD2CF5">
        <w:t>specificatie van de wapentypes en de munitie (met bijbehorende aandrijvende lading) waarmee geschoten wordt;</w:t>
      </w:r>
    </w:p>
    <w:p w:rsidR="00F43C9B" w:rsidRPr="00AD2CF5" w:rsidRDefault="00F43C9B" w:rsidP="00EB7F6B">
      <w:pPr>
        <w:numPr>
          <w:ilvl w:val="0"/>
          <w:numId w:val="17"/>
        </w:numPr>
        <w:shd w:val="clear" w:color="auto" w:fill="D9D9D9" w:themeFill="background1" w:themeFillShade="D9"/>
        <w:spacing w:line="280" w:lineRule="exact"/>
        <w:rPr>
          <w:b/>
          <w:bCs/>
        </w:rPr>
      </w:pPr>
      <w:r w:rsidRPr="00AD2CF5">
        <w:t>hoogte van het bronpunt van elk wapentype boven het plaatselijk maaiveld;</w:t>
      </w:r>
    </w:p>
    <w:p w:rsidR="00F43C9B" w:rsidRPr="00AD2CF5" w:rsidRDefault="00F43C9B" w:rsidP="00EB7F6B">
      <w:pPr>
        <w:numPr>
          <w:ilvl w:val="0"/>
          <w:numId w:val="17"/>
        </w:numPr>
        <w:shd w:val="clear" w:color="auto" w:fill="D9D9D9" w:themeFill="background1" w:themeFillShade="D9"/>
        <w:spacing w:line="280" w:lineRule="exact"/>
        <w:rPr>
          <w:b/>
          <w:bCs/>
        </w:rPr>
      </w:pPr>
      <w:r w:rsidRPr="00AD2CF5">
        <w:t>aantal schoten per jaar, uitgesplitst naar</w:t>
      </w:r>
    </w:p>
    <w:p w:rsidR="00F43C9B" w:rsidRPr="00AD2CF5" w:rsidRDefault="00F43C9B" w:rsidP="00EB7F6B">
      <w:pPr>
        <w:numPr>
          <w:ilvl w:val="1"/>
          <w:numId w:val="17"/>
        </w:numPr>
        <w:shd w:val="clear" w:color="auto" w:fill="D9D9D9" w:themeFill="background1" w:themeFillShade="D9"/>
        <w:spacing w:line="280" w:lineRule="exact"/>
        <w:rPr>
          <w:b/>
          <w:bCs/>
        </w:rPr>
      </w:pPr>
      <w:r w:rsidRPr="00AD2CF5">
        <w:t>beoordelingsperiode</w:t>
      </w:r>
      <w:r w:rsidRPr="00AD2CF5">
        <w:fldChar w:fldCharType="begin"/>
      </w:r>
      <w:r w:rsidRPr="00AD2CF5">
        <w:instrText xml:space="preserve"> XE "beoordelingsperiode" </w:instrText>
      </w:r>
      <w:r w:rsidRPr="00AD2CF5">
        <w:fldChar w:fldCharType="end"/>
      </w:r>
      <w:r w:rsidRPr="00AD2CF5">
        <w:t xml:space="preserve"> (dag: 07.00 –19.00 uur, avond: 19.00 – 23.00 uur, nacht: 23.00 –7.00 uur), alleen voor de dagperiode wordt dit uitgesplitst naar zon- en feestdagen en overige dagen;</w:t>
      </w:r>
    </w:p>
    <w:p w:rsidR="00F43C9B" w:rsidRPr="00AD2CF5" w:rsidRDefault="00F43C9B" w:rsidP="00EB7F6B">
      <w:pPr>
        <w:numPr>
          <w:ilvl w:val="1"/>
          <w:numId w:val="17"/>
        </w:numPr>
        <w:shd w:val="clear" w:color="auto" w:fill="D9D9D9" w:themeFill="background1" w:themeFillShade="D9"/>
        <w:spacing w:line="280" w:lineRule="exact"/>
        <w:rPr>
          <w:b/>
          <w:bCs/>
        </w:rPr>
      </w:pPr>
      <w:r w:rsidRPr="00AD2CF5">
        <w:t>schietbaan;</w:t>
      </w:r>
    </w:p>
    <w:p w:rsidR="00F43C9B" w:rsidRPr="00AD2CF5" w:rsidRDefault="00F43C9B" w:rsidP="00EB7F6B">
      <w:pPr>
        <w:numPr>
          <w:ilvl w:val="1"/>
          <w:numId w:val="17"/>
        </w:numPr>
        <w:shd w:val="clear" w:color="auto" w:fill="D9D9D9" w:themeFill="background1" w:themeFillShade="D9"/>
        <w:spacing w:line="280" w:lineRule="exact"/>
        <w:rPr>
          <w:b/>
          <w:bCs/>
        </w:rPr>
      </w:pPr>
      <w:r w:rsidRPr="00AD2CF5">
        <w:t>schietpositie;</w:t>
      </w:r>
    </w:p>
    <w:p w:rsidR="00F43C9B" w:rsidRPr="00AD2CF5" w:rsidRDefault="00F43C9B" w:rsidP="00EB7F6B">
      <w:pPr>
        <w:numPr>
          <w:ilvl w:val="1"/>
          <w:numId w:val="17"/>
        </w:numPr>
        <w:shd w:val="clear" w:color="auto" w:fill="D9D9D9" w:themeFill="background1" w:themeFillShade="D9"/>
        <w:spacing w:line="280" w:lineRule="exact"/>
        <w:rPr>
          <w:b/>
          <w:bCs/>
        </w:rPr>
      </w:pPr>
      <w:r w:rsidRPr="00AD2CF5">
        <w:t>doelpositie;</w:t>
      </w:r>
    </w:p>
    <w:p w:rsidR="00F43C9B" w:rsidRPr="00AD2CF5" w:rsidRDefault="00F43C9B" w:rsidP="00EB7F6B">
      <w:pPr>
        <w:numPr>
          <w:ilvl w:val="1"/>
          <w:numId w:val="17"/>
        </w:numPr>
        <w:shd w:val="clear" w:color="auto" w:fill="D9D9D9" w:themeFill="background1" w:themeFillShade="D9"/>
        <w:spacing w:line="280" w:lineRule="exact"/>
        <w:rPr>
          <w:b/>
          <w:bCs/>
        </w:rPr>
      </w:pPr>
      <w:r w:rsidRPr="00AD2CF5">
        <w:t>wapen-munitiecombinatie;</w:t>
      </w:r>
    </w:p>
    <w:p w:rsidR="00F43C9B" w:rsidRPr="00AD2CF5" w:rsidRDefault="00F43C9B" w:rsidP="00EB7F6B">
      <w:pPr>
        <w:numPr>
          <w:ilvl w:val="0"/>
          <w:numId w:val="17"/>
        </w:numPr>
        <w:shd w:val="clear" w:color="auto" w:fill="D9D9D9" w:themeFill="background1" w:themeFillShade="D9"/>
        <w:spacing w:line="280" w:lineRule="exact"/>
        <w:rPr>
          <w:b/>
          <w:bCs/>
        </w:rPr>
      </w:pPr>
      <w:r w:rsidRPr="00AD2CF5">
        <w:t>verdeling van de schoten naar de stand waaruit geschoten wordt (liggend of staand).</w:t>
      </w:r>
    </w:p>
    <w:p w:rsidR="00F43C9B" w:rsidRPr="00AD2CF5" w:rsidRDefault="00F43C9B" w:rsidP="00F43C9B">
      <w:pPr>
        <w:pStyle w:val="Kop2"/>
        <w:shd w:val="clear" w:color="auto" w:fill="D9D9D9" w:themeFill="background1" w:themeFillShade="D9"/>
        <w:rPr>
          <w:b w:val="0"/>
          <w:bCs w:val="0"/>
        </w:rPr>
      </w:pPr>
      <w:bookmarkStart w:id="619" w:name="_Toc413945853"/>
      <w:bookmarkStart w:id="620" w:name="_Toc431375865"/>
      <w:r w:rsidRPr="00AD2CF5">
        <w:t>5.2</w:t>
      </w:r>
      <w:r w:rsidRPr="00AD2CF5">
        <w:tab/>
        <w:t>Rekenmodel</w:t>
      </w:r>
      <w:bookmarkEnd w:id="619"/>
      <w:bookmarkEnd w:id="620"/>
    </w:p>
    <w:p w:rsidR="00F43C9B" w:rsidRPr="00AD2CF5" w:rsidRDefault="00F43C9B" w:rsidP="00F43C9B">
      <w:pPr>
        <w:pStyle w:val="Kop3"/>
        <w:shd w:val="clear" w:color="auto" w:fill="D9D9D9" w:themeFill="background1" w:themeFillShade="D9"/>
      </w:pPr>
      <w:bookmarkStart w:id="621" w:name="_Toc413945854"/>
      <w:bookmarkStart w:id="622" w:name="_Toc431375866"/>
      <w:r w:rsidRPr="00AD2CF5">
        <w:t>5.2.1</w:t>
      </w:r>
      <w:r w:rsidRPr="00AD2CF5">
        <w:tab/>
        <w:t>Toepassingsbereik</w:t>
      </w:r>
      <w:bookmarkEnd w:id="621"/>
      <w:bookmarkEnd w:id="622"/>
    </w:p>
    <w:p w:rsidR="00F43C9B" w:rsidRPr="00AD2CF5" w:rsidRDefault="00F43C9B" w:rsidP="00F43C9B">
      <w:pPr>
        <w:shd w:val="clear" w:color="auto" w:fill="D9D9D9" w:themeFill="background1" w:themeFillShade="D9"/>
      </w:pPr>
      <w:r w:rsidRPr="00AD2CF5">
        <w:t>In het akoestisch rapport moet worden aangetoond dat de betreffende situatie valt binnen het toepassingsbereik</w:t>
      </w:r>
      <w:r w:rsidRPr="00AD2CF5">
        <w:fldChar w:fldCharType="begin"/>
      </w:r>
      <w:r w:rsidRPr="00AD2CF5">
        <w:instrText xml:space="preserve"> XE "toepassingsbereik" </w:instrText>
      </w:r>
      <w:r w:rsidRPr="00AD2CF5">
        <w:fldChar w:fldCharType="end"/>
      </w:r>
      <w:r w:rsidRPr="00AD2CF5">
        <w:t xml:space="preserve"> van bijlage 9 van de Activiteitenregeling.</w:t>
      </w:r>
    </w:p>
    <w:p w:rsidR="00F43C9B" w:rsidRPr="00AD2CF5" w:rsidRDefault="00F43C9B" w:rsidP="00F43C9B">
      <w:pPr>
        <w:pStyle w:val="Kop3"/>
        <w:shd w:val="clear" w:color="auto" w:fill="D9D9D9" w:themeFill="background1" w:themeFillShade="D9"/>
      </w:pPr>
      <w:bookmarkStart w:id="623" w:name="_Toc413945855"/>
      <w:bookmarkStart w:id="624" w:name="_Toc431375867"/>
      <w:r w:rsidRPr="00AD2CF5">
        <w:t>5.2.2</w:t>
      </w:r>
      <w:r w:rsidRPr="00AD2CF5">
        <w:tab/>
        <w:t>Gebruikte software</w:t>
      </w:r>
      <w:bookmarkEnd w:id="623"/>
      <w:bookmarkEnd w:id="624"/>
    </w:p>
    <w:p w:rsidR="00F43C9B" w:rsidRPr="00AD2CF5" w:rsidRDefault="00F43C9B" w:rsidP="00F43C9B">
      <w:pPr>
        <w:shd w:val="clear" w:color="auto" w:fill="D9D9D9" w:themeFill="background1" w:themeFillShade="D9"/>
      </w:pPr>
      <w:r w:rsidRPr="00AD2CF5">
        <w:t>De volgende gegevens over de gebruikte software moeten worden vermeld:</w:t>
      </w:r>
    </w:p>
    <w:p w:rsidR="00F43C9B" w:rsidRPr="00AD2CF5" w:rsidRDefault="00F43C9B" w:rsidP="00EB7F6B">
      <w:pPr>
        <w:numPr>
          <w:ilvl w:val="0"/>
          <w:numId w:val="18"/>
        </w:numPr>
        <w:shd w:val="clear" w:color="auto" w:fill="D9D9D9" w:themeFill="background1" w:themeFillShade="D9"/>
        <w:spacing w:line="280" w:lineRule="exact"/>
      </w:pPr>
      <w:r w:rsidRPr="00AD2CF5">
        <w:t>datum of versie van toegepaste rekenprogramma(’s);</w:t>
      </w:r>
    </w:p>
    <w:p w:rsidR="00F43C9B" w:rsidRPr="00AD2CF5" w:rsidRDefault="00F43C9B" w:rsidP="00EB7F6B">
      <w:pPr>
        <w:numPr>
          <w:ilvl w:val="0"/>
          <w:numId w:val="18"/>
        </w:numPr>
        <w:shd w:val="clear" w:color="auto" w:fill="D9D9D9" w:themeFill="background1" w:themeFillShade="D9"/>
        <w:spacing w:line="280" w:lineRule="exact"/>
        <w:rPr>
          <w:b/>
          <w:bCs/>
        </w:rPr>
      </w:pPr>
      <w:r w:rsidRPr="00AD2CF5">
        <w:t>datum of versie van de toegepaste gegevensbestanden.</w:t>
      </w:r>
    </w:p>
    <w:p w:rsidR="00F43C9B" w:rsidRPr="00AD2CF5" w:rsidRDefault="00F43C9B" w:rsidP="00F43C9B">
      <w:pPr>
        <w:pStyle w:val="Kop3"/>
        <w:shd w:val="clear" w:color="auto" w:fill="D9D9D9" w:themeFill="background1" w:themeFillShade="D9"/>
      </w:pPr>
      <w:bookmarkStart w:id="625" w:name="_Toc413945856"/>
      <w:bookmarkStart w:id="626" w:name="_Toc431375868"/>
      <w:r w:rsidRPr="00AD2CF5">
        <w:t>5.2.3</w:t>
      </w:r>
      <w:r w:rsidRPr="00AD2CF5">
        <w:tab/>
        <w:t>Modellering</w:t>
      </w:r>
      <w:bookmarkEnd w:id="625"/>
      <w:bookmarkEnd w:id="626"/>
    </w:p>
    <w:p w:rsidR="00F43C9B" w:rsidRPr="00AD2CF5" w:rsidRDefault="00F43C9B" w:rsidP="00F43C9B">
      <w:pPr>
        <w:shd w:val="clear" w:color="auto" w:fill="D9D9D9" w:themeFill="background1" w:themeFillShade="D9"/>
      </w:pPr>
      <w:r w:rsidRPr="00AD2CF5">
        <w:t>In het rapport moet vermeld worden welke keuzes er zijn gemaakt met betrekking tot de modellering en waarom deze keuzes zijn gemaakt. Wanneer in de modellering wordt afgeweken van de “Reken- en meetvoorschrift ter bepaling van de geluidbelasting ten gevolge van schietactiviteiten”, moet dit met redenen omkleed worden aangegeven.</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t>Als de brongegevens niet in het gegevensbestand zijn opgenomen maar uit emissiemetingen zijn verkregen, moeten deze metingen zijn uitgevoerd zoals beschreven in TNO-rapport: “Toelichting op toepassing van methoden voor meten en rekenen aan schietgeluid” (TNO 2014 R10135). De beschrijving van de emissiemetingen dient als bijlage aan het rapport te worden toegevoegd. Ook kan volstaan worden met een verwijzing naaar een bestaande rapportage.</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rPr>
          <w:b/>
          <w:bCs/>
        </w:rPr>
      </w:pPr>
      <w:r w:rsidRPr="00AD2CF5">
        <w:t>Als de brongegevens niet direct uit metingen zijn bepaald, moet de reden hiervan opgegeven worden en moet vermeld worden hoe deze brongegevens zijn verkregen. Dit dient ook te gebeuren als gebruik gemaakt is van de categorie</w:t>
      </w:r>
      <w:r w:rsidRPr="00AD2CF5">
        <w:softHyphen/>
        <w:t>indeling voor wapen-munitiecombinaties van hand- en vuistvuurwapens. De procedure hiervoor staat beschreven in het eerder genoemde TNO-rapport.</w:t>
      </w:r>
    </w:p>
    <w:p w:rsidR="00F43C9B" w:rsidRPr="00AD2CF5" w:rsidRDefault="00F43C9B" w:rsidP="00F43C9B">
      <w:pPr>
        <w:pStyle w:val="Kop3"/>
        <w:shd w:val="clear" w:color="auto" w:fill="D9D9D9" w:themeFill="background1" w:themeFillShade="D9"/>
      </w:pPr>
      <w:bookmarkStart w:id="627" w:name="_Toc413945857"/>
      <w:bookmarkStart w:id="628" w:name="_Toc431375869"/>
      <w:r w:rsidRPr="00AD2CF5">
        <w:t>5.2.4</w:t>
      </w:r>
      <w:r w:rsidRPr="00AD2CF5">
        <w:tab/>
        <w:t>Invoergegevens voor het rekenmodel</w:t>
      </w:r>
      <w:bookmarkEnd w:id="627"/>
      <w:bookmarkEnd w:id="628"/>
    </w:p>
    <w:p w:rsidR="00F43C9B" w:rsidRPr="00AD2CF5" w:rsidRDefault="00F43C9B" w:rsidP="00F43C9B">
      <w:pPr>
        <w:shd w:val="clear" w:color="auto" w:fill="D9D9D9" w:themeFill="background1" w:themeFillShade="D9"/>
      </w:pPr>
      <w:r w:rsidRPr="00AD2CF5">
        <w:t>In de hoofdtekst van het akoestisch rapport moet een globale beschrijving van de invoergegevens voor het rekenmodel gegeven worden. Een gedetailleerde beschrijving van de invoergegevens en een grafische weergave van de geometrische invoergegevens wordt als bijlage in het rapport opgenomen.</w:t>
      </w:r>
    </w:p>
    <w:p w:rsidR="00F43C9B" w:rsidRPr="00AD2CF5" w:rsidRDefault="00F43C9B" w:rsidP="00F43C9B">
      <w:pPr>
        <w:pStyle w:val="Kop2"/>
        <w:shd w:val="clear" w:color="auto" w:fill="D9D9D9" w:themeFill="background1" w:themeFillShade="D9"/>
      </w:pPr>
      <w:r w:rsidRPr="00AD2CF5">
        <w:br w:type="page"/>
      </w:r>
      <w:bookmarkStart w:id="629" w:name="_Toc413945858"/>
      <w:bookmarkStart w:id="630" w:name="_Toc431375870"/>
      <w:r w:rsidRPr="00AD2CF5">
        <w:t>5.3</w:t>
      </w:r>
      <w:r w:rsidRPr="00AD2CF5">
        <w:tab/>
        <w:t>Berekeningsresultaten</w:t>
      </w:r>
      <w:bookmarkEnd w:id="629"/>
      <w:bookmarkEnd w:id="630"/>
    </w:p>
    <w:p w:rsidR="00F43C9B" w:rsidRPr="00AD2CF5" w:rsidRDefault="00F43C9B" w:rsidP="00F43C9B">
      <w:pPr>
        <w:shd w:val="clear" w:color="auto" w:fill="D9D9D9" w:themeFill="background1" w:themeFillShade="D9"/>
      </w:pPr>
      <w:r w:rsidRPr="00AD2CF5">
        <w:t>Voor elk rekenpunt moet voor de drie beoordelings</w:t>
      </w:r>
      <w:r w:rsidRPr="00AD2CF5">
        <w:softHyphen/>
        <w:t>perioden de geluid</w:t>
      </w:r>
      <w:r w:rsidRPr="00AD2CF5">
        <w:softHyphen/>
        <w:t>belasting gegeven worden (</w:t>
      </w:r>
      <w:r w:rsidRPr="00AD2CF5">
        <w:rPr>
          <w:i/>
        </w:rPr>
        <w:t>B</w:t>
      </w:r>
      <w:r w:rsidRPr="00AD2CF5">
        <w:rPr>
          <w:i/>
          <w:vertAlign w:val="subscript"/>
        </w:rPr>
        <w:t>s,dag</w:t>
      </w:r>
      <w:r w:rsidRPr="00AD2CF5">
        <w:t>,</w:t>
      </w:r>
      <w:r w:rsidRPr="00AD2CF5">
        <w:rPr>
          <w:i/>
        </w:rPr>
        <w:t xml:space="preserve"> B</w:t>
      </w:r>
      <w:r w:rsidRPr="00AD2CF5">
        <w:rPr>
          <w:i/>
          <w:vertAlign w:val="subscript"/>
        </w:rPr>
        <w:t>s,avond</w:t>
      </w:r>
      <w:r w:rsidRPr="00AD2CF5">
        <w:rPr>
          <w:i/>
        </w:rPr>
        <w:t xml:space="preserve"> </w:t>
      </w:r>
      <w:r w:rsidRPr="00AD2CF5">
        <w:t xml:space="preserve">en </w:t>
      </w:r>
      <w:r w:rsidRPr="00AD2CF5">
        <w:rPr>
          <w:i/>
        </w:rPr>
        <w:t>B</w:t>
      </w:r>
      <w:r w:rsidRPr="00AD2CF5">
        <w:rPr>
          <w:i/>
          <w:vertAlign w:val="subscript"/>
        </w:rPr>
        <w:t>s,nacht</w:t>
      </w:r>
      <w:r w:rsidRPr="00AD2CF5">
        <w:t>) samen met de daaruit afgeleide dag-</w:t>
      </w:r>
      <w:r w:rsidRPr="00AD2CF5">
        <w:rPr>
          <w:iCs/>
        </w:rPr>
        <w:t>avond-nachtwaarde</w:t>
      </w:r>
      <w:r w:rsidRPr="00AD2CF5">
        <w:rPr>
          <w:iCs/>
        </w:rPr>
        <w:fldChar w:fldCharType="begin"/>
      </w:r>
      <w:r w:rsidRPr="00AD2CF5">
        <w:rPr>
          <w:iCs/>
        </w:rPr>
        <w:instrText xml:space="preserve"> XE "</w:instrText>
      </w:r>
      <w:r w:rsidRPr="00AD2CF5">
        <w:instrText>dag-avond-nachtwaarde"</w:instrText>
      </w:r>
      <w:r w:rsidRPr="00AD2CF5">
        <w:rPr>
          <w:iCs/>
        </w:rPr>
        <w:instrText xml:space="preserve"> </w:instrText>
      </w:r>
      <w:r w:rsidRPr="00AD2CF5">
        <w:rPr>
          <w:iCs/>
        </w:rPr>
        <w:fldChar w:fldCharType="end"/>
      </w:r>
      <w:r w:rsidRPr="00AD2CF5">
        <w:rPr>
          <w:iCs/>
        </w:rPr>
        <w:t xml:space="preserve"> (</w:t>
      </w:r>
      <w:r w:rsidRPr="00AD2CF5">
        <w:rPr>
          <w:i/>
          <w:iCs/>
        </w:rPr>
        <w:t>B</w:t>
      </w:r>
      <w:r w:rsidRPr="00AD2CF5">
        <w:rPr>
          <w:i/>
          <w:iCs/>
          <w:vertAlign w:val="subscript"/>
        </w:rPr>
        <w:t>s,dan</w:t>
      </w:r>
      <w:r w:rsidRPr="00AD2CF5">
        <w:rPr>
          <w:iCs/>
        </w:rPr>
        <w:t xml:space="preserve">) van de geluidbelasting. </w:t>
      </w:r>
      <w:r w:rsidRPr="00AD2CF5">
        <w:t>In de bijlage van het rapport moet de geluidbelasting per bron gegeven worden voor elk rekenpunt en voor elke beoordelingsperiode</w:t>
      </w:r>
      <w:r w:rsidRPr="00AD2CF5">
        <w:fldChar w:fldCharType="begin"/>
      </w:r>
      <w:r w:rsidRPr="00AD2CF5">
        <w:instrText xml:space="preserve"> XE "beoordelingsperiode" </w:instrText>
      </w:r>
      <w:r w:rsidRPr="00AD2CF5">
        <w:fldChar w:fldCharType="end"/>
      </w:r>
      <w:r w:rsidRPr="00AD2CF5">
        <w:t>.</w:t>
      </w:r>
    </w:p>
    <w:p w:rsidR="00F43C9B" w:rsidRPr="00AD2CF5" w:rsidRDefault="00F43C9B" w:rsidP="00F43C9B">
      <w:pPr>
        <w:shd w:val="clear" w:color="auto" w:fill="D9D9D9" w:themeFill="background1" w:themeFillShade="D9"/>
        <w:ind w:left="720"/>
      </w:pPr>
      <w:r w:rsidRPr="00AD2CF5">
        <w:fldChar w:fldCharType="begin"/>
      </w:r>
      <w:r w:rsidRPr="00AD2CF5">
        <w:instrText xml:space="preserve"> XE "beoordelingsperiode" </w:instrText>
      </w:r>
      <w:r w:rsidRPr="00AD2CF5">
        <w:fldChar w:fldCharType="end"/>
      </w:r>
      <w:r w:rsidRPr="00AD2CF5">
        <w:t>.</w:t>
      </w:r>
    </w:p>
    <w:p w:rsidR="00F43C9B" w:rsidRPr="00AD2CF5" w:rsidRDefault="00F43C9B" w:rsidP="00F43C9B">
      <w:pPr>
        <w:pStyle w:val="Kop1"/>
        <w:shd w:val="clear" w:color="auto" w:fill="D9D9D9" w:themeFill="background1" w:themeFillShade="D9"/>
        <w:ind w:left="360"/>
      </w:pPr>
      <w:bookmarkStart w:id="631" w:name="_Toc413945859"/>
      <w:bookmarkStart w:id="632" w:name="_Toc431375871"/>
      <w:r w:rsidRPr="00AD2CF5">
        <w:t xml:space="preserve">Bijlage A: Methode voor de berekening van </w:t>
      </w:r>
      <w:r w:rsidRPr="00AD2CF5">
        <w:rPr>
          <w:i/>
          <w:iCs/>
        </w:rPr>
        <w:t>L</w:t>
      </w:r>
      <w:r w:rsidRPr="00AD2CF5">
        <w:rPr>
          <w:i/>
          <w:iCs/>
          <w:vertAlign w:val="subscript"/>
        </w:rPr>
        <w:t>Es, periode</w:t>
      </w:r>
      <w:r w:rsidRPr="00AD2CF5">
        <w:t xml:space="preserve"> bij een geluidbelasting kleiner dan 50 dB(A)</w:t>
      </w:r>
      <w:bookmarkEnd w:id="631"/>
      <w:bookmarkEnd w:id="632"/>
    </w:p>
    <w:p w:rsidR="00F43C9B" w:rsidRPr="00AD2CF5" w:rsidRDefault="00F43C9B" w:rsidP="00F43C9B">
      <w:pPr>
        <w:shd w:val="clear" w:color="auto" w:fill="D9D9D9" w:themeFill="background1" w:themeFillShade="D9"/>
      </w:pPr>
      <w:r w:rsidRPr="00AD2CF5">
        <w:t>In deze bijlage wordt de methode voor de berekening van de deelbijdrage aan de geluidbelasting (L</w:t>
      </w:r>
      <w:r w:rsidRPr="00AD2CF5">
        <w:rPr>
          <w:vertAlign w:val="subscript"/>
        </w:rPr>
        <w:t xml:space="preserve">Es, periode </w:t>
      </w:r>
      <w:r w:rsidRPr="00AD2CF5">
        <w:t xml:space="preserve">, zie formule 3.1) gegeven die van toepassing is indien men een geluidbelasting </w:t>
      </w:r>
      <w:r w:rsidRPr="00AD2CF5">
        <w:rPr>
          <w:i/>
        </w:rPr>
        <w:t>B</w:t>
      </w:r>
      <w:r w:rsidRPr="00AD2CF5">
        <w:rPr>
          <w:i/>
          <w:vertAlign w:val="subscript"/>
        </w:rPr>
        <w:t>s,periode</w:t>
      </w:r>
      <w:r w:rsidRPr="00AD2CF5">
        <w:t xml:space="preserve"> kleiner dan 50 dB(A) wil bepalen. In dit geval worden de impulstoeslag (</w:t>
      </w:r>
      <w:r w:rsidRPr="00AD2CF5">
        <w:rPr>
          <w:i/>
          <w:iCs/>
        </w:rPr>
        <w:t>P</w:t>
      </w:r>
      <w:r w:rsidRPr="00AD2CF5">
        <w:rPr>
          <w:i/>
          <w:iCs/>
          <w:vertAlign w:val="subscript"/>
        </w:rPr>
        <w:t>imp</w:t>
      </w:r>
      <w:r w:rsidRPr="00AD2CF5">
        <w:t>=12 dB) en de toeslag voor extra laagfrequente componenten in het geluid (</w:t>
      </w:r>
      <w:r w:rsidRPr="00AD2CF5">
        <w:rPr>
          <w:i/>
          <w:iCs/>
        </w:rPr>
        <w:t>P</w:t>
      </w:r>
      <w:r w:rsidRPr="00AD2CF5">
        <w:rPr>
          <w:i/>
          <w:iCs/>
          <w:vertAlign w:val="subscript"/>
        </w:rPr>
        <w:t>lf</w:t>
      </w:r>
      <w:r w:rsidRPr="00AD2CF5">
        <w:rPr>
          <w:i/>
          <w:iCs/>
        </w:rPr>
        <w:t>(b,m)</w:t>
      </w:r>
      <w:r w:rsidRPr="00AD2CF5">
        <w:t>) bij de berekening van de geluidbelasting, slechts mee</w:t>
      </w:r>
      <w:r w:rsidRPr="00AD2CF5">
        <w:softHyphen/>
        <w:t>genomen voor zover het geluid waarneembaar is op het immissiepunt. De deel</w:t>
      </w:r>
      <w:r w:rsidRPr="00AD2CF5">
        <w:softHyphen/>
        <w:t xml:space="preserve">bijdrage </w:t>
      </w:r>
      <w:r w:rsidRPr="00AD2CF5">
        <w:rPr>
          <w:i/>
          <w:iCs/>
        </w:rPr>
        <w:t>L</w:t>
      </w:r>
      <w:r w:rsidRPr="00AD2CF5">
        <w:rPr>
          <w:i/>
          <w:iCs/>
          <w:vertAlign w:val="subscript"/>
        </w:rPr>
        <w:t>Es,periode</w:t>
      </w:r>
      <w:r w:rsidRPr="00AD2CF5">
        <w:rPr>
          <w:i/>
          <w:iCs/>
        </w:rPr>
        <w:t>(b,m)</w:t>
      </w:r>
      <w:r w:rsidRPr="00AD2CF5">
        <w:t xml:space="preserve"> (zie formule 3.1) wordt dan bepaald als de energetische som van twee termen, die gewogen zijn met de kans dat een schot (van bron </w:t>
      </w:r>
      <w:r w:rsidRPr="00AD2CF5">
        <w:rPr>
          <w:i/>
          <w:iCs/>
        </w:rPr>
        <w:t>b</w:t>
      </w:r>
      <w:r w:rsidRPr="00AD2CF5">
        <w:t xml:space="preserve"> voor meteorologische situatie </w:t>
      </w:r>
      <w:r w:rsidRPr="00AD2CF5">
        <w:rPr>
          <w:i/>
          <w:iCs/>
        </w:rPr>
        <w:t>m</w:t>
      </w:r>
      <w:r w:rsidRPr="00AD2CF5">
        <w:t>) respectievelijk wel en niet gehoord wordt:</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rPr>
          <w:position w:val="-14"/>
        </w:rPr>
        <w:object w:dxaOrig="7860" w:dyaOrig="420">
          <v:shape id="_x0000_i1141" type="#_x0000_t75" style="width:390.75pt;height:22.5pt" o:ole="" fillcolor="window">
            <v:imagedata r:id="rId324" o:title=""/>
          </v:shape>
          <o:OLEObject Type="Embed" ProgID="Equation.3" ShapeID="_x0000_i1141" DrawAspect="Content" ObjectID="_1511255478" r:id="rId325"/>
        </w:object>
      </w:r>
      <w:r w:rsidRPr="00AD2CF5">
        <w:tab/>
      </w:r>
      <w:r w:rsidRPr="00AD2CF5">
        <w:tab/>
      </w:r>
      <w:r w:rsidRPr="00AD2CF5">
        <w:tab/>
      </w:r>
      <w:r w:rsidRPr="00AD2CF5">
        <w:tab/>
      </w:r>
      <w:r w:rsidRPr="00AD2CF5">
        <w:tab/>
      </w:r>
      <w:r w:rsidRPr="00AD2CF5">
        <w:tab/>
      </w:r>
      <w:r w:rsidRPr="00AD2CF5">
        <w:tab/>
      </w:r>
      <w:r w:rsidRPr="00AD2CF5">
        <w:tab/>
      </w:r>
      <w:r w:rsidRPr="00AD2CF5">
        <w:tab/>
      </w:r>
      <w:r w:rsidRPr="00AD2CF5">
        <w:rPr>
          <w:b/>
          <w:bCs/>
        </w:rPr>
        <w:t>(A.1)</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rPr>
          <w:i/>
          <w:iCs/>
        </w:rPr>
        <w:t>k</w:t>
      </w:r>
      <w:r w:rsidRPr="00AD2CF5">
        <w:rPr>
          <w:i/>
          <w:iCs/>
          <w:vertAlign w:val="subscript"/>
        </w:rPr>
        <w:t>periode</w:t>
      </w:r>
      <w:r w:rsidRPr="00AD2CF5">
        <w:rPr>
          <w:i/>
          <w:iCs/>
        </w:rPr>
        <w:t xml:space="preserve"> </w:t>
      </w:r>
      <w:r w:rsidRPr="00AD2CF5">
        <w:t>is hierbij de kans dat het schietgeluid in de dag-, avond of nachtperiode hoorbaar is. Deze kans hangt onder andere af van het geluidniveau van het schietgeluid, de omgeving waarin men zich bevindt en de aard van de activiteiten waar men mee bezig is.</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t>Bovenstaande formule kan ook geschreven worden als</w:t>
      </w:r>
    </w:p>
    <w:p w:rsidR="00F43C9B" w:rsidRPr="00AD2CF5" w:rsidRDefault="00F43C9B" w:rsidP="00F43C9B">
      <w:pPr>
        <w:shd w:val="clear" w:color="auto" w:fill="D9D9D9" w:themeFill="background1" w:themeFillShade="D9"/>
      </w:pPr>
      <w:r w:rsidRPr="00AD2CF5">
        <w:rPr>
          <w:position w:val="-14"/>
        </w:rPr>
        <w:object w:dxaOrig="3560" w:dyaOrig="380">
          <v:shape id="_x0000_i1142" type="#_x0000_t75" style="width:177pt;height:19.5pt" o:ole="" fillcolor="window">
            <v:imagedata r:id="rId326" o:title=""/>
          </v:shape>
          <o:OLEObject Type="Embed" ProgID="Equation.3" ShapeID="_x0000_i1142" DrawAspect="Content" ObjectID="_1511255479" r:id="rId327"/>
        </w:object>
      </w:r>
      <w:r w:rsidRPr="00AD2CF5">
        <w:tab/>
      </w:r>
      <w:r w:rsidRPr="00AD2CF5">
        <w:tab/>
      </w:r>
      <w:r w:rsidRPr="00AD2CF5">
        <w:tab/>
      </w:r>
      <w:r w:rsidRPr="00AD2CF5">
        <w:tab/>
      </w:r>
      <w:r w:rsidRPr="00AD2CF5">
        <w:tab/>
      </w:r>
      <w:r w:rsidRPr="00AD2CF5">
        <w:rPr>
          <w:b/>
          <w:bCs/>
        </w:rPr>
        <w:t>(A.2)</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t>met</w:t>
      </w:r>
    </w:p>
    <w:p w:rsidR="00F43C9B" w:rsidRPr="00AD2CF5" w:rsidRDefault="00F43C9B" w:rsidP="00F43C9B">
      <w:pPr>
        <w:shd w:val="clear" w:color="auto" w:fill="D9D9D9" w:themeFill="background1" w:themeFillShade="D9"/>
      </w:pPr>
      <w:r w:rsidRPr="00AD2CF5">
        <w:rPr>
          <w:position w:val="-14"/>
        </w:rPr>
        <w:object w:dxaOrig="5280" w:dyaOrig="420">
          <v:shape id="_x0000_i1143" type="#_x0000_t75" style="width:262.5pt;height:22.5pt" o:ole="" fillcolor="window">
            <v:imagedata r:id="rId328" o:title=""/>
          </v:shape>
          <o:OLEObject Type="Embed" ProgID="Equation.3" ShapeID="_x0000_i1143" DrawAspect="Content" ObjectID="_1511255480" r:id="rId329"/>
        </w:object>
      </w:r>
      <w:r w:rsidRPr="00AD2CF5">
        <w:tab/>
      </w:r>
      <w:r w:rsidRPr="00AD2CF5">
        <w:tab/>
      </w:r>
      <w:r w:rsidRPr="00AD2CF5">
        <w:rPr>
          <w:b/>
          <w:bCs/>
        </w:rPr>
        <w:t>(A.3)</w:t>
      </w:r>
    </w:p>
    <w:p w:rsidR="00F43C9B" w:rsidRPr="00AD2CF5" w:rsidRDefault="00F43C9B" w:rsidP="00F43C9B">
      <w:pPr>
        <w:shd w:val="clear" w:color="auto" w:fill="D9D9D9" w:themeFill="background1" w:themeFillShade="D9"/>
        <w:rPr>
          <w:i/>
          <w:iCs/>
        </w:rPr>
      </w:pPr>
    </w:p>
    <w:p w:rsidR="00F43C9B" w:rsidRPr="00AD2CF5" w:rsidRDefault="00F43C9B" w:rsidP="00F43C9B">
      <w:pPr>
        <w:shd w:val="clear" w:color="auto" w:fill="D9D9D9" w:themeFill="background1" w:themeFillShade="D9"/>
      </w:pPr>
      <w:r w:rsidRPr="00AD2CF5">
        <w:rPr>
          <w:i/>
          <w:iCs/>
        </w:rPr>
        <w:t>C(b,m)</w:t>
      </w:r>
      <w:r w:rsidRPr="00AD2CF5">
        <w:t xml:space="preserve"> is hierbij dan de correctie om een deelbijdrage van schietgeluid om te rekenen naar een even hinderlijk niveau van wegverkeersgeluid. Gemakkelijk is in te zien dat </w:t>
      </w:r>
      <w:r w:rsidRPr="00AD2CF5">
        <w:rPr>
          <w:i/>
          <w:iCs/>
        </w:rPr>
        <w:t>C(b,m)</w:t>
      </w:r>
      <w:r w:rsidRPr="00AD2CF5">
        <w:t> = </w:t>
      </w:r>
      <w:r w:rsidRPr="00AD2CF5">
        <w:rPr>
          <w:i/>
        </w:rPr>
        <w:t>P</w:t>
      </w:r>
      <w:r w:rsidRPr="00AD2CF5">
        <w:rPr>
          <w:i/>
        </w:rPr>
        <w:softHyphen/>
      </w:r>
      <w:r w:rsidRPr="00AD2CF5">
        <w:rPr>
          <w:i/>
          <w:vertAlign w:val="subscript"/>
        </w:rPr>
        <w:t>imp</w:t>
      </w:r>
      <w:r w:rsidRPr="00AD2CF5">
        <w:t xml:space="preserve"> + </w:t>
      </w:r>
      <w:r w:rsidRPr="00AD2CF5">
        <w:rPr>
          <w:i/>
        </w:rPr>
        <w:t>P</w:t>
      </w:r>
      <w:r w:rsidRPr="00AD2CF5">
        <w:rPr>
          <w:i/>
          <w:vertAlign w:val="subscript"/>
        </w:rPr>
        <w:t>lf</w:t>
      </w:r>
      <w:r w:rsidRPr="00AD2CF5">
        <w:rPr>
          <w:i/>
          <w:iCs/>
        </w:rPr>
        <w:t>(b,m)</w:t>
      </w:r>
      <w:r w:rsidRPr="00AD2CF5">
        <w:t xml:space="preserve"> voor </w:t>
      </w:r>
      <w:r w:rsidRPr="00AD2CF5">
        <w:rPr>
          <w:i/>
          <w:iCs/>
        </w:rPr>
        <w:t>k</w:t>
      </w:r>
      <w:r w:rsidRPr="00AD2CF5">
        <w:rPr>
          <w:i/>
          <w:iCs/>
          <w:vertAlign w:val="subscript"/>
        </w:rPr>
        <w:t>periode</w:t>
      </w:r>
      <w:r w:rsidRPr="00AD2CF5">
        <w:rPr>
          <w:vertAlign w:val="subscript"/>
        </w:rPr>
        <w:t xml:space="preserve"> </w:t>
      </w:r>
      <w:r w:rsidRPr="00AD2CF5">
        <w:t xml:space="preserve">= 1, en </w:t>
      </w:r>
      <w:r w:rsidRPr="00AD2CF5">
        <w:rPr>
          <w:i/>
          <w:iCs/>
        </w:rPr>
        <w:t>C(b,m)</w:t>
      </w:r>
      <w:r w:rsidRPr="00AD2CF5">
        <w:t xml:space="preserve"> = 0 voor </w:t>
      </w:r>
      <w:r w:rsidRPr="00AD2CF5">
        <w:rPr>
          <w:i/>
          <w:iCs/>
        </w:rPr>
        <w:t>k</w:t>
      </w:r>
      <w:r w:rsidRPr="00AD2CF5">
        <w:rPr>
          <w:i/>
          <w:iCs/>
          <w:vertAlign w:val="subscript"/>
        </w:rPr>
        <w:t>periode</w:t>
      </w:r>
      <w:r w:rsidRPr="00AD2CF5">
        <w:t xml:space="preserve"> = 0.</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t>De kans k</w:t>
      </w:r>
      <w:r w:rsidRPr="00AD2CF5">
        <w:rPr>
          <w:vertAlign w:val="subscript"/>
        </w:rPr>
        <w:t>periode</w:t>
      </w:r>
      <w:r w:rsidRPr="00AD2CF5">
        <w:t xml:space="preserve"> wordt bepaald door:</w:t>
      </w:r>
    </w:p>
    <w:p w:rsidR="00F43C9B" w:rsidRPr="00AD2CF5" w:rsidRDefault="00F43C9B" w:rsidP="00F43C9B">
      <w:pPr>
        <w:pStyle w:val="Bijschrift"/>
        <w:shd w:val="clear" w:color="auto" w:fill="D9D9D9" w:themeFill="background1" w:themeFillShade="D9"/>
        <w:tabs>
          <w:tab w:val="left" w:pos="567"/>
        </w:tabs>
        <w:rPr>
          <w:lang w:val="nl-NL"/>
        </w:rPr>
      </w:pPr>
      <w:r w:rsidRPr="00AD2CF5">
        <w:rPr>
          <w:position w:val="-30"/>
        </w:rPr>
        <w:object w:dxaOrig="2500" w:dyaOrig="760">
          <v:shape id="_x0000_i1144" type="#_x0000_t75" style="width:125.25pt;height:39pt" o:ole="">
            <v:imagedata r:id="rId330" o:title=""/>
          </v:shape>
          <o:OLEObject Type="Embed" ProgID="Equation.3" ShapeID="_x0000_i1144" DrawAspect="Content" ObjectID="_1511255481" r:id="rId331"/>
        </w:object>
      </w:r>
      <w:r w:rsidRPr="00AD2CF5">
        <w:rPr>
          <w:lang w:val="nl-NL"/>
        </w:rPr>
        <w:tab/>
      </w:r>
      <w:r w:rsidRPr="00AD2CF5">
        <w:rPr>
          <w:lang w:val="nl-NL"/>
        </w:rPr>
        <w:tab/>
      </w:r>
      <w:r w:rsidRPr="00AD2CF5">
        <w:rPr>
          <w:lang w:val="nl-NL"/>
        </w:rPr>
        <w:tab/>
      </w:r>
      <w:r w:rsidRPr="00AD2CF5">
        <w:rPr>
          <w:lang w:val="nl-NL"/>
        </w:rPr>
        <w:tab/>
      </w:r>
      <w:r w:rsidRPr="00AD2CF5">
        <w:rPr>
          <w:lang w:val="nl-NL"/>
        </w:rPr>
        <w:tab/>
        <w:t>(A.4)</w:t>
      </w:r>
    </w:p>
    <w:p w:rsidR="00F43C9B" w:rsidRPr="00AD2CF5" w:rsidRDefault="00F43C9B" w:rsidP="00F43C9B">
      <w:pPr>
        <w:pStyle w:val="Inhopg1"/>
        <w:shd w:val="clear" w:color="auto" w:fill="D9D9D9" w:themeFill="background1" w:themeFillShade="D9"/>
        <w:spacing w:after="0" w:line="300" w:lineRule="auto"/>
      </w:pPr>
    </w:p>
    <w:p w:rsidR="00F43C9B" w:rsidRPr="00AD2CF5" w:rsidRDefault="00F43C9B" w:rsidP="00F43C9B">
      <w:pPr>
        <w:pStyle w:val="Bijschrift"/>
        <w:shd w:val="clear" w:color="auto" w:fill="D9D9D9" w:themeFill="background1" w:themeFillShade="D9"/>
        <w:tabs>
          <w:tab w:val="left" w:pos="567"/>
          <w:tab w:val="right" w:pos="7371"/>
        </w:tabs>
        <w:rPr>
          <w:b w:val="0"/>
          <w:bCs w:val="0"/>
          <w:lang w:val="nl-NL"/>
        </w:rPr>
      </w:pPr>
      <w:r w:rsidRPr="00AD2CF5">
        <w:rPr>
          <w:b w:val="0"/>
          <w:lang w:val="nl-NL"/>
        </w:rPr>
        <w:t xml:space="preserve">waarin voor een betreffende periode de </w:t>
      </w:r>
      <w:r w:rsidRPr="00AD2CF5">
        <w:rPr>
          <w:b w:val="0"/>
          <w:i/>
          <w:iCs/>
          <w:lang w:val="nl-NL"/>
        </w:rPr>
        <w:t>z</w:t>
      </w:r>
      <w:r w:rsidRPr="00AD2CF5">
        <w:rPr>
          <w:b w:val="0"/>
          <w:lang w:val="nl-NL"/>
        </w:rPr>
        <w:t>-waarde gegeven wordt door</w:t>
      </w:r>
    </w:p>
    <w:p w:rsidR="00F43C9B" w:rsidRPr="00AD2CF5" w:rsidRDefault="00F43C9B" w:rsidP="00F43C9B">
      <w:pPr>
        <w:pStyle w:val="Bijschrift"/>
        <w:shd w:val="clear" w:color="auto" w:fill="D9D9D9" w:themeFill="background1" w:themeFillShade="D9"/>
        <w:tabs>
          <w:tab w:val="right" w:pos="-2694"/>
          <w:tab w:val="left" w:pos="567"/>
        </w:tabs>
        <w:rPr>
          <w:noProof/>
          <w:lang w:val="nl-NL"/>
        </w:rPr>
      </w:pPr>
      <w:r w:rsidRPr="00AD2CF5">
        <w:rPr>
          <w:position w:val="-14"/>
        </w:rPr>
        <w:object w:dxaOrig="4900" w:dyaOrig="400">
          <v:shape id="_x0000_i1145" type="#_x0000_t75" style="width:244.5pt;height:21pt" o:ole="">
            <v:imagedata r:id="rId332" o:title=""/>
          </v:shape>
          <o:OLEObject Type="Embed" ProgID="Equation.3" ShapeID="_x0000_i1145" DrawAspect="Content" ObjectID="_1511255482" r:id="rId333"/>
        </w:object>
      </w:r>
      <w:r w:rsidRPr="00AD2CF5">
        <w:rPr>
          <w:lang w:val="nl-NL"/>
        </w:rPr>
        <w:tab/>
      </w:r>
      <w:r w:rsidRPr="00AD2CF5">
        <w:rPr>
          <w:lang w:val="nl-NL"/>
        </w:rPr>
        <w:tab/>
        <w:t>(A.5)</w:t>
      </w:r>
    </w:p>
    <w:p w:rsidR="00F43C9B" w:rsidRPr="00AD2CF5" w:rsidRDefault="00F43C9B" w:rsidP="00F43C9B">
      <w:pPr>
        <w:pStyle w:val="Bijschrift"/>
        <w:shd w:val="clear" w:color="auto" w:fill="D9D9D9" w:themeFill="background1" w:themeFillShade="D9"/>
        <w:tabs>
          <w:tab w:val="right" w:pos="-2694"/>
          <w:tab w:val="left" w:pos="567"/>
        </w:tabs>
        <w:rPr>
          <w:b w:val="0"/>
          <w:lang w:val="nl-NL"/>
        </w:rPr>
      </w:pPr>
      <w:r w:rsidRPr="00AD2CF5">
        <w:rPr>
          <w:b w:val="0"/>
          <w:lang w:val="nl-NL"/>
        </w:rPr>
        <w:t xml:space="preserve">zie voor de berekening van </w:t>
      </w:r>
      <w:r w:rsidRPr="00AD2CF5">
        <w:rPr>
          <w:b w:val="0"/>
          <w:position w:val="-10"/>
        </w:rPr>
        <w:object w:dxaOrig="480" w:dyaOrig="360">
          <v:shape id="_x0000_i1146" type="#_x0000_t75" style="width:24pt;height:18pt" o:ole="">
            <v:imagedata r:id="rId334" o:title=""/>
          </v:shape>
          <o:OLEObject Type="Embed" ProgID="Equation.3" ShapeID="_x0000_i1146" DrawAspect="Content" ObjectID="_1511255483" r:id="rId335"/>
        </w:object>
      </w:r>
      <w:r w:rsidRPr="00AD2CF5">
        <w:rPr>
          <w:b w:val="0"/>
          <w:lang w:val="nl-NL"/>
        </w:rPr>
        <w:t>hoofdstuk 3.</w:t>
      </w:r>
      <w:r w:rsidRPr="00AD2CF5">
        <w:rPr>
          <w:lang w:val="nl-NL"/>
        </w:rPr>
        <w:t xml:space="preserve"> </w:t>
      </w:r>
      <w:r w:rsidRPr="00AD2CF5">
        <w:rPr>
          <w:b w:val="0"/>
          <w:lang w:val="nl-NL"/>
        </w:rPr>
        <w:t xml:space="preserve">De coëfficiënten </w:t>
      </w:r>
      <w:r w:rsidRPr="00AD2CF5">
        <w:rPr>
          <w:b w:val="0"/>
          <w:i/>
          <w:iCs/>
          <w:lang w:val="nl-NL"/>
        </w:rPr>
        <w:t>a</w:t>
      </w:r>
      <w:r w:rsidRPr="00AD2CF5">
        <w:rPr>
          <w:b w:val="0"/>
          <w:vertAlign w:val="subscript"/>
          <w:lang w:val="nl-NL"/>
        </w:rPr>
        <w:t>1</w:t>
      </w:r>
      <w:r w:rsidRPr="00AD2CF5">
        <w:rPr>
          <w:b w:val="0"/>
          <w:lang w:val="nl-NL"/>
        </w:rPr>
        <w:t xml:space="preserve"> t/m </w:t>
      </w:r>
      <w:r w:rsidRPr="00AD2CF5">
        <w:rPr>
          <w:b w:val="0"/>
          <w:i/>
          <w:iCs/>
          <w:lang w:val="nl-NL"/>
        </w:rPr>
        <w:t>a</w:t>
      </w:r>
      <w:r w:rsidRPr="00AD2CF5">
        <w:rPr>
          <w:b w:val="0"/>
          <w:vertAlign w:val="subscript"/>
          <w:lang w:val="nl-NL"/>
        </w:rPr>
        <w:t xml:space="preserve">4 </w:t>
      </w:r>
      <w:r w:rsidRPr="00AD2CF5">
        <w:rPr>
          <w:b w:val="0"/>
          <w:lang w:val="nl-NL"/>
        </w:rPr>
        <w:t>zijn hierbij afhankelijk van de periode en zijn weergegeven in onderstaande tabel.</w:t>
      </w:r>
    </w:p>
    <w:p w:rsidR="00F43C9B" w:rsidRPr="00AD2CF5" w:rsidRDefault="00F43C9B" w:rsidP="00F43C9B">
      <w:pPr>
        <w:shd w:val="clear" w:color="auto" w:fill="D9D9D9" w:themeFill="background1" w:themeFillShade="D9"/>
        <w:spacing w:line="300" w:lineRule="auto"/>
      </w:pPr>
    </w:p>
    <w:p w:rsidR="00F43C9B" w:rsidRPr="00AD2CF5" w:rsidRDefault="00F43C9B" w:rsidP="00F43C9B">
      <w:pPr>
        <w:shd w:val="clear" w:color="auto" w:fill="D9D9D9" w:themeFill="background1" w:themeFillShade="D9"/>
        <w:spacing w:line="300" w:lineRule="auto"/>
      </w:pPr>
      <w:r w:rsidRPr="00AD2CF5">
        <w:rPr>
          <w:b/>
        </w:rPr>
        <w:t>Tabel A.1:</w:t>
      </w:r>
      <w:r w:rsidRPr="00AD2CF5">
        <w:t xml:space="preserve"> Coëfficiënten </w:t>
      </w:r>
      <w:r w:rsidRPr="00AD2CF5">
        <w:rPr>
          <w:i/>
          <w:iCs/>
        </w:rPr>
        <w:t>a</w:t>
      </w:r>
      <w:r w:rsidRPr="00AD2CF5">
        <w:rPr>
          <w:vertAlign w:val="subscript"/>
        </w:rPr>
        <w:t>1</w:t>
      </w:r>
      <w:r w:rsidRPr="00AD2CF5">
        <w:t xml:space="preserve"> t/m </w:t>
      </w:r>
      <w:r w:rsidRPr="00AD2CF5">
        <w:rPr>
          <w:i/>
          <w:iCs/>
        </w:rPr>
        <w:t>a</w:t>
      </w:r>
      <w:r w:rsidRPr="00AD2CF5">
        <w:rPr>
          <w:vertAlign w:val="subscript"/>
        </w:rPr>
        <w:t xml:space="preserve">4 </w:t>
      </w:r>
      <w:r w:rsidRPr="00AD2CF5">
        <w:t>voor de dag-, avond- en nachtperiode.</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896"/>
        <w:gridCol w:w="1897"/>
        <w:gridCol w:w="1897"/>
        <w:gridCol w:w="1897"/>
      </w:tblGrid>
      <w:tr w:rsidR="00F43C9B" w:rsidRPr="00AD2CF5" w:rsidTr="00F43C9B">
        <w:tc>
          <w:tcPr>
            <w:tcW w:w="1896" w:type="dxa"/>
            <w:tcBorders>
              <w:top w:val="double" w:sz="4" w:space="0" w:color="auto"/>
              <w:bottom w:val="double" w:sz="4" w:space="0" w:color="auto"/>
            </w:tcBorders>
            <w:shd w:val="clear" w:color="auto" w:fill="E6E6E6"/>
          </w:tcPr>
          <w:p w:rsidR="00F43C9B" w:rsidRPr="00AD2CF5" w:rsidRDefault="00F43C9B" w:rsidP="00F43C9B">
            <w:pPr>
              <w:shd w:val="clear" w:color="auto" w:fill="D9D9D9" w:themeFill="background1" w:themeFillShade="D9"/>
              <w:spacing w:line="300" w:lineRule="auto"/>
            </w:pPr>
          </w:p>
        </w:tc>
        <w:tc>
          <w:tcPr>
            <w:tcW w:w="1897" w:type="dxa"/>
            <w:tcBorders>
              <w:top w:val="double" w:sz="4" w:space="0" w:color="auto"/>
              <w:bottom w:val="double" w:sz="4" w:space="0" w:color="auto"/>
            </w:tcBorders>
            <w:shd w:val="clear" w:color="auto" w:fill="E6E6E6"/>
          </w:tcPr>
          <w:p w:rsidR="00F43C9B" w:rsidRPr="00AD2CF5" w:rsidRDefault="00F43C9B" w:rsidP="00F43C9B">
            <w:pPr>
              <w:shd w:val="clear" w:color="auto" w:fill="D9D9D9" w:themeFill="background1" w:themeFillShade="D9"/>
              <w:spacing w:line="300" w:lineRule="auto"/>
            </w:pPr>
            <w:r w:rsidRPr="00AD2CF5">
              <w:t>dag</w:t>
            </w:r>
          </w:p>
        </w:tc>
        <w:tc>
          <w:tcPr>
            <w:tcW w:w="1897" w:type="dxa"/>
            <w:tcBorders>
              <w:top w:val="double" w:sz="4" w:space="0" w:color="auto"/>
              <w:bottom w:val="double" w:sz="4" w:space="0" w:color="auto"/>
            </w:tcBorders>
            <w:shd w:val="clear" w:color="auto" w:fill="E6E6E6"/>
          </w:tcPr>
          <w:p w:rsidR="00F43C9B" w:rsidRPr="00AD2CF5" w:rsidRDefault="00F43C9B" w:rsidP="00F43C9B">
            <w:pPr>
              <w:shd w:val="clear" w:color="auto" w:fill="D9D9D9" w:themeFill="background1" w:themeFillShade="D9"/>
              <w:spacing w:line="300" w:lineRule="auto"/>
            </w:pPr>
            <w:r w:rsidRPr="00AD2CF5">
              <w:t>avond</w:t>
            </w:r>
          </w:p>
        </w:tc>
        <w:tc>
          <w:tcPr>
            <w:tcW w:w="1897" w:type="dxa"/>
            <w:tcBorders>
              <w:top w:val="double" w:sz="4" w:space="0" w:color="auto"/>
              <w:bottom w:val="double" w:sz="4" w:space="0" w:color="auto"/>
            </w:tcBorders>
            <w:shd w:val="clear" w:color="auto" w:fill="E6E6E6"/>
          </w:tcPr>
          <w:p w:rsidR="00F43C9B" w:rsidRPr="00AD2CF5" w:rsidRDefault="00F43C9B" w:rsidP="00F43C9B">
            <w:pPr>
              <w:shd w:val="clear" w:color="auto" w:fill="D9D9D9" w:themeFill="background1" w:themeFillShade="D9"/>
              <w:spacing w:line="300" w:lineRule="auto"/>
            </w:pPr>
            <w:r w:rsidRPr="00AD2CF5">
              <w:t>nacht</w:t>
            </w:r>
          </w:p>
        </w:tc>
      </w:tr>
      <w:tr w:rsidR="00F43C9B" w:rsidRPr="00AD2CF5" w:rsidTr="00F43C9B">
        <w:tc>
          <w:tcPr>
            <w:tcW w:w="1896" w:type="dxa"/>
            <w:tcBorders>
              <w:top w:val="double" w:sz="4" w:space="0" w:color="auto"/>
            </w:tcBorders>
          </w:tcPr>
          <w:p w:rsidR="00F43C9B" w:rsidRPr="00AD2CF5" w:rsidRDefault="00F43C9B" w:rsidP="00F43C9B">
            <w:pPr>
              <w:shd w:val="clear" w:color="auto" w:fill="D9D9D9" w:themeFill="background1" w:themeFillShade="D9"/>
              <w:spacing w:line="300" w:lineRule="auto"/>
              <w:rPr>
                <w:i/>
                <w:iCs/>
                <w:lang w:val="en-US"/>
              </w:rPr>
            </w:pPr>
            <w:r w:rsidRPr="00AD2CF5">
              <w:rPr>
                <w:i/>
                <w:iCs/>
                <w:lang w:val="en-US"/>
              </w:rPr>
              <w:t>a</w:t>
            </w:r>
            <w:r w:rsidRPr="00AD2CF5">
              <w:rPr>
                <w:i/>
                <w:iCs/>
                <w:vertAlign w:val="subscript"/>
                <w:lang w:val="en-US"/>
              </w:rPr>
              <w:t>1</w:t>
            </w:r>
          </w:p>
        </w:tc>
        <w:tc>
          <w:tcPr>
            <w:tcW w:w="1897" w:type="dxa"/>
            <w:tcBorders>
              <w:top w:val="double" w:sz="4" w:space="0" w:color="auto"/>
            </w:tcBorders>
          </w:tcPr>
          <w:p w:rsidR="00F43C9B" w:rsidRPr="00AD2CF5" w:rsidRDefault="00F43C9B" w:rsidP="00F43C9B">
            <w:pPr>
              <w:shd w:val="clear" w:color="auto" w:fill="D9D9D9" w:themeFill="background1" w:themeFillShade="D9"/>
              <w:spacing w:line="300" w:lineRule="auto"/>
              <w:rPr>
                <w:lang w:val="en-US"/>
              </w:rPr>
            </w:pPr>
            <w:r w:rsidRPr="00AD2CF5">
              <w:rPr>
                <w:lang w:val="en-US"/>
              </w:rPr>
              <w:t>-5.3</w:t>
            </w:r>
          </w:p>
        </w:tc>
        <w:tc>
          <w:tcPr>
            <w:tcW w:w="1897" w:type="dxa"/>
            <w:tcBorders>
              <w:top w:val="double" w:sz="4" w:space="0" w:color="auto"/>
            </w:tcBorders>
          </w:tcPr>
          <w:p w:rsidR="00F43C9B" w:rsidRPr="00AD2CF5" w:rsidRDefault="00F43C9B" w:rsidP="00F43C9B">
            <w:pPr>
              <w:shd w:val="clear" w:color="auto" w:fill="D9D9D9" w:themeFill="background1" w:themeFillShade="D9"/>
              <w:spacing w:line="300" w:lineRule="auto"/>
              <w:rPr>
                <w:lang w:val="en-US"/>
              </w:rPr>
            </w:pPr>
            <w:r w:rsidRPr="00AD2CF5">
              <w:rPr>
                <w:lang w:val="en-US"/>
              </w:rPr>
              <w:t>-5.3</w:t>
            </w:r>
          </w:p>
        </w:tc>
        <w:tc>
          <w:tcPr>
            <w:tcW w:w="1897" w:type="dxa"/>
            <w:tcBorders>
              <w:top w:val="double" w:sz="4" w:space="0" w:color="auto"/>
            </w:tcBorders>
          </w:tcPr>
          <w:p w:rsidR="00F43C9B" w:rsidRPr="00AD2CF5" w:rsidRDefault="00F43C9B" w:rsidP="00F43C9B">
            <w:pPr>
              <w:shd w:val="clear" w:color="auto" w:fill="D9D9D9" w:themeFill="background1" w:themeFillShade="D9"/>
              <w:spacing w:line="300" w:lineRule="auto"/>
              <w:rPr>
                <w:lang w:val="en-US"/>
              </w:rPr>
            </w:pPr>
            <w:r w:rsidRPr="00AD2CF5">
              <w:rPr>
                <w:lang w:val="en-US"/>
              </w:rPr>
              <w:t>-0.413</w:t>
            </w:r>
          </w:p>
        </w:tc>
      </w:tr>
      <w:tr w:rsidR="00F43C9B" w:rsidRPr="00AD2CF5" w:rsidTr="00F43C9B">
        <w:tc>
          <w:tcPr>
            <w:tcW w:w="1896" w:type="dxa"/>
          </w:tcPr>
          <w:p w:rsidR="00F43C9B" w:rsidRPr="00AD2CF5" w:rsidRDefault="00F43C9B" w:rsidP="00F43C9B">
            <w:pPr>
              <w:shd w:val="clear" w:color="auto" w:fill="D9D9D9" w:themeFill="background1" w:themeFillShade="D9"/>
              <w:rPr>
                <w:lang w:val="en-US"/>
              </w:rPr>
            </w:pPr>
            <w:r w:rsidRPr="00AD2CF5">
              <w:rPr>
                <w:i/>
                <w:iCs/>
                <w:lang w:val="en-US"/>
              </w:rPr>
              <w:t>a</w:t>
            </w:r>
            <w:r w:rsidRPr="00AD2CF5">
              <w:rPr>
                <w:i/>
                <w:iCs/>
                <w:vertAlign w:val="subscript"/>
                <w:lang w:val="en-US"/>
              </w:rPr>
              <w:t>2</w:t>
            </w:r>
          </w:p>
        </w:tc>
        <w:tc>
          <w:tcPr>
            <w:tcW w:w="1897" w:type="dxa"/>
          </w:tcPr>
          <w:p w:rsidR="00F43C9B" w:rsidRPr="00AD2CF5" w:rsidRDefault="00F43C9B" w:rsidP="00F43C9B">
            <w:pPr>
              <w:shd w:val="clear" w:color="auto" w:fill="D9D9D9" w:themeFill="background1" w:themeFillShade="D9"/>
              <w:spacing w:line="300" w:lineRule="auto"/>
              <w:rPr>
                <w:lang w:val="en-US"/>
              </w:rPr>
            </w:pPr>
            <w:r w:rsidRPr="00AD2CF5">
              <w:rPr>
                <w:lang w:val="en-US"/>
              </w:rPr>
              <w:t>0.155</w:t>
            </w:r>
          </w:p>
        </w:tc>
        <w:tc>
          <w:tcPr>
            <w:tcW w:w="1897" w:type="dxa"/>
          </w:tcPr>
          <w:p w:rsidR="00F43C9B" w:rsidRPr="00AD2CF5" w:rsidRDefault="00F43C9B" w:rsidP="00F43C9B">
            <w:pPr>
              <w:shd w:val="clear" w:color="auto" w:fill="D9D9D9" w:themeFill="background1" w:themeFillShade="D9"/>
              <w:spacing w:line="300" w:lineRule="auto"/>
              <w:rPr>
                <w:lang w:val="en-US"/>
              </w:rPr>
            </w:pPr>
            <w:r w:rsidRPr="00AD2CF5">
              <w:rPr>
                <w:lang w:val="en-US"/>
              </w:rPr>
              <w:t>0.155</w:t>
            </w:r>
          </w:p>
        </w:tc>
        <w:tc>
          <w:tcPr>
            <w:tcW w:w="1897" w:type="dxa"/>
          </w:tcPr>
          <w:p w:rsidR="00F43C9B" w:rsidRPr="00AD2CF5" w:rsidRDefault="00F43C9B" w:rsidP="00F43C9B">
            <w:pPr>
              <w:shd w:val="clear" w:color="auto" w:fill="D9D9D9" w:themeFill="background1" w:themeFillShade="D9"/>
              <w:spacing w:line="300" w:lineRule="auto"/>
              <w:rPr>
                <w:lang w:val="en-US"/>
              </w:rPr>
            </w:pPr>
            <w:r w:rsidRPr="00AD2CF5">
              <w:rPr>
                <w:lang w:val="en-US"/>
              </w:rPr>
              <w:t>0.063</w:t>
            </w:r>
          </w:p>
        </w:tc>
      </w:tr>
      <w:tr w:rsidR="00F43C9B" w:rsidRPr="00AD2CF5" w:rsidTr="00F43C9B">
        <w:tc>
          <w:tcPr>
            <w:tcW w:w="1896" w:type="dxa"/>
          </w:tcPr>
          <w:p w:rsidR="00F43C9B" w:rsidRPr="00AD2CF5" w:rsidRDefault="00F43C9B" w:rsidP="00F43C9B">
            <w:pPr>
              <w:shd w:val="clear" w:color="auto" w:fill="D9D9D9" w:themeFill="background1" w:themeFillShade="D9"/>
              <w:rPr>
                <w:lang w:val="en-US"/>
              </w:rPr>
            </w:pPr>
            <w:r w:rsidRPr="00AD2CF5">
              <w:rPr>
                <w:i/>
                <w:iCs/>
                <w:lang w:val="en-US"/>
              </w:rPr>
              <w:t>a</w:t>
            </w:r>
            <w:r w:rsidRPr="00AD2CF5">
              <w:rPr>
                <w:i/>
                <w:iCs/>
                <w:vertAlign w:val="subscript"/>
                <w:lang w:val="en-US"/>
              </w:rPr>
              <w:t>3</w:t>
            </w:r>
          </w:p>
        </w:tc>
        <w:tc>
          <w:tcPr>
            <w:tcW w:w="1897" w:type="dxa"/>
          </w:tcPr>
          <w:p w:rsidR="00F43C9B" w:rsidRPr="00AD2CF5" w:rsidRDefault="00F43C9B" w:rsidP="00F43C9B">
            <w:pPr>
              <w:shd w:val="clear" w:color="auto" w:fill="D9D9D9" w:themeFill="background1" w:themeFillShade="D9"/>
              <w:spacing w:line="300" w:lineRule="auto"/>
            </w:pPr>
            <w:r w:rsidRPr="00AD2CF5">
              <w:t>0.002</w:t>
            </w:r>
          </w:p>
        </w:tc>
        <w:tc>
          <w:tcPr>
            <w:tcW w:w="1897" w:type="dxa"/>
          </w:tcPr>
          <w:p w:rsidR="00F43C9B" w:rsidRPr="00AD2CF5" w:rsidRDefault="00F43C9B" w:rsidP="00F43C9B">
            <w:pPr>
              <w:shd w:val="clear" w:color="auto" w:fill="D9D9D9" w:themeFill="background1" w:themeFillShade="D9"/>
              <w:spacing w:line="300" w:lineRule="auto"/>
            </w:pPr>
            <w:r w:rsidRPr="00AD2CF5">
              <w:t>0.002</w:t>
            </w:r>
          </w:p>
        </w:tc>
        <w:tc>
          <w:tcPr>
            <w:tcW w:w="1897" w:type="dxa"/>
          </w:tcPr>
          <w:p w:rsidR="00F43C9B" w:rsidRPr="00AD2CF5" w:rsidRDefault="00F43C9B" w:rsidP="00F43C9B">
            <w:pPr>
              <w:shd w:val="clear" w:color="auto" w:fill="D9D9D9" w:themeFill="background1" w:themeFillShade="D9"/>
              <w:spacing w:line="300" w:lineRule="auto"/>
            </w:pPr>
            <w:r w:rsidRPr="00AD2CF5">
              <w:t>0.0054</w:t>
            </w:r>
          </w:p>
        </w:tc>
      </w:tr>
      <w:tr w:rsidR="00F43C9B" w:rsidRPr="00AD2CF5" w:rsidTr="00F43C9B">
        <w:tc>
          <w:tcPr>
            <w:tcW w:w="1896" w:type="dxa"/>
          </w:tcPr>
          <w:p w:rsidR="00F43C9B" w:rsidRPr="00AD2CF5" w:rsidRDefault="00F43C9B" w:rsidP="00F43C9B">
            <w:pPr>
              <w:shd w:val="clear" w:color="auto" w:fill="D9D9D9" w:themeFill="background1" w:themeFillShade="D9"/>
            </w:pPr>
            <w:r w:rsidRPr="00AD2CF5">
              <w:rPr>
                <w:i/>
                <w:iCs/>
              </w:rPr>
              <w:t>a</w:t>
            </w:r>
            <w:r w:rsidRPr="00AD2CF5">
              <w:rPr>
                <w:i/>
                <w:iCs/>
                <w:vertAlign w:val="subscript"/>
              </w:rPr>
              <w:t>4</w:t>
            </w:r>
          </w:p>
        </w:tc>
        <w:tc>
          <w:tcPr>
            <w:tcW w:w="1897" w:type="dxa"/>
          </w:tcPr>
          <w:p w:rsidR="00F43C9B" w:rsidRPr="00AD2CF5" w:rsidRDefault="00F43C9B" w:rsidP="00F43C9B">
            <w:pPr>
              <w:shd w:val="clear" w:color="auto" w:fill="D9D9D9" w:themeFill="background1" w:themeFillShade="D9"/>
              <w:spacing w:line="300" w:lineRule="auto"/>
            </w:pPr>
            <w:r w:rsidRPr="00AD2CF5">
              <w:t>45</w:t>
            </w:r>
          </w:p>
        </w:tc>
        <w:tc>
          <w:tcPr>
            <w:tcW w:w="1897" w:type="dxa"/>
          </w:tcPr>
          <w:p w:rsidR="00F43C9B" w:rsidRPr="00AD2CF5" w:rsidRDefault="00F43C9B" w:rsidP="00F43C9B">
            <w:pPr>
              <w:shd w:val="clear" w:color="auto" w:fill="D9D9D9" w:themeFill="background1" w:themeFillShade="D9"/>
              <w:spacing w:line="300" w:lineRule="auto"/>
            </w:pPr>
            <w:r w:rsidRPr="00AD2CF5">
              <w:t>45</w:t>
            </w:r>
          </w:p>
        </w:tc>
        <w:tc>
          <w:tcPr>
            <w:tcW w:w="1897" w:type="dxa"/>
          </w:tcPr>
          <w:p w:rsidR="00F43C9B" w:rsidRPr="00AD2CF5" w:rsidRDefault="00F43C9B" w:rsidP="00F43C9B">
            <w:pPr>
              <w:shd w:val="clear" w:color="auto" w:fill="D9D9D9" w:themeFill="background1" w:themeFillShade="D9"/>
              <w:spacing w:line="300" w:lineRule="auto"/>
            </w:pPr>
            <w:r w:rsidRPr="00AD2CF5">
              <w:t>25</w:t>
            </w:r>
          </w:p>
        </w:tc>
      </w:tr>
    </w:tbl>
    <w:p w:rsidR="00F43C9B" w:rsidRPr="00AD2CF5" w:rsidRDefault="00F43C9B" w:rsidP="00F43C9B">
      <w:pPr>
        <w:shd w:val="clear" w:color="auto" w:fill="D9D9D9" w:themeFill="background1" w:themeFillShade="D9"/>
        <w:spacing w:line="300" w:lineRule="auto"/>
      </w:pPr>
    </w:p>
    <w:p w:rsidR="00F43C9B" w:rsidRDefault="00F43C9B" w:rsidP="00F43C9B">
      <w:pPr>
        <w:shd w:val="clear" w:color="auto" w:fill="D9D9D9" w:themeFill="background1" w:themeFillShade="D9"/>
      </w:pPr>
      <w:r w:rsidRPr="00AD2CF5">
        <w:t xml:space="preserve">Formule (A.4) beschrijft de gestandaardiseerde cumulatieve normaalverdeling. In standaard statistiekboeken zijn tabellen opgenomen die voor willekeurige waarden van </w:t>
      </w:r>
      <w:r w:rsidRPr="00AD2CF5">
        <w:rPr>
          <w:i/>
          <w:iCs/>
        </w:rPr>
        <w:t xml:space="preserve">z </w:t>
      </w:r>
      <w:r w:rsidRPr="00AD2CF5">
        <w:t>de uitkomst van deze integraal geven.</w:t>
      </w:r>
    </w:p>
    <w:p w:rsidR="00F43C9B" w:rsidRPr="00AD2CF5" w:rsidRDefault="00F43C9B" w:rsidP="00F43C9B">
      <w:pPr>
        <w:pStyle w:val="Kop1"/>
        <w:shd w:val="clear" w:color="auto" w:fill="D9D9D9" w:themeFill="background1" w:themeFillShade="D9"/>
      </w:pPr>
      <w:r w:rsidRPr="00AD2CF5">
        <w:br w:type="page"/>
      </w:r>
      <w:bookmarkStart w:id="633" w:name="_Toc413945860"/>
      <w:bookmarkStart w:id="634" w:name="_Toc431375872"/>
      <w:r w:rsidRPr="00AD2CF5">
        <w:t>Toelichting</w:t>
      </w:r>
      <w:bookmarkEnd w:id="633"/>
      <w:bookmarkEnd w:id="634"/>
    </w:p>
    <w:p w:rsidR="00F43C9B" w:rsidRPr="00AD2CF5" w:rsidRDefault="00F43C9B" w:rsidP="00F43C9B">
      <w:pPr>
        <w:shd w:val="clear" w:color="auto" w:fill="D9D9D9" w:themeFill="background1" w:themeFillShade="D9"/>
      </w:pPr>
    </w:p>
    <w:p w:rsidR="00F43C9B" w:rsidRPr="00AD2CF5" w:rsidRDefault="00F43C9B" w:rsidP="00F43C9B">
      <w:pPr>
        <w:pStyle w:val="Kop2"/>
        <w:shd w:val="clear" w:color="auto" w:fill="D9D9D9" w:themeFill="background1" w:themeFillShade="D9"/>
        <w:spacing w:line="240" w:lineRule="auto"/>
      </w:pPr>
      <w:bookmarkStart w:id="635" w:name="_Toc465131584"/>
      <w:bookmarkStart w:id="636" w:name="_Toc529692770"/>
      <w:bookmarkStart w:id="637" w:name="_Toc413945861"/>
      <w:bookmarkStart w:id="638" w:name="_Toc431375873"/>
      <w:r w:rsidRPr="00AD2CF5">
        <w:t>1</w:t>
      </w:r>
      <w:r w:rsidRPr="00AD2CF5">
        <w:fldChar w:fldCharType="begin"/>
      </w:r>
      <w:r w:rsidRPr="00AD2CF5">
        <w:instrText xml:space="preserve"> SEQ numchaplev3 \r0\h \* MERGEFORMAT </w:instrText>
      </w:r>
      <w:r w:rsidRPr="00AD2CF5">
        <w:fldChar w:fldCharType="end"/>
      </w:r>
      <w:r w:rsidRPr="00AD2CF5">
        <w:tab/>
        <w:t>Waarom een voorschrift specifiek voor schietgeluid</w:t>
      </w:r>
      <w:bookmarkEnd w:id="635"/>
      <w:bookmarkEnd w:id="636"/>
      <w:bookmarkEnd w:id="637"/>
      <w:r w:rsidRPr="00AD2CF5">
        <w:t>?</w:t>
      </w:r>
      <w:bookmarkEnd w:id="638"/>
    </w:p>
    <w:p w:rsidR="00F43C9B" w:rsidRPr="00AD2CF5" w:rsidRDefault="00F43C9B" w:rsidP="00F43C9B">
      <w:pPr>
        <w:shd w:val="clear" w:color="auto" w:fill="D9D9D9" w:themeFill="background1" w:themeFillShade="D9"/>
        <w:spacing w:line="240" w:lineRule="auto"/>
      </w:pPr>
      <w:r w:rsidRPr="00AD2CF5">
        <w:t>In het kader van de Wet geluidhinder en Wet milieubeheer zijn voor verschillende typen van geluid</w:t>
      </w:r>
      <w:r w:rsidRPr="00AD2CF5">
        <w:softHyphen/>
        <w:t>bronnen (weg</w:t>
      </w:r>
      <w:r w:rsidRPr="00AD2CF5">
        <w:softHyphen/>
        <w:t>ver</w:t>
      </w:r>
      <w:r w:rsidRPr="00AD2CF5">
        <w:softHyphen/>
        <w:t>keer, industrie) verschillende rekenvoorschriften geschreven. Hierin zijn methodes gegeven waarmee de beoordelingsgrootheden</w:t>
      </w:r>
      <w:r w:rsidRPr="00AD2CF5">
        <w:fldChar w:fldCharType="begin"/>
      </w:r>
      <w:r w:rsidRPr="00AD2CF5">
        <w:instrText xml:space="preserve"> XE "beoordelingsgrootheden" </w:instrText>
      </w:r>
      <w:r w:rsidRPr="00AD2CF5">
        <w:fldChar w:fldCharType="end"/>
      </w:r>
      <w:r w:rsidRPr="00AD2CF5">
        <w:t xml:space="preserve"> voor de verschillende soorten geluid kunnen worden bepaald.</w:t>
      </w:r>
    </w:p>
    <w:p w:rsidR="00F43C9B" w:rsidRPr="00AD2CF5" w:rsidRDefault="00F43C9B" w:rsidP="00F43C9B">
      <w:pPr>
        <w:shd w:val="clear" w:color="auto" w:fill="D9D9D9" w:themeFill="background1" w:themeFillShade="D9"/>
        <w:spacing w:line="240" w:lineRule="auto"/>
      </w:pPr>
      <w:r w:rsidRPr="00AD2CF5">
        <w:t>Uitgebreid onderzoek naar de hinderlijkheid van schietgeluid liet zien dat hiervoor een ander beoordelingscriterium gehanteerd moest worden. Daarnaast bleken de bestaande reken- en meetmethoden te beperkt en te onnauw</w:t>
      </w:r>
      <w:r w:rsidRPr="00AD2CF5">
        <w:softHyphen/>
        <w:t>keurig om voor schietgeluid te kunnen worden toegepast. Daarom is een nieuw voorschrift opgesteld dat technische procedures bevat voor de beoordeling van schietgeluid.</w:t>
      </w:r>
    </w:p>
    <w:p w:rsidR="00F43C9B" w:rsidRPr="00AD2CF5" w:rsidRDefault="00F43C9B" w:rsidP="00F43C9B">
      <w:pPr>
        <w:shd w:val="clear" w:color="auto" w:fill="D9D9D9" w:themeFill="background1" w:themeFillShade="D9"/>
        <w:spacing w:line="240" w:lineRule="auto"/>
      </w:pPr>
      <w:r w:rsidRPr="00AD2CF5">
        <w:t>De gegevensbestanden, die voor de rekenmethode uit dit voorschrift worden toegepast worden ter beschikking gesteld via het RIVM. Hierdoor kan de geluidbelasting voor verschillende schietinrichtingen via bereke</w:t>
      </w:r>
      <w:r w:rsidRPr="00AD2CF5">
        <w:softHyphen/>
        <w:t>ningen uniform vastgesteld worden.</w:t>
      </w:r>
    </w:p>
    <w:p w:rsidR="00F43C9B" w:rsidRPr="00AD2CF5" w:rsidRDefault="00F43C9B" w:rsidP="00F43C9B">
      <w:pPr>
        <w:pStyle w:val="Kop3"/>
        <w:shd w:val="clear" w:color="auto" w:fill="D9D9D9" w:themeFill="background1" w:themeFillShade="D9"/>
        <w:rPr>
          <w:b w:val="0"/>
          <w:i/>
          <w:sz w:val="28"/>
          <w:szCs w:val="28"/>
        </w:rPr>
      </w:pPr>
      <w:bookmarkStart w:id="639" w:name="_Toc465131585"/>
      <w:bookmarkStart w:id="640" w:name="_Toc529692771"/>
      <w:bookmarkStart w:id="641" w:name="_Toc413945862"/>
      <w:bookmarkStart w:id="642" w:name="_Toc431375874"/>
      <w:r w:rsidRPr="00AD2CF5">
        <w:rPr>
          <w:sz w:val="28"/>
          <w:szCs w:val="28"/>
        </w:rPr>
        <w:t>2</w:t>
      </w:r>
      <w:r w:rsidRPr="00AD2CF5">
        <w:rPr>
          <w:b w:val="0"/>
        </w:rPr>
        <w:fldChar w:fldCharType="begin"/>
      </w:r>
      <w:r w:rsidRPr="00AD2CF5">
        <w:instrText xml:space="preserve"> SEQ numchaplev4 \r0\h \* MERGEFORMAT </w:instrText>
      </w:r>
      <w:r w:rsidRPr="00AD2CF5">
        <w:rPr>
          <w:b w:val="0"/>
        </w:rPr>
        <w:fldChar w:fldCharType="end"/>
      </w:r>
      <w:r w:rsidRPr="00AD2CF5">
        <w:tab/>
      </w:r>
      <w:r w:rsidRPr="00AD2CF5">
        <w:rPr>
          <w:i/>
          <w:sz w:val="28"/>
          <w:szCs w:val="28"/>
        </w:rPr>
        <w:t>Beoordeling van schietgeluid</w:t>
      </w:r>
      <w:bookmarkEnd w:id="639"/>
      <w:bookmarkEnd w:id="640"/>
      <w:bookmarkEnd w:id="641"/>
      <w:bookmarkEnd w:id="642"/>
    </w:p>
    <w:p w:rsidR="00F43C9B" w:rsidRPr="00AD2CF5" w:rsidRDefault="00F43C9B" w:rsidP="00F43C9B">
      <w:pPr>
        <w:shd w:val="clear" w:color="auto" w:fill="D9D9D9" w:themeFill="background1" w:themeFillShade="D9"/>
        <w:spacing w:line="240" w:lineRule="auto"/>
      </w:pPr>
      <w:r w:rsidRPr="00AD2CF5">
        <w:t>Eén van de kenmerken van schietgeluid is dat in een fractie van een seconde het maximale geluidniveau wordt bereikt. Het karakter van schietgeluid wijkt daarmee af van dat van wegverkeers</w:t>
      </w:r>
      <w:r w:rsidRPr="00AD2CF5">
        <w:noBreakHyphen/>
        <w:t>, railverkeers</w:t>
      </w:r>
      <w:r w:rsidRPr="00AD2CF5">
        <w:noBreakHyphen/>
        <w:t xml:space="preserve"> en industriegeluid. Het aanzwellen van het geluid van individueel voorbijrijdende motorvoertuigen en treinen strekt zich, gelet op de relevante afstand tussen de weg en de woonhuizen, meestal over ten minste enkele seconden uit en verloopt daarmee veel gelijkmatiger. Op enige afstand van drukke verkeerswegen en van veel industrieterreinen heeft dat geluid een min of meer continu karakter gekregen.</w:t>
      </w:r>
    </w:p>
    <w:p w:rsidR="00F43C9B" w:rsidRPr="00AD2CF5" w:rsidRDefault="00F43C9B" w:rsidP="00F43C9B">
      <w:pPr>
        <w:shd w:val="clear" w:color="auto" w:fill="D9D9D9" w:themeFill="background1" w:themeFillShade="D9"/>
        <w:spacing w:line="240" w:lineRule="auto"/>
      </w:pPr>
      <w:r w:rsidRPr="00AD2CF5">
        <w:t>Naast het impulsmatig karakter wordt schietgeluid ook gekenmerkt door perioden van activiteit afgewisseld met stiltes. Tijdens schietactiviteiten vallen er regelmatig pauzes van tenminste enkele minuten. Ook bij schietinrichtingen met meer dan één baan zijn er perioden waarin het schietgeluid geheel afwezig is. Ook in dit opzicht is schietgeluid anders van karakter. Bij weg</w:t>
      </w:r>
      <w:r w:rsidRPr="00AD2CF5">
        <w:softHyphen/>
        <w:t>verkeersgeluid strekken de variaties in geluidniveau zich over veel langere perioden uit, waarbij de niveaufluctuaties door bijvoorbeeld de ochtend</w:t>
      </w:r>
      <w:r w:rsidRPr="00AD2CF5">
        <w:noBreakHyphen/>
        <w:t xml:space="preserve"> of avondspits ook veel kleiner zijn dan bij schietgeluid.</w:t>
      </w:r>
    </w:p>
    <w:p w:rsidR="00F43C9B" w:rsidRPr="00AD2CF5" w:rsidRDefault="00F43C9B" w:rsidP="00F43C9B">
      <w:pPr>
        <w:shd w:val="clear" w:color="auto" w:fill="D9D9D9" w:themeFill="background1" w:themeFillShade="D9"/>
        <w:spacing w:line="240" w:lineRule="auto"/>
      </w:pPr>
      <w:r w:rsidRPr="00AD2CF5">
        <w:br w:type="page"/>
        <w:t>Onder andere door bovengenoemde verschillen tussen schietgeluid enerzijds en wegverkeers</w:t>
      </w:r>
      <w:r w:rsidRPr="00AD2CF5">
        <w:noBreakHyphen/>
        <w:t xml:space="preserve"> en industriegeluid anderzijds, is géén van de in het kader van de Wet geluidhinder ontwikkelde beoordelingsmethoden van toepassing op schietgeluid. Daarom is een specifieke beoordelingsgrootheid ontwikkeld die echter toch kan worden gebruikt binnen de norm</w:t>
      </w:r>
      <w:r w:rsidRPr="00AD2CF5">
        <w:noBreakHyphen/>
        <w:t>systematiek van de Wet geluidhinder. De dosis-effect relatie voor hinder ten gevolge van wegverkeersgeluid is hierbij als referentie gekozen. Dit houdt in dat bij gelijke hinderbeleving de getalwaarden van de geluidbelasting van schietgeluid en wegverkeersgeluid aan elkaar gelijk zijn. De keuze van wegverkeersgeluid als referentie is erg voor de hand liggend omdat naar de hinderbeleving van deze geluidsbron internationaal gezien het meeste onderzoek is verricht.</w:t>
      </w:r>
    </w:p>
    <w:p w:rsidR="00F43C9B" w:rsidRPr="00AD2CF5" w:rsidRDefault="00F43C9B" w:rsidP="00F43C9B">
      <w:pPr>
        <w:shd w:val="clear" w:color="auto" w:fill="D9D9D9" w:themeFill="background1" w:themeFillShade="D9"/>
        <w:spacing w:line="240" w:lineRule="auto"/>
      </w:pPr>
      <w:r w:rsidRPr="00AD2CF5">
        <w:t>De diversiteit van vuurwapens, en daarmee de aard van de knallen, is zeer groot. In de beoordelingsmethode wordt er rekening mee gehouden dat deze knal</w:t>
      </w:r>
      <w:r w:rsidRPr="00AD2CF5">
        <w:softHyphen/>
        <w:t>len niet alle even hinderlijk zijn. Het verschil in hinder wordt onder andere veroorzaakt door het feit dat knallen van zware vuurwapens eerder tot schrikreacties aanleiding kunnen geven dan knallen van lichte vuurwapens. Daarnaast wordt voor de dagperiode van de zondag een toeslag gehanteerd om de extra hinder van schieten op zondag te verdisconteren. De gedachte hierachter is dat zondag overdag, in relatie tot de extra verwachte hinder, als een soort avond beschouwd kan worden. Een feestdag wordt hierbij ook als een zondag beschouwd.</w:t>
      </w:r>
    </w:p>
    <w:p w:rsidR="00F43C9B" w:rsidRPr="00AD2CF5" w:rsidRDefault="00F43C9B" w:rsidP="00F43C9B">
      <w:pPr>
        <w:shd w:val="clear" w:color="auto" w:fill="D9D9D9" w:themeFill="background1" w:themeFillShade="D9"/>
        <w:spacing w:line="240" w:lineRule="auto"/>
      </w:pPr>
      <w:r w:rsidRPr="00AD2CF5">
        <w:t>De meeste schietterreinen zijn niet continu in gebruik. In overeenstemming met de resultaten van onderzoek naar de invloed van onregelmatig gebruik van schiet</w:t>
      </w:r>
      <w:r w:rsidRPr="00AD2CF5">
        <w:softHyphen/>
        <w:t>terreinen op de geluidhinder wordt rekening gehouden met de hinderbeperkende invloed van de schiet</w:t>
      </w:r>
      <w:r w:rsidRPr="00AD2CF5">
        <w:softHyphen/>
        <w:t>vrije dagen. Indien minder dan 30 dagen per jaar wordt geschoten, wordt van deze regel afgeweken.</w:t>
      </w:r>
    </w:p>
    <w:p w:rsidR="00F43C9B" w:rsidRPr="00AD2CF5" w:rsidRDefault="00F43C9B" w:rsidP="00F43C9B">
      <w:pPr>
        <w:shd w:val="clear" w:color="auto" w:fill="D9D9D9" w:themeFill="background1" w:themeFillShade="D9"/>
        <w:spacing w:line="240" w:lineRule="auto"/>
      </w:pPr>
      <w:r w:rsidRPr="00AD2CF5">
        <w:t>Indien er in een jaar op 12 of minder dagen in een bepaalde beoordelingsperiode wordt geschoten, kan de hinder hiervan niet objectief worden vastgesteld. Deze activiteiten worden als incidentele bedrijfsomstandigheden beschouwd, waarvan de geluidbelasting niet kan worden berekend.</w:t>
      </w:r>
    </w:p>
    <w:p w:rsidR="00F43C9B" w:rsidRPr="00AD2CF5" w:rsidRDefault="00F43C9B" w:rsidP="00F43C9B">
      <w:pPr>
        <w:shd w:val="clear" w:color="auto" w:fill="D9D9D9" w:themeFill="background1" w:themeFillShade="D9"/>
        <w:spacing w:line="240" w:lineRule="auto"/>
      </w:pPr>
    </w:p>
    <w:p w:rsidR="00F43C9B" w:rsidRPr="00AD2CF5" w:rsidRDefault="00F43C9B" w:rsidP="00F43C9B">
      <w:pPr>
        <w:pStyle w:val="Kop3"/>
        <w:shd w:val="clear" w:color="auto" w:fill="D9D9D9" w:themeFill="background1" w:themeFillShade="D9"/>
        <w:rPr>
          <w:sz w:val="28"/>
          <w:szCs w:val="28"/>
        </w:rPr>
      </w:pPr>
      <w:bookmarkStart w:id="643" w:name="_Toc465131586"/>
      <w:bookmarkStart w:id="644" w:name="_Toc529692772"/>
      <w:bookmarkStart w:id="645" w:name="_Toc413945863"/>
      <w:bookmarkStart w:id="646" w:name="_Toc431375875"/>
      <w:r w:rsidRPr="00AD2CF5">
        <w:rPr>
          <w:i/>
          <w:sz w:val="28"/>
          <w:szCs w:val="28"/>
        </w:rPr>
        <w:t>3</w:t>
      </w:r>
      <w:r w:rsidRPr="00AD2CF5">
        <w:rPr>
          <w:sz w:val="28"/>
          <w:szCs w:val="28"/>
        </w:rPr>
        <w:fldChar w:fldCharType="begin"/>
      </w:r>
      <w:r w:rsidRPr="00AD2CF5">
        <w:rPr>
          <w:sz w:val="28"/>
          <w:szCs w:val="28"/>
        </w:rPr>
        <w:instrText xml:space="preserve"> SEQ numchaplev4 \r0\h \* MERGEFORMAT </w:instrText>
      </w:r>
      <w:r w:rsidRPr="00AD2CF5">
        <w:rPr>
          <w:sz w:val="28"/>
          <w:szCs w:val="28"/>
        </w:rPr>
        <w:fldChar w:fldCharType="end"/>
      </w:r>
      <w:r w:rsidRPr="00AD2CF5">
        <w:rPr>
          <w:sz w:val="28"/>
          <w:szCs w:val="28"/>
        </w:rPr>
        <w:tab/>
      </w:r>
      <w:bookmarkEnd w:id="643"/>
      <w:r w:rsidRPr="00AD2CF5">
        <w:rPr>
          <w:i/>
          <w:sz w:val="28"/>
          <w:szCs w:val="28"/>
        </w:rPr>
        <w:t>Fysische modellering van schietgeluid</w:t>
      </w:r>
      <w:bookmarkEnd w:id="644"/>
      <w:bookmarkEnd w:id="645"/>
      <w:bookmarkEnd w:id="646"/>
    </w:p>
    <w:p w:rsidR="00F43C9B" w:rsidRPr="00AD2CF5" w:rsidRDefault="00F43C9B" w:rsidP="00F43C9B">
      <w:pPr>
        <w:shd w:val="clear" w:color="auto" w:fill="D9D9D9" w:themeFill="background1" w:themeFillShade="D9"/>
        <w:spacing w:line="240" w:lineRule="auto"/>
      </w:pPr>
      <w:r w:rsidRPr="00AD2CF5">
        <w:t>Bij het geluid dat ontstaat bij het gebruik van een vuurwapen, worden drie principieel verschillende bijdragen onderscheiden:</w:t>
      </w:r>
    </w:p>
    <w:p w:rsidR="00F43C9B" w:rsidRPr="00AD2CF5" w:rsidRDefault="00F43C9B" w:rsidP="00EB7F6B">
      <w:pPr>
        <w:numPr>
          <w:ilvl w:val="0"/>
          <w:numId w:val="5"/>
        </w:numPr>
        <w:shd w:val="clear" w:color="auto" w:fill="D9D9D9" w:themeFill="background1" w:themeFillShade="D9"/>
        <w:spacing w:line="240" w:lineRule="auto"/>
      </w:pPr>
      <w:r w:rsidRPr="00AD2CF5">
        <w:rPr>
          <w:i/>
        </w:rPr>
        <w:t>mondingsgeluid</w:t>
      </w:r>
      <w:r w:rsidRPr="00AD2CF5">
        <w:rPr>
          <w:i/>
        </w:rPr>
        <w:fldChar w:fldCharType="begin"/>
      </w:r>
      <w:r w:rsidRPr="00AD2CF5">
        <w:rPr>
          <w:i/>
        </w:rPr>
        <w:instrText xml:space="preserve"> XE "</w:instrText>
      </w:r>
      <w:r w:rsidRPr="00AD2CF5">
        <w:instrText>mondingsgeluid"</w:instrText>
      </w:r>
      <w:r w:rsidRPr="00AD2CF5">
        <w:rPr>
          <w:i/>
        </w:rPr>
        <w:instrText xml:space="preserve"> </w:instrText>
      </w:r>
      <w:r w:rsidRPr="00AD2CF5">
        <w:rPr>
          <w:i/>
        </w:rPr>
        <w:fldChar w:fldCharType="end"/>
      </w:r>
    </w:p>
    <w:p w:rsidR="00F43C9B" w:rsidRPr="00AD2CF5" w:rsidRDefault="00F43C9B" w:rsidP="00EB7F6B">
      <w:pPr>
        <w:numPr>
          <w:ilvl w:val="0"/>
          <w:numId w:val="2"/>
        </w:numPr>
        <w:shd w:val="clear" w:color="auto" w:fill="D9D9D9" w:themeFill="background1" w:themeFillShade="D9"/>
        <w:tabs>
          <w:tab w:val="left" w:pos="540"/>
          <w:tab w:val="left" w:pos="1392"/>
        </w:tabs>
        <w:spacing w:line="240" w:lineRule="auto"/>
      </w:pPr>
      <w:r w:rsidRPr="00AD2CF5">
        <w:rPr>
          <w:i/>
        </w:rPr>
        <w:t>detonatiegeluid</w:t>
      </w:r>
    </w:p>
    <w:p w:rsidR="00F43C9B" w:rsidRPr="00AD2CF5" w:rsidRDefault="00F43C9B" w:rsidP="00EB7F6B">
      <w:pPr>
        <w:numPr>
          <w:ilvl w:val="0"/>
          <w:numId w:val="2"/>
        </w:numPr>
        <w:shd w:val="clear" w:color="auto" w:fill="D9D9D9" w:themeFill="background1" w:themeFillShade="D9"/>
        <w:tabs>
          <w:tab w:val="left" w:pos="540"/>
          <w:tab w:val="left" w:pos="1392"/>
        </w:tabs>
        <w:spacing w:line="240" w:lineRule="auto"/>
      </w:pPr>
      <w:r w:rsidRPr="00AD2CF5">
        <w:rPr>
          <w:i/>
        </w:rPr>
        <w:t>kogelgeluid</w:t>
      </w:r>
      <w:r w:rsidRPr="00AD2CF5">
        <w:rPr>
          <w:i/>
        </w:rPr>
        <w:fldChar w:fldCharType="begin"/>
      </w:r>
      <w:r w:rsidRPr="00AD2CF5">
        <w:rPr>
          <w:i/>
        </w:rPr>
        <w:instrText xml:space="preserve"> XE "</w:instrText>
      </w:r>
      <w:r w:rsidRPr="00AD2CF5">
        <w:instrText>kogelgeluid"</w:instrText>
      </w:r>
      <w:r w:rsidRPr="00AD2CF5">
        <w:rPr>
          <w:i/>
        </w:rPr>
        <w:instrText xml:space="preserve"> </w:instrText>
      </w:r>
      <w:r w:rsidRPr="00AD2CF5">
        <w:rPr>
          <w:i/>
        </w:rPr>
        <w:fldChar w:fldCharType="end"/>
      </w:r>
    </w:p>
    <w:p w:rsidR="00F43C9B" w:rsidRPr="00AD2CF5" w:rsidRDefault="00F43C9B" w:rsidP="00F43C9B">
      <w:pPr>
        <w:shd w:val="clear" w:color="auto" w:fill="D9D9D9" w:themeFill="background1" w:themeFillShade="D9"/>
        <w:tabs>
          <w:tab w:val="left" w:pos="540"/>
          <w:tab w:val="left" w:pos="1392"/>
        </w:tabs>
        <w:spacing w:line="240" w:lineRule="auto"/>
      </w:pPr>
    </w:p>
    <w:p w:rsidR="00F43C9B" w:rsidRPr="00AD2CF5" w:rsidRDefault="00F43C9B" w:rsidP="00F43C9B">
      <w:pPr>
        <w:shd w:val="clear" w:color="auto" w:fill="D9D9D9" w:themeFill="background1" w:themeFillShade="D9"/>
        <w:tabs>
          <w:tab w:val="left" w:pos="540"/>
          <w:tab w:val="left" w:pos="1392"/>
        </w:tabs>
        <w:spacing w:line="240" w:lineRule="auto"/>
      </w:pPr>
      <w:r w:rsidRPr="00AD2CF5">
        <w:t>Mondingsgeluid is de knal die ontstaat door het explosief ontbranden van de voortdrijvende lading van de munitie. Indien de munitie een detonerende lading heeft ontstaat een tweede knal door de explosie van deze lading. Voor de model</w:t>
      </w:r>
      <w:r w:rsidRPr="00AD2CF5">
        <w:softHyphen/>
        <w:t>lering van mondings- en detonatiegeluid wordt van puntbronnen uitgegaan.</w:t>
      </w:r>
    </w:p>
    <w:p w:rsidR="00F43C9B" w:rsidRPr="00AD2CF5" w:rsidRDefault="00F43C9B" w:rsidP="00F43C9B">
      <w:pPr>
        <w:shd w:val="clear" w:color="auto" w:fill="D9D9D9" w:themeFill="background1" w:themeFillShade="D9"/>
        <w:tabs>
          <w:tab w:val="left" w:pos="540"/>
          <w:tab w:val="left" w:pos="1392"/>
        </w:tabs>
        <w:spacing w:line="240" w:lineRule="auto"/>
      </w:pPr>
      <w:r w:rsidRPr="00AD2CF5">
        <w:t>Kogelgeluid is geluid dat ontstaat door verstoring van de lucht door een supersone kogel. Dit ontstaat dus alleen als de snelheid van de kogel groter is dan de geluidsnelheid.</w:t>
      </w:r>
      <w:r w:rsidRPr="00AD2CF5">
        <w:fldChar w:fldCharType="begin"/>
      </w:r>
      <w:r w:rsidRPr="00AD2CF5">
        <w:instrText xml:space="preserve"> XE "geluidsnelheid" </w:instrText>
      </w:r>
      <w:r w:rsidRPr="00AD2CF5">
        <w:fldChar w:fldCharType="end"/>
      </w:r>
      <w:r w:rsidRPr="00AD2CF5">
        <w:t xml:space="preserve"> Door het bijzondere geluidopwekkings</w:t>
      </w:r>
      <w:r w:rsidRPr="00AD2CF5">
        <w:softHyphen/>
        <w:t>mechanisme van kogelgeluid</w:t>
      </w:r>
      <w:r w:rsidRPr="00AD2CF5">
        <w:fldChar w:fldCharType="begin"/>
      </w:r>
      <w:r w:rsidRPr="00AD2CF5">
        <w:instrText xml:space="preserve"> XE "kogelgeluid" </w:instrText>
      </w:r>
      <w:r w:rsidRPr="00AD2CF5">
        <w:fldChar w:fldCharType="end"/>
      </w:r>
      <w:r w:rsidRPr="00AD2CF5">
        <w:t xml:space="preserve"> is ook de modellering ervan zeer specifiek en daar</w:t>
      </w:r>
      <w:r w:rsidRPr="00AD2CF5">
        <w:softHyphen/>
        <w:t>door afwijkend van bijvoorbeeld de modellering van wegverkeerslawaai met lijn</w:t>
      </w:r>
      <w:r w:rsidRPr="00AD2CF5">
        <w:softHyphen/>
        <w:t>bronnen. Zo moet in een aantal gevallen rekening gehouden worden met niet-lineariteit.</w:t>
      </w:r>
    </w:p>
    <w:p w:rsidR="00F43C9B" w:rsidRPr="00AD2CF5" w:rsidRDefault="00F43C9B" w:rsidP="00F43C9B">
      <w:pPr>
        <w:shd w:val="clear" w:color="auto" w:fill="D9D9D9" w:themeFill="background1" w:themeFillShade="D9"/>
        <w:tabs>
          <w:tab w:val="left" w:pos="540"/>
          <w:tab w:val="left" w:pos="1392"/>
        </w:tabs>
        <w:spacing w:line="240" w:lineRule="auto"/>
      </w:pPr>
      <w:r w:rsidRPr="00AD2CF5">
        <w:t>Voor de zwaardere wapentypen</w:t>
      </w:r>
      <w:r w:rsidRPr="00AD2CF5">
        <w:fldChar w:fldCharType="begin"/>
      </w:r>
      <w:r w:rsidRPr="00AD2CF5">
        <w:instrText xml:space="preserve"> XE "wapentypen" </w:instrText>
      </w:r>
      <w:r w:rsidRPr="00AD2CF5">
        <w:fldChar w:fldCharType="end"/>
      </w:r>
      <w:r w:rsidRPr="00AD2CF5">
        <w:t xml:space="preserve"> wordt het mondingsgeluid</w:t>
      </w:r>
      <w:r w:rsidRPr="00AD2CF5">
        <w:fldChar w:fldCharType="begin"/>
      </w:r>
      <w:r w:rsidRPr="00AD2CF5">
        <w:instrText xml:space="preserve"> XE "mondingsgeluid" </w:instrText>
      </w:r>
      <w:r w:rsidRPr="00AD2CF5">
        <w:fldChar w:fldCharType="end"/>
      </w:r>
      <w:r w:rsidRPr="00AD2CF5">
        <w:t xml:space="preserve"> (en in mindere mate het kogelgeluid)</w:t>
      </w:r>
      <w:r w:rsidRPr="00AD2CF5">
        <w:fldChar w:fldCharType="begin"/>
      </w:r>
      <w:r w:rsidRPr="00AD2CF5">
        <w:instrText xml:space="preserve"> XE "kogelgeluid" </w:instrText>
      </w:r>
      <w:r w:rsidRPr="00AD2CF5">
        <w:fldChar w:fldCharType="end"/>
      </w:r>
      <w:r w:rsidRPr="00AD2CF5">
        <w:t xml:space="preserve"> door lage fre</w:t>
      </w:r>
      <w:r w:rsidRPr="00AD2CF5">
        <w:softHyphen/>
        <w:t>quen</w:t>
      </w:r>
      <w:r w:rsidRPr="00AD2CF5">
        <w:softHyphen/>
        <w:t>ties gedomineerd. Dit type schietgeluid kan tot op grote afstand waarneembaar zijn. Voor dergelijke afstanden en ook voor dit lage frequentiegebied bleken de bestaande modellen te onnauwkeurig.</w:t>
      </w:r>
    </w:p>
    <w:p w:rsidR="00F43C9B" w:rsidRPr="00AD2CF5" w:rsidRDefault="00F43C9B" w:rsidP="00F43C9B">
      <w:pPr>
        <w:shd w:val="clear" w:color="auto" w:fill="D9D9D9" w:themeFill="background1" w:themeFillShade="D9"/>
        <w:tabs>
          <w:tab w:val="left" w:pos="540"/>
          <w:tab w:val="left" w:pos="1392"/>
        </w:tabs>
        <w:spacing w:line="240" w:lineRule="auto"/>
      </w:pPr>
      <w:r w:rsidRPr="00AD2CF5">
        <w:t>Voor de modellering van schietgeluid konden daarom de bestaande methoden niet worden gebruikt. Daarom zijn hiervoor andere rekenmethoden ontwikkeld.</w:t>
      </w:r>
    </w:p>
    <w:p w:rsidR="00F43C9B" w:rsidRPr="00AD2CF5" w:rsidRDefault="00F43C9B" w:rsidP="00F43C9B">
      <w:pPr>
        <w:shd w:val="clear" w:color="auto" w:fill="D9D9D9" w:themeFill="background1" w:themeFillShade="D9"/>
        <w:tabs>
          <w:tab w:val="left" w:pos="540"/>
          <w:tab w:val="left" w:pos="1392"/>
        </w:tabs>
        <w:spacing w:line="240" w:lineRule="auto"/>
      </w:pPr>
      <w:r w:rsidRPr="00AD2CF5">
        <w:t>In de "Handleiding meten en rekenen industrielawaai" is een zogenaamd meteo</w:t>
      </w:r>
      <w:r w:rsidRPr="00AD2CF5">
        <w:softHyphen/>
        <w:t>raam</w:t>
      </w:r>
      <w:r w:rsidRPr="00AD2CF5">
        <w:fldChar w:fldCharType="begin"/>
      </w:r>
      <w:r w:rsidRPr="00AD2CF5">
        <w:instrText xml:space="preserve"> XE "meteoraam" </w:instrText>
      </w:r>
      <w:r w:rsidRPr="00AD2CF5">
        <w:fldChar w:fldCharType="end"/>
      </w:r>
      <w:r w:rsidRPr="00AD2CF5">
        <w:t xml:space="preserve"> gedefinieerd waarin voorwaarden zijn gegeven waaronder metingen betrouw</w:t>
      </w:r>
      <w:r w:rsidRPr="00AD2CF5">
        <w:softHyphen/>
        <w:t>baar en repro</w:t>
      </w:r>
      <w:r w:rsidRPr="00AD2CF5">
        <w:softHyphen/>
        <w:t>du</w:t>
      </w:r>
      <w:r w:rsidRPr="00AD2CF5">
        <w:softHyphen/>
        <w:t>ceerbaar kunnen worden uitgevoerd. Voor schietgeluid zijn deze voorwaarden te ruim. Ook als aan deze voorwaarden wordt voldaan, treden er niet alleen binnen een meetserie grote variaties op, maar worden er ook grote ver</w:t>
      </w:r>
      <w:r w:rsidRPr="00AD2CF5">
        <w:softHyphen/>
        <w:t>schil</w:t>
      </w:r>
      <w:r w:rsidRPr="00AD2CF5">
        <w:softHyphen/>
        <w:t>len gevonden tussen de gemiddelden van meetseries die op verschillende dagen zijn bepaald.</w:t>
      </w:r>
    </w:p>
    <w:p w:rsidR="00F43C9B" w:rsidRPr="00AD2CF5" w:rsidRDefault="00F43C9B" w:rsidP="00F43C9B">
      <w:pPr>
        <w:shd w:val="clear" w:color="auto" w:fill="D9D9D9" w:themeFill="background1" w:themeFillShade="D9"/>
        <w:tabs>
          <w:tab w:val="left" w:pos="540"/>
          <w:tab w:val="left" w:pos="1392"/>
        </w:tabs>
        <w:spacing w:line="240" w:lineRule="auto"/>
      </w:pPr>
      <w:r w:rsidRPr="00AD2CF5">
        <w:t>Deze verschillen worden veroorzaakt door veranderingen in de toestand van de atmosfeer</w:t>
      </w:r>
      <w:r w:rsidRPr="00AD2CF5">
        <w:fldChar w:fldCharType="begin"/>
      </w:r>
      <w:r w:rsidRPr="00AD2CF5">
        <w:instrText xml:space="preserve"> XE "atmosfeer" </w:instrText>
      </w:r>
      <w:r w:rsidRPr="00AD2CF5">
        <w:fldChar w:fldCharType="end"/>
      </w:r>
      <w:r w:rsidRPr="00AD2CF5">
        <w:t>. De geluidoverdracht</w:t>
      </w:r>
      <w:r w:rsidRPr="00AD2CF5">
        <w:fldChar w:fldCharType="begin"/>
      </w:r>
      <w:r w:rsidRPr="00AD2CF5">
        <w:instrText xml:space="preserve"> XE "geluidoverdracht" </w:instrText>
      </w:r>
      <w:r w:rsidRPr="00AD2CF5">
        <w:fldChar w:fldCharType="end"/>
      </w:r>
      <w:r w:rsidRPr="00AD2CF5">
        <w:t xml:space="preserve"> van schietgeluid is hieraan sterk onderhevig. Doordat daarnaast de akoestische energie van een schot in een korte tijdsduur en binnen een klein gebied is geconcentreerd, kunnen er – met name op grote afstand van de bron - van schot tot schot grote niveauverschillen optreden. Bij verkeersgeluid en industriegeluid daarentegen zijn de bronnen in tijd en plaats meer uitgesmeerd, waardoor de invloed van de atmosfeer deels wordt uitgemiddeld. Voor een vergelijkbare nauwkeurigheid zou een extreem groot aantal schoten geme</w:t>
      </w:r>
      <w:r w:rsidRPr="00AD2CF5">
        <w:softHyphen/>
        <w:t>ten moeten worden. Bovendien zou er een middeling over een aantal bij elkaar gelegen meet</w:t>
      </w:r>
      <w:r w:rsidRPr="00AD2CF5">
        <w:softHyphen/>
        <w:t>posities moeten plaatsvinden om lokale verschillen in niveau te elimineren.</w:t>
      </w:r>
    </w:p>
    <w:p w:rsidR="00F43C9B" w:rsidRPr="00AD2CF5" w:rsidRDefault="00F43C9B" w:rsidP="00F43C9B">
      <w:pPr>
        <w:shd w:val="clear" w:color="auto" w:fill="D9D9D9" w:themeFill="background1" w:themeFillShade="D9"/>
        <w:spacing w:line="240" w:lineRule="auto"/>
      </w:pPr>
      <w:r w:rsidRPr="00AD2CF5">
        <w:t>Het vraagt dus een onevenredig grote inspanning om binnen een redelijke nauw</w:t>
      </w:r>
      <w:r w:rsidRPr="00AD2CF5">
        <w:softHyphen/>
        <w:t>keurig</w:t>
      </w:r>
      <w:r w:rsidRPr="00AD2CF5">
        <w:softHyphen/>
        <w:t>heid door middel van metingen de geluidbelasting van schietgeluid vast te stellen. Om deze reden is voor de bepaling van de geluidbelasting in dit voorschrift alleen een berekeningsmethode opgenomen.</w:t>
      </w:r>
      <w:bookmarkStart w:id="647" w:name="_Toc465131587"/>
      <w:bookmarkStart w:id="648" w:name="_Toc529692773"/>
    </w:p>
    <w:p w:rsidR="00F43C9B" w:rsidRPr="00AD2CF5" w:rsidRDefault="00F43C9B" w:rsidP="00F43C9B">
      <w:pPr>
        <w:pStyle w:val="Kop4"/>
        <w:shd w:val="clear" w:color="auto" w:fill="D9D9D9" w:themeFill="background1" w:themeFillShade="D9"/>
      </w:pPr>
    </w:p>
    <w:p w:rsidR="00F43C9B" w:rsidRDefault="00F43C9B" w:rsidP="00F43C9B">
      <w:pPr>
        <w:pStyle w:val="Kop4"/>
        <w:shd w:val="clear" w:color="auto" w:fill="D9D9D9" w:themeFill="background1" w:themeFillShade="D9"/>
        <w:rPr>
          <w:rFonts w:asciiTheme="majorHAnsi" w:hAnsiTheme="majorHAnsi"/>
        </w:rPr>
      </w:pPr>
    </w:p>
    <w:p w:rsidR="00F43C9B" w:rsidRPr="00AD2CF5" w:rsidRDefault="00F43C9B" w:rsidP="00F43C9B">
      <w:pPr>
        <w:pStyle w:val="Kop4"/>
        <w:shd w:val="clear" w:color="auto" w:fill="D9D9D9" w:themeFill="background1" w:themeFillShade="D9"/>
        <w:rPr>
          <w:rFonts w:asciiTheme="majorHAnsi" w:hAnsiTheme="majorHAnsi"/>
        </w:rPr>
      </w:pPr>
      <w:r w:rsidRPr="00AD2CF5">
        <w:rPr>
          <w:rFonts w:asciiTheme="majorHAnsi" w:hAnsiTheme="majorHAnsi"/>
        </w:rPr>
        <w:t>4</w:t>
      </w:r>
      <w:r w:rsidRPr="00AD2CF5">
        <w:rPr>
          <w:rFonts w:asciiTheme="majorHAnsi" w:hAnsiTheme="majorHAnsi"/>
        </w:rPr>
        <w:fldChar w:fldCharType="begin"/>
      </w:r>
      <w:r w:rsidRPr="00AD2CF5">
        <w:rPr>
          <w:rFonts w:asciiTheme="majorHAnsi" w:hAnsiTheme="majorHAnsi"/>
        </w:rPr>
        <w:instrText xml:space="preserve"> SEQ numchaplev3 \r0\h \* MERGEFORMAT </w:instrText>
      </w:r>
      <w:r w:rsidRPr="00AD2CF5">
        <w:rPr>
          <w:rFonts w:asciiTheme="majorHAnsi" w:hAnsiTheme="majorHAnsi"/>
        </w:rPr>
        <w:fldChar w:fldCharType="end"/>
      </w:r>
      <w:r w:rsidRPr="00AD2CF5">
        <w:rPr>
          <w:rFonts w:asciiTheme="majorHAnsi" w:hAnsiTheme="majorHAnsi"/>
        </w:rPr>
        <w:tab/>
        <w:t>De nieuwe elementen in dit voorschrift</w:t>
      </w:r>
      <w:bookmarkEnd w:id="647"/>
      <w:bookmarkEnd w:id="648"/>
    </w:p>
    <w:p w:rsidR="00F43C9B" w:rsidRPr="00AD2CF5" w:rsidRDefault="00F43C9B" w:rsidP="00F43C9B">
      <w:pPr>
        <w:shd w:val="clear" w:color="auto" w:fill="D9D9D9" w:themeFill="background1" w:themeFillShade="D9"/>
        <w:spacing w:line="240" w:lineRule="auto"/>
      </w:pPr>
      <w:r w:rsidRPr="00AD2CF5">
        <w:t>Net als in de rekenmethoden voor wegverkeers- en industriegeluid wordt in dit voorschrift gebruik gemaakt van een rekenmodel, waarbij de geluid</w:t>
      </w:r>
      <w:r w:rsidRPr="00AD2CF5">
        <w:softHyphen/>
        <w:t>immissie</w:t>
      </w:r>
      <w:r w:rsidRPr="00AD2CF5">
        <w:fldChar w:fldCharType="begin"/>
      </w:r>
      <w:r w:rsidRPr="00AD2CF5">
        <w:instrText xml:space="preserve"> XE "geluidimmissie" </w:instrText>
      </w:r>
      <w:r w:rsidRPr="00AD2CF5">
        <w:fldChar w:fldCharType="end"/>
      </w:r>
      <w:r w:rsidRPr="00AD2CF5">
        <w:t xml:space="preserve"> bepaald wordt door berekeningen van de geluidoverdracht</w:t>
      </w:r>
      <w:r w:rsidRPr="00AD2CF5">
        <w:fldChar w:fldCharType="begin"/>
      </w:r>
      <w:r w:rsidRPr="00AD2CF5">
        <w:instrText xml:space="preserve"> XE "geluidoverdracht" </w:instrText>
      </w:r>
      <w:r w:rsidRPr="00AD2CF5">
        <w:fldChar w:fldCharType="end"/>
      </w:r>
      <w:r w:rsidRPr="00AD2CF5">
        <w:t xml:space="preserve"> te combineren met bronniveaus uit een gegevenbestand. Nieuw is dat bij de berekening expliciet rekening gehouden wordt met de variaties van de weersomstandigheden.</w:t>
      </w:r>
      <w:r w:rsidRPr="00AD2CF5">
        <w:fldChar w:fldCharType="begin"/>
      </w:r>
      <w:r w:rsidRPr="00AD2CF5">
        <w:instrText xml:space="preserve"> XE "weersomstandigheden" </w:instrText>
      </w:r>
      <w:r w:rsidRPr="00AD2CF5">
        <w:fldChar w:fldCharType="end"/>
      </w:r>
      <w:r w:rsidRPr="00AD2CF5">
        <w:t xml:space="preserve"> In de vorige paragraaf is al aangegeven, dat de geluid</w:t>
      </w:r>
      <w:r w:rsidRPr="00AD2CF5">
        <w:softHyphen/>
        <w:t>overdracht sterk afhankelijk is van de plaatselijke weersomstandigheden. Zo is bijvoorbeeld bij meewind (als de geluid</w:t>
      </w:r>
      <w:r w:rsidRPr="00AD2CF5">
        <w:softHyphen/>
        <w:t>voort</w:t>
      </w:r>
      <w:r w:rsidRPr="00AD2CF5">
        <w:softHyphen/>
        <w:t>plan</w:t>
      </w:r>
      <w:r w:rsidRPr="00AD2CF5">
        <w:softHyphen/>
        <w:t>ting gelijk gericht is met de wind) de geluid</w:t>
      </w:r>
      <w:r w:rsidRPr="00AD2CF5">
        <w:softHyphen/>
        <w:t>overdracht veel beter dan bij tegen</w:t>
      </w:r>
      <w:r w:rsidRPr="00AD2CF5">
        <w:softHyphen/>
        <w:t>wind.</w:t>
      </w:r>
    </w:p>
    <w:p w:rsidR="00F43C9B" w:rsidRPr="00AD2CF5" w:rsidRDefault="00F43C9B" w:rsidP="00F43C9B">
      <w:pPr>
        <w:shd w:val="clear" w:color="auto" w:fill="D9D9D9" w:themeFill="background1" w:themeFillShade="D9"/>
        <w:spacing w:line="240" w:lineRule="auto"/>
      </w:pPr>
      <w:r w:rsidRPr="00AD2CF5">
        <w:t>Om deze invloed van het weer op de geluidoverdracht</w:t>
      </w:r>
      <w:r w:rsidRPr="00AD2CF5">
        <w:fldChar w:fldCharType="begin"/>
      </w:r>
      <w:r w:rsidRPr="00AD2CF5">
        <w:instrText xml:space="preserve"> XE "geluidoverdracht" </w:instrText>
      </w:r>
      <w:r w:rsidRPr="00AD2CF5">
        <w:fldChar w:fldCharType="end"/>
      </w:r>
      <w:r w:rsidRPr="00AD2CF5">
        <w:t xml:space="preserve"> in rekening te brengen, wordt bij de reken</w:t>
      </w:r>
      <w:r w:rsidRPr="00AD2CF5">
        <w:softHyphen/>
        <w:t>methode uitgegaan van 27 meteoro</w:t>
      </w:r>
      <w:r w:rsidRPr="00AD2CF5">
        <w:softHyphen/>
        <w:t>lo</w:t>
      </w:r>
      <w:r w:rsidRPr="00AD2CF5">
        <w:softHyphen/>
        <w:t>gische klassen.</w:t>
      </w:r>
      <w:r w:rsidRPr="00AD2CF5">
        <w:fldChar w:fldCharType="begin"/>
      </w:r>
      <w:r w:rsidRPr="00AD2CF5">
        <w:instrText xml:space="preserve"> XE "meteorologische klasse" </w:instrText>
      </w:r>
      <w:r w:rsidRPr="00AD2CF5">
        <w:fldChar w:fldCharType="end"/>
      </w:r>
      <w:r w:rsidRPr="00AD2CF5">
        <w:t xml:space="preserve"> Voor elke klasse wordt de geluidimmissie</w:t>
      </w:r>
      <w:r w:rsidRPr="00AD2CF5">
        <w:fldChar w:fldCharType="begin"/>
      </w:r>
      <w:r w:rsidRPr="00AD2CF5">
        <w:instrText xml:space="preserve"> XE "geluidimmissie" </w:instrText>
      </w:r>
      <w:r w:rsidRPr="00AD2CF5">
        <w:fldChar w:fldCharType="end"/>
      </w:r>
      <w:r w:rsidRPr="00AD2CF5">
        <w:t xml:space="preserve"> bepaald, uitgedrukt als A- en C-gewogen geluid</w:t>
      </w:r>
      <w:r w:rsidRPr="00AD2CF5">
        <w:softHyphen/>
        <w:t>expositie</w:t>
      </w:r>
      <w:r w:rsidRPr="00AD2CF5">
        <w:softHyphen/>
        <w:t>niveau.</w:t>
      </w:r>
      <w:r w:rsidRPr="00AD2CF5">
        <w:fldChar w:fldCharType="begin"/>
      </w:r>
      <w:r w:rsidRPr="00AD2CF5">
        <w:instrText xml:space="preserve"> XE "geluidexpositieniveau" </w:instrText>
      </w:r>
      <w:r w:rsidRPr="00AD2CF5">
        <w:fldChar w:fldCharType="end"/>
      </w:r>
      <w:r w:rsidRPr="00AD2CF5">
        <w:t xml:space="preserve"> Hieruit wordt een </w:t>
      </w:r>
      <w:r w:rsidRPr="00AD2CF5">
        <w:rPr>
          <w:i/>
        </w:rPr>
        <w:t>hinder-relevante</w:t>
      </w:r>
      <w:r w:rsidRPr="00AD2CF5">
        <w:rPr>
          <w:i/>
        </w:rPr>
        <w:fldChar w:fldCharType="begin"/>
      </w:r>
      <w:r w:rsidRPr="00AD2CF5">
        <w:rPr>
          <w:i/>
        </w:rPr>
        <w:instrText xml:space="preserve"> XE "</w:instrText>
      </w:r>
      <w:r w:rsidRPr="00AD2CF5">
        <w:instrText>hinder-relevant"</w:instrText>
      </w:r>
      <w:r w:rsidRPr="00AD2CF5">
        <w:rPr>
          <w:i/>
        </w:rPr>
        <w:instrText xml:space="preserve"> </w:instrText>
      </w:r>
      <w:r w:rsidRPr="00AD2CF5">
        <w:rPr>
          <w:i/>
        </w:rPr>
        <w:fldChar w:fldCharType="end"/>
      </w:r>
      <w:r w:rsidRPr="00AD2CF5">
        <w:t xml:space="preserve"> deel</w:t>
      </w:r>
      <w:r w:rsidRPr="00AD2CF5">
        <w:softHyphen/>
        <w:t>bijdrage bepaald tot de geluidbelasting. Het gewogen gemid</w:t>
      </w:r>
      <w:r w:rsidRPr="00AD2CF5">
        <w:softHyphen/>
        <w:t>delde van deze deelbijdragen over deze 27 meteo</w:t>
      </w:r>
      <w:r w:rsidRPr="00AD2CF5">
        <w:softHyphen/>
        <w:t>rologische klassen wordt tenslotte gebruikt voor de bepaling van de (hinder-relevante) geluidbelasting. Er wordt hierbij rekening gehouden met de meteoro</w:t>
      </w:r>
      <w:r w:rsidRPr="00AD2CF5">
        <w:softHyphen/>
        <w:t>lo</w:t>
      </w:r>
      <w:r w:rsidRPr="00AD2CF5">
        <w:softHyphen/>
        <w:t>gische situaties die gedurende een (gemiddeld) jaar voorkomen. De weeg</w:t>
      </w:r>
      <w:r w:rsidRPr="00AD2CF5">
        <w:softHyphen/>
        <w:t>factoren zijn ontleend aan een statistisch meteorologisch model, onder meer gebaseerd op statistische gegevens van de wind in Nederland, verzameld door het KNMI gedurende 30 jaren.</w:t>
      </w:r>
    </w:p>
    <w:p w:rsidR="00F43C9B" w:rsidRPr="00AD2CF5" w:rsidRDefault="00F43C9B" w:rsidP="00F43C9B">
      <w:pPr>
        <w:shd w:val="clear" w:color="auto" w:fill="D9D9D9" w:themeFill="background1" w:themeFillShade="D9"/>
        <w:spacing w:line="240" w:lineRule="auto"/>
      </w:pPr>
      <w:r w:rsidRPr="00AD2CF5">
        <w:t>Ter vergelijking: In de bestaande rekenmethoden voor industrielawaai en wegverkeers</w:t>
      </w:r>
      <w:r w:rsidRPr="00AD2CF5">
        <w:softHyphen/>
        <w:t>geluid wordt van slechts één (meewind)situatie uitgegaan, waarbij een meteocorrectieterm</w:t>
      </w:r>
      <w:r w:rsidRPr="00AD2CF5">
        <w:fldChar w:fldCharType="begin"/>
      </w:r>
      <w:r w:rsidRPr="00AD2CF5">
        <w:instrText xml:space="preserve"> XE "meteocorrectieterm" </w:instrText>
      </w:r>
      <w:r w:rsidRPr="00AD2CF5">
        <w:fldChar w:fldCharType="end"/>
      </w:r>
      <w:r w:rsidRPr="00AD2CF5">
        <w:t xml:space="preserve"> wordt toe</w:t>
      </w:r>
      <w:r w:rsidRPr="00AD2CF5">
        <w:softHyphen/>
        <w:t>gepast om te corrigeren voor variaties in de meteo. Deze rekenmethoden zijn grotendeels empirisch, en gebaseerd op een beperkte verzameling van meetresultaten.</w:t>
      </w:r>
    </w:p>
    <w:p w:rsidR="00F43C9B" w:rsidRPr="00AD2CF5" w:rsidRDefault="00F43C9B" w:rsidP="00F43C9B">
      <w:pPr>
        <w:shd w:val="clear" w:color="auto" w:fill="D9D9D9" w:themeFill="background1" w:themeFillShade="D9"/>
        <w:spacing w:line="240" w:lineRule="auto"/>
      </w:pPr>
      <w:r w:rsidRPr="00AD2CF5">
        <w:t>Door deze opzet kan met dit nieuwe model de geluid</w:t>
      </w:r>
      <w:r w:rsidRPr="00AD2CF5">
        <w:softHyphen/>
        <w:t>belasting nauwkeuriger berekend worden. Met name is deze methode nauw</w:t>
      </w:r>
      <w:r w:rsidRPr="00AD2CF5">
        <w:softHyphen/>
        <w:t>keuriger voor afstanden groter dan ca 1 km van de bron, waar de invloed van de meteo groter is dan voor kortere afstanden.</w:t>
      </w:r>
    </w:p>
    <w:p w:rsidR="00F43C9B" w:rsidRPr="00AD2CF5" w:rsidRDefault="00F43C9B" w:rsidP="00F43C9B">
      <w:pPr>
        <w:shd w:val="clear" w:color="auto" w:fill="D9D9D9" w:themeFill="background1" w:themeFillShade="D9"/>
        <w:spacing w:line="240" w:lineRule="auto"/>
      </w:pPr>
      <w:r w:rsidRPr="00AD2CF5">
        <w:t>Doordat gebruik gemaakt is van een statistisch meteorologisch model is de methode ook geschikt om de geluidbelasting te bere</w:t>
      </w:r>
      <w:r w:rsidRPr="00AD2CF5">
        <w:softHyphen/>
        <w:t>kenen voor situaties waarbij het gebruik van een schietinrichting gekoppeld is aan bepaalde windrichtingen.</w:t>
      </w:r>
    </w:p>
    <w:p w:rsidR="00F43C9B" w:rsidRPr="00AD2CF5" w:rsidRDefault="00F43C9B" w:rsidP="00F43C9B">
      <w:pPr>
        <w:shd w:val="clear" w:color="auto" w:fill="D9D9D9" w:themeFill="background1" w:themeFillShade="D9"/>
        <w:spacing w:line="240" w:lineRule="auto"/>
      </w:pPr>
      <w:r w:rsidRPr="00AD2CF5">
        <w:t>Om de berekeningen zo efficiënt mogelijk uit te kunnen voeren wordt gebruik gemaakt van een vijftal gegevensbestanden, waaruit ‘onderdelen’ van de bere</w:t>
      </w:r>
      <w:r w:rsidRPr="00AD2CF5">
        <w:softHyphen/>
        <w:t>ke</w:t>
      </w:r>
      <w:r w:rsidRPr="00AD2CF5">
        <w:softHyphen/>
        <w:t>nin</w:t>
      </w:r>
      <w:r w:rsidRPr="00AD2CF5">
        <w:softHyphen/>
        <w:t>gen kunnen worden gelezen. Deze ‘onderdelen’ hoeven dus niet telkens op</w:t>
      </w:r>
      <w:r w:rsidRPr="00AD2CF5">
        <w:softHyphen/>
        <w:t>nieuw berekend te worden. Zo is een groot gegevensbestand</w:t>
      </w:r>
      <w:r w:rsidRPr="00AD2CF5">
        <w:fldChar w:fldCharType="begin"/>
      </w:r>
      <w:r w:rsidRPr="00AD2CF5">
        <w:instrText xml:space="preserve"> XE "gegevensbestand" </w:instrText>
      </w:r>
      <w:r w:rsidRPr="00AD2CF5">
        <w:fldChar w:fldCharType="end"/>
      </w:r>
      <w:r w:rsidRPr="00AD2CF5">
        <w:t xml:space="preserve"> opgebouwd waarin overdrachtsfuncties zijn opge</w:t>
      </w:r>
      <w:r w:rsidRPr="00AD2CF5">
        <w:softHyphen/>
        <w:t>nomen voor verschillende meteorologische klassen</w:t>
      </w:r>
      <w:r w:rsidRPr="00AD2CF5">
        <w:fldChar w:fldCharType="begin"/>
      </w:r>
      <w:r w:rsidRPr="00AD2CF5">
        <w:instrText xml:space="preserve"> XE "meteorologische klasse" </w:instrText>
      </w:r>
      <w:r w:rsidRPr="00AD2CF5">
        <w:fldChar w:fldCharType="end"/>
      </w:r>
      <w:r w:rsidRPr="00AD2CF5">
        <w:t xml:space="preserve"> als functie van de afstand tussen bron en rekenpunt, van de hoogte van beide pun</w:t>
      </w:r>
      <w:r w:rsidRPr="00AD2CF5">
        <w:softHyphen/>
        <w:t>ten, van het bodem</w:t>
      </w:r>
      <w:r w:rsidRPr="00AD2CF5">
        <w:softHyphen/>
        <w:t>type</w:t>
      </w:r>
      <w:r w:rsidRPr="00AD2CF5">
        <w:fldChar w:fldCharType="begin"/>
      </w:r>
      <w:r w:rsidRPr="00AD2CF5">
        <w:instrText xml:space="preserve"> XE "bodemtype" </w:instrText>
      </w:r>
      <w:r w:rsidRPr="00AD2CF5">
        <w:fldChar w:fldCharType="end"/>
      </w:r>
      <w:r w:rsidRPr="00AD2CF5">
        <w:t xml:space="preserve"> en van de frequentie.</w:t>
      </w:r>
      <w:r w:rsidRPr="00AD2CF5">
        <w:fldChar w:fldCharType="begin"/>
      </w:r>
      <w:r w:rsidRPr="00AD2CF5">
        <w:instrText xml:space="preserve"> XE "frequentie" </w:instrText>
      </w:r>
      <w:r w:rsidRPr="00AD2CF5">
        <w:fldChar w:fldCharType="end"/>
      </w:r>
      <w:r w:rsidRPr="00AD2CF5">
        <w:t xml:space="preserve"> Hierbij is gebruik gemaakt van een numeriek rekenmodel voor geluidvoortplanting in de atmosfeer,</w:t>
      </w:r>
      <w:r w:rsidRPr="00AD2CF5">
        <w:fldChar w:fldCharType="begin"/>
      </w:r>
      <w:r w:rsidRPr="00AD2CF5">
        <w:instrText xml:space="preserve"> XE "atmosfeer" </w:instrText>
      </w:r>
      <w:r w:rsidRPr="00AD2CF5">
        <w:fldChar w:fldCharType="end"/>
      </w:r>
      <w:r w:rsidRPr="00AD2CF5">
        <w:t xml:space="preserve"> kortweg aan</w:t>
      </w:r>
      <w:r w:rsidRPr="00AD2CF5">
        <w:softHyphen/>
        <w:t>ge</w:t>
      </w:r>
      <w:r w:rsidRPr="00AD2CF5">
        <w:softHyphen/>
        <w:t>duid met de PE-methode (PE staat voor ‘Parabolic Equation’).</w:t>
      </w:r>
    </w:p>
    <w:p w:rsidR="00F43C9B" w:rsidRPr="00AD2CF5" w:rsidRDefault="00F43C9B" w:rsidP="00F43C9B">
      <w:pPr>
        <w:shd w:val="clear" w:color="auto" w:fill="D9D9D9" w:themeFill="background1" w:themeFillShade="D9"/>
        <w:spacing w:line="240" w:lineRule="auto"/>
      </w:pPr>
      <w:r w:rsidRPr="00AD2CF5">
        <w:t>Met behulp van een statistisch meteorologisch model is een tweede gegevens</w:t>
      </w:r>
      <w:r w:rsidRPr="00AD2CF5">
        <w:softHyphen/>
        <w:t>bestand</w:t>
      </w:r>
      <w:r w:rsidRPr="00AD2CF5">
        <w:fldChar w:fldCharType="begin"/>
      </w:r>
      <w:r w:rsidRPr="00AD2CF5">
        <w:instrText xml:space="preserve"> XE "gegevensbestand" </w:instrText>
      </w:r>
      <w:r w:rsidRPr="00AD2CF5">
        <w:fldChar w:fldCharType="end"/>
      </w:r>
      <w:r w:rsidRPr="00AD2CF5">
        <w:t xml:space="preserve"> opgebouwd waaruit de weegfactoren kunnen worden gelezen die nodig zijn voor de bepaling van het bovengenoemde gewogen gemiddelde. Voor het geval dat het gebruik van de schietinrichting gekoppeld is aan de heersende wind</w:t>
      </w:r>
      <w:r w:rsidRPr="00AD2CF5">
        <w:softHyphen/>
        <w:t>richting</w:t>
      </w:r>
      <w:r w:rsidRPr="00AD2CF5">
        <w:fldChar w:fldCharType="begin"/>
      </w:r>
      <w:r w:rsidRPr="00AD2CF5">
        <w:instrText xml:space="preserve"> XE "windrichting" </w:instrText>
      </w:r>
      <w:r w:rsidRPr="00AD2CF5">
        <w:fldChar w:fldCharType="end"/>
      </w:r>
      <w:r w:rsidRPr="00AD2CF5">
        <w:t xml:space="preserve"> wordt een aangepaste procedure gebruikt waarvoor twee extra gegevens</w:t>
      </w:r>
      <w:r w:rsidRPr="00AD2CF5">
        <w:softHyphen/>
        <w:t>bestanden zijn opgebouwd.</w:t>
      </w:r>
    </w:p>
    <w:p w:rsidR="00F43C9B" w:rsidRPr="00AD2CF5" w:rsidRDefault="00F43C9B" w:rsidP="00F43C9B">
      <w:pPr>
        <w:shd w:val="clear" w:color="auto" w:fill="D9D9D9" w:themeFill="background1" w:themeFillShade="D9"/>
        <w:spacing w:line="240" w:lineRule="auto"/>
        <w:rPr>
          <w:lang w:val="en-US"/>
        </w:rPr>
      </w:pPr>
      <w:r w:rsidRPr="00AD2CF5">
        <w:t>Een vijfde gegevensbestand</w:t>
      </w:r>
      <w:r w:rsidRPr="00AD2CF5">
        <w:fldChar w:fldCharType="begin"/>
      </w:r>
      <w:r w:rsidRPr="00AD2CF5">
        <w:instrText xml:space="preserve"> XE "gegevensbestand" </w:instrText>
      </w:r>
      <w:r w:rsidRPr="00AD2CF5">
        <w:fldChar w:fldCharType="end"/>
      </w:r>
      <w:r w:rsidRPr="00AD2CF5">
        <w:t xml:space="preserve"> bevat geluidbronniveaus van voorkomende wapentypen</w:t>
      </w:r>
      <w:r w:rsidRPr="00AD2CF5">
        <w:fldChar w:fldCharType="begin"/>
      </w:r>
      <w:r w:rsidRPr="00AD2CF5">
        <w:instrText xml:space="preserve"> XE "wapentypen" </w:instrText>
      </w:r>
      <w:r w:rsidRPr="00AD2CF5">
        <w:fldChar w:fldCharType="end"/>
      </w:r>
      <w:r w:rsidRPr="00AD2CF5">
        <w:t xml:space="preserve">. Voor wapens, die niet in dit gegevensbestand zijn opgenomen en waarvoor geen brongegevens beschikbaar zijn kan gebruik gemaakt worden van een categorie-indeling die beschreven is in TNO rapport: “Toelichting op toepassing van methoden voor meten en rekenen aan schietgeluid” (TNO 2014 R10135).  Bij voorkeur moeten de geluidbronniveaus door metingen worden bepaald. De meetmethoden voor vuurwapens zijn beschreven in het genoemde TNO rapport. </w:t>
      </w:r>
      <w:r w:rsidRPr="00AD2CF5">
        <w:rPr>
          <w:lang w:val="en-US"/>
        </w:rPr>
        <w:t>De meetmethoden zijn gebaseerd op ISO 17201-1 Acoustics – Noise from shooting ranges – Part 1: “Sound source energy determination of muzzle blast”.</w:t>
      </w:r>
    </w:p>
    <w:p w:rsidR="00F43C9B" w:rsidRPr="00AD2CF5" w:rsidRDefault="00F43C9B" w:rsidP="00F43C9B">
      <w:pPr>
        <w:shd w:val="clear" w:color="auto" w:fill="D9D9D9" w:themeFill="background1" w:themeFillShade="D9"/>
        <w:spacing w:line="240" w:lineRule="auto"/>
      </w:pPr>
      <w:r w:rsidRPr="00AD2CF5">
        <w:t>Ook nieuw is de methode waarmee de geluidimmissie</w:t>
      </w:r>
      <w:r w:rsidRPr="00AD2CF5">
        <w:fldChar w:fldCharType="begin"/>
      </w:r>
      <w:r w:rsidRPr="00AD2CF5">
        <w:instrText xml:space="preserve"> XE "geluidimmissie" </w:instrText>
      </w:r>
      <w:r w:rsidRPr="00AD2CF5">
        <w:fldChar w:fldCharType="end"/>
      </w:r>
      <w:r w:rsidRPr="00AD2CF5">
        <w:t xml:space="preserve"> van kogelgeluid</w:t>
      </w:r>
      <w:r w:rsidRPr="00AD2CF5">
        <w:fldChar w:fldCharType="begin"/>
      </w:r>
      <w:r w:rsidRPr="00AD2CF5">
        <w:instrText xml:space="preserve"> XE "kogelgeluid" </w:instrText>
      </w:r>
      <w:r w:rsidRPr="00AD2CF5">
        <w:fldChar w:fldCharType="end"/>
      </w:r>
      <w:r w:rsidRPr="00AD2CF5">
        <w:t xml:space="preserve"> bepaald wordt. In principe wordt hierbij van dezelfde basisformule als bij mondings- en detonatiegeluid uitgegaan, met het kenmerkende verschil dat nu ook de bronniveaus rekentechnisch worden vast</w:t>
      </w:r>
      <w:r w:rsidRPr="00AD2CF5">
        <w:softHyphen/>
        <w:t>gesteld.</w:t>
      </w:r>
    </w:p>
    <w:p w:rsidR="00F43C9B" w:rsidRPr="00AD2CF5" w:rsidRDefault="00F43C9B" w:rsidP="00F43C9B">
      <w:pPr>
        <w:shd w:val="clear" w:color="auto" w:fill="D9D9D9" w:themeFill="background1" w:themeFillShade="D9"/>
        <w:spacing w:line="240" w:lineRule="auto"/>
      </w:pPr>
      <w:r w:rsidRPr="00AD2CF5">
        <w:t>Voor de modellering van de invloed van afschermende objecten, zoals bijvoor</w:t>
      </w:r>
      <w:r w:rsidRPr="00AD2CF5">
        <w:softHyphen/>
        <w:t>beeld een geluidscherm, wordt eveneens een fysische benadering gevolgd, die duidelijk afwijkt van de empirische benadering in de reken</w:t>
      </w:r>
      <w:r w:rsidRPr="00AD2CF5">
        <w:softHyphen/>
        <w:t>methoden voor verkeersgeluid en industriegeluid. Ook hierbij wordt de schermwerking</w:t>
      </w:r>
      <w:r w:rsidRPr="00AD2CF5">
        <w:fldChar w:fldCharType="begin"/>
      </w:r>
      <w:r w:rsidRPr="00AD2CF5">
        <w:instrText xml:space="preserve"> XE "schermwerking" </w:instrText>
      </w:r>
      <w:r w:rsidRPr="00AD2CF5">
        <w:fldChar w:fldCharType="end"/>
      </w:r>
      <w:r w:rsidRPr="00AD2CF5">
        <w:t xml:space="preserve"> bepaald als gewogen gemiddelde over de 27 meteorologische klasse</w:t>
      </w:r>
      <w:r w:rsidRPr="00AD2CF5">
        <w:fldChar w:fldCharType="begin"/>
      </w:r>
      <w:r w:rsidRPr="00AD2CF5">
        <w:instrText xml:space="preserve"> XE "meteorologische klasse" </w:instrText>
      </w:r>
      <w:r w:rsidRPr="00AD2CF5">
        <w:fldChar w:fldCharType="end"/>
      </w:r>
      <w:r w:rsidRPr="00AD2CF5">
        <w:t>n.</w:t>
      </w:r>
    </w:p>
    <w:p w:rsidR="00F43C9B" w:rsidRPr="00AD2CF5" w:rsidRDefault="00F43C9B" w:rsidP="00F43C9B">
      <w:pPr>
        <w:shd w:val="clear" w:color="auto" w:fill="D9D9D9" w:themeFill="background1" w:themeFillShade="D9"/>
        <w:spacing w:line="240" w:lineRule="auto"/>
      </w:pPr>
    </w:p>
    <w:p w:rsidR="00F43C9B" w:rsidRPr="00AD2CF5" w:rsidRDefault="00F43C9B" w:rsidP="00F43C9B">
      <w:pPr>
        <w:pStyle w:val="Kop2"/>
        <w:shd w:val="clear" w:color="auto" w:fill="D9D9D9" w:themeFill="background1" w:themeFillShade="D9"/>
        <w:spacing w:line="240" w:lineRule="auto"/>
      </w:pPr>
      <w:bookmarkStart w:id="649" w:name="_Toc465131588"/>
      <w:bookmarkStart w:id="650" w:name="_Toc529692774"/>
      <w:bookmarkStart w:id="651" w:name="_Toc413945864"/>
      <w:bookmarkStart w:id="652" w:name="_Toc431375876"/>
      <w:r w:rsidRPr="00AD2CF5">
        <w:t>5</w:t>
      </w:r>
      <w:r w:rsidRPr="00AD2CF5">
        <w:fldChar w:fldCharType="begin"/>
      </w:r>
      <w:r w:rsidRPr="00AD2CF5">
        <w:instrText xml:space="preserve"> SEQ numchaplev3 \r0\h \* MERGEFORMAT </w:instrText>
      </w:r>
      <w:r w:rsidRPr="00AD2CF5">
        <w:fldChar w:fldCharType="end"/>
      </w:r>
      <w:r w:rsidRPr="00AD2CF5">
        <w:tab/>
        <w:t>Uitgangspunten</w:t>
      </w:r>
      <w:bookmarkEnd w:id="649"/>
      <w:bookmarkEnd w:id="650"/>
      <w:bookmarkEnd w:id="651"/>
      <w:bookmarkEnd w:id="652"/>
    </w:p>
    <w:p w:rsidR="00F43C9B" w:rsidRPr="00AD2CF5" w:rsidRDefault="00F43C9B" w:rsidP="00F43C9B">
      <w:pPr>
        <w:shd w:val="clear" w:color="auto" w:fill="D9D9D9" w:themeFill="background1" w:themeFillShade="D9"/>
        <w:spacing w:line="240" w:lineRule="auto"/>
      </w:pPr>
    </w:p>
    <w:p w:rsidR="00F43C9B" w:rsidRPr="00AD2CF5" w:rsidRDefault="00F43C9B" w:rsidP="00F43C9B">
      <w:pPr>
        <w:shd w:val="clear" w:color="auto" w:fill="D9D9D9" w:themeFill="background1" w:themeFillShade="D9"/>
        <w:spacing w:line="240" w:lineRule="auto"/>
      </w:pPr>
      <w:r w:rsidRPr="00AD2CF5">
        <w:t>Het voorschrift is gericht op de bepaling van de hinder-relevante</w:t>
      </w:r>
      <w:r w:rsidRPr="00AD2CF5">
        <w:fldChar w:fldCharType="begin"/>
      </w:r>
      <w:r w:rsidRPr="00AD2CF5">
        <w:instrText xml:space="preserve"> XE "hinder-relevant" </w:instrText>
      </w:r>
      <w:r w:rsidRPr="00AD2CF5">
        <w:fldChar w:fldCharType="end"/>
      </w:r>
      <w:r w:rsidRPr="00AD2CF5">
        <w:t xml:space="preserve"> geluidbelasting voor woonsituaties in de omgeving van schiet</w:t>
      </w:r>
      <w:r w:rsidRPr="00AD2CF5">
        <w:softHyphen/>
        <w:t>inrich</w:t>
      </w:r>
      <w:r w:rsidRPr="00AD2CF5">
        <w:softHyphen/>
        <w:t>tingen bijvoorbeeld in het kader van vergunningverlening, zonering</w:t>
      </w:r>
      <w:r w:rsidRPr="00AD2CF5">
        <w:fldChar w:fldCharType="begin"/>
      </w:r>
      <w:r w:rsidRPr="00AD2CF5">
        <w:instrText xml:space="preserve"> XE "zonering" </w:instrText>
      </w:r>
      <w:r w:rsidRPr="00AD2CF5">
        <w:fldChar w:fldCharType="end"/>
      </w:r>
      <w:r w:rsidRPr="00AD2CF5">
        <w:t xml:space="preserve"> of milieueffectrapportage. De met het voorschrift bepaalde geluidbelasting is de invallende geluidbelasting aan de gevel. Het voorschrift is niet ontwikkeld voor de beoordeling van geluid als kwaliteitskenmerk voor natuurgebieden.</w:t>
      </w:r>
    </w:p>
    <w:p w:rsidR="00F43C9B" w:rsidRPr="00AD2CF5" w:rsidRDefault="00F43C9B" w:rsidP="00F43C9B">
      <w:pPr>
        <w:shd w:val="clear" w:color="auto" w:fill="D9D9D9" w:themeFill="background1" w:themeFillShade="D9"/>
        <w:spacing w:line="240" w:lineRule="auto"/>
      </w:pPr>
      <w:r w:rsidRPr="00AD2CF5">
        <w:t>De beoordelingsmethode beschreven in hoofdstuk 3 van het voorschrift is van toepassing voor de berekening van geluidbelastingen met een ondergrens van 50 dB(A). Als er specifieke redenen zijn om een lagere ondergrens te kiezen, kunnen aanvullende berekeningen worden uitgevoerd die in bijlage A zijn beschreven. Met deze methode worden de impulstoeslag en toeslag voor extra laagfrequente  componenten in het geluid bij de berekening van de geluidbelasting, slechts mee</w:t>
      </w:r>
      <w:r w:rsidRPr="00AD2CF5">
        <w:softHyphen/>
        <w:t>genomen voor zover het geluid waarneembaar is op het immissiepunt.</w:t>
      </w:r>
    </w:p>
    <w:p w:rsidR="00F43C9B" w:rsidRPr="00AD2CF5" w:rsidRDefault="00F43C9B" w:rsidP="00F43C9B">
      <w:pPr>
        <w:shd w:val="clear" w:color="auto" w:fill="D9D9D9" w:themeFill="background1" w:themeFillShade="D9"/>
        <w:spacing w:line="240" w:lineRule="auto"/>
      </w:pPr>
      <w:r w:rsidRPr="00AD2CF5">
        <w:t>Het voorschrift is geen leerboek, waarin de grondbeginselen van akoestiek of in het bijzonder van schietgeluid uiteen worden gezet. Wel zijn specifieke eigenschappen van schietgeluid besproken waar dit zich onderscheidt van andere vormen van geluid zodat berekeningsresultaten geïnterpreteerd kunnen worden. Vanwege het complexe karakter van schietgeluid kan alleen met specia</w:t>
      </w:r>
      <w:r w:rsidRPr="00AD2CF5">
        <w:softHyphen/>
        <w:t>lis</w:t>
      </w:r>
      <w:r w:rsidRPr="00AD2CF5">
        <w:softHyphen/>
        <w:t>tische methoden een voldoende betrouwbare berekening uitgevoerd wor</w:t>
      </w:r>
      <w:r w:rsidRPr="00AD2CF5">
        <w:softHyphen/>
        <w:t>den. Dit houdt in dat deze methoden alleen door akoestische deskundigen kunnen worden toegepast. Bij de opstelling van dit voorschrift is daarom van dit kennis</w:t>
      </w:r>
      <w:r w:rsidRPr="00AD2CF5">
        <w:softHyphen/>
        <w:t>niveau uitgegaan.</w:t>
      </w:r>
    </w:p>
    <w:p w:rsidR="00F43C9B" w:rsidRPr="00AD2CF5" w:rsidRDefault="00F43C9B" w:rsidP="00F43C9B">
      <w:pPr>
        <w:shd w:val="clear" w:color="auto" w:fill="D9D9D9" w:themeFill="background1" w:themeFillShade="D9"/>
        <w:spacing w:line="240" w:lineRule="auto"/>
      </w:pPr>
      <w:r w:rsidRPr="00AD2CF5">
        <w:t>Het voorschrift wijkt niet onnodig af van internationaal gebruikelijke methoden. Met name geldt dit voor VDI-bladen, ISO-normen en DIN-normen. Verdere achter</w:t>
      </w:r>
      <w:r w:rsidRPr="00AD2CF5">
        <w:softHyphen/>
        <w:t>grondinformatie en wetenschap</w:t>
      </w:r>
      <w:r w:rsidRPr="00AD2CF5">
        <w:softHyphen/>
        <w:t>pelijke onderbouwing is te vinden in hand</w:t>
      </w:r>
      <w:r w:rsidRPr="00AD2CF5">
        <w:softHyphen/>
        <w:t>boeken en in onderzoeksrapporten van TNO die bij het Ministerie van I&amp;M aanwezig zijn.</w:t>
      </w:r>
    </w:p>
    <w:p w:rsidR="00F43C9B" w:rsidRPr="00AD2CF5" w:rsidRDefault="00F43C9B" w:rsidP="00F43C9B">
      <w:pPr>
        <w:shd w:val="clear" w:color="auto" w:fill="D9D9D9" w:themeFill="background1" w:themeFillShade="D9"/>
      </w:pPr>
    </w:p>
    <w:p w:rsidR="00F43C9B" w:rsidRPr="00AD2CF5" w:rsidRDefault="00F43C9B" w:rsidP="00F43C9B">
      <w:pPr>
        <w:pStyle w:val="Kop2"/>
        <w:shd w:val="clear" w:color="auto" w:fill="D9D9D9" w:themeFill="background1" w:themeFillShade="D9"/>
      </w:pPr>
      <w:bookmarkStart w:id="653" w:name="_Toc413945865"/>
      <w:bookmarkStart w:id="654" w:name="_Toc431375877"/>
      <w:r w:rsidRPr="00AD2CF5">
        <w:t>6</w:t>
      </w:r>
      <w:r w:rsidRPr="00AD2CF5">
        <w:fldChar w:fldCharType="begin"/>
      </w:r>
      <w:r w:rsidRPr="00AD2CF5">
        <w:instrText xml:space="preserve"> SEQ numchaplev3 \r0\h \* MERGEFORMAT </w:instrText>
      </w:r>
      <w:r w:rsidRPr="00AD2CF5">
        <w:fldChar w:fldCharType="end"/>
      </w:r>
      <w:r w:rsidRPr="00AD2CF5">
        <w:tab/>
        <w:t>Beoordelingsgrootheid</w:t>
      </w:r>
      <w:bookmarkEnd w:id="653"/>
      <w:bookmarkEnd w:id="654"/>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pPr>
      <w:r w:rsidRPr="00AD2CF5">
        <w:t>De geluidbelasting door schietgeluid wordt bepaald uit een combinatie van A- en C-gewogen geluidexpositieniveaus voor een verzameling van 27 meteoro</w:t>
      </w:r>
      <w:r w:rsidRPr="00AD2CF5">
        <w:softHyphen/>
        <w:t>lo</w:t>
      </w:r>
      <w:r w:rsidRPr="00AD2CF5">
        <w:softHyphen/>
        <w:t>gische klassen.</w:t>
      </w:r>
      <w:r w:rsidRPr="00AD2CF5">
        <w:fldChar w:fldCharType="begin"/>
      </w:r>
      <w:r w:rsidRPr="00AD2CF5">
        <w:instrText xml:space="preserve"> XE "meteorologische klasse" </w:instrText>
      </w:r>
      <w:r w:rsidRPr="00AD2CF5">
        <w:fldChar w:fldCharType="end"/>
      </w:r>
      <w:r w:rsidRPr="00AD2CF5">
        <w:t xml:space="preserve"> Dit is een representatieve deel</w:t>
      </w:r>
      <w:r w:rsidRPr="00AD2CF5">
        <w:softHyphen/>
        <w:t>ver</w:t>
      </w:r>
      <w:r w:rsidRPr="00AD2CF5">
        <w:softHyphen/>
        <w:t>za</w:t>
      </w:r>
      <w:r w:rsidRPr="00AD2CF5">
        <w:softHyphen/>
        <w:t>me</w:t>
      </w:r>
      <w:r w:rsidRPr="00AD2CF5">
        <w:softHyphen/>
        <w:t>ling van de complexe verzameling van meteorologische situaties, die gedurende een (gemiddeld) jaar kunnen voor</w:t>
      </w:r>
      <w:r w:rsidRPr="00AD2CF5">
        <w:softHyphen/>
        <w:t>komen. In hoofdstuk 4 wordt beschreven hoe deze geluidexpositieniveaus bere</w:t>
      </w:r>
      <w:r w:rsidRPr="00AD2CF5">
        <w:softHyphen/>
        <w:t xml:space="preserve">kend worden. In hoofdstuk 3 is beschreven hoe hieruit de geluidbelasting </w:t>
      </w:r>
      <w:r w:rsidRPr="00AD2CF5">
        <w:rPr>
          <w:i/>
          <w:iCs/>
        </w:rPr>
        <w:t>B</w:t>
      </w:r>
      <w:r w:rsidRPr="00AD2CF5">
        <w:rPr>
          <w:i/>
          <w:iCs/>
          <w:vertAlign w:val="subscript"/>
        </w:rPr>
        <w:t>s</w:t>
      </w:r>
      <w:r w:rsidRPr="00AD2CF5">
        <w:t xml:space="preserve"> wordt bepaald, als hinder-relevant</w:t>
      </w:r>
      <w:r w:rsidRPr="00AD2CF5">
        <w:fldChar w:fldCharType="begin"/>
      </w:r>
      <w:r w:rsidRPr="00AD2CF5">
        <w:instrText xml:space="preserve"> XE "hinder-relevant" </w:instrText>
      </w:r>
      <w:r w:rsidRPr="00AD2CF5">
        <w:fldChar w:fldCharType="end"/>
      </w:r>
      <w:r w:rsidRPr="00AD2CF5">
        <w:t>e beoordelingsmaat</w:t>
      </w:r>
      <w:r w:rsidRPr="00AD2CF5">
        <w:fldChar w:fldCharType="begin"/>
      </w:r>
      <w:r w:rsidRPr="00AD2CF5">
        <w:instrText xml:space="preserve"> XE "beoordelingsmaat" </w:instrText>
      </w:r>
      <w:r w:rsidRPr="00AD2CF5">
        <w:fldChar w:fldCharType="end"/>
      </w:r>
      <w:r w:rsidRPr="00AD2CF5">
        <w:t xml:space="preserve"> voor schietgeluid (zie § 2.5).</w:t>
      </w:r>
    </w:p>
    <w:p w:rsidR="00F43C9B" w:rsidRPr="00AD2CF5" w:rsidRDefault="00F43C9B" w:rsidP="00F43C9B">
      <w:pPr>
        <w:shd w:val="clear" w:color="auto" w:fill="D9D9D9" w:themeFill="background1" w:themeFillShade="D9"/>
      </w:pPr>
      <w:r w:rsidRPr="00AD2CF5">
        <w:t>Door uit te gaan van een verzameling van meteorologische klassen</w:t>
      </w:r>
      <w:r w:rsidRPr="00AD2CF5">
        <w:fldChar w:fldCharType="begin"/>
      </w:r>
      <w:r w:rsidRPr="00AD2CF5">
        <w:instrText xml:space="preserve"> XE "meteorologische klasse" </w:instrText>
      </w:r>
      <w:r w:rsidRPr="00AD2CF5">
        <w:fldChar w:fldCharType="end"/>
      </w:r>
      <w:r w:rsidRPr="00AD2CF5">
        <w:t xml:space="preserve"> kan met het schietgeluid</w:t>
      </w:r>
      <w:r w:rsidRPr="00AD2CF5">
        <w:softHyphen/>
        <w:t>model onder andere onderscheid gemaakt worden tussen de verschillen in geluid</w:t>
      </w:r>
      <w:r w:rsidRPr="00AD2CF5">
        <w:softHyphen/>
        <w:t>overdracht</w:t>
      </w:r>
      <w:r w:rsidRPr="00AD2CF5">
        <w:fldChar w:fldCharType="begin"/>
      </w:r>
      <w:r w:rsidRPr="00AD2CF5">
        <w:instrText xml:space="preserve"> XE "geluidoverdracht" </w:instrText>
      </w:r>
      <w:r w:rsidRPr="00AD2CF5">
        <w:fldChar w:fldCharType="end"/>
      </w:r>
      <w:r w:rsidRPr="00AD2CF5">
        <w:t xml:space="preserve"> gedurende de meteorologische dag</w:t>
      </w:r>
      <w:r w:rsidRPr="00AD2CF5">
        <w:fldChar w:fldCharType="begin"/>
      </w:r>
      <w:r w:rsidRPr="00AD2CF5">
        <w:instrText xml:space="preserve"> XE "meteorologische dag" </w:instrText>
      </w:r>
      <w:r w:rsidRPr="00AD2CF5">
        <w:fldChar w:fldCharType="end"/>
      </w:r>
      <w:r w:rsidRPr="00AD2CF5">
        <w:t xml:space="preserve"> en nacht en is het schiet</w:t>
      </w:r>
      <w:r w:rsidRPr="00AD2CF5">
        <w:softHyphen/>
        <w:t>geluidmodel ook toepas</w:t>
      </w:r>
      <w:r w:rsidRPr="00AD2CF5">
        <w:softHyphen/>
        <w:t>baar in situaties waarin het gebruik van schietinrichtingen gerelateerd is aan de windrichting.</w:t>
      </w:r>
      <w:r w:rsidRPr="00AD2CF5">
        <w:fldChar w:fldCharType="begin"/>
      </w:r>
      <w:r w:rsidRPr="00AD2CF5">
        <w:instrText xml:space="preserve"> XE "windrichting" </w:instrText>
      </w:r>
      <w:r w:rsidRPr="00AD2CF5">
        <w:fldChar w:fldCharType="end"/>
      </w:r>
      <w:r w:rsidRPr="00AD2CF5">
        <w:t xml:space="preserve"> Bij de bepaling van de geluidbelasting wordt bovendien het effect van de asym</w:t>
      </w:r>
      <w:r w:rsidRPr="00AD2CF5">
        <w:softHyphen/>
        <w:t>me</w:t>
      </w:r>
      <w:r w:rsidRPr="00AD2CF5">
        <w:softHyphen/>
        <w:t>trische windroos</w:t>
      </w:r>
      <w:r w:rsidRPr="00AD2CF5">
        <w:fldChar w:fldCharType="begin"/>
      </w:r>
      <w:r w:rsidRPr="00AD2CF5">
        <w:instrText xml:space="preserve"> XE "windroos" </w:instrText>
      </w:r>
      <w:r w:rsidRPr="00AD2CF5">
        <w:fldChar w:fldCharType="end"/>
      </w:r>
      <w:r w:rsidRPr="00AD2CF5">
        <w:t xml:space="preserve"> in reke</w:t>
      </w:r>
      <w:r w:rsidRPr="00AD2CF5">
        <w:softHyphen/>
        <w:t>ning gebracht. Het schietgeluid</w:t>
      </w:r>
      <w:r w:rsidRPr="00AD2CF5">
        <w:softHyphen/>
        <w:t>model onder</w:t>
      </w:r>
      <w:r w:rsidRPr="00AD2CF5">
        <w:softHyphen/>
        <w:t>scheidt zich hierin van de bestaan</w:t>
      </w:r>
      <w:r w:rsidRPr="00AD2CF5">
        <w:softHyphen/>
        <w:t>de rekenmodellen voor het geluid van weg- en rail</w:t>
      </w:r>
      <w:r w:rsidRPr="00AD2CF5">
        <w:softHyphen/>
        <w:t>verkeer en de industrie waarbij de invloed van de meteorologie op de geluid</w:t>
      </w:r>
      <w:r w:rsidRPr="00AD2CF5">
        <w:softHyphen/>
        <w:t>over</w:t>
      </w:r>
      <w:r w:rsidRPr="00AD2CF5">
        <w:softHyphen/>
        <w:t>dracht minder expliciet in rekening wordt gebracht.</w:t>
      </w:r>
    </w:p>
    <w:p w:rsidR="00F43C9B" w:rsidRPr="00AD2CF5" w:rsidRDefault="00F43C9B" w:rsidP="00F43C9B">
      <w:pPr>
        <w:shd w:val="clear" w:color="auto" w:fill="D9D9D9" w:themeFill="background1" w:themeFillShade="D9"/>
      </w:pPr>
      <w:r w:rsidRPr="00AD2CF5">
        <w:t>Voor de beoordeling van schietgeluid wordt de dag-avond-nachtwaarde</w:t>
      </w:r>
      <w:r w:rsidRPr="00AD2CF5">
        <w:fldChar w:fldCharType="begin"/>
      </w:r>
      <w:r w:rsidRPr="00AD2CF5">
        <w:instrText xml:space="preserve"> XE "dag-avond-nachtwaarde" </w:instrText>
      </w:r>
      <w:r w:rsidRPr="00AD2CF5">
        <w:fldChar w:fldCharType="end"/>
      </w:r>
      <w:r w:rsidRPr="00AD2CF5">
        <w:t xml:space="preserve"> (B</w:t>
      </w:r>
      <w:r w:rsidRPr="00AD2CF5">
        <w:rPr>
          <w:vertAlign w:val="subscript"/>
        </w:rPr>
        <w:t>s,dan</w:t>
      </w:r>
      <w:r w:rsidRPr="00AD2CF5">
        <w:t>) gebruikt, die bepaald wordt als een gewogen gemiddelde van de B</w:t>
      </w:r>
      <w:r w:rsidRPr="00AD2CF5">
        <w:rPr>
          <w:vertAlign w:val="subscript"/>
        </w:rPr>
        <w:t>s</w:t>
      </w:r>
      <w:r w:rsidRPr="00AD2CF5">
        <w:t xml:space="preserve"> waarden voor de verschillende  juridische beoordelingsperiode</w:t>
      </w:r>
      <w:r w:rsidRPr="00AD2CF5">
        <w:fldChar w:fldCharType="begin"/>
      </w:r>
      <w:r w:rsidRPr="00AD2CF5">
        <w:instrText xml:space="preserve"> XE "juridische beoordelingsperiode" </w:instrText>
      </w:r>
      <w:r w:rsidRPr="00AD2CF5">
        <w:fldChar w:fldCharType="end"/>
      </w:r>
      <w:r w:rsidRPr="00AD2CF5">
        <w:t>n (</w:t>
      </w:r>
      <w:r w:rsidRPr="00AD2CF5">
        <w:rPr>
          <w:i/>
        </w:rPr>
        <w:t>B</w:t>
      </w:r>
      <w:r w:rsidRPr="00AD2CF5">
        <w:rPr>
          <w:i/>
          <w:vertAlign w:val="subscript"/>
        </w:rPr>
        <w:t>s,dag</w:t>
      </w:r>
      <w:r w:rsidRPr="00AD2CF5">
        <w:t xml:space="preserve">, </w:t>
      </w:r>
      <w:r w:rsidRPr="00AD2CF5">
        <w:rPr>
          <w:i/>
        </w:rPr>
        <w:t>B</w:t>
      </w:r>
      <w:r w:rsidRPr="00AD2CF5">
        <w:rPr>
          <w:i/>
          <w:vertAlign w:val="subscript"/>
        </w:rPr>
        <w:t>s,avond</w:t>
      </w:r>
      <w:r w:rsidRPr="00AD2CF5">
        <w:t xml:space="preserve">, </w:t>
      </w:r>
      <w:r w:rsidRPr="00AD2CF5">
        <w:rPr>
          <w:i/>
        </w:rPr>
        <w:t>B</w:t>
      </w:r>
      <w:r w:rsidRPr="00AD2CF5">
        <w:rPr>
          <w:i/>
          <w:vertAlign w:val="subscript"/>
        </w:rPr>
        <w:t>s,nacht</w:t>
      </w:r>
      <w:r w:rsidRPr="00AD2CF5">
        <w:t>). Net als in de beoordelingsprocedures voor wegverkeers- en industriegeluid wordt voor de avond- en nachtperiode een extra toeslag van 5 en 10 dB gehanteerd. In de formules voor de berekening van de geluidbelasting zijn deze toeslagen reeds verwerkt.</w:t>
      </w:r>
    </w:p>
    <w:p w:rsidR="00F43C9B" w:rsidRPr="00AD2CF5" w:rsidRDefault="00F43C9B" w:rsidP="00F43C9B">
      <w:pPr>
        <w:shd w:val="clear" w:color="auto" w:fill="D9D9D9" w:themeFill="background1" w:themeFillShade="D9"/>
      </w:pPr>
      <w:r w:rsidRPr="00AD2CF5">
        <w:t>Daarnaast wordt voor de dagperiode van de zondag een extra toeslag van 5 dB gehanteerd om de extra hinder van schieten op zondag te verdisconteren. Zodoende wordt de dagperiode van de zondag behandeld als ware het een avondperiode. Deze toeslag is op een eenvoudige manier in de formule verwerkt door in de berekening het aantal schoten op zondag voor de dagperiode  zwaarder mee te tellen. Een feestdag wordt hierbij ook als een zondag beschouwd.</w:t>
      </w:r>
    </w:p>
    <w:p w:rsidR="00F43C9B" w:rsidRPr="00AD2CF5" w:rsidRDefault="00F43C9B" w:rsidP="00F43C9B">
      <w:pPr>
        <w:shd w:val="clear" w:color="auto" w:fill="D9D9D9" w:themeFill="background1" w:themeFillShade="D9"/>
      </w:pPr>
    </w:p>
    <w:p w:rsidR="00F43C9B" w:rsidRPr="00AD2CF5" w:rsidRDefault="00F43C9B" w:rsidP="00F43C9B">
      <w:pPr>
        <w:shd w:val="clear" w:color="auto" w:fill="D9D9D9" w:themeFill="background1" w:themeFillShade="D9"/>
        <w:ind w:left="567"/>
        <w:rPr>
          <w:rFonts w:ascii="Verdana" w:hAnsi="Verdana"/>
          <w:b/>
          <w:sz w:val="18"/>
          <w:szCs w:val="18"/>
        </w:rPr>
      </w:pPr>
    </w:p>
    <w:p w:rsidR="00F43C9B" w:rsidRPr="00F22CDC" w:rsidRDefault="00F43C9B" w:rsidP="00F43C9B">
      <w:pPr>
        <w:shd w:val="clear" w:color="auto" w:fill="D9D9D9" w:themeFill="background1" w:themeFillShade="D9"/>
        <w:rPr>
          <w:rFonts w:ascii="Verdana" w:hAnsi="Verdana"/>
          <w:sz w:val="18"/>
          <w:szCs w:val="18"/>
        </w:rPr>
      </w:pPr>
    </w:p>
    <w:p w:rsidR="00F43C9B" w:rsidRPr="000A5CA6" w:rsidRDefault="00F43C9B" w:rsidP="00F43C9B">
      <w:pPr>
        <w:widowControl w:val="0"/>
        <w:shd w:val="clear" w:color="auto" w:fill="D9D9D9" w:themeFill="background1" w:themeFillShade="D9"/>
        <w:autoSpaceDE w:val="0"/>
        <w:autoSpaceDN w:val="0"/>
        <w:adjustRightInd w:val="0"/>
        <w:rPr>
          <w:rFonts w:ascii="Verdana" w:hAnsi="Verdana" w:cs="Arial"/>
          <w:sz w:val="18"/>
          <w:szCs w:val="18"/>
        </w:rPr>
      </w:pPr>
    </w:p>
    <w:p w:rsidR="00F43C9B" w:rsidRDefault="00F43C9B" w:rsidP="00F43C9B">
      <w:pPr>
        <w:shd w:val="clear" w:color="auto" w:fill="D9D9D9" w:themeFill="background1" w:themeFillShade="D9"/>
        <w:rPr>
          <w:rFonts w:ascii="Verdana" w:hAnsi="Verdana"/>
          <w:sz w:val="18"/>
          <w:szCs w:val="18"/>
        </w:rPr>
      </w:pPr>
    </w:p>
    <w:p w:rsidR="00F43C9B" w:rsidRDefault="00F43C9B" w:rsidP="00F43C9B">
      <w:pPr>
        <w:shd w:val="clear" w:color="auto" w:fill="D9D9D9" w:themeFill="background1" w:themeFillShade="D9"/>
        <w:rPr>
          <w:rFonts w:ascii="Verdana" w:hAnsi="Verdana"/>
          <w:sz w:val="18"/>
          <w:szCs w:val="18"/>
        </w:rPr>
      </w:pPr>
    </w:p>
    <w:p w:rsidR="00F43C9B" w:rsidRDefault="00F43C9B" w:rsidP="00F43C9B">
      <w:pPr>
        <w:shd w:val="clear" w:color="auto" w:fill="D9D9D9" w:themeFill="background1" w:themeFillShade="D9"/>
        <w:rPr>
          <w:rFonts w:ascii="Verdana" w:hAnsi="Verdana"/>
          <w:sz w:val="18"/>
          <w:szCs w:val="18"/>
        </w:rPr>
      </w:pPr>
    </w:p>
    <w:p w:rsidR="00F43C9B" w:rsidRDefault="00F43C9B" w:rsidP="00F43C9B">
      <w:pPr>
        <w:shd w:val="clear" w:color="auto" w:fill="D9D9D9" w:themeFill="background1" w:themeFillShade="D9"/>
        <w:rPr>
          <w:rFonts w:ascii="Verdana" w:hAnsi="Verdana"/>
          <w:sz w:val="18"/>
          <w:szCs w:val="18"/>
        </w:rPr>
      </w:pPr>
    </w:p>
    <w:p w:rsidR="00F43C9B" w:rsidRDefault="00F43C9B" w:rsidP="00F43C9B">
      <w:pPr>
        <w:shd w:val="clear" w:color="auto" w:fill="D9D9D9" w:themeFill="background1" w:themeFillShade="D9"/>
        <w:rPr>
          <w:rFonts w:ascii="Verdana" w:hAnsi="Verdana"/>
          <w:sz w:val="18"/>
          <w:szCs w:val="18"/>
        </w:rPr>
      </w:pPr>
    </w:p>
    <w:p w:rsidR="00F43C9B" w:rsidRDefault="00F43C9B" w:rsidP="00F43C9B">
      <w:pPr>
        <w:widowControl w:val="0"/>
        <w:shd w:val="clear" w:color="auto" w:fill="D9D9D9" w:themeFill="background1" w:themeFillShade="D9"/>
        <w:suppressAutoHyphens/>
        <w:autoSpaceDN w:val="0"/>
        <w:spacing w:line="240" w:lineRule="auto"/>
        <w:textAlignment w:val="baseline"/>
        <w:rPr>
          <w:rFonts w:ascii="Verdana" w:hAnsi="Verdana"/>
          <w:sz w:val="18"/>
          <w:szCs w:val="18"/>
        </w:rPr>
      </w:pPr>
      <w:r>
        <w:rPr>
          <w:rFonts w:ascii="Verdana" w:hAnsi="Verdana"/>
          <w:sz w:val="18"/>
          <w:szCs w:val="18"/>
        </w:rPr>
        <w:br w:type="page"/>
      </w:r>
    </w:p>
    <w:p w:rsidR="00F43C9B" w:rsidRPr="000A5CA6" w:rsidRDefault="00F43C9B" w:rsidP="00F43C9B">
      <w:pPr>
        <w:shd w:val="clear" w:color="auto" w:fill="D9D9D9" w:themeFill="background1" w:themeFillShade="D9"/>
        <w:rPr>
          <w:rFonts w:ascii="Verdana" w:hAnsi="Verdana"/>
          <w:sz w:val="18"/>
          <w:szCs w:val="18"/>
        </w:rPr>
      </w:pPr>
    </w:p>
    <w:p w:rsidR="00F43C9B" w:rsidRPr="000A5CA6" w:rsidRDefault="00F43C9B" w:rsidP="00F43C9B">
      <w:pPr>
        <w:shd w:val="clear" w:color="auto" w:fill="D9D9D9" w:themeFill="background1" w:themeFillShade="D9"/>
        <w:rPr>
          <w:rFonts w:ascii="Verdana" w:hAnsi="Verdana"/>
          <w:sz w:val="18"/>
          <w:szCs w:val="18"/>
        </w:rPr>
      </w:pPr>
    </w:p>
    <w:p w:rsidR="00F43C9B" w:rsidRDefault="00F43C9B" w:rsidP="00F43C9B">
      <w:pPr>
        <w:pStyle w:val="Default"/>
        <w:shd w:val="clear" w:color="auto" w:fill="D9D9D9" w:themeFill="background1" w:themeFillShade="D9"/>
        <w:spacing w:line="276" w:lineRule="auto"/>
        <w:rPr>
          <w:rFonts w:ascii="Verdana" w:hAnsi="Verdana"/>
          <w:b/>
          <w:bCs/>
          <w:color w:val="auto"/>
          <w:sz w:val="18"/>
          <w:szCs w:val="18"/>
        </w:rPr>
      </w:pPr>
      <w:bookmarkStart w:id="655" w:name="Bijlage10AR"/>
      <w:r w:rsidRPr="00D0146C">
        <w:rPr>
          <w:rFonts w:ascii="Verdana" w:hAnsi="Verdana"/>
          <w:b/>
          <w:bCs/>
          <w:color w:val="auto"/>
          <w:sz w:val="18"/>
          <w:szCs w:val="18"/>
        </w:rPr>
        <w:t>Bijlage 10</w:t>
      </w:r>
    </w:p>
    <w:bookmarkEnd w:id="655"/>
    <w:p w:rsidR="00F43C9B" w:rsidRDefault="00F43C9B" w:rsidP="00F43C9B">
      <w:pPr>
        <w:pStyle w:val="Default"/>
        <w:shd w:val="clear" w:color="auto" w:fill="D9D9D9" w:themeFill="background1" w:themeFillShade="D9"/>
        <w:spacing w:line="276" w:lineRule="auto"/>
        <w:rPr>
          <w:rFonts w:ascii="Verdana" w:hAnsi="Verdana"/>
          <w:b/>
          <w:bCs/>
          <w:color w:val="auto"/>
          <w:sz w:val="18"/>
          <w:szCs w:val="18"/>
        </w:rPr>
      </w:pPr>
    </w:p>
    <w:p w:rsidR="00F43C9B" w:rsidRDefault="00F43C9B" w:rsidP="00F43C9B">
      <w:pPr>
        <w:pStyle w:val="Default"/>
        <w:shd w:val="clear" w:color="auto" w:fill="D9D9D9" w:themeFill="background1" w:themeFillShade="D9"/>
        <w:spacing w:line="276" w:lineRule="auto"/>
        <w:rPr>
          <w:rFonts w:ascii="Verdana" w:hAnsi="Verdana"/>
          <w:b/>
          <w:bCs/>
          <w:color w:val="auto"/>
          <w:sz w:val="18"/>
          <w:szCs w:val="18"/>
        </w:rPr>
      </w:pPr>
      <w:r w:rsidRPr="00D0146C">
        <w:rPr>
          <w:rFonts w:ascii="Verdana" w:hAnsi="Verdana"/>
          <w:b/>
          <w:bCs/>
          <w:color w:val="auto"/>
          <w:sz w:val="18"/>
          <w:szCs w:val="18"/>
        </w:rPr>
        <w:t>Overzicht erkende maatregelen energiebesparing per bedrijfstak</w:t>
      </w:r>
    </w:p>
    <w:p w:rsidR="00F43C9B" w:rsidRDefault="00F43C9B" w:rsidP="00F43C9B">
      <w:pPr>
        <w:pStyle w:val="Default"/>
        <w:shd w:val="clear" w:color="auto" w:fill="D9D9D9" w:themeFill="background1" w:themeFillShade="D9"/>
        <w:spacing w:line="276" w:lineRule="auto"/>
        <w:rPr>
          <w:rFonts w:ascii="Verdana" w:hAnsi="Verdana"/>
          <w:color w:val="auto"/>
          <w:sz w:val="18"/>
          <w:szCs w:val="18"/>
        </w:rPr>
      </w:pPr>
    </w:p>
    <w:p w:rsidR="00F43C9B" w:rsidRPr="00E15D20" w:rsidRDefault="00F43C9B" w:rsidP="00F43C9B">
      <w:pPr>
        <w:shd w:val="clear" w:color="auto" w:fill="D9D9D9" w:themeFill="background1" w:themeFillShade="D9"/>
        <w:rPr>
          <w:rFonts w:ascii="Verdana" w:hAnsi="Verdana"/>
          <w:sz w:val="18"/>
          <w:szCs w:val="18"/>
        </w:rPr>
      </w:pPr>
      <w:r w:rsidRPr="00D0146C">
        <w:rPr>
          <w:rFonts w:ascii="Verdana" w:hAnsi="Verdana"/>
          <w:sz w:val="18"/>
          <w:szCs w:val="18"/>
        </w:rPr>
        <w:t>In deze bijlage zijn per bedrijfstak de erkende maatregelen voor energiebesparing weergegeven. Ook zijn per bedrijfstak beschrijvingen opgesteld om duidelijkheid te geven aan drijvers van inrichtingen welke lijst met erkende maatregelen toepasbaar is voor een inrichting. Een drijver van een inrichting waarvan het desondanks onduidelijk welke lijst toepasbaar is, kan overleggen met het bevoegd gezag om gezamenlijk te bepalen of er een passende lijst is. Indien dit overleg niet leidt tot overeenstemming geldt de algemene verplichting in artikel 2.15, eerste lid, van het Activiteitenbesluit.</w:t>
      </w:r>
    </w:p>
    <w:p w:rsidR="00F43C9B" w:rsidRDefault="00F43C9B" w:rsidP="00F43C9B">
      <w:pPr>
        <w:shd w:val="clear" w:color="auto" w:fill="D9D9D9" w:themeFill="background1" w:themeFillShade="D9"/>
        <w:rPr>
          <w:rFonts w:ascii="Verdana" w:hAnsi="Verdana"/>
          <w:sz w:val="18"/>
          <w:szCs w:val="18"/>
        </w:rPr>
      </w:pPr>
      <w:r w:rsidRPr="00D0146C">
        <w:rPr>
          <w:rFonts w:ascii="Verdana" w:hAnsi="Verdana"/>
          <w:sz w:val="18"/>
          <w:szCs w:val="18"/>
        </w:rPr>
        <w:t>De erkende maatregelen zijn na overleg met vertegenwoordigers (en deskundigen) van het bedrijfsleven en het bevoegd gezag opgesteld. De nu aangewezen erkende maatregelen zijn bruikbaar voor een zevental bedrijfstakken. Deze bijlage wordt later aangevuld met nieuwe bedrijfstakken en bijhorende maatregelen, zodat in principe voor alle bedrijfstakken concrete erkende maatregelen beschikbaar zijn. Daarnaast wordt de bijlage regelmatig, in beginsel jaarlijks, geactualiseerd. Voor de volgende bedrijfstakken zijn erkende maatregelen voor energiebesparing aangewezen:</w:t>
      </w:r>
    </w:p>
    <w:p w:rsidR="00F43C9B" w:rsidRDefault="00F43C9B" w:rsidP="00EB7F6B">
      <w:pPr>
        <w:pStyle w:val="Lijstalinea"/>
        <w:numPr>
          <w:ilvl w:val="0"/>
          <w:numId w:val="28"/>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kantoren</w:t>
      </w:r>
    </w:p>
    <w:p w:rsidR="00F43C9B" w:rsidRDefault="00F43C9B" w:rsidP="00EB7F6B">
      <w:pPr>
        <w:pStyle w:val="Lijstalinea"/>
        <w:numPr>
          <w:ilvl w:val="0"/>
          <w:numId w:val="28"/>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gezondheids- en welzijnszorginstellingen</w:t>
      </w:r>
    </w:p>
    <w:p w:rsidR="00F43C9B" w:rsidRDefault="00F43C9B" w:rsidP="00EB7F6B">
      <w:pPr>
        <w:pStyle w:val="Lijstalinea"/>
        <w:numPr>
          <w:ilvl w:val="0"/>
          <w:numId w:val="28"/>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onderwijsinstellingen</w:t>
      </w:r>
    </w:p>
    <w:p w:rsidR="00F43C9B" w:rsidRDefault="00F43C9B" w:rsidP="00EB7F6B">
      <w:pPr>
        <w:pStyle w:val="Lijstalinea"/>
        <w:numPr>
          <w:ilvl w:val="0"/>
          <w:numId w:val="28"/>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metalelektro en mkb-metaal</w:t>
      </w:r>
    </w:p>
    <w:p w:rsidR="00F43C9B" w:rsidRDefault="00F43C9B" w:rsidP="00EB7F6B">
      <w:pPr>
        <w:pStyle w:val="Lijstalinea"/>
        <w:numPr>
          <w:ilvl w:val="0"/>
          <w:numId w:val="28"/>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autoschadeherstelbedrijven</w:t>
      </w:r>
    </w:p>
    <w:p w:rsidR="00F43C9B" w:rsidRDefault="00F43C9B" w:rsidP="00EB7F6B">
      <w:pPr>
        <w:pStyle w:val="Lijstalinea"/>
        <w:numPr>
          <w:ilvl w:val="0"/>
          <w:numId w:val="28"/>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rubber- en kunststofindustrie</w:t>
      </w:r>
    </w:p>
    <w:p w:rsidR="00F43C9B" w:rsidRDefault="00F43C9B" w:rsidP="00EB7F6B">
      <w:pPr>
        <w:pStyle w:val="Lijstalinea"/>
        <w:numPr>
          <w:ilvl w:val="0"/>
          <w:numId w:val="28"/>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commerciële datacentra.</w:t>
      </w:r>
    </w:p>
    <w:p w:rsidR="00F43C9B" w:rsidRDefault="00F43C9B" w:rsidP="00F43C9B">
      <w:pPr>
        <w:shd w:val="clear" w:color="auto" w:fill="D9D9D9" w:themeFill="background1" w:themeFillShade="D9"/>
        <w:rPr>
          <w:rFonts w:ascii="Verdana" w:hAnsi="Verdana"/>
          <w:sz w:val="18"/>
          <w:szCs w:val="18"/>
        </w:rPr>
      </w:pPr>
    </w:p>
    <w:p w:rsidR="00F43C9B" w:rsidRDefault="00F43C9B" w:rsidP="00F43C9B">
      <w:pPr>
        <w:shd w:val="clear" w:color="auto" w:fill="D9D9D9" w:themeFill="background1" w:themeFillShade="D9"/>
        <w:rPr>
          <w:rFonts w:ascii="Verdana" w:hAnsi="Verdana"/>
          <w:sz w:val="18"/>
          <w:szCs w:val="18"/>
        </w:rPr>
      </w:pPr>
      <w:r w:rsidRPr="00D0146C">
        <w:rPr>
          <w:rFonts w:ascii="Verdana" w:hAnsi="Verdana"/>
          <w:sz w:val="18"/>
          <w:szCs w:val="18"/>
        </w:rPr>
        <w:t>De erkende maatregelen zijn meestal gekoppeld aan de activiteiten overeenkomstig de indeling van het Activiteitenbesluit (hoofdstuk 3 en 4). Voor gebouwgebonden maatregelen (met uitzondering van ruimteverwarming via een stookinstallatie) en enkele bedrijfstakspecifieke maatregelen zijn geen geschikte (bestaande) activiteiten in het Activiteitenbesluit genoemd. Daarom zijn naast het koppelen aan activiteiten ook maatregelen gekoppeld aan de hierna genoemde‘typen maatregelen’. Het gaat om maatregelen met betrekking tot:</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gebouwschil (zoals spouwmuurisolatie)</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ruimteventilatie;</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ruimteverwarming;</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ruimteverlichting</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buitenverlichting;</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warm tapwater;</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faciliteiten (zoals een persluchtcompressor, koelinstallatie of serverruimte);</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processen (zoals gieten of harden).</w:t>
      </w:r>
    </w:p>
    <w:p w:rsidR="00F43C9B" w:rsidRDefault="00F43C9B" w:rsidP="00F43C9B">
      <w:pPr>
        <w:shd w:val="clear" w:color="auto" w:fill="D9D9D9" w:themeFill="background1" w:themeFillShade="D9"/>
        <w:ind w:left="45"/>
        <w:rPr>
          <w:rFonts w:ascii="Verdana" w:hAnsi="Verdana"/>
          <w:sz w:val="18"/>
          <w:szCs w:val="18"/>
        </w:rPr>
      </w:pPr>
    </w:p>
    <w:p w:rsidR="00F43C9B" w:rsidRDefault="00F43C9B" w:rsidP="00F43C9B">
      <w:pPr>
        <w:shd w:val="clear" w:color="auto" w:fill="D9D9D9" w:themeFill="background1" w:themeFillShade="D9"/>
        <w:tabs>
          <w:tab w:val="left" w:pos="6804"/>
        </w:tabs>
        <w:rPr>
          <w:rFonts w:ascii="Verdana" w:hAnsi="Verdana"/>
          <w:sz w:val="18"/>
          <w:szCs w:val="18"/>
        </w:rPr>
      </w:pPr>
      <w:r w:rsidRPr="00D0146C">
        <w:rPr>
          <w:rFonts w:ascii="Verdana" w:hAnsi="Verdana"/>
          <w:sz w:val="18"/>
          <w:szCs w:val="18"/>
        </w:rPr>
        <w:t>De terugverdientijd van een zelfde besparingsmaatregel, zoals een HR-ketel, kan per bedrijfstak verschillen door bedrijfstakspecifieke kenmerken (aan het gebouw, de installaties en processen). Daarom is het nodig om per bedrijfstak aparte overzichten met erkende maatregelen te hanteren. Bepaalde maatregelen kunnen wel of juist niet als erkende maatregel worden beschouwd puur op basis van een terugverdientijd. Tevens wordt op een aantal punten aangesloten bij de bij de eisen die de technische bouwregelgeving stelt aan de energiezuinigheid, zoals het energielabel en de energieprestatiecoëfficient (EPC) uit het Besluit energieprestatiegebouwen. Hierna wordt per bedrijfstak een overzicht gegeven van de aangewezen erkende maatregelen voor energiebesparing.</w:t>
      </w:r>
    </w:p>
    <w:p w:rsidR="00F43C9B" w:rsidRDefault="00F43C9B" w:rsidP="00F43C9B">
      <w:pPr>
        <w:shd w:val="clear" w:color="auto" w:fill="D9D9D9" w:themeFill="background1" w:themeFillShade="D9"/>
        <w:tabs>
          <w:tab w:val="left" w:pos="6804"/>
        </w:tabs>
        <w:rPr>
          <w:rFonts w:ascii="Verdana" w:hAnsi="Verdana"/>
          <w:b/>
          <w:bCs/>
          <w:sz w:val="18"/>
          <w:szCs w:val="18"/>
        </w:rPr>
      </w:pPr>
      <w:r w:rsidRPr="00D0146C">
        <w:rPr>
          <w:rFonts w:ascii="Verdana" w:hAnsi="Verdana"/>
          <w:b/>
          <w:bCs/>
          <w:sz w:val="18"/>
          <w:szCs w:val="18"/>
        </w:rPr>
        <w:t>Maatregelen per bedrijfstak</w:t>
      </w:r>
    </w:p>
    <w:p w:rsidR="00F43C9B" w:rsidRDefault="00F43C9B" w:rsidP="00F43C9B">
      <w:pPr>
        <w:shd w:val="clear" w:color="auto" w:fill="D9D9D9" w:themeFill="background1" w:themeFillShade="D9"/>
        <w:rPr>
          <w:rFonts w:ascii="Verdana" w:hAnsi="Verdana"/>
          <w:sz w:val="18"/>
          <w:szCs w:val="18"/>
        </w:rPr>
      </w:pPr>
      <w:r w:rsidRPr="00D0146C">
        <w:rPr>
          <w:rFonts w:ascii="Verdana" w:hAnsi="Verdana"/>
          <w:sz w:val="18"/>
          <w:szCs w:val="18"/>
        </w:rPr>
        <w:t>In de volgende paragrafen zijn de erkende maatregelen beschreven voor de bovengenoemde bedrijfstakken. Per maatregel is informatie gegeven over de volgende aspecten:</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omschrijving activiteit of type maatregelen;</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omschrijving van de maatregel;</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mogelijke technieken ten opzichte van uitgangssituatie;</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uitgangssituatie op basis van een referentietechniek;</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technische randvoorwaarden;</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economische randvoorwaarden;</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toepasbaar op een zelfstandig moment of natuurlijk moment?;</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alternatieve erkende maatregelen;</w:t>
      </w:r>
    </w:p>
    <w:p w:rsidR="00F43C9B" w:rsidRDefault="00F43C9B" w:rsidP="00EB7F6B">
      <w:pPr>
        <w:pStyle w:val="Lijstalinea"/>
        <w:numPr>
          <w:ilvl w:val="0"/>
          <w:numId w:val="22"/>
        </w:numPr>
        <w:shd w:val="clear" w:color="auto" w:fill="D9D9D9" w:themeFill="background1" w:themeFillShade="D9"/>
        <w:spacing w:line="276" w:lineRule="auto"/>
        <w:contextualSpacing w:val="0"/>
        <w:rPr>
          <w:rFonts w:ascii="Verdana" w:hAnsi="Verdana"/>
          <w:sz w:val="18"/>
          <w:szCs w:val="18"/>
        </w:rPr>
      </w:pPr>
      <w:r w:rsidRPr="00D0146C">
        <w:rPr>
          <w:rFonts w:ascii="Verdana" w:hAnsi="Verdana"/>
          <w:sz w:val="18"/>
          <w:szCs w:val="18"/>
        </w:rPr>
        <w:t>bijzondere omstandigheden.</w:t>
      </w:r>
    </w:p>
    <w:p w:rsidR="00F43C9B" w:rsidRDefault="00F43C9B" w:rsidP="00F43C9B">
      <w:pPr>
        <w:shd w:val="clear" w:color="auto" w:fill="D9D9D9" w:themeFill="background1" w:themeFillShade="D9"/>
        <w:rPr>
          <w:rFonts w:ascii="Verdana" w:hAnsi="Verdana"/>
          <w:bCs/>
          <w:sz w:val="18"/>
          <w:szCs w:val="18"/>
        </w:rPr>
      </w:pPr>
    </w:p>
    <w:p w:rsidR="00F43C9B" w:rsidRDefault="00F43C9B" w:rsidP="00F43C9B">
      <w:pPr>
        <w:shd w:val="clear" w:color="auto" w:fill="D9D9D9" w:themeFill="background1" w:themeFillShade="D9"/>
        <w:rPr>
          <w:rFonts w:ascii="Verdana" w:hAnsi="Verdana"/>
          <w:sz w:val="18"/>
          <w:szCs w:val="18"/>
        </w:rPr>
      </w:pPr>
      <w:r w:rsidRPr="00D0146C">
        <w:rPr>
          <w:rFonts w:ascii="Verdana" w:hAnsi="Verdana"/>
          <w:sz w:val="18"/>
          <w:szCs w:val="18"/>
        </w:rPr>
        <w:t xml:space="preserve">In een handreiking, opgesteld in overleg tussen bedrijfsleven en bevoegd gezag, </w:t>
      </w:r>
      <w:r w:rsidRPr="00D0146C">
        <w:rPr>
          <w:rFonts w:ascii="Verdana" w:hAnsi="Verdana"/>
          <w:bCs/>
          <w:sz w:val="18"/>
          <w:szCs w:val="18"/>
        </w:rPr>
        <w:t>wordt ingegaan op de werking van de methodiek van erkende maatregelen waaronder de verschillende aspecten per maatregel.</w:t>
      </w:r>
    </w:p>
    <w:p w:rsidR="00F43C9B" w:rsidRDefault="00F43C9B" w:rsidP="00F43C9B">
      <w:pPr>
        <w:shd w:val="clear" w:color="auto" w:fill="D9D9D9" w:themeFill="background1" w:themeFillShade="D9"/>
        <w:rPr>
          <w:rFonts w:ascii="Verdana" w:hAnsi="Verdana"/>
          <w:bCs/>
          <w:sz w:val="18"/>
          <w:szCs w:val="18"/>
          <w:u w:val="single"/>
        </w:rPr>
      </w:pPr>
      <w:r w:rsidRPr="00D0146C">
        <w:rPr>
          <w:rFonts w:ascii="Verdana" w:hAnsi="Verdana"/>
          <w:bCs/>
          <w:sz w:val="18"/>
          <w:szCs w:val="18"/>
          <w:u w:val="single"/>
        </w:rPr>
        <w:br w:type="column"/>
        <w:t>1. Metalelektro en mkb-metaal</w:t>
      </w:r>
    </w:p>
    <w:p w:rsidR="00F43C9B" w:rsidRDefault="00F43C9B" w:rsidP="00F43C9B">
      <w:pPr>
        <w:shd w:val="clear" w:color="auto" w:fill="D9D9D9" w:themeFill="background1" w:themeFillShade="D9"/>
        <w:rPr>
          <w:rFonts w:ascii="Verdana" w:hAnsi="Verdana"/>
          <w:bCs/>
          <w:sz w:val="18"/>
          <w:szCs w:val="18"/>
          <w:u w:val="single"/>
        </w:rPr>
      </w:pPr>
    </w:p>
    <w:p w:rsidR="00F43C9B" w:rsidRDefault="00F43C9B" w:rsidP="00F43C9B">
      <w:pPr>
        <w:shd w:val="clear" w:color="auto" w:fill="D9D9D9" w:themeFill="background1" w:themeFillShade="D9"/>
        <w:rPr>
          <w:rFonts w:ascii="Verdana" w:hAnsi="Verdana"/>
          <w:sz w:val="18"/>
          <w:szCs w:val="18"/>
        </w:rPr>
      </w:pPr>
      <w:r w:rsidRPr="00D0146C">
        <w:rPr>
          <w:rFonts w:ascii="Verdana" w:hAnsi="Verdana"/>
          <w:sz w:val="18"/>
          <w:szCs w:val="18"/>
        </w:rPr>
        <w:t xml:space="preserve">Bedrijven waar metalen in primaire vorm en/of metaalproducten inclusief machines en apparaten (ook elektrische en elektronische) worden vervaardigd. Denk aan giet-, wals-, smelt- of smeedprocessen, evenals (spaanloze, verspanende en thermische) mechanische bewerking en/of eindbewerking van metalen. Oppervlaktebehandeling (via procesbaden, stralen of coaten) en het verbinden van metalen of legeringen (zoals lassen en solderen) zijn ook kenmerkend. </w:t>
      </w:r>
      <w:r w:rsidRPr="00D0146C">
        <w:rPr>
          <w:rFonts w:ascii="Verdana" w:hAnsi="Verdana" w:cs="Verdana"/>
          <w:sz w:val="18"/>
          <w:szCs w:val="18"/>
        </w:rPr>
        <w:t xml:space="preserve">Ter indicatie een aantal SBI-codes die voor de indeling van deze bedrijven veelal worden gebruikt: </w:t>
      </w:r>
      <w:r w:rsidRPr="00D0146C">
        <w:rPr>
          <w:rFonts w:ascii="Verdana" w:hAnsi="Verdana"/>
          <w:sz w:val="18"/>
          <w:szCs w:val="18"/>
        </w:rPr>
        <w:t>24, 25, 26, 27, 28, 29, 30 en 32.</w:t>
      </w:r>
    </w:p>
    <w:p w:rsidR="00F43C9B" w:rsidRDefault="00F43C9B" w:rsidP="00F43C9B">
      <w:pPr>
        <w:shd w:val="clear" w:color="auto" w:fill="D9D9D9" w:themeFill="background1" w:themeFillShade="D9"/>
        <w:autoSpaceDE w:val="0"/>
        <w:autoSpaceDN w:val="0"/>
        <w:rPr>
          <w:rFonts w:ascii="Verdana" w:hAnsi="Verdana"/>
          <w:sz w:val="18"/>
          <w:szCs w:val="18"/>
        </w:rPr>
      </w:pPr>
      <w:r w:rsidRPr="00D0146C">
        <w:rPr>
          <w:rFonts w:ascii="Verdana" w:hAnsi="Verdana"/>
          <w:sz w:val="18"/>
          <w:szCs w:val="18"/>
        </w:rPr>
        <w:t>In deze bedrijfstak zijn erkende maatregelen aangemerkt voor de in tabel 5.1 genoemde activiteiten en typen maatregelen. Voor faciliteiten (zoals ICT, productkoeling en grootkeuken/kantine) die met name in kantoorgebouwen plaatsvinden zijn nog geen erkende maatregelen opgenomen. Voor deze ‘typen maatregelen’ en ‘activiteiten’ blijft artikel 2.15 van het Activiteitenbesluit gelden. In een later stadium kunnen hiervoor alsnog erkende maatregelen worden opgenomen.</w:t>
      </w: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sz w:val="18"/>
          <w:szCs w:val="18"/>
          <w:u w:val="single"/>
        </w:rPr>
      </w:pPr>
      <w:r w:rsidRPr="00D0146C">
        <w:rPr>
          <w:rFonts w:ascii="Verdana" w:hAnsi="Verdana"/>
          <w:sz w:val="18"/>
          <w:szCs w:val="18"/>
          <w:u w:val="single"/>
        </w:rPr>
        <w:t>Maatregelen</w:t>
      </w:r>
    </w:p>
    <w:p w:rsidR="00F43C9B" w:rsidRDefault="00F43C9B" w:rsidP="00F43C9B">
      <w:pPr>
        <w:shd w:val="clear" w:color="auto" w:fill="D9D9D9" w:themeFill="background1" w:themeFillShade="D9"/>
        <w:rPr>
          <w:rFonts w:ascii="Verdana" w:hAnsi="Verdana"/>
          <w:sz w:val="18"/>
          <w:szCs w:val="18"/>
          <w:u w:val="single"/>
        </w:rPr>
      </w:pPr>
    </w:p>
    <w:p w:rsidR="00F43C9B" w:rsidRDefault="00F43C9B" w:rsidP="00F43C9B">
      <w:pPr>
        <w:shd w:val="clear" w:color="auto" w:fill="D9D9D9" w:themeFill="background1" w:themeFillShade="D9"/>
        <w:rPr>
          <w:rFonts w:ascii="Verdana" w:hAnsi="Verdana"/>
          <w:bCs/>
          <w:i/>
          <w:sz w:val="18"/>
          <w:szCs w:val="18"/>
        </w:rPr>
      </w:pPr>
      <w:r w:rsidRPr="00D0146C">
        <w:rPr>
          <w:rFonts w:ascii="Verdana" w:hAnsi="Verdana"/>
          <w:i/>
          <w:sz w:val="18"/>
          <w:szCs w:val="18"/>
        </w:rPr>
        <w:t xml:space="preserve">Tabel 5.1 Aangewezen erkende maatregelen voor energiebesparing in de </w:t>
      </w:r>
      <w:r w:rsidRPr="00D0146C">
        <w:rPr>
          <w:rFonts w:ascii="Verdana" w:hAnsi="Verdana"/>
          <w:bCs/>
          <w:i/>
          <w:sz w:val="18"/>
          <w:szCs w:val="18"/>
        </w:rPr>
        <w:t>Metalelektro en mkb-metaal</w:t>
      </w:r>
    </w:p>
    <w:p w:rsidR="00F43C9B" w:rsidRDefault="00F43C9B" w:rsidP="00F43C9B">
      <w:pPr>
        <w:shd w:val="clear" w:color="auto" w:fill="D9D9D9" w:themeFill="background1" w:themeFillShade="D9"/>
        <w:rPr>
          <w:rFonts w:ascii="Verdana" w:hAnsi="Verdana"/>
          <w:i/>
          <w:sz w:val="18"/>
          <w:szCs w:val="18"/>
        </w:rPr>
      </w:pPr>
    </w:p>
    <w:tbl>
      <w:tblPr>
        <w:tblW w:w="7245" w:type="dxa"/>
        <w:tblInd w:w="55" w:type="dxa"/>
        <w:tblLayout w:type="fixed"/>
        <w:tblCellMar>
          <w:left w:w="70" w:type="dxa"/>
          <w:right w:w="70" w:type="dxa"/>
        </w:tblCellMar>
        <w:tblLook w:val="00A0" w:firstRow="1" w:lastRow="0" w:firstColumn="1" w:lastColumn="0" w:noHBand="0" w:noVBand="0"/>
      </w:tblPr>
      <w:tblGrid>
        <w:gridCol w:w="5685"/>
        <w:gridCol w:w="1560"/>
      </w:tblGrid>
      <w:tr w:rsidR="00F43C9B" w:rsidRPr="00E15D20" w:rsidTr="00F43C9B">
        <w:trPr>
          <w:trHeight w:val="450"/>
        </w:trPr>
        <w:tc>
          <w:tcPr>
            <w:tcW w:w="5685"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b/>
                <w:bCs/>
                <w:sz w:val="18"/>
                <w:szCs w:val="18"/>
              </w:rPr>
              <w:t>Type maatregel</w:t>
            </w:r>
          </w:p>
        </w:tc>
        <w:tc>
          <w:tcPr>
            <w:tcW w:w="1560"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Nummers*)</w:t>
            </w:r>
          </w:p>
        </w:tc>
      </w:tr>
      <w:tr w:rsidR="00F43C9B" w:rsidRPr="00E15D20" w:rsidTr="00F43C9B">
        <w:trPr>
          <w:trHeight w:val="450"/>
        </w:trPr>
        <w:tc>
          <w:tcPr>
            <w:tcW w:w="5685"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Gebouwschil</w:t>
            </w:r>
          </w:p>
        </w:tc>
        <w:tc>
          <w:tcPr>
            <w:tcW w:w="1560"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1</w:t>
            </w:r>
          </w:p>
        </w:tc>
      </w:tr>
      <w:tr w:rsidR="00F43C9B" w:rsidRPr="00E15D20" w:rsidTr="00F43C9B">
        <w:trPr>
          <w:trHeight w:val="450"/>
        </w:trPr>
        <w:tc>
          <w:tcPr>
            <w:tcW w:w="5685"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Ruimteverwarming</w:t>
            </w:r>
          </w:p>
        </w:tc>
        <w:tc>
          <w:tcPr>
            <w:tcW w:w="1560"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5-8</w:t>
            </w:r>
          </w:p>
        </w:tc>
      </w:tr>
      <w:tr w:rsidR="00F43C9B" w:rsidRPr="00E15D20" w:rsidTr="00F43C9B">
        <w:trPr>
          <w:trHeight w:val="450"/>
        </w:trPr>
        <w:tc>
          <w:tcPr>
            <w:tcW w:w="5685"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Ruimte- en buitenverlichting</w:t>
            </w:r>
          </w:p>
        </w:tc>
        <w:tc>
          <w:tcPr>
            <w:tcW w:w="1560"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10-17</w:t>
            </w:r>
          </w:p>
        </w:tc>
      </w:tr>
      <w:tr w:rsidR="00F43C9B" w:rsidRPr="00E15D20" w:rsidTr="00F43C9B">
        <w:trPr>
          <w:trHeight w:val="450"/>
        </w:trPr>
        <w:tc>
          <w:tcPr>
            <w:tcW w:w="5685"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ascii="Verdana" w:hAnsi="Verdana" w:cs="Arial"/>
                <w:sz w:val="18"/>
                <w:szCs w:val="18"/>
              </w:rPr>
            </w:pPr>
            <w:r w:rsidRPr="00D0146C">
              <w:rPr>
                <w:rFonts w:ascii="Verdana" w:hAnsi="Verdana"/>
                <w:sz w:val="18"/>
                <w:szCs w:val="18"/>
              </w:rPr>
              <w:t>Faciliteiten</w:t>
            </w:r>
          </w:p>
        </w:tc>
        <w:tc>
          <w:tcPr>
            <w:tcW w:w="1560"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18, 20-22</w:t>
            </w:r>
          </w:p>
        </w:tc>
      </w:tr>
      <w:tr w:rsidR="00F43C9B" w:rsidRPr="00E15D20" w:rsidTr="00F43C9B">
        <w:trPr>
          <w:trHeight w:val="450"/>
        </w:trPr>
        <w:tc>
          <w:tcPr>
            <w:tcW w:w="5685"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Processen</w:t>
            </w:r>
          </w:p>
        </w:tc>
        <w:tc>
          <w:tcPr>
            <w:tcW w:w="1560"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19</w:t>
            </w:r>
          </w:p>
        </w:tc>
      </w:tr>
      <w:tr w:rsidR="00F43C9B" w:rsidRPr="00E15D20" w:rsidTr="00F43C9B">
        <w:trPr>
          <w:trHeight w:val="450"/>
        </w:trPr>
        <w:tc>
          <w:tcPr>
            <w:tcW w:w="5685" w:type="dxa"/>
            <w:tcBorders>
              <w:top w:val="single" w:sz="4" w:space="0" w:color="auto"/>
              <w:left w:val="single" w:sz="4" w:space="0" w:color="auto"/>
              <w:bottom w:val="single" w:sz="4" w:space="0" w:color="auto"/>
              <w:right w:val="single" w:sz="4" w:space="0" w:color="auto"/>
            </w:tcBorders>
            <w:vAlign w:val="bottom"/>
          </w:tcPr>
          <w:p w:rsidR="00F43C9B" w:rsidRPr="00E15D20" w:rsidRDefault="00F43C9B" w:rsidP="00F43C9B">
            <w:pPr>
              <w:shd w:val="clear" w:color="auto" w:fill="D9D9D9" w:themeFill="background1" w:themeFillShade="D9"/>
              <w:rPr>
                <w:rFonts w:ascii="Verdana" w:hAnsi="Verdana" w:cs="Arial"/>
                <w:b/>
                <w:bCs/>
                <w:sz w:val="18"/>
                <w:szCs w:val="18"/>
              </w:rPr>
            </w:pPr>
            <w:r w:rsidRPr="00D0146C">
              <w:rPr>
                <w:rFonts w:ascii="Verdana" w:hAnsi="Verdana" w:cs="Arial"/>
                <w:b/>
                <w:bCs/>
                <w:sz w:val="18"/>
                <w:szCs w:val="18"/>
              </w:rPr>
              <w:t>Activiteit</w:t>
            </w:r>
          </w:p>
        </w:tc>
        <w:tc>
          <w:tcPr>
            <w:tcW w:w="1560" w:type="dxa"/>
            <w:tcBorders>
              <w:top w:val="single" w:sz="4" w:space="0" w:color="auto"/>
              <w:left w:val="nil"/>
              <w:bottom w:val="single" w:sz="4" w:space="0" w:color="auto"/>
              <w:right w:val="single" w:sz="4" w:space="0" w:color="auto"/>
            </w:tcBorders>
            <w:vAlign w:val="bottom"/>
          </w:tcPr>
          <w:p w:rsidR="00F43C9B" w:rsidRDefault="00F43C9B" w:rsidP="00F43C9B">
            <w:pPr>
              <w:shd w:val="clear" w:color="auto" w:fill="D9D9D9" w:themeFill="background1" w:themeFillShade="D9"/>
              <w:rPr>
                <w:rFonts w:ascii="Verdana" w:hAnsi="Verdana" w:cs="Arial"/>
                <w:b/>
                <w:bCs/>
                <w:sz w:val="18"/>
                <w:szCs w:val="18"/>
              </w:rPr>
            </w:pPr>
          </w:p>
        </w:tc>
      </w:tr>
      <w:tr w:rsidR="00F43C9B" w:rsidRPr="00E15D20" w:rsidTr="00F43C9B">
        <w:trPr>
          <w:trHeight w:val="255"/>
        </w:trPr>
        <w:tc>
          <w:tcPr>
            <w:tcW w:w="5685" w:type="dxa"/>
            <w:tcBorders>
              <w:top w:val="single" w:sz="4" w:space="0" w:color="auto"/>
              <w:left w:val="single" w:sz="4" w:space="0" w:color="auto"/>
              <w:bottom w:val="single" w:sz="4" w:space="0" w:color="auto"/>
              <w:right w:val="single" w:sz="4" w:space="0" w:color="auto"/>
            </w:tcBorders>
            <w:noWrap/>
          </w:tcPr>
          <w:p w:rsidR="00F43C9B" w:rsidRPr="00E15D20"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In werking hebben van een stookinstallatie (emissies naar de lucht)</w:t>
            </w:r>
          </w:p>
        </w:tc>
        <w:tc>
          <w:tcPr>
            <w:tcW w:w="1560" w:type="dxa"/>
            <w:tcBorders>
              <w:top w:val="single" w:sz="4" w:space="0" w:color="auto"/>
              <w:left w:val="nil"/>
              <w:bottom w:val="single" w:sz="4" w:space="0" w:color="auto"/>
              <w:right w:val="single" w:sz="4" w:space="0" w:color="auto"/>
            </w:tcBorders>
            <w:noWrap/>
            <w:vAlign w:val="bottom"/>
          </w:tcPr>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2-4,9</w:t>
            </w:r>
          </w:p>
        </w:tc>
      </w:tr>
      <w:tr w:rsidR="00F43C9B" w:rsidRPr="00E15D20" w:rsidTr="00F43C9B">
        <w:trPr>
          <w:trHeight w:val="464"/>
        </w:trPr>
        <w:tc>
          <w:tcPr>
            <w:tcW w:w="5685" w:type="dxa"/>
            <w:tcBorders>
              <w:top w:val="nil"/>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In werking hebben van een koelinstallatie</w:t>
            </w:r>
          </w:p>
        </w:tc>
        <w:tc>
          <w:tcPr>
            <w:tcW w:w="1560" w:type="dxa"/>
            <w:tcBorders>
              <w:top w:val="nil"/>
              <w:left w:val="nil"/>
              <w:bottom w:val="single" w:sz="4" w:space="0" w:color="auto"/>
              <w:right w:val="single" w:sz="4" w:space="0" w:color="auto"/>
            </w:tcBorders>
            <w:noWrap/>
          </w:tcPr>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23</w:t>
            </w:r>
          </w:p>
        </w:tc>
      </w:tr>
      <w:tr w:rsidR="00F43C9B" w:rsidRPr="00E15D20" w:rsidTr="00F43C9B">
        <w:trPr>
          <w:trHeight w:val="464"/>
        </w:trPr>
        <w:tc>
          <w:tcPr>
            <w:tcW w:w="5685" w:type="dxa"/>
            <w:tcBorders>
              <w:top w:val="nil"/>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Reinigen, lijmen of coaten van metalen</w:t>
            </w:r>
          </w:p>
        </w:tc>
        <w:tc>
          <w:tcPr>
            <w:tcW w:w="1560" w:type="dxa"/>
            <w:tcBorders>
              <w:top w:val="nil"/>
              <w:left w:val="nil"/>
              <w:bottom w:val="single" w:sz="4" w:space="0" w:color="auto"/>
              <w:right w:val="single" w:sz="4" w:space="0" w:color="auto"/>
            </w:tcBorders>
            <w:noWrap/>
          </w:tcPr>
          <w:p w:rsidR="00F43C9B" w:rsidRDefault="00F43C9B" w:rsidP="00F43C9B">
            <w:pPr>
              <w:shd w:val="clear" w:color="auto" w:fill="D9D9D9" w:themeFill="background1" w:themeFillShade="D9"/>
              <w:rPr>
                <w:rFonts w:ascii="Verdana" w:hAnsi="Verdana"/>
                <w:sz w:val="18"/>
                <w:szCs w:val="18"/>
              </w:rPr>
            </w:pPr>
            <w:r w:rsidRPr="00D0146C">
              <w:rPr>
                <w:rFonts w:ascii="Verdana" w:hAnsi="Verdana" w:cs="Arial"/>
                <w:sz w:val="18"/>
                <w:szCs w:val="18"/>
              </w:rPr>
              <w:t>24,25,32</w:t>
            </w:r>
          </w:p>
        </w:tc>
      </w:tr>
      <w:tr w:rsidR="00F43C9B" w:rsidRPr="00E15D20" w:rsidTr="00F43C9B">
        <w:trPr>
          <w:trHeight w:val="465"/>
        </w:trPr>
        <w:tc>
          <w:tcPr>
            <w:tcW w:w="5685" w:type="dxa"/>
            <w:tcBorders>
              <w:top w:val="nil"/>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Aanbrengen anorganische deklagen op metalen</w:t>
            </w:r>
          </w:p>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Beitsen of etsen van metalen</w:t>
            </w:r>
          </w:p>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Elektrolytisch of stroomloos aanbrengen van metaallagen op metalen</w:t>
            </w:r>
          </w:p>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Aanbrengen van conversielagen op metalen</w:t>
            </w:r>
          </w:p>
          <w:p w:rsidR="00F43C9B"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Thermisch aanbrengen van metaallagen op metalen</w:t>
            </w:r>
          </w:p>
        </w:tc>
        <w:tc>
          <w:tcPr>
            <w:tcW w:w="1560" w:type="dxa"/>
            <w:tcBorders>
              <w:top w:val="nil"/>
              <w:left w:val="nil"/>
              <w:bottom w:val="single" w:sz="4" w:space="0" w:color="auto"/>
              <w:right w:val="single" w:sz="4" w:space="0" w:color="auto"/>
            </w:tcBorders>
            <w:noWrap/>
          </w:tcPr>
          <w:p w:rsidR="00F43C9B" w:rsidRDefault="00F43C9B" w:rsidP="00F43C9B">
            <w:pPr>
              <w:shd w:val="clear" w:color="auto" w:fill="D9D9D9" w:themeFill="background1" w:themeFillShade="D9"/>
              <w:rPr>
                <w:rFonts w:ascii="Verdana" w:hAnsi="Verdana"/>
                <w:sz w:val="18"/>
                <w:szCs w:val="18"/>
              </w:rPr>
            </w:pPr>
            <w:r w:rsidRPr="00D0146C">
              <w:rPr>
                <w:rFonts w:ascii="Verdana" w:hAnsi="Verdana" w:cs="Arial"/>
                <w:sz w:val="18"/>
                <w:szCs w:val="18"/>
              </w:rPr>
              <w:t>26-29</w:t>
            </w:r>
          </w:p>
        </w:tc>
      </w:tr>
      <w:tr w:rsidR="00F43C9B" w:rsidRPr="00E15D20" w:rsidTr="00F43C9B">
        <w:trPr>
          <w:trHeight w:val="464"/>
        </w:trPr>
        <w:tc>
          <w:tcPr>
            <w:tcW w:w="5685" w:type="dxa"/>
            <w:tcBorders>
              <w:top w:val="nil"/>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ascii="Verdana" w:hAnsi="Verdana" w:cs="Arial"/>
                <w:sz w:val="18"/>
                <w:szCs w:val="18"/>
              </w:rPr>
            </w:pPr>
            <w:r w:rsidRPr="00D0146C">
              <w:rPr>
                <w:rFonts w:ascii="Verdana" w:hAnsi="Verdana" w:cs="Arial"/>
                <w:sz w:val="18"/>
                <w:szCs w:val="18"/>
              </w:rPr>
              <w:t>Drogen van metalen</w:t>
            </w:r>
          </w:p>
        </w:tc>
        <w:tc>
          <w:tcPr>
            <w:tcW w:w="1560" w:type="dxa"/>
            <w:tcBorders>
              <w:top w:val="nil"/>
              <w:left w:val="nil"/>
              <w:bottom w:val="single" w:sz="4" w:space="0" w:color="auto"/>
              <w:right w:val="single" w:sz="4" w:space="0" w:color="auto"/>
            </w:tcBorders>
            <w:noWrap/>
          </w:tcPr>
          <w:p w:rsidR="00F43C9B" w:rsidRDefault="00F43C9B" w:rsidP="00F43C9B">
            <w:pPr>
              <w:shd w:val="clear" w:color="auto" w:fill="D9D9D9" w:themeFill="background1" w:themeFillShade="D9"/>
              <w:rPr>
                <w:rFonts w:ascii="Verdana" w:hAnsi="Verdana"/>
                <w:sz w:val="18"/>
                <w:szCs w:val="18"/>
              </w:rPr>
            </w:pPr>
            <w:r w:rsidRPr="00D0146C">
              <w:rPr>
                <w:rFonts w:ascii="Verdana" w:hAnsi="Verdana" w:cs="Arial"/>
                <w:sz w:val="18"/>
                <w:szCs w:val="18"/>
              </w:rPr>
              <w:t>30,31</w:t>
            </w:r>
          </w:p>
        </w:tc>
      </w:tr>
    </w:tbl>
    <w:p w:rsidR="00F43C9B" w:rsidRPr="00E15D20" w:rsidRDefault="00F43C9B" w:rsidP="00F43C9B">
      <w:pPr>
        <w:shd w:val="clear" w:color="auto" w:fill="D9D9D9" w:themeFill="background1" w:themeFillShade="D9"/>
        <w:autoSpaceDE w:val="0"/>
        <w:autoSpaceDN w:val="0"/>
        <w:adjustRightInd w:val="0"/>
        <w:rPr>
          <w:rFonts w:ascii="Verdana" w:hAnsi="Verdana" w:cs="Calibri"/>
          <w:sz w:val="18"/>
          <w:szCs w:val="18"/>
        </w:rPr>
      </w:pPr>
    </w:p>
    <w:p w:rsidR="00F43C9B" w:rsidRDefault="00F43C9B" w:rsidP="00F43C9B">
      <w:pPr>
        <w:shd w:val="clear" w:color="auto" w:fill="D9D9D9" w:themeFill="background1" w:themeFillShade="D9"/>
        <w:rPr>
          <w:rFonts w:ascii="Verdana" w:hAnsi="Verdana" w:cs="Calibri"/>
          <w:sz w:val="18"/>
          <w:szCs w:val="18"/>
        </w:rPr>
      </w:pPr>
      <w:r w:rsidRPr="00D0146C">
        <w:rPr>
          <w:rFonts w:ascii="Verdana" w:hAnsi="Verdana" w:cs="Calibri"/>
          <w:sz w:val="18"/>
          <w:szCs w:val="18"/>
        </w:rPr>
        <w:br w:type="page"/>
      </w: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3253"/>
        <w:gridCol w:w="3254"/>
      </w:tblGrid>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Type maatregel</w:t>
            </w:r>
          </w:p>
        </w:tc>
        <w:tc>
          <w:tcPr>
            <w:tcW w:w="6507" w:type="dxa"/>
            <w:gridSpan w:val="2"/>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Gebouwschil</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Kantoor: Warmte- en koudeverlies via buitenmuur beperken.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Spouwmuur isoleren.</w:t>
            </w:r>
          </w:p>
        </w:tc>
      </w:tr>
      <w:tr w:rsidR="00F43C9B" w:rsidRPr="00E15D20" w:rsidTr="00F43C9B">
        <w:trPr>
          <w:trHeight w:val="413"/>
        </w:trPr>
        <w:tc>
          <w:tcPr>
            <w:tcW w:w="4193"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Isolatie in spouwmuur ontbreekt.</w:t>
            </w:r>
          </w:p>
        </w:tc>
      </w:tr>
      <w:tr w:rsidR="00F43C9B" w:rsidRPr="00E15D20" w:rsidTr="00F43C9B">
        <w:trPr>
          <w:trHeight w:val="412"/>
        </w:trPr>
        <w:tc>
          <w:tcPr>
            <w:tcW w:w="4193"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325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a) Kantoor wordt verwarmd.</w:t>
            </w:r>
          </w:p>
        </w:tc>
        <w:tc>
          <w:tcPr>
            <w:tcW w:w="3254"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b) Kantoor wordt verwarmd en gekoeld.</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456"/>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3253"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c>
          <w:tcPr>
            <w:tcW w:w="3254"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 xml:space="preserve">[2] </w:t>
            </w:r>
            <w:r>
              <w:rPr>
                <w:rFonts w:cstheme="minorHAnsi"/>
                <w:bCs/>
                <w:sz w:val="18"/>
                <w:szCs w:val="18"/>
              </w:rPr>
              <w:t>Kantoor: Aanvoertemperatuur cv-water automatisch regelen op basis van buitentemperatuur.</w:t>
            </w:r>
          </w:p>
          <w:p w:rsidR="00F43C9B" w:rsidRDefault="00F43C9B" w:rsidP="00F43C9B">
            <w:pPr>
              <w:shd w:val="clear" w:color="auto" w:fill="D9D9D9" w:themeFill="background1" w:themeFillShade="D9"/>
              <w:rPr>
                <w:rFonts w:cstheme="minorHAnsi"/>
                <w:sz w:val="18"/>
                <w:szCs w:val="18"/>
              </w:rPr>
            </w:pPr>
            <w:r>
              <w:rPr>
                <w:rFonts w:cstheme="minorHAnsi"/>
                <w:sz w:val="18"/>
                <w:szCs w:val="18"/>
              </w:rPr>
              <w:t>[3] Kantoor: Energiezuinige warmteopwekking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650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In werking hebben van een stookinstallatie</w:t>
            </w:r>
            <w:r>
              <w:rPr>
                <w:rFonts w:cstheme="minorHAnsi"/>
                <w:sz w:val="18"/>
                <w:szCs w:val="18"/>
              </w:rPr>
              <w:t xml:space="preserve"> (emissies naar de lucht)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2</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Kantoor: Aanvoertemperatuur cv-water automatisch regelen op basis van buitentemperatuur.</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Weersafhankelijke regeling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Weersafhankelijke regeling ontbreekt op een cv-groep met hogetemperatuurverwarming.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Weersafhankelijke regeling toepassen op groep indien dit op ketel onmogelijk is i.v.m. warmtapwatervoorziening.</w:t>
            </w:r>
          </w:p>
        </w:tc>
      </w:tr>
      <w:tr w:rsidR="00F43C9B" w:rsidRPr="00E15D20" w:rsidTr="00F43C9B">
        <w:trPr>
          <w:trHeight w:val="456"/>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Meerdere verblijfsruimte met totaal bruto vloeroppervlakte van minimaal 150 m</w:t>
            </w:r>
            <w:r>
              <w:rPr>
                <w:rFonts w:cstheme="minorHAnsi"/>
                <w:bCs/>
                <w:sz w:val="18"/>
                <w:szCs w:val="18"/>
                <w:vertAlign w:val="superscript"/>
              </w:rPr>
              <w:t>2</w:t>
            </w:r>
            <w:r>
              <w:rPr>
                <w:rFonts w:cstheme="minorHAnsi"/>
                <w:bCs/>
                <w:sz w:val="18"/>
                <w:szCs w:val="18"/>
              </w:rPr>
              <w:t xml:space="preserve"> met verschillende warmtebehoefte.</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[1] Kantoor: Warmte- en koudeverlies via buitenmuur beperken.</w:t>
            </w:r>
          </w:p>
          <w:p w:rsidR="00F43C9B" w:rsidRDefault="00F43C9B" w:rsidP="00F43C9B">
            <w:pPr>
              <w:shd w:val="clear" w:color="auto" w:fill="D9D9D9" w:themeFill="background1" w:themeFillShade="D9"/>
              <w:rPr>
                <w:rFonts w:cstheme="minorHAnsi"/>
                <w:sz w:val="18"/>
                <w:szCs w:val="18"/>
              </w:rPr>
            </w:pPr>
            <w:r>
              <w:rPr>
                <w:rFonts w:cstheme="minorHAnsi"/>
                <w:sz w:val="18"/>
                <w:szCs w:val="18"/>
              </w:rPr>
              <w:t>[3] Kantoor: Energiezuinige warmteopwekking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b/>
          <w:sz w:val="18"/>
          <w:szCs w:val="18"/>
        </w:rPr>
      </w:pPr>
    </w:p>
    <w:p w:rsidR="00F43C9B" w:rsidRDefault="00F43C9B" w:rsidP="00F43C9B">
      <w:pPr>
        <w:shd w:val="clear" w:color="auto" w:fill="D9D9D9" w:themeFill="background1" w:themeFillShade="D9"/>
        <w:rPr>
          <w:rFonts w:cstheme="minorHAnsi"/>
          <w:b/>
          <w:sz w:val="18"/>
          <w:szCs w:val="18"/>
        </w:rPr>
      </w:pPr>
    </w:p>
    <w:p w:rsidR="00F43C9B" w:rsidRPr="00E15D20" w:rsidRDefault="00F43C9B" w:rsidP="00F43C9B">
      <w:pPr>
        <w:shd w:val="clear" w:color="auto" w:fill="D9D9D9" w:themeFill="background1" w:themeFillShade="D9"/>
        <w:rPr>
          <w:rFonts w:cstheme="minorHAnsi"/>
          <w:b/>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9"/>
        <w:gridCol w:w="3320"/>
        <w:gridCol w:w="3321"/>
      </w:tblGrid>
      <w:tr w:rsidR="00F43C9B" w:rsidRPr="00E15D20" w:rsidTr="00F43C9B">
        <w:tc>
          <w:tcPr>
            <w:tcW w:w="4059"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6641" w:type="dxa"/>
            <w:gridSpan w:val="2"/>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In werking hebben van een stookinstallatie</w:t>
            </w:r>
            <w:r>
              <w:rPr>
                <w:rFonts w:cstheme="minorHAnsi"/>
                <w:sz w:val="18"/>
                <w:szCs w:val="18"/>
              </w:rPr>
              <w:t xml:space="preserve"> (emissies naar de lucht)</w:t>
            </w:r>
          </w:p>
        </w:tc>
      </w:tr>
      <w:tr w:rsidR="00F43C9B" w:rsidRPr="00E15D20" w:rsidTr="00F43C9B">
        <w:tc>
          <w:tcPr>
            <w:tcW w:w="405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41"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3</w:t>
            </w:r>
          </w:p>
        </w:tc>
      </w:tr>
      <w:tr w:rsidR="00F43C9B" w:rsidRPr="00E15D20" w:rsidTr="00F43C9B">
        <w:tc>
          <w:tcPr>
            <w:tcW w:w="405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41"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Kantoor: Energiezuinige warmteopwekking toepassen.</w:t>
            </w:r>
          </w:p>
        </w:tc>
      </w:tr>
      <w:tr w:rsidR="00F43C9B" w:rsidRPr="00E15D20" w:rsidTr="00F43C9B">
        <w:tc>
          <w:tcPr>
            <w:tcW w:w="405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41"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Hoogrendementsketel HR107 toepassen.</w:t>
            </w:r>
          </w:p>
        </w:tc>
      </w:tr>
      <w:tr w:rsidR="00F43C9B" w:rsidRPr="00E15D20" w:rsidTr="00F43C9B">
        <w:tc>
          <w:tcPr>
            <w:tcW w:w="405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basis van een </w:t>
            </w:r>
            <w:r>
              <w:rPr>
                <w:rFonts w:cstheme="minorHAnsi"/>
                <w:b/>
                <w:bCs/>
                <w:sz w:val="18"/>
                <w:szCs w:val="18"/>
              </w:rPr>
              <w:t>referentietechniek</w:t>
            </w:r>
          </w:p>
        </w:tc>
        <w:tc>
          <w:tcPr>
            <w:tcW w:w="3320" w:type="dxa"/>
            <w:vAlign w:val="center"/>
          </w:tcPr>
          <w:p w:rsidR="00F43C9B" w:rsidRDefault="00F43C9B" w:rsidP="00F43C9B">
            <w:pPr>
              <w:shd w:val="clear" w:color="auto" w:fill="D9D9D9" w:themeFill="background1" w:themeFillShade="D9"/>
              <w:tabs>
                <w:tab w:val="left" w:pos="180"/>
              </w:tabs>
              <w:rPr>
                <w:rFonts w:cstheme="minorHAnsi"/>
                <w:bCs/>
                <w:sz w:val="18"/>
                <w:szCs w:val="18"/>
              </w:rPr>
            </w:pPr>
            <w:r>
              <w:rPr>
                <w:rFonts w:cstheme="minorHAnsi"/>
                <w:sz w:val="18"/>
                <w:szCs w:val="18"/>
              </w:rPr>
              <w:t>a) Conventioneelrendements- (CR-) of verbeterdrendements- (VR-) ketel is aanwezig voor basislast (bedrijfstijd is meer dan 500 uur per jaar).</w:t>
            </w:r>
          </w:p>
        </w:tc>
        <w:tc>
          <w:tcPr>
            <w:tcW w:w="3321" w:type="dxa"/>
            <w:vAlign w:val="center"/>
          </w:tcPr>
          <w:p w:rsidR="00F43C9B" w:rsidRDefault="00F43C9B" w:rsidP="00F43C9B">
            <w:pPr>
              <w:shd w:val="clear" w:color="auto" w:fill="D9D9D9" w:themeFill="background1" w:themeFillShade="D9"/>
              <w:tabs>
                <w:tab w:val="left" w:pos="180"/>
              </w:tabs>
              <w:rPr>
                <w:rFonts w:cstheme="minorHAnsi"/>
                <w:bCs/>
                <w:sz w:val="18"/>
                <w:szCs w:val="18"/>
              </w:rPr>
            </w:pPr>
            <w:r>
              <w:rPr>
                <w:rFonts w:cstheme="minorHAnsi"/>
                <w:sz w:val="18"/>
                <w:szCs w:val="18"/>
              </w:rPr>
              <w:t>b) Hoogrendementsketel HR100 is aanwezig voor basislast (bedrijfstijd is meer dan 500 uur per jaar).</w:t>
            </w:r>
          </w:p>
        </w:tc>
      </w:tr>
      <w:tr w:rsidR="00F43C9B" w:rsidRPr="00E15D20" w:rsidTr="00F43C9B">
        <w:tc>
          <w:tcPr>
            <w:tcW w:w="405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41"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Retourtemperatuur van ketel kan lager zijn dan 55°C. Hogetemperatuursystemen (zoals warmtapwatersysteem of hogetemperatuurstralingspanelen) verhinderen dat soms.</w:t>
            </w:r>
          </w:p>
          <w:p w:rsidR="00F43C9B" w:rsidRDefault="00F43C9B" w:rsidP="00F43C9B">
            <w:pPr>
              <w:shd w:val="clear" w:color="auto" w:fill="D9D9D9" w:themeFill="background1" w:themeFillShade="D9"/>
              <w:rPr>
                <w:rFonts w:cstheme="minorHAnsi"/>
                <w:bCs/>
                <w:sz w:val="18"/>
                <w:szCs w:val="18"/>
              </w:rPr>
            </w:pPr>
            <w:r>
              <w:rPr>
                <w:rFonts w:cstheme="minorHAnsi"/>
                <w:sz w:val="18"/>
                <w:szCs w:val="18"/>
              </w:rPr>
              <w:t>Condensafvoer is mogelijk.</w:t>
            </w:r>
          </w:p>
        </w:tc>
      </w:tr>
      <w:tr w:rsidR="00F43C9B" w:rsidRPr="00E15D20" w:rsidTr="00F43C9B">
        <w:trPr>
          <w:trHeight w:val="456"/>
        </w:trPr>
        <w:tc>
          <w:tcPr>
            <w:tcW w:w="405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332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a) N.v.t.</w:t>
            </w:r>
          </w:p>
        </w:tc>
        <w:tc>
          <w:tcPr>
            <w:tcW w:w="3321"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b) Aardgasverbruik is minder dan 170.000 m</w:t>
            </w:r>
            <w:r>
              <w:rPr>
                <w:rFonts w:cstheme="minorHAnsi"/>
                <w:sz w:val="18"/>
                <w:szCs w:val="18"/>
                <w:vertAlign w:val="superscript"/>
              </w:rPr>
              <w:t>3</w:t>
            </w:r>
            <w:r>
              <w:rPr>
                <w:rFonts w:cstheme="minorHAnsi"/>
                <w:sz w:val="18"/>
                <w:szCs w:val="18"/>
              </w:rPr>
              <w:t xml:space="preserve"> per jaar.</w:t>
            </w:r>
          </w:p>
        </w:tc>
      </w:tr>
      <w:tr w:rsidR="00F43C9B" w:rsidRPr="00E15D20" w:rsidTr="00F43C9B">
        <w:tc>
          <w:tcPr>
            <w:tcW w:w="405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3320" w:type="dxa"/>
            <w:vAlign w:val="center"/>
          </w:tcPr>
          <w:p w:rsidR="00F43C9B" w:rsidRDefault="00F43C9B" w:rsidP="00F43C9B">
            <w:pPr>
              <w:shd w:val="clear" w:color="auto" w:fill="D9D9D9" w:themeFill="background1" w:themeFillShade="D9"/>
              <w:tabs>
                <w:tab w:val="left" w:pos="180"/>
              </w:tabs>
              <w:rPr>
                <w:rFonts w:cstheme="minorHAnsi"/>
                <w:sz w:val="18"/>
                <w:szCs w:val="18"/>
              </w:rPr>
            </w:pPr>
            <w:r>
              <w:rPr>
                <w:rFonts w:cstheme="minorHAnsi"/>
                <w:sz w:val="18"/>
                <w:szCs w:val="18"/>
              </w:rPr>
              <w:t xml:space="preserve">a) </w:t>
            </w:r>
            <w:r>
              <w:rPr>
                <w:rFonts w:cstheme="minorHAnsi"/>
                <w:bCs/>
                <w:sz w:val="18"/>
                <w:szCs w:val="18"/>
              </w:rPr>
              <w:t xml:space="preserve">Zelfstandig moment: </w:t>
            </w:r>
            <w:r>
              <w:rPr>
                <w:rFonts w:cstheme="minorHAnsi"/>
                <w:sz w:val="18"/>
                <w:szCs w:val="18"/>
              </w:rPr>
              <w:t>Ja, indien aardgasverbruik minder is dan 170.000 m</w:t>
            </w:r>
            <w:r>
              <w:rPr>
                <w:rFonts w:cstheme="minorHAnsi"/>
                <w:sz w:val="18"/>
                <w:szCs w:val="18"/>
                <w:vertAlign w:val="superscript"/>
              </w:rPr>
              <w:t>3</w:t>
            </w:r>
            <w:r>
              <w:rPr>
                <w:rFonts w:cstheme="minorHAnsi"/>
                <w:sz w:val="18"/>
                <w:szCs w:val="18"/>
              </w:rPr>
              <w:t xml:space="preserve"> per jaar.</w:t>
            </w:r>
          </w:p>
          <w:p w:rsidR="00F43C9B" w:rsidRDefault="00F43C9B" w:rsidP="00F43C9B">
            <w:pPr>
              <w:shd w:val="clear" w:color="auto" w:fill="D9D9D9" w:themeFill="background1" w:themeFillShade="D9"/>
              <w:tabs>
                <w:tab w:val="left" w:pos="180"/>
              </w:tabs>
              <w:rPr>
                <w:rFonts w:cstheme="minorHAnsi"/>
                <w:sz w:val="18"/>
                <w:szCs w:val="18"/>
              </w:rPr>
            </w:pPr>
            <w:r>
              <w:rPr>
                <w:rFonts w:cstheme="minorHAnsi"/>
                <w:sz w:val="18"/>
                <w:szCs w:val="18"/>
              </w:rPr>
              <w:t>Natuurlijk moment: Ja.</w:t>
            </w:r>
          </w:p>
        </w:tc>
        <w:tc>
          <w:tcPr>
            <w:tcW w:w="332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 xml:space="preserve">b) </w:t>
            </w:r>
            <w:r>
              <w:rPr>
                <w:rFonts w:cstheme="minorHAnsi"/>
                <w:bCs/>
                <w:sz w:val="18"/>
                <w:szCs w:val="18"/>
              </w:rPr>
              <w:t>Zelfstandig moment: Nee.</w:t>
            </w:r>
          </w:p>
          <w:p w:rsidR="00F43C9B" w:rsidRDefault="00F43C9B" w:rsidP="00F43C9B">
            <w:pPr>
              <w:shd w:val="clear" w:color="auto" w:fill="D9D9D9" w:themeFill="background1" w:themeFillShade="D9"/>
              <w:tabs>
                <w:tab w:val="left" w:pos="180"/>
              </w:tabs>
              <w:rPr>
                <w:rFonts w:cstheme="minorHAnsi"/>
                <w:sz w:val="18"/>
                <w:szCs w:val="18"/>
              </w:rPr>
            </w:pPr>
            <w:r>
              <w:rPr>
                <w:rFonts w:cstheme="minorHAnsi"/>
                <w:bCs/>
                <w:sz w:val="18"/>
                <w:szCs w:val="18"/>
              </w:rPr>
              <w:t>Natuurlijk moment: Ja.</w:t>
            </w:r>
          </w:p>
        </w:tc>
      </w:tr>
      <w:tr w:rsidR="00F43C9B" w:rsidRPr="00E15D20" w:rsidTr="00F43C9B">
        <w:tc>
          <w:tcPr>
            <w:tcW w:w="405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41"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[1] Kantoor: Warmte- en koudeverlies via buitenmuur beperken.</w:t>
            </w:r>
          </w:p>
          <w:p w:rsidR="00F43C9B" w:rsidRDefault="00F43C9B" w:rsidP="00F43C9B">
            <w:pPr>
              <w:shd w:val="clear" w:color="auto" w:fill="D9D9D9" w:themeFill="background1" w:themeFillShade="D9"/>
              <w:rPr>
                <w:rFonts w:cstheme="minorHAnsi"/>
                <w:sz w:val="18"/>
                <w:szCs w:val="18"/>
              </w:rPr>
            </w:pPr>
            <w:r>
              <w:rPr>
                <w:rFonts w:cstheme="minorHAnsi"/>
                <w:sz w:val="18"/>
                <w:szCs w:val="18"/>
              </w:rPr>
              <w:t xml:space="preserve">[2] </w:t>
            </w:r>
            <w:r>
              <w:rPr>
                <w:rFonts w:cstheme="minorHAnsi"/>
                <w:bCs/>
                <w:sz w:val="18"/>
                <w:szCs w:val="18"/>
              </w:rPr>
              <w:t>Kantoor: Aanvoertemperatuur cv-water automatisch regelen op basis van buitentemperatuur.</w:t>
            </w:r>
          </w:p>
        </w:tc>
      </w:tr>
      <w:tr w:rsidR="00F43C9B" w:rsidRPr="00E15D20" w:rsidTr="00F43C9B">
        <w:tc>
          <w:tcPr>
            <w:tcW w:w="405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41"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650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In werking hebben van een stookinstallatie</w:t>
            </w:r>
            <w:r>
              <w:rPr>
                <w:rFonts w:cstheme="minorHAnsi"/>
                <w:sz w:val="18"/>
                <w:szCs w:val="18"/>
              </w:rPr>
              <w:t xml:space="preserve"> (emissies naar de lucht)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4</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Onnodig aanstaan van ruimteverwarming buiten bedrijfstijd voorkomen.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507" w:type="dxa"/>
            <w:vAlign w:val="center"/>
          </w:tcPr>
          <w:p w:rsidR="00F43C9B" w:rsidRDefault="00F43C9B" w:rsidP="00F43C9B">
            <w:pPr>
              <w:shd w:val="clear" w:color="auto" w:fill="D9D9D9" w:themeFill="background1" w:themeFillShade="D9"/>
              <w:rPr>
                <w:rFonts w:cstheme="minorHAnsi"/>
                <w:bCs/>
                <w:sz w:val="18"/>
                <w:szCs w:val="18"/>
              </w:rPr>
            </w:pPr>
            <w:bookmarkStart w:id="656" w:name="OLE_LINK3"/>
            <w:r>
              <w:rPr>
                <w:rFonts w:cstheme="minorHAnsi"/>
                <w:bCs/>
                <w:sz w:val="18"/>
                <w:szCs w:val="18"/>
              </w:rPr>
              <w:t>Tijdschakelaar of tijdschakelaar met weekschakeling (met of zonder overwerktimer)</w:t>
            </w:r>
            <w:bookmarkEnd w:id="656"/>
            <w:r>
              <w:rPr>
                <w:rFonts w:cstheme="minorHAnsi"/>
                <w:bCs/>
                <w:sz w:val="18"/>
                <w:szCs w:val="18"/>
              </w:rPr>
              <w:t xml:space="preserve">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Automatische aan- en uitschakeling ontbreekt.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456"/>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5</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Warmte in hoge hal actief verdelen naar werkplekken met warmtevraag om verwarming met aardgas te beperken.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Ondersteuningsventilator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w:t>
            </w:r>
            <w:r>
              <w:rPr>
                <w:rFonts w:cstheme="minorHAnsi"/>
                <w:b/>
                <w:bCs/>
                <w:sz w:val="18"/>
                <w:szCs w:val="18"/>
              </w:rPr>
              <w:t>basis van een referentietechniek</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Voorziening voor luchtcirculatie ontbreekt.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Geen vervuilende gassen (zoals las- of lijmdampen) aanwezig.</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Kraanbaan en ondersteuningsventilator hinderen elkaar niet.</w:t>
            </w:r>
          </w:p>
        </w:tc>
      </w:tr>
      <w:tr w:rsidR="00F43C9B" w:rsidRPr="00E15D20" w:rsidTr="00F43C9B">
        <w:trPr>
          <w:trHeight w:val="456"/>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Temperatuur boven in hal is minimaal 4°C hoger dan temperatuur op werkniveau.</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erkende </w:t>
            </w:r>
            <w:r>
              <w:rPr>
                <w:rFonts w:cstheme="minorHAnsi"/>
                <w:b/>
                <w:bCs/>
                <w:sz w:val="18"/>
                <w:szCs w:val="18"/>
              </w:rPr>
              <w:t>maatregelen</w:t>
            </w:r>
          </w:p>
        </w:tc>
        <w:tc>
          <w:tcPr>
            <w:tcW w:w="6507" w:type="dxa"/>
            <w:vAlign w:val="center"/>
          </w:tcPr>
          <w:p w:rsidR="00F43C9B" w:rsidRDefault="00F43C9B" w:rsidP="00F43C9B">
            <w:pPr>
              <w:shd w:val="clear" w:color="auto" w:fill="D9D9D9" w:themeFill="background1" w:themeFillShade="D9"/>
              <w:rPr>
                <w:rFonts w:cstheme="minorHAnsi"/>
                <w:sz w:val="18"/>
                <w:szCs w:val="18"/>
              </w:rPr>
            </w:pPr>
            <w:r>
              <w:rPr>
                <w:rFonts w:cstheme="minorHAnsi"/>
                <w:bCs/>
                <w:sz w:val="18"/>
                <w:szCs w:val="18"/>
              </w:rPr>
              <w:t>[9] Bedrijfshal: Energiezuinige warmteopwekking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6</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Warmteverlies via warmwaterleidingen en -appendages beperken in onverwarmde ruimten.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Isolatie aanbrengen om leidingen en appendages.</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Isolatie om leidingen en appendages ontbreekt.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Technische </w:t>
            </w:r>
            <w:r>
              <w:rPr>
                <w:rFonts w:cstheme="minorHAnsi"/>
                <w:b/>
                <w:bCs/>
                <w:sz w:val="18"/>
                <w:szCs w:val="18"/>
              </w:rPr>
              <w:t>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Als fabrikant voorschrijft dat vocht en warmte weg moet kunnen i.v.m. garantie, dan hier rekening mee houden bij keuze isolatiemateriaal.</w:t>
            </w:r>
          </w:p>
        </w:tc>
      </w:tr>
      <w:tr w:rsidR="00F43C9B" w:rsidRPr="00E15D20" w:rsidTr="00F43C9B">
        <w:trPr>
          <w:trHeight w:val="3128"/>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Bedrijfstijd van installatie behorende bij leidingen en appendages is minimaal 1.250 uur per jaar (ter indicatie: een standaard stookseizoen).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tbl>
      <w:tblPr>
        <w:tblW w:w="10014"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9"/>
        <w:gridCol w:w="6035"/>
      </w:tblGrid>
      <w:tr w:rsidR="00F43C9B" w:rsidRPr="00E15D20" w:rsidTr="00F43C9B">
        <w:tc>
          <w:tcPr>
            <w:tcW w:w="3979"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035"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397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035"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7</w:t>
            </w:r>
          </w:p>
        </w:tc>
      </w:tr>
      <w:tr w:rsidR="00F43C9B" w:rsidRPr="00E15D20" w:rsidTr="00F43C9B">
        <w:tc>
          <w:tcPr>
            <w:tcW w:w="397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035"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Debiet cv-pomp automatisch regelen op basis van warmtebehoefte.</w:t>
            </w:r>
          </w:p>
        </w:tc>
      </w:tr>
      <w:tr w:rsidR="00F43C9B" w:rsidRPr="00E15D20" w:rsidTr="00F43C9B">
        <w:trPr>
          <w:trHeight w:val="1019"/>
        </w:trPr>
        <w:tc>
          <w:tcPr>
            <w:tcW w:w="397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035"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Cv-pomp met frequentieregeling toepassen.</w:t>
            </w:r>
          </w:p>
        </w:tc>
      </w:tr>
      <w:tr w:rsidR="00F43C9B" w:rsidRPr="00E15D20" w:rsidTr="00F43C9B">
        <w:tc>
          <w:tcPr>
            <w:tcW w:w="397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035"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Toeren- of frequentieregeling op cv-pomp ontbreekt.</w:t>
            </w:r>
          </w:p>
        </w:tc>
      </w:tr>
      <w:tr w:rsidR="00F43C9B" w:rsidRPr="00E15D20" w:rsidTr="00F43C9B">
        <w:tc>
          <w:tcPr>
            <w:tcW w:w="3979" w:type="dxa"/>
            <w:shd w:val="clear" w:color="auto" w:fill="BFBFBF" w:themeFill="background1" w:themeFillShade="BF"/>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035" w:type="dxa"/>
            <w:shd w:val="clear" w:color="auto" w:fill="auto"/>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Bij meerdere parallel geschakelde pompen uitvoeren bij (minimaal) één pomp.</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Variërend debiet is mogelijk in combinatie met warmteopwekking en –afgiftesysteem.</w:t>
            </w:r>
          </w:p>
        </w:tc>
      </w:tr>
      <w:tr w:rsidR="00F43C9B" w:rsidRPr="00E15D20" w:rsidTr="00F43C9B">
        <w:trPr>
          <w:trHeight w:val="456"/>
        </w:trPr>
        <w:tc>
          <w:tcPr>
            <w:tcW w:w="397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035"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Geen aanpassingen aan driewegkleppen en regelsysteem nodig.</w:t>
            </w:r>
          </w:p>
        </w:tc>
      </w:tr>
      <w:tr w:rsidR="00F43C9B" w:rsidRPr="00E15D20" w:rsidTr="00F43C9B">
        <w:tc>
          <w:tcPr>
            <w:tcW w:w="397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035"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397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035"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c>
          <w:tcPr>
            <w:tcW w:w="397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035"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8</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Temperatuur per ruimte naregelen.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technieken ten </w:t>
            </w:r>
            <w:r>
              <w:rPr>
                <w:rFonts w:cstheme="minorHAnsi"/>
                <w:b/>
                <w:bCs/>
                <w:sz w:val="18"/>
                <w:szCs w:val="18"/>
              </w:rPr>
              <w:t>opzichte van uitgangssituatie</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Thermostatische radiatorkranen of ruimtethermostaten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Individuele naregeling per ruimte ontbreekt.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456"/>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[9] Bedrijfshal: Energiezuinige warmteopwekking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w:t>
            </w:r>
            <w:r>
              <w:rPr>
                <w:rFonts w:cstheme="minorHAnsi"/>
                <w:b/>
                <w:bCs/>
                <w:sz w:val="18"/>
                <w:szCs w:val="18"/>
              </w:rPr>
              <w:t xml:space="preserve"> omstandigheden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9"/>
        <w:gridCol w:w="2378"/>
        <w:gridCol w:w="2457"/>
        <w:gridCol w:w="2196"/>
      </w:tblGrid>
      <w:tr w:rsidR="00F43C9B" w:rsidRPr="00E15D20" w:rsidTr="00F43C9B">
        <w:tc>
          <w:tcPr>
            <w:tcW w:w="367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7027" w:type="dxa"/>
            <w:gridSpan w:val="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In werking hebben van een stookinstallatie</w:t>
            </w:r>
            <w:r>
              <w:rPr>
                <w:rFonts w:cstheme="minorHAnsi"/>
                <w:sz w:val="18"/>
                <w:szCs w:val="18"/>
              </w:rPr>
              <w:t xml:space="preserve"> (emissies naar de lucht)</w:t>
            </w:r>
          </w:p>
        </w:tc>
      </w:tr>
      <w:tr w:rsidR="00F43C9B" w:rsidRPr="00E15D20" w:rsidTr="00F43C9B">
        <w:tc>
          <w:tcPr>
            <w:tcW w:w="367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2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9</w:t>
            </w:r>
          </w:p>
        </w:tc>
      </w:tr>
      <w:tr w:rsidR="00F43C9B" w:rsidRPr="00E15D20" w:rsidTr="00F43C9B">
        <w:tc>
          <w:tcPr>
            <w:tcW w:w="367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2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Energiezuinige warmteopwekking toepassen.</w:t>
            </w:r>
          </w:p>
        </w:tc>
      </w:tr>
      <w:tr w:rsidR="00F43C9B" w:rsidRPr="00E15D20" w:rsidTr="00F43C9B">
        <w:tc>
          <w:tcPr>
            <w:tcW w:w="367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technieken ten opzichte van </w:t>
            </w:r>
            <w:r>
              <w:rPr>
                <w:rFonts w:cstheme="minorHAnsi"/>
                <w:b/>
                <w:bCs/>
                <w:sz w:val="18"/>
                <w:szCs w:val="18"/>
              </w:rPr>
              <w:t>uitgangssituatie</w:t>
            </w:r>
          </w:p>
        </w:tc>
        <w:tc>
          <w:tcPr>
            <w:tcW w:w="237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Hoogrendementsketel HR100, HR104 of HR107 toepassen.</w:t>
            </w:r>
          </w:p>
        </w:tc>
        <w:tc>
          <w:tcPr>
            <w:tcW w:w="2458"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Hoogrendements- (HR-) luchtverhitter toepassen.</w:t>
            </w:r>
          </w:p>
        </w:tc>
        <w:tc>
          <w:tcPr>
            <w:tcW w:w="219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c) Gasgestookte donkere straler toepassen.</w:t>
            </w:r>
          </w:p>
        </w:tc>
      </w:tr>
      <w:tr w:rsidR="00F43C9B" w:rsidRPr="00E15D20" w:rsidTr="00F43C9B">
        <w:tc>
          <w:tcPr>
            <w:tcW w:w="367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237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 xml:space="preserve">a) </w:t>
            </w:r>
            <w:r>
              <w:rPr>
                <w:rFonts w:cstheme="minorHAnsi"/>
                <w:sz w:val="18"/>
                <w:szCs w:val="18"/>
              </w:rPr>
              <w:t>Conventioneelrendements- (CR-) of verbeterdrendements- (VR-) ketel is aanwezig voor basislast (bedrijfstijd is meer dan 500 uur per jaar)</w:t>
            </w:r>
            <w:r>
              <w:rPr>
                <w:rFonts w:cstheme="minorHAnsi"/>
                <w:bCs/>
                <w:sz w:val="18"/>
                <w:szCs w:val="18"/>
              </w:rPr>
              <w:t>.</w:t>
            </w:r>
          </w:p>
        </w:tc>
        <w:tc>
          <w:tcPr>
            <w:tcW w:w="2458"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Conventionele luchtverhitter is aanwezig.</w:t>
            </w:r>
          </w:p>
        </w:tc>
        <w:tc>
          <w:tcPr>
            <w:tcW w:w="219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c) Conventionele luchtverhitter is aanwezig.</w:t>
            </w:r>
          </w:p>
        </w:tc>
      </w:tr>
      <w:tr w:rsidR="00F43C9B" w:rsidRPr="00E15D20" w:rsidTr="00F43C9B">
        <w:tc>
          <w:tcPr>
            <w:tcW w:w="367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4830"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en b) Condensafvoer eenvoudig realiseerbaar.</w:t>
            </w:r>
          </w:p>
        </w:tc>
        <w:tc>
          <w:tcPr>
            <w:tcW w:w="219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c) Rookgasafvoer is mogelijk.</w:t>
            </w:r>
          </w:p>
        </w:tc>
      </w:tr>
      <w:tr w:rsidR="00F43C9B" w:rsidRPr="00E15D20" w:rsidTr="00F43C9B">
        <w:trPr>
          <w:trHeight w:val="1660"/>
        </w:trPr>
        <w:tc>
          <w:tcPr>
            <w:tcW w:w="367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27" w:type="dxa"/>
            <w:gridSpan w:val="3"/>
            <w:vAlign w:val="center"/>
          </w:tcPr>
          <w:p w:rsidR="00F43C9B" w:rsidRDefault="00F43C9B" w:rsidP="00F43C9B">
            <w:pPr>
              <w:shd w:val="clear" w:color="auto" w:fill="D9D9D9" w:themeFill="background1" w:themeFillShade="D9"/>
              <w:rPr>
                <w:rFonts w:cstheme="minorHAnsi"/>
                <w:b/>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c>
          <w:tcPr>
            <w:tcW w:w="367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2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367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w:t>
            </w:r>
            <w:r>
              <w:rPr>
                <w:rFonts w:cstheme="minorHAnsi"/>
                <w:b/>
                <w:bCs/>
                <w:sz w:val="18"/>
                <w:szCs w:val="18"/>
              </w:rPr>
              <w:t>erkende maatregelen</w:t>
            </w:r>
          </w:p>
        </w:tc>
        <w:tc>
          <w:tcPr>
            <w:tcW w:w="702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[7] Bedrijfshal: Debiet cv-pomp automatisch regelen op basis van warmtebehoefte.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[8] Bedrijfshal: Temperatuur per ruimte naregelen.</w:t>
            </w:r>
          </w:p>
        </w:tc>
      </w:tr>
      <w:tr w:rsidR="00F43C9B" w:rsidRPr="00E15D20" w:rsidTr="00F43C9B">
        <w:tc>
          <w:tcPr>
            <w:tcW w:w="367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2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p w:rsidR="00F43C9B" w:rsidRPr="00E15D20"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 en buitenverlichting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10</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Kantoor: Onnodig branden van binnenverlichting in pauzes en buiten bedrijfstijd voorkomen.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Veegschakeling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Verlichting wordt handmatig geschakeld per ruimte.</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456"/>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Geïnstalleerd vermogen per veegschakeling is minimaal 18 kW.</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Per veegschakeling zijn maximaal 12 aanpassingen nodig om te voorkomen dat apparatuur onbedoeld wordt uitgeschakeld.</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Verlichting kan minimaal 1 uur per dag extra uitgeschakeld worden.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Bijzondere </w:t>
            </w:r>
            <w:r>
              <w:rPr>
                <w:rFonts w:cstheme="minorHAnsi"/>
                <w:b/>
                <w:bCs/>
                <w:sz w:val="18"/>
                <w:szCs w:val="18"/>
              </w:rPr>
              <w:t>omstandigheden</w:t>
            </w:r>
          </w:p>
        </w:tc>
        <w:tc>
          <w:tcPr>
            <w:tcW w:w="6507"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3253"/>
        <w:gridCol w:w="3254"/>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gridSpan w:val="2"/>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 en buitenverlichting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11</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Kantoor: Geïnstalleerd vermogen binnenverlichting beperken.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253"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 xml:space="preserve">a) Armaturen met </w:t>
            </w:r>
            <w:r>
              <w:rPr>
                <w:rFonts w:cstheme="minorHAnsi"/>
                <w:sz w:val="18"/>
                <w:szCs w:val="18"/>
              </w:rPr>
              <w:t xml:space="preserve">langwerpige </w:t>
            </w:r>
            <w:r>
              <w:rPr>
                <w:rFonts w:cstheme="minorHAnsi"/>
                <w:bCs/>
                <w:sz w:val="18"/>
                <w:szCs w:val="18"/>
              </w:rPr>
              <w:t>fluorescentielampen</w:t>
            </w:r>
            <w:r>
              <w:rPr>
                <w:rFonts w:cstheme="minorHAnsi"/>
                <w:sz w:val="18"/>
                <w:szCs w:val="18"/>
              </w:rPr>
              <w:t xml:space="preserve"> (</w:t>
            </w:r>
            <w:r>
              <w:rPr>
                <w:rFonts w:cstheme="minorHAnsi"/>
                <w:bCs/>
                <w:sz w:val="18"/>
                <w:szCs w:val="18"/>
              </w:rPr>
              <w:t>TL5) toepassen.</w:t>
            </w:r>
          </w:p>
        </w:tc>
        <w:tc>
          <w:tcPr>
            <w:tcW w:w="3254"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Armaturen met led-lampen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 xml:space="preserve">Conventionele armaturen met </w:t>
            </w:r>
            <w:r>
              <w:rPr>
                <w:rFonts w:cstheme="minorHAnsi"/>
                <w:sz w:val="18"/>
                <w:szCs w:val="18"/>
              </w:rPr>
              <w:t xml:space="preserve">langwerpige </w:t>
            </w:r>
            <w:r>
              <w:rPr>
                <w:rFonts w:cstheme="minorHAnsi"/>
                <w:bCs/>
                <w:sz w:val="18"/>
                <w:szCs w:val="18"/>
              </w:rPr>
              <w:t>fluorescentielampen (TL) zijn aanwezig.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340"/>
        </w:trPr>
        <w:tc>
          <w:tcPr>
            <w:tcW w:w="4193"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Aantal branduren is minimaal 2.500 uur per jaar.</w:t>
            </w:r>
          </w:p>
        </w:tc>
      </w:tr>
      <w:tr w:rsidR="00F43C9B" w:rsidRPr="00E15D20" w:rsidTr="00F43C9B">
        <w:trPr>
          <w:trHeight w:val="340"/>
        </w:trPr>
        <w:tc>
          <w:tcPr>
            <w:tcW w:w="4193"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3253" w:type="dxa"/>
            <w:vAlign w:val="center"/>
          </w:tcPr>
          <w:p w:rsidR="00F43C9B" w:rsidRDefault="00F43C9B" w:rsidP="00F43C9B">
            <w:pPr>
              <w:shd w:val="clear" w:color="auto" w:fill="D9D9D9" w:themeFill="background1" w:themeFillShade="D9"/>
              <w:rPr>
                <w:rFonts w:cstheme="minorHAnsi"/>
                <w:bCs/>
                <w:sz w:val="18"/>
                <w:szCs w:val="18"/>
              </w:rPr>
            </w:pPr>
          </w:p>
        </w:tc>
        <w:tc>
          <w:tcPr>
            <w:tcW w:w="3254"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Geïnstalleerd vermogen van verlichting neemt door toepassen van led-lampen minimaal 50% af bij voldoende lichtopbrengst.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w:t>
            </w:r>
            <w:r>
              <w:rPr>
                <w:rFonts w:cstheme="minorHAnsi"/>
                <w:b/>
                <w:bCs/>
                <w:sz w:val="18"/>
                <w:szCs w:val="18"/>
              </w:rPr>
              <w:t>erkende maatregelen</w:t>
            </w:r>
          </w:p>
        </w:tc>
        <w:tc>
          <w:tcPr>
            <w:tcW w:w="6507"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tbl>
      <w:tblPr>
        <w:tblW w:w="1070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0"/>
        <w:gridCol w:w="6500"/>
      </w:tblGrid>
      <w:tr w:rsidR="00F43C9B" w:rsidRPr="00E15D20" w:rsidTr="00F43C9B">
        <w:trPr>
          <w:trHeight w:val="397"/>
        </w:trPr>
        <w:tc>
          <w:tcPr>
            <w:tcW w:w="4200" w:type="dxa"/>
            <w:shd w:val="clear" w:color="auto" w:fill="A6A6A6"/>
            <w:vAlign w:val="center"/>
          </w:tcPr>
          <w:p w:rsidR="00F43C9B" w:rsidRDefault="00F43C9B" w:rsidP="00F43C9B">
            <w:pPr>
              <w:shd w:val="clear" w:color="auto" w:fill="D9D9D9" w:themeFill="background1" w:themeFillShade="D9"/>
              <w:ind w:left="100"/>
              <w:rPr>
                <w:rFonts w:cstheme="minorHAnsi"/>
                <w:b/>
                <w:bCs/>
                <w:sz w:val="18"/>
                <w:szCs w:val="18"/>
              </w:rPr>
            </w:pPr>
            <w:r>
              <w:rPr>
                <w:rFonts w:cstheme="minorHAnsi"/>
                <w:b/>
                <w:bCs/>
                <w:sz w:val="18"/>
                <w:szCs w:val="18"/>
              </w:rPr>
              <w:t>Type maatregel</w:t>
            </w:r>
          </w:p>
        </w:tc>
        <w:tc>
          <w:tcPr>
            <w:tcW w:w="6500" w:type="dxa"/>
            <w:vAlign w:val="center"/>
          </w:tcPr>
          <w:p w:rsidR="00F43C9B" w:rsidRDefault="00F43C9B" w:rsidP="00F43C9B">
            <w:pPr>
              <w:shd w:val="clear" w:color="auto" w:fill="D9D9D9" w:themeFill="background1" w:themeFillShade="D9"/>
              <w:ind w:left="100"/>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Nummer maatregel</w:t>
            </w:r>
          </w:p>
        </w:tc>
        <w:tc>
          <w:tcPr>
            <w:tcW w:w="650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12</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Omschrijving maatregel</w:t>
            </w:r>
          </w:p>
        </w:tc>
        <w:tc>
          <w:tcPr>
            <w:tcW w:w="650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Bedrijfshal: Onnodig branden van binnenverlichting in pauzes en buiten bedrijfstijd voorkomen.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Mogelijke technieken ten opzichte van uitgangssituatie</w:t>
            </w:r>
          </w:p>
        </w:tc>
        <w:tc>
          <w:tcPr>
            <w:tcW w:w="650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Veegschakeling toepassen.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Uitgangssituatie op basis van een referentietechniek</w:t>
            </w:r>
          </w:p>
        </w:tc>
        <w:tc>
          <w:tcPr>
            <w:tcW w:w="650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Verlichting wordt handmatig geschakeld per (deel van de) ruimte.</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Technische randvoorwaarden</w:t>
            </w:r>
          </w:p>
        </w:tc>
        <w:tc>
          <w:tcPr>
            <w:tcW w:w="650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N.v.t.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Economische randvoorwaarden</w:t>
            </w:r>
          </w:p>
        </w:tc>
        <w:tc>
          <w:tcPr>
            <w:tcW w:w="6500" w:type="dxa"/>
            <w:vAlign w:val="center"/>
          </w:tcPr>
          <w:p w:rsidR="00F43C9B" w:rsidRDefault="00F43C9B" w:rsidP="00F43C9B">
            <w:pPr>
              <w:shd w:val="clear" w:color="auto" w:fill="D9D9D9" w:themeFill="background1" w:themeFillShade="D9"/>
              <w:ind w:left="100"/>
              <w:rPr>
                <w:rFonts w:cstheme="minorHAnsi"/>
                <w:sz w:val="18"/>
                <w:szCs w:val="18"/>
              </w:rPr>
            </w:pPr>
            <w:r>
              <w:rPr>
                <w:rFonts w:cstheme="minorHAnsi"/>
                <w:sz w:val="18"/>
                <w:szCs w:val="18"/>
              </w:rPr>
              <w:t>Geïnstalleerd vermogen per veegschakeling is minimaal 18 kW.</w:t>
            </w:r>
          </w:p>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Per veegschakeling zijn maximaal 12 aanpassingen nodig om te voorkomen dat apparatuur onbedoeld wordt uitgeschakeld.</w:t>
            </w:r>
          </w:p>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Verlichting kan minimaal 1 uur per dag extra uitgeschakeld worden.</w:t>
            </w:r>
          </w:p>
        </w:tc>
      </w:tr>
      <w:tr w:rsidR="00F43C9B" w:rsidRPr="00E15D20" w:rsidTr="00F43C9B">
        <w:trPr>
          <w:trHeight w:val="324"/>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Toepasbaar op een zelfstandig of natuurlijk moment?</w:t>
            </w:r>
          </w:p>
        </w:tc>
        <w:tc>
          <w:tcPr>
            <w:tcW w:w="650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Natuurlijk moment: Ja.</w:t>
            </w:r>
          </w:p>
        </w:tc>
      </w:tr>
      <w:tr w:rsidR="00F43C9B" w:rsidRPr="00E15D20" w:rsidTr="00F43C9B">
        <w:trPr>
          <w:trHeight w:val="278"/>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Alternatieve erkende maatregelen</w:t>
            </w:r>
          </w:p>
        </w:tc>
        <w:tc>
          <w:tcPr>
            <w:tcW w:w="650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sz w:val="18"/>
                <w:szCs w:val="18"/>
              </w:rPr>
              <w:t>N.v.t.</w:t>
            </w:r>
          </w:p>
        </w:tc>
      </w:tr>
      <w:tr w:rsidR="00F43C9B" w:rsidRPr="00E15D20" w:rsidTr="00F43C9B">
        <w:trPr>
          <w:trHeight w:val="232"/>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Bijzondere omstandigheden</w:t>
            </w:r>
          </w:p>
        </w:tc>
        <w:tc>
          <w:tcPr>
            <w:tcW w:w="650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p>
    <w:tbl>
      <w:tblPr>
        <w:tblW w:w="1070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0"/>
        <w:gridCol w:w="3250"/>
        <w:gridCol w:w="3250"/>
      </w:tblGrid>
      <w:tr w:rsidR="00F43C9B" w:rsidRPr="00E15D20" w:rsidTr="00F43C9B">
        <w:trPr>
          <w:trHeight w:val="397"/>
        </w:trPr>
        <w:tc>
          <w:tcPr>
            <w:tcW w:w="4200" w:type="dxa"/>
            <w:shd w:val="clear" w:color="auto" w:fill="A6A6A6"/>
            <w:vAlign w:val="center"/>
          </w:tcPr>
          <w:p w:rsidR="00F43C9B" w:rsidRDefault="00F43C9B" w:rsidP="00F43C9B">
            <w:pPr>
              <w:shd w:val="clear" w:color="auto" w:fill="D9D9D9" w:themeFill="background1" w:themeFillShade="D9"/>
              <w:ind w:left="100"/>
              <w:rPr>
                <w:rFonts w:cstheme="minorHAnsi"/>
                <w:b/>
                <w:bCs/>
                <w:sz w:val="18"/>
                <w:szCs w:val="18"/>
              </w:rPr>
            </w:pPr>
            <w:r>
              <w:rPr>
                <w:rFonts w:cstheme="minorHAnsi"/>
                <w:b/>
                <w:bCs/>
                <w:sz w:val="18"/>
                <w:szCs w:val="18"/>
              </w:rPr>
              <w:t>Type maatregel</w:t>
            </w:r>
          </w:p>
        </w:tc>
        <w:tc>
          <w:tcPr>
            <w:tcW w:w="6500" w:type="dxa"/>
            <w:gridSpan w:val="2"/>
            <w:vAlign w:val="center"/>
          </w:tcPr>
          <w:p w:rsidR="00F43C9B" w:rsidRDefault="00F43C9B" w:rsidP="00F43C9B">
            <w:pPr>
              <w:shd w:val="clear" w:color="auto" w:fill="D9D9D9" w:themeFill="background1" w:themeFillShade="D9"/>
              <w:ind w:left="100"/>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Nummer maatregel</w:t>
            </w:r>
          </w:p>
        </w:tc>
        <w:tc>
          <w:tcPr>
            <w:tcW w:w="6500" w:type="dxa"/>
            <w:gridSpan w:val="2"/>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13</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Omschrijving maatregel</w:t>
            </w:r>
          </w:p>
        </w:tc>
        <w:tc>
          <w:tcPr>
            <w:tcW w:w="6500" w:type="dxa"/>
            <w:gridSpan w:val="2"/>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Bedrijfshal: Binnenverlichting automatisch verminderen op basis van daglichttoetreding door ramen en daklichten.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Mogelijke technieken ten opzichte van uitgangssituatie</w:t>
            </w:r>
          </w:p>
        </w:tc>
        <w:tc>
          <w:tcPr>
            <w:tcW w:w="325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a) Daglichtafhankelijke regeling voor dimmen van verlichting toepassen.</w:t>
            </w:r>
          </w:p>
        </w:tc>
        <w:tc>
          <w:tcPr>
            <w:tcW w:w="325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b) Daglichtafhankelijke schakeling voor schakelen van verlichting toepassen.</w:t>
            </w:r>
          </w:p>
        </w:tc>
      </w:tr>
      <w:tr w:rsidR="00F43C9B" w:rsidRPr="00E15D20" w:rsidTr="00F43C9B">
        <w:trPr>
          <w:trHeight w:val="563"/>
        </w:trPr>
        <w:tc>
          <w:tcPr>
            <w:tcW w:w="4200" w:type="dxa"/>
            <w:vMerge w:val="restart"/>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Uitgangssituatie op basis van een referentietechniek</w:t>
            </w:r>
          </w:p>
        </w:tc>
        <w:tc>
          <w:tcPr>
            <w:tcW w:w="6500" w:type="dxa"/>
            <w:gridSpan w:val="2"/>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Daglichtafhankelijke schakeling of -regeling ontbreekt.</w:t>
            </w:r>
          </w:p>
        </w:tc>
      </w:tr>
      <w:tr w:rsidR="00F43C9B" w:rsidRPr="00E15D20" w:rsidTr="00F43C9B">
        <w:trPr>
          <w:trHeight w:val="562"/>
        </w:trPr>
        <w:tc>
          <w:tcPr>
            <w:tcW w:w="4200" w:type="dxa"/>
            <w:vMerge/>
            <w:shd w:val="clear" w:color="auto" w:fill="A6A6A6"/>
            <w:vAlign w:val="center"/>
          </w:tcPr>
          <w:p w:rsidR="00F43C9B" w:rsidRDefault="00F43C9B" w:rsidP="00F43C9B">
            <w:pPr>
              <w:shd w:val="clear" w:color="auto" w:fill="D9D9D9" w:themeFill="background1" w:themeFillShade="D9"/>
              <w:ind w:left="100"/>
              <w:rPr>
                <w:rFonts w:cstheme="minorHAnsi"/>
                <w:b/>
                <w:bCs/>
                <w:sz w:val="18"/>
                <w:szCs w:val="18"/>
              </w:rPr>
            </w:pPr>
          </w:p>
        </w:tc>
        <w:tc>
          <w:tcPr>
            <w:tcW w:w="325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 xml:space="preserve">a) Hoogfrequente (HF) armaturen met </w:t>
            </w:r>
            <w:r>
              <w:rPr>
                <w:rFonts w:cstheme="minorHAnsi"/>
                <w:sz w:val="18"/>
                <w:szCs w:val="18"/>
              </w:rPr>
              <w:t xml:space="preserve">langwerpige </w:t>
            </w:r>
            <w:r>
              <w:rPr>
                <w:rFonts w:cstheme="minorHAnsi"/>
                <w:bCs/>
                <w:sz w:val="18"/>
                <w:szCs w:val="18"/>
              </w:rPr>
              <w:t>fluorescentielampen (TL) (niet retrofit) zijn aanwezig.</w:t>
            </w:r>
          </w:p>
        </w:tc>
        <w:tc>
          <w:tcPr>
            <w:tcW w:w="3250"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 xml:space="preserve">b) Conventionele armaturen met </w:t>
            </w:r>
            <w:r>
              <w:rPr>
                <w:rFonts w:cstheme="minorHAnsi"/>
                <w:sz w:val="18"/>
                <w:szCs w:val="18"/>
              </w:rPr>
              <w:t xml:space="preserve">langwerpige </w:t>
            </w:r>
            <w:r>
              <w:rPr>
                <w:rFonts w:cstheme="minorHAnsi"/>
                <w:bCs/>
                <w:sz w:val="18"/>
                <w:szCs w:val="18"/>
              </w:rPr>
              <w:t>fluorescentielampen (TL) zijn aanwezig.</w:t>
            </w:r>
          </w:p>
        </w:tc>
      </w:tr>
      <w:tr w:rsidR="00F43C9B" w:rsidRPr="00E15D20" w:rsidTr="00F43C9B">
        <w:tc>
          <w:tcPr>
            <w:tcW w:w="4200" w:type="dxa"/>
            <w:shd w:val="clear" w:color="auto" w:fill="BFBFBF"/>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Technische randvoorwaarden</w:t>
            </w:r>
          </w:p>
        </w:tc>
        <w:tc>
          <w:tcPr>
            <w:tcW w:w="6500" w:type="dxa"/>
            <w:gridSpan w:val="2"/>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Verlichting is apart schakelbaar langs ramen en/of onder daglichtopeningen.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Economische randvoorwaarden</w:t>
            </w:r>
          </w:p>
        </w:tc>
        <w:tc>
          <w:tcPr>
            <w:tcW w:w="6500" w:type="dxa"/>
            <w:gridSpan w:val="2"/>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Geïnstalleerd vermogen per verlichtingsgroep is minimaal 0,7 kW.</w:t>
            </w:r>
          </w:p>
          <w:p w:rsidR="00F43C9B" w:rsidRDefault="00F43C9B" w:rsidP="00F43C9B">
            <w:pPr>
              <w:shd w:val="clear" w:color="auto" w:fill="D9D9D9" w:themeFill="background1" w:themeFillShade="D9"/>
              <w:ind w:left="100"/>
              <w:rPr>
                <w:rFonts w:cstheme="minorHAnsi"/>
                <w:bCs/>
                <w:sz w:val="18"/>
                <w:szCs w:val="18"/>
              </w:rPr>
            </w:pPr>
            <w:r>
              <w:rPr>
                <w:rFonts w:cstheme="minorHAnsi"/>
                <w:sz w:val="18"/>
                <w:szCs w:val="18"/>
              </w:rPr>
              <w:t>Daglichtoppervlak in dak is minimaal 10% van dakoppervlak of daglichtoppervlak in gevel is minimaal 30% van vloeroppervlak.</w:t>
            </w:r>
          </w:p>
        </w:tc>
      </w:tr>
      <w:tr w:rsidR="00F43C9B" w:rsidRPr="00E15D20" w:rsidTr="00F43C9B">
        <w:trPr>
          <w:trHeight w:val="216"/>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Toepasbaar op een zelfstandig of natuurlijk moment?</w:t>
            </w:r>
          </w:p>
        </w:tc>
        <w:tc>
          <w:tcPr>
            <w:tcW w:w="6500"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Natuurlijk moment: Ja.</w:t>
            </w:r>
          </w:p>
        </w:tc>
      </w:tr>
      <w:tr w:rsidR="00F43C9B" w:rsidRPr="00E15D20" w:rsidTr="00F43C9B">
        <w:trPr>
          <w:trHeight w:val="170"/>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 xml:space="preserve">Alternatieve erkende </w:t>
            </w:r>
            <w:r>
              <w:rPr>
                <w:rFonts w:cstheme="minorHAnsi"/>
                <w:b/>
                <w:bCs/>
                <w:sz w:val="18"/>
                <w:szCs w:val="18"/>
              </w:rPr>
              <w:t>maatregelen</w:t>
            </w:r>
          </w:p>
        </w:tc>
        <w:tc>
          <w:tcPr>
            <w:tcW w:w="6500" w:type="dxa"/>
            <w:gridSpan w:val="2"/>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sz w:val="18"/>
                <w:szCs w:val="18"/>
              </w:rPr>
              <w:t>N.v.t.</w:t>
            </w:r>
          </w:p>
        </w:tc>
      </w:tr>
      <w:tr w:rsidR="00F43C9B" w:rsidRPr="00E15D20" w:rsidTr="00F43C9B">
        <w:trPr>
          <w:trHeight w:val="125"/>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Bijzondere omstandigheden</w:t>
            </w:r>
          </w:p>
        </w:tc>
        <w:tc>
          <w:tcPr>
            <w:tcW w:w="6500" w:type="dxa"/>
            <w:gridSpan w:val="2"/>
            <w:vAlign w:val="center"/>
          </w:tcPr>
          <w:p w:rsidR="00F43C9B" w:rsidRDefault="00F43C9B" w:rsidP="00F43C9B">
            <w:pPr>
              <w:shd w:val="clear" w:color="auto" w:fill="D9D9D9" w:themeFill="background1" w:themeFillShade="D9"/>
              <w:ind w:left="100"/>
              <w:rPr>
                <w:rFonts w:cstheme="minorHAnsi"/>
                <w:b/>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0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0"/>
        <w:gridCol w:w="6500"/>
      </w:tblGrid>
      <w:tr w:rsidR="00F43C9B" w:rsidRPr="00E15D20" w:rsidTr="00F43C9B">
        <w:trPr>
          <w:trHeight w:val="397"/>
        </w:trPr>
        <w:tc>
          <w:tcPr>
            <w:tcW w:w="4200" w:type="dxa"/>
            <w:shd w:val="clear" w:color="auto" w:fill="A6A6A6"/>
            <w:vAlign w:val="center"/>
          </w:tcPr>
          <w:p w:rsidR="00F43C9B" w:rsidRDefault="00F43C9B" w:rsidP="00F43C9B">
            <w:pPr>
              <w:shd w:val="clear" w:color="auto" w:fill="D9D9D9" w:themeFill="background1" w:themeFillShade="D9"/>
              <w:ind w:left="100" w:right="-100"/>
              <w:rPr>
                <w:rFonts w:cstheme="minorHAnsi"/>
                <w:b/>
                <w:bCs/>
                <w:sz w:val="18"/>
                <w:szCs w:val="18"/>
              </w:rPr>
            </w:pPr>
            <w:r>
              <w:rPr>
                <w:rFonts w:cstheme="minorHAnsi"/>
                <w:b/>
                <w:bCs/>
                <w:sz w:val="18"/>
                <w:szCs w:val="18"/>
              </w:rPr>
              <w:t>Type maatregel</w:t>
            </w:r>
          </w:p>
        </w:tc>
        <w:tc>
          <w:tcPr>
            <w:tcW w:w="6500" w:type="dxa"/>
            <w:vAlign w:val="center"/>
          </w:tcPr>
          <w:p w:rsidR="00F43C9B" w:rsidRDefault="00F43C9B" w:rsidP="00F43C9B">
            <w:pPr>
              <w:shd w:val="clear" w:color="auto" w:fill="D9D9D9" w:themeFill="background1" w:themeFillShade="D9"/>
              <w:ind w:left="100" w:right="-100"/>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Nummer maatregel</w:t>
            </w:r>
          </w:p>
        </w:tc>
        <w:tc>
          <w:tcPr>
            <w:tcW w:w="6500"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14</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Omschrijving maatregel</w:t>
            </w:r>
          </w:p>
        </w:tc>
        <w:tc>
          <w:tcPr>
            <w:tcW w:w="6500"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Bedrijfshal: Onnodig branden van verlichting in magazijnen en opslagruimten voorkomen bij wisselend ruimtegebruik.</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Mogelijke technieken ten opzichte van uitgangssituatie</w:t>
            </w:r>
          </w:p>
        </w:tc>
        <w:tc>
          <w:tcPr>
            <w:tcW w:w="6500"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Aanwezigheidschakeling toepassen.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Uitgangssituatie op basis van een referentietechniek</w:t>
            </w:r>
          </w:p>
        </w:tc>
        <w:tc>
          <w:tcPr>
            <w:tcW w:w="6500"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Aanwezigheidschakeling ontbreekt.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Technische randvoorwaarden</w:t>
            </w:r>
          </w:p>
        </w:tc>
        <w:tc>
          <w:tcPr>
            <w:tcW w:w="6500"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Verlichting is apart schakelbaar per (deel van de) ruimte.</w:t>
            </w:r>
          </w:p>
        </w:tc>
      </w:tr>
      <w:tr w:rsidR="00F43C9B" w:rsidRPr="00E15D20" w:rsidTr="00F43C9B">
        <w:trPr>
          <w:trHeight w:val="570"/>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Economische randvoorwaarden</w:t>
            </w:r>
          </w:p>
        </w:tc>
        <w:tc>
          <w:tcPr>
            <w:tcW w:w="6500"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Geïnstalleerd vermogen per verlichtingsgroep is minimaal 0,42 kW.</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Toepasbaar op een zelfstandig of natuurlijk moment?</w:t>
            </w:r>
          </w:p>
        </w:tc>
        <w:tc>
          <w:tcPr>
            <w:tcW w:w="650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Natuurlijk moment: Ja.</w:t>
            </w:r>
          </w:p>
        </w:tc>
      </w:tr>
      <w:tr w:rsidR="00F43C9B" w:rsidRPr="00E15D20" w:rsidTr="00F43C9B">
        <w:trPr>
          <w:trHeight w:val="2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Alternatieve erkende maatregelen</w:t>
            </w:r>
          </w:p>
        </w:tc>
        <w:tc>
          <w:tcPr>
            <w:tcW w:w="6500"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sz w:val="18"/>
                <w:szCs w:val="18"/>
              </w:rPr>
              <w:t>N.v.t.</w:t>
            </w:r>
          </w:p>
        </w:tc>
      </w:tr>
      <w:tr w:rsidR="00F43C9B" w:rsidRPr="00E15D20" w:rsidTr="00F43C9B">
        <w:trPr>
          <w:trHeight w:val="250"/>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Bijzondere omstandigheden</w:t>
            </w:r>
          </w:p>
        </w:tc>
        <w:tc>
          <w:tcPr>
            <w:tcW w:w="6500" w:type="dxa"/>
            <w:vAlign w:val="center"/>
          </w:tcPr>
          <w:p w:rsidR="00F43C9B" w:rsidRDefault="00F43C9B" w:rsidP="00F43C9B">
            <w:pPr>
              <w:shd w:val="clear" w:color="auto" w:fill="D9D9D9" w:themeFill="background1" w:themeFillShade="D9"/>
              <w:ind w:left="100" w:right="-100"/>
              <w:rPr>
                <w:rFonts w:cstheme="minorHAnsi"/>
                <w:b/>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0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0"/>
        <w:gridCol w:w="6500"/>
      </w:tblGrid>
      <w:tr w:rsidR="00F43C9B" w:rsidRPr="00E15D20" w:rsidTr="00F43C9B">
        <w:trPr>
          <w:trHeight w:val="397"/>
        </w:trPr>
        <w:tc>
          <w:tcPr>
            <w:tcW w:w="4200" w:type="dxa"/>
            <w:shd w:val="clear" w:color="auto" w:fill="A6A6A6"/>
            <w:vAlign w:val="center"/>
          </w:tcPr>
          <w:p w:rsidR="00F43C9B" w:rsidRDefault="00F43C9B" w:rsidP="00F43C9B">
            <w:pPr>
              <w:shd w:val="clear" w:color="auto" w:fill="D9D9D9" w:themeFill="background1" w:themeFillShade="D9"/>
              <w:ind w:left="100" w:right="-100"/>
              <w:rPr>
                <w:rFonts w:cstheme="minorHAnsi"/>
                <w:b/>
                <w:bCs/>
                <w:sz w:val="18"/>
                <w:szCs w:val="18"/>
              </w:rPr>
            </w:pPr>
            <w:r>
              <w:rPr>
                <w:rFonts w:cstheme="minorHAnsi"/>
                <w:sz w:val="18"/>
                <w:szCs w:val="18"/>
              </w:rPr>
              <w:br w:type="column"/>
            </w:r>
            <w:r>
              <w:rPr>
                <w:rFonts w:cstheme="minorHAnsi"/>
                <w:b/>
                <w:bCs/>
                <w:sz w:val="18"/>
                <w:szCs w:val="18"/>
              </w:rPr>
              <w:t>Type maatregel</w:t>
            </w:r>
          </w:p>
        </w:tc>
        <w:tc>
          <w:tcPr>
            <w:tcW w:w="6500" w:type="dxa"/>
            <w:vAlign w:val="center"/>
          </w:tcPr>
          <w:p w:rsidR="00F43C9B" w:rsidRDefault="00F43C9B" w:rsidP="00F43C9B">
            <w:pPr>
              <w:shd w:val="clear" w:color="auto" w:fill="D9D9D9" w:themeFill="background1" w:themeFillShade="D9"/>
              <w:ind w:left="100" w:right="200"/>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Nummer maatregel</w:t>
            </w:r>
          </w:p>
        </w:tc>
        <w:tc>
          <w:tcPr>
            <w:tcW w:w="650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15</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Omschrijving maatregel</w:t>
            </w:r>
          </w:p>
        </w:tc>
        <w:tc>
          <w:tcPr>
            <w:tcW w:w="650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 xml:space="preserve">Bedrijfshal: Vermogen </w:t>
            </w:r>
            <w:r>
              <w:rPr>
                <w:rFonts w:cstheme="minorHAnsi"/>
                <w:sz w:val="18"/>
                <w:szCs w:val="18"/>
              </w:rPr>
              <w:t xml:space="preserve">conventionele verlichting met langwerpige </w:t>
            </w:r>
            <w:r>
              <w:rPr>
                <w:rFonts w:cstheme="minorHAnsi"/>
                <w:bCs/>
                <w:sz w:val="18"/>
                <w:szCs w:val="18"/>
              </w:rPr>
              <w:t>fluorescentielampen</w:t>
            </w:r>
            <w:r>
              <w:rPr>
                <w:rFonts w:cstheme="minorHAnsi"/>
                <w:sz w:val="18"/>
                <w:szCs w:val="18"/>
              </w:rPr>
              <w:t xml:space="preserve"> (TL) verlagen door spanningsverlaging.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Mogelijke technieken ten opzichte van uitgangssituatie</w:t>
            </w:r>
          </w:p>
        </w:tc>
        <w:tc>
          <w:tcPr>
            <w:tcW w:w="650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Spanningsverlagingstoestel toepassen dat spanning verlaagt naar 207 tot 210 Volt.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Uitgangssituatie op basis van een referentietechniek</w:t>
            </w:r>
          </w:p>
        </w:tc>
        <w:tc>
          <w:tcPr>
            <w:tcW w:w="650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Spanningsverlagingstoestel ontbreekt.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Technische randvoorwaarden</w:t>
            </w:r>
          </w:p>
        </w:tc>
        <w:tc>
          <w:tcPr>
            <w:tcW w:w="650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Aparte verlichtingsgroep is aanwezig.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Economische randvoorwaarden</w:t>
            </w:r>
          </w:p>
        </w:tc>
        <w:tc>
          <w:tcPr>
            <w:tcW w:w="650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sz w:val="18"/>
                <w:szCs w:val="18"/>
              </w:rPr>
              <w:t>Geïnstalleerd vermogen per verlichtingsgroep is minimaal 11,5 kW.</w:t>
            </w:r>
          </w:p>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Aantal branduren is minimaal 2.500 uur per jaar.</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 xml:space="preserve">Toepasbaar op een zelfstandig of natuurlijk </w:t>
            </w:r>
            <w:r>
              <w:rPr>
                <w:rFonts w:cstheme="minorHAnsi"/>
                <w:b/>
                <w:bCs/>
                <w:sz w:val="18"/>
                <w:szCs w:val="18"/>
              </w:rPr>
              <w:t>moment?</w:t>
            </w:r>
          </w:p>
        </w:tc>
        <w:tc>
          <w:tcPr>
            <w:tcW w:w="650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Alternatieve erkende maatregelen</w:t>
            </w:r>
          </w:p>
        </w:tc>
        <w:tc>
          <w:tcPr>
            <w:tcW w:w="650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[12] Bedrijfshal: Onnodig branden van binnenverlichting in pauzes en buiten bedrijfstijd voorkomen.</w:t>
            </w:r>
          </w:p>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[14] Bedrijfshal: Onnodig branden van verlichting in magazijnen en opslagruimten voorkomen bij wisselend ruimtegebruik.</w:t>
            </w:r>
          </w:p>
        </w:tc>
      </w:tr>
      <w:tr w:rsidR="00F43C9B" w:rsidRPr="00E15D20" w:rsidTr="00F43C9B">
        <w:trPr>
          <w:trHeight w:val="215"/>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Bijzondere omstandigheden</w:t>
            </w:r>
          </w:p>
        </w:tc>
        <w:tc>
          <w:tcPr>
            <w:tcW w:w="650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r>
        <w:rPr>
          <w:rFonts w:cstheme="minorHAnsi"/>
          <w:sz w:val="18"/>
          <w:szCs w:val="18"/>
        </w:rPr>
        <w:br w:type="page"/>
      </w:r>
    </w:p>
    <w:p w:rsidR="00F43C9B" w:rsidRDefault="00F43C9B" w:rsidP="00F43C9B">
      <w:pPr>
        <w:shd w:val="clear" w:color="auto" w:fill="D9D9D9" w:themeFill="background1" w:themeFillShade="D9"/>
        <w:rPr>
          <w:rFonts w:cstheme="minorHAnsi"/>
          <w:sz w:val="18"/>
          <w:szCs w:val="18"/>
        </w:rPr>
      </w:pPr>
    </w:p>
    <w:tbl>
      <w:tblPr>
        <w:tblW w:w="1070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0"/>
        <w:gridCol w:w="3250"/>
        <w:gridCol w:w="3250"/>
      </w:tblGrid>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bookmarkStart w:id="657" w:name="_Hlk381011532"/>
            <w:r>
              <w:rPr>
                <w:rFonts w:cstheme="minorHAnsi"/>
                <w:b/>
                <w:bCs/>
                <w:sz w:val="18"/>
                <w:szCs w:val="18"/>
              </w:rPr>
              <w:t>Type maatregel</w:t>
            </w:r>
          </w:p>
        </w:tc>
        <w:tc>
          <w:tcPr>
            <w:tcW w:w="6500" w:type="dxa"/>
            <w:gridSpan w:val="2"/>
            <w:vAlign w:val="center"/>
          </w:tcPr>
          <w:p w:rsidR="00F43C9B" w:rsidRDefault="00F43C9B" w:rsidP="00F43C9B">
            <w:pPr>
              <w:shd w:val="clear" w:color="auto" w:fill="D9D9D9" w:themeFill="background1" w:themeFillShade="D9"/>
              <w:ind w:left="100" w:right="200"/>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Nummer maatregel</w:t>
            </w:r>
          </w:p>
        </w:tc>
        <w:tc>
          <w:tcPr>
            <w:tcW w:w="6500" w:type="dxa"/>
            <w:gridSpan w:val="2"/>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16</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Omschrijving maatregel</w:t>
            </w:r>
          </w:p>
        </w:tc>
        <w:tc>
          <w:tcPr>
            <w:tcW w:w="6500" w:type="dxa"/>
            <w:gridSpan w:val="2"/>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Bedrijfshal: Geïnstalleerd vermogen binnenverlichting beperken.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 xml:space="preserve">Mogelijke </w:t>
            </w:r>
            <w:r>
              <w:rPr>
                <w:rFonts w:cstheme="minorHAnsi"/>
                <w:b/>
                <w:bCs/>
                <w:sz w:val="18"/>
                <w:szCs w:val="18"/>
              </w:rPr>
              <w:t>technieken ten opzichte van uitgangssituatie</w:t>
            </w:r>
          </w:p>
        </w:tc>
        <w:tc>
          <w:tcPr>
            <w:tcW w:w="325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 xml:space="preserve">a) Armaturen met </w:t>
            </w:r>
            <w:r>
              <w:rPr>
                <w:rFonts w:cstheme="minorHAnsi"/>
                <w:sz w:val="18"/>
                <w:szCs w:val="18"/>
              </w:rPr>
              <w:t xml:space="preserve">langwerpige </w:t>
            </w:r>
            <w:r>
              <w:rPr>
                <w:rFonts w:cstheme="minorHAnsi"/>
                <w:bCs/>
                <w:sz w:val="18"/>
                <w:szCs w:val="18"/>
              </w:rPr>
              <w:t>fluorescentielampen</w:t>
            </w:r>
            <w:r>
              <w:rPr>
                <w:rFonts w:cstheme="minorHAnsi"/>
                <w:sz w:val="18"/>
                <w:szCs w:val="18"/>
              </w:rPr>
              <w:t xml:space="preserve"> (</w:t>
            </w:r>
            <w:r>
              <w:rPr>
                <w:rFonts w:cstheme="minorHAnsi"/>
                <w:bCs/>
                <w:sz w:val="18"/>
                <w:szCs w:val="18"/>
              </w:rPr>
              <w:t>TL5) toepassen.</w:t>
            </w:r>
          </w:p>
        </w:tc>
        <w:tc>
          <w:tcPr>
            <w:tcW w:w="325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b) Armaturen met led-lampen toepassen.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Uitgangssituatie op basis van een referentietechniek</w:t>
            </w:r>
          </w:p>
        </w:tc>
        <w:tc>
          <w:tcPr>
            <w:tcW w:w="6500" w:type="dxa"/>
            <w:gridSpan w:val="2"/>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 xml:space="preserve">Conventionele armaturen met </w:t>
            </w:r>
            <w:r>
              <w:rPr>
                <w:rFonts w:cstheme="minorHAnsi"/>
                <w:sz w:val="18"/>
                <w:szCs w:val="18"/>
              </w:rPr>
              <w:t xml:space="preserve">langwerpige </w:t>
            </w:r>
            <w:r>
              <w:rPr>
                <w:rFonts w:cstheme="minorHAnsi"/>
                <w:bCs/>
                <w:sz w:val="18"/>
                <w:szCs w:val="18"/>
              </w:rPr>
              <w:t>fluorescentielampen</w:t>
            </w:r>
            <w:r>
              <w:rPr>
                <w:rFonts w:cstheme="minorHAnsi"/>
                <w:sz w:val="18"/>
                <w:szCs w:val="18"/>
              </w:rPr>
              <w:t xml:space="preserve"> (TL) </w:t>
            </w:r>
            <w:r>
              <w:rPr>
                <w:rFonts w:cstheme="minorHAnsi"/>
                <w:bCs/>
                <w:sz w:val="18"/>
                <w:szCs w:val="18"/>
              </w:rPr>
              <w:t>zijn aanwezig.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Technische randvoorwaarden</w:t>
            </w:r>
          </w:p>
        </w:tc>
        <w:tc>
          <w:tcPr>
            <w:tcW w:w="6500" w:type="dxa"/>
            <w:gridSpan w:val="2"/>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N.v.t.</w:t>
            </w:r>
          </w:p>
        </w:tc>
      </w:tr>
      <w:tr w:rsidR="00F43C9B" w:rsidRPr="00E15D20" w:rsidTr="00F43C9B">
        <w:trPr>
          <w:trHeight w:val="340"/>
        </w:trPr>
        <w:tc>
          <w:tcPr>
            <w:tcW w:w="4200" w:type="dxa"/>
            <w:vMerge w:val="restart"/>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Economische randvoorwaarden</w:t>
            </w:r>
          </w:p>
        </w:tc>
        <w:tc>
          <w:tcPr>
            <w:tcW w:w="6500" w:type="dxa"/>
            <w:gridSpan w:val="2"/>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Aantal branduren is minimaal 2.500 uur per jaar.</w:t>
            </w:r>
          </w:p>
        </w:tc>
      </w:tr>
      <w:tr w:rsidR="00F43C9B" w:rsidRPr="00E15D20" w:rsidTr="00F43C9B">
        <w:trPr>
          <w:trHeight w:val="340"/>
        </w:trPr>
        <w:tc>
          <w:tcPr>
            <w:tcW w:w="4200" w:type="dxa"/>
            <w:vMerge/>
            <w:shd w:val="clear" w:color="auto" w:fill="A6A6A6"/>
            <w:vAlign w:val="center"/>
          </w:tcPr>
          <w:p w:rsidR="00F43C9B" w:rsidRDefault="00F43C9B" w:rsidP="00F43C9B">
            <w:pPr>
              <w:shd w:val="clear" w:color="auto" w:fill="D9D9D9" w:themeFill="background1" w:themeFillShade="D9"/>
              <w:ind w:left="100" w:right="-100"/>
              <w:rPr>
                <w:rFonts w:cstheme="minorHAnsi"/>
                <w:b/>
                <w:bCs/>
                <w:sz w:val="18"/>
                <w:szCs w:val="18"/>
              </w:rPr>
            </w:pPr>
          </w:p>
        </w:tc>
        <w:tc>
          <w:tcPr>
            <w:tcW w:w="3250" w:type="dxa"/>
            <w:vAlign w:val="center"/>
          </w:tcPr>
          <w:p w:rsidR="00F43C9B" w:rsidRDefault="00F43C9B" w:rsidP="00F43C9B">
            <w:pPr>
              <w:shd w:val="clear" w:color="auto" w:fill="D9D9D9" w:themeFill="background1" w:themeFillShade="D9"/>
              <w:ind w:left="100" w:right="200"/>
              <w:rPr>
                <w:rFonts w:cstheme="minorHAnsi"/>
                <w:bCs/>
                <w:sz w:val="18"/>
                <w:szCs w:val="18"/>
              </w:rPr>
            </w:pPr>
          </w:p>
        </w:tc>
        <w:tc>
          <w:tcPr>
            <w:tcW w:w="3250"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b) Geïnstalleerd vermogen van verlichting neemt door toepassen van led-lampen minimaal 50% af bij voldoende lichtopbrengst.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Toepasbaar op een zelfstandig of natuurlijk moment?</w:t>
            </w:r>
          </w:p>
        </w:tc>
        <w:tc>
          <w:tcPr>
            <w:tcW w:w="6500" w:type="dxa"/>
            <w:gridSpan w:val="2"/>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Alternatieve erkende maatregelen</w:t>
            </w:r>
          </w:p>
        </w:tc>
        <w:tc>
          <w:tcPr>
            <w:tcW w:w="6500" w:type="dxa"/>
            <w:gridSpan w:val="2"/>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[12] Bedrijfshal: Onnodig branden van binnenverlichting in pauzes en buiten bedrijfstijd voorkomen.</w:t>
            </w:r>
          </w:p>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[13] Bedrijfshal: Binnenverlichting automatisch verminderen op basis van daglichttoetreding door ramen en daklichten.</w:t>
            </w:r>
          </w:p>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[14] Bedrijfshal: Onnodig branden van verlichting in magazijnen en opslagruimten voorkomen bij wisselend ruimtegebruik.</w:t>
            </w:r>
          </w:p>
        </w:tc>
      </w:tr>
      <w:tr w:rsidR="00F43C9B" w:rsidRPr="00E15D20" w:rsidTr="00F43C9B">
        <w:trPr>
          <w:trHeight w:val="170"/>
        </w:trPr>
        <w:tc>
          <w:tcPr>
            <w:tcW w:w="4200" w:type="dxa"/>
            <w:shd w:val="clear" w:color="auto" w:fill="A6A6A6"/>
            <w:vAlign w:val="center"/>
          </w:tcPr>
          <w:p w:rsidR="00F43C9B" w:rsidRPr="00E15D20" w:rsidRDefault="00F43C9B" w:rsidP="00F43C9B">
            <w:pPr>
              <w:shd w:val="clear" w:color="auto" w:fill="D9D9D9" w:themeFill="background1" w:themeFillShade="D9"/>
              <w:ind w:left="100" w:right="-100"/>
              <w:rPr>
                <w:rFonts w:cstheme="minorHAnsi"/>
                <w:b/>
                <w:bCs/>
                <w:sz w:val="18"/>
                <w:szCs w:val="18"/>
              </w:rPr>
            </w:pPr>
            <w:r w:rsidRPr="00E15D20">
              <w:rPr>
                <w:rFonts w:cstheme="minorHAnsi"/>
                <w:b/>
                <w:bCs/>
                <w:sz w:val="18"/>
                <w:szCs w:val="18"/>
              </w:rPr>
              <w:t>Bijzondere Omstandigheden</w:t>
            </w:r>
          </w:p>
        </w:tc>
        <w:tc>
          <w:tcPr>
            <w:tcW w:w="6500" w:type="dxa"/>
            <w:gridSpan w:val="2"/>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N.v.t.</w:t>
            </w:r>
          </w:p>
        </w:tc>
      </w:tr>
      <w:bookmarkEnd w:id="657"/>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r>
        <w:rPr>
          <w:rFonts w:cstheme="minorHAnsi"/>
          <w:sz w:val="18"/>
          <w:szCs w:val="18"/>
        </w:rPr>
        <w:br w:type="page"/>
      </w:r>
    </w:p>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tbl>
      <w:tblPr>
        <w:tblW w:w="1070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0"/>
        <w:gridCol w:w="6500"/>
      </w:tblGrid>
      <w:tr w:rsidR="00F43C9B" w:rsidRPr="00E15D20" w:rsidTr="00F43C9B">
        <w:trPr>
          <w:trHeight w:val="397"/>
        </w:trPr>
        <w:tc>
          <w:tcPr>
            <w:tcW w:w="4200" w:type="dxa"/>
            <w:shd w:val="clear" w:color="auto" w:fill="A6A6A6"/>
            <w:vAlign w:val="center"/>
          </w:tcPr>
          <w:p w:rsidR="00F43C9B" w:rsidRDefault="00F43C9B" w:rsidP="00F43C9B">
            <w:pPr>
              <w:shd w:val="clear" w:color="auto" w:fill="D9D9D9" w:themeFill="background1" w:themeFillShade="D9"/>
              <w:ind w:left="100" w:right="183"/>
              <w:rPr>
                <w:rFonts w:cstheme="minorHAnsi"/>
                <w:b/>
                <w:bCs/>
                <w:sz w:val="18"/>
                <w:szCs w:val="18"/>
              </w:rPr>
            </w:pPr>
            <w:r>
              <w:rPr>
                <w:rFonts w:cstheme="minorHAnsi"/>
                <w:b/>
                <w:bCs/>
                <w:sz w:val="18"/>
                <w:szCs w:val="18"/>
              </w:rPr>
              <w:t>Type maatregel</w:t>
            </w:r>
          </w:p>
        </w:tc>
        <w:tc>
          <w:tcPr>
            <w:tcW w:w="6500" w:type="dxa"/>
            <w:vAlign w:val="center"/>
          </w:tcPr>
          <w:p w:rsidR="00F43C9B" w:rsidRDefault="00F43C9B" w:rsidP="00F43C9B">
            <w:pPr>
              <w:shd w:val="clear" w:color="auto" w:fill="D9D9D9" w:themeFill="background1" w:themeFillShade="D9"/>
              <w:ind w:left="100" w:right="183"/>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Nummer maatregel</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17</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Omschrijving maatregel</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Onnodig branden van reclame- en overige buitenverlichting voorkomen</w:t>
            </w:r>
            <w:r>
              <w:rPr>
                <w:rFonts w:cstheme="minorHAnsi"/>
                <w:sz w:val="18"/>
                <w:szCs w:val="18"/>
              </w:rPr>
              <w:t xml:space="preserve"> zodat verlichting alleen brandt als het donker is en per nacht minimaal 6 uur uit is</w:t>
            </w:r>
            <w:r>
              <w:rPr>
                <w:rFonts w:cstheme="minorHAnsi"/>
                <w:bCs/>
                <w:sz w:val="18"/>
                <w:szCs w:val="18"/>
              </w:rPr>
              <w: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Mogelijke technieken ten opzichte van uitgangssituatie</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Schemerschakelaar en tijdschakelklok toepassen.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Uitgangssituatie op basis van een referentietechniek</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Schemerschakelaar en/of tijdschakelaar ontbreekt.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Technische randvoorwaarden</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N.v.t.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Economische randvoorwaarden</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N.v.t.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Toepasbaar op een zelfstandig of natuurlijk moment?</w:t>
            </w:r>
          </w:p>
        </w:tc>
        <w:tc>
          <w:tcPr>
            <w:tcW w:w="650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Alternatieve erkende maatregelen</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sz w:val="18"/>
                <w:szCs w:val="18"/>
              </w:rPr>
              <w:t>N.v.t.</w:t>
            </w:r>
          </w:p>
        </w:tc>
      </w:tr>
      <w:tr w:rsidR="00F43C9B" w:rsidRPr="00E15D20" w:rsidTr="00F43C9B">
        <w:trPr>
          <w:trHeight w:val="173"/>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Bijzondere omstandigheden</w:t>
            </w:r>
          </w:p>
        </w:tc>
        <w:tc>
          <w:tcPr>
            <w:tcW w:w="6500" w:type="dxa"/>
            <w:vAlign w:val="center"/>
          </w:tcPr>
          <w:p w:rsidR="00F43C9B" w:rsidRDefault="00F43C9B" w:rsidP="00F43C9B">
            <w:pPr>
              <w:shd w:val="clear" w:color="auto" w:fill="D9D9D9" w:themeFill="background1" w:themeFillShade="D9"/>
              <w:ind w:left="100" w:right="183"/>
              <w:rPr>
                <w:rFonts w:cstheme="minorHAnsi"/>
                <w:b/>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ind w:right="183"/>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ind w:right="183"/>
              <w:rPr>
                <w:rFonts w:cstheme="minorHAnsi"/>
                <w:b/>
                <w:bCs/>
                <w:sz w:val="18"/>
                <w:szCs w:val="18"/>
              </w:rPr>
            </w:pPr>
            <w:r>
              <w:rPr>
                <w:rFonts w:cstheme="minorHAnsi"/>
                <w:b/>
                <w:bCs/>
                <w:sz w:val="18"/>
                <w:szCs w:val="18"/>
              </w:rPr>
              <w:t>Type maatregel</w:t>
            </w:r>
          </w:p>
        </w:tc>
        <w:tc>
          <w:tcPr>
            <w:tcW w:w="6507" w:type="dxa"/>
            <w:vAlign w:val="center"/>
          </w:tcPr>
          <w:p w:rsidR="00F43C9B" w:rsidRDefault="00F43C9B" w:rsidP="00F43C9B">
            <w:pPr>
              <w:shd w:val="clear" w:color="auto" w:fill="D9D9D9" w:themeFill="background1" w:themeFillShade="D9"/>
              <w:ind w:right="183"/>
              <w:rPr>
                <w:rFonts w:cstheme="minorHAnsi"/>
                <w:b/>
                <w:bCs/>
                <w:sz w:val="18"/>
                <w:szCs w:val="18"/>
              </w:rPr>
            </w:pPr>
            <w:r>
              <w:rPr>
                <w:rFonts w:cstheme="minorHAnsi"/>
                <w:b/>
                <w:bCs/>
                <w:sz w:val="18"/>
                <w:szCs w:val="18"/>
              </w:rPr>
              <w:t>Faciliteiten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ind w:right="183"/>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ind w:right="183"/>
              <w:rPr>
                <w:rFonts w:cstheme="minorHAnsi"/>
                <w:bCs/>
                <w:sz w:val="18"/>
                <w:szCs w:val="18"/>
              </w:rPr>
            </w:pPr>
            <w:r>
              <w:rPr>
                <w:rFonts w:cstheme="minorHAnsi"/>
                <w:bCs/>
                <w:sz w:val="18"/>
                <w:szCs w:val="18"/>
              </w:rPr>
              <w:t>18</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ind w:right="183"/>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ind w:right="183"/>
              <w:rPr>
                <w:rFonts w:cstheme="minorHAnsi"/>
                <w:bCs/>
                <w:sz w:val="18"/>
                <w:szCs w:val="18"/>
              </w:rPr>
            </w:pPr>
            <w:r>
              <w:rPr>
                <w:rFonts w:cstheme="minorHAnsi"/>
                <w:bCs/>
                <w:sz w:val="18"/>
                <w:szCs w:val="18"/>
              </w:rPr>
              <w:t>Energiezuinige motor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ind w:right="183"/>
              <w:rPr>
                <w:rFonts w:cstheme="minorHAnsi"/>
                <w:b/>
                <w:bCs/>
                <w:sz w:val="18"/>
                <w:szCs w:val="18"/>
              </w:rPr>
            </w:pPr>
            <w:r w:rsidRPr="00E15D20">
              <w:rPr>
                <w:rFonts w:cstheme="minorHAnsi"/>
                <w:b/>
                <w:bCs/>
                <w:sz w:val="18"/>
                <w:szCs w:val="18"/>
              </w:rPr>
              <w:t>Mogelijke technieken ten opzichte van uitgangssituatie</w:t>
            </w:r>
          </w:p>
        </w:tc>
        <w:tc>
          <w:tcPr>
            <w:tcW w:w="6507" w:type="dxa"/>
            <w:vAlign w:val="center"/>
          </w:tcPr>
          <w:p w:rsidR="00F43C9B" w:rsidRDefault="00F43C9B" w:rsidP="00F43C9B">
            <w:pPr>
              <w:shd w:val="clear" w:color="auto" w:fill="D9D9D9" w:themeFill="background1" w:themeFillShade="D9"/>
              <w:ind w:right="183"/>
              <w:rPr>
                <w:rFonts w:cstheme="minorHAnsi"/>
                <w:bCs/>
                <w:sz w:val="18"/>
                <w:szCs w:val="18"/>
              </w:rPr>
            </w:pPr>
            <w:r>
              <w:rPr>
                <w:rFonts w:cstheme="minorHAnsi"/>
                <w:bCs/>
                <w:sz w:val="18"/>
                <w:szCs w:val="18"/>
              </w:rPr>
              <w:t>IE2-motor met frequentieregeling of IE3-motor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ind w:right="183"/>
              <w:rPr>
                <w:rFonts w:cstheme="minorHAnsi"/>
                <w:b/>
                <w:bCs/>
                <w:sz w:val="18"/>
                <w:szCs w:val="18"/>
              </w:rPr>
            </w:pPr>
            <w:r w:rsidRPr="00E15D20">
              <w:rPr>
                <w:rFonts w:cstheme="minorHAnsi"/>
                <w:b/>
                <w:bCs/>
                <w:sz w:val="18"/>
                <w:szCs w:val="18"/>
              </w:rPr>
              <w:t>Uitgangssituatie op basis van een referentietechniek</w:t>
            </w:r>
          </w:p>
        </w:tc>
        <w:tc>
          <w:tcPr>
            <w:tcW w:w="6507" w:type="dxa"/>
            <w:vAlign w:val="center"/>
          </w:tcPr>
          <w:p w:rsidR="00F43C9B" w:rsidRDefault="00F43C9B" w:rsidP="00F43C9B">
            <w:pPr>
              <w:shd w:val="clear" w:color="auto" w:fill="D9D9D9" w:themeFill="background1" w:themeFillShade="D9"/>
              <w:ind w:right="183"/>
              <w:rPr>
                <w:rFonts w:cstheme="minorHAnsi"/>
                <w:bCs/>
                <w:sz w:val="18"/>
                <w:szCs w:val="18"/>
              </w:rPr>
            </w:pPr>
            <w:r>
              <w:rPr>
                <w:rFonts w:cstheme="minorHAnsi"/>
                <w:bCs/>
                <w:sz w:val="18"/>
                <w:szCs w:val="18"/>
              </w:rPr>
              <w:t>Motor met vermogen meer dan 7,5 kW en minder dan 375 kW en met rendementsklasse IE1, IE2 (zonder frequentieregeling) of lager is aanwezig.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ind w:right="183"/>
              <w:rPr>
                <w:rFonts w:cstheme="minorHAnsi"/>
                <w:b/>
                <w:bCs/>
                <w:sz w:val="18"/>
                <w:szCs w:val="18"/>
              </w:rPr>
            </w:pPr>
            <w:r w:rsidRPr="00E15D20">
              <w:rPr>
                <w:rFonts w:cstheme="minorHAnsi"/>
                <w:b/>
                <w:bCs/>
                <w:sz w:val="18"/>
                <w:szCs w:val="18"/>
              </w:rPr>
              <w:t>Technische randvoorwaarden</w:t>
            </w:r>
          </w:p>
        </w:tc>
        <w:tc>
          <w:tcPr>
            <w:tcW w:w="6507" w:type="dxa"/>
            <w:vAlign w:val="center"/>
          </w:tcPr>
          <w:p w:rsidR="00F43C9B" w:rsidRDefault="00F43C9B" w:rsidP="00F43C9B">
            <w:pPr>
              <w:shd w:val="clear" w:color="auto" w:fill="D9D9D9" w:themeFill="background1" w:themeFillShade="D9"/>
              <w:ind w:right="183"/>
              <w:rPr>
                <w:rFonts w:cstheme="minorHAnsi"/>
                <w:bCs/>
                <w:sz w:val="18"/>
                <w:szCs w:val="18"/>
              </w:rPr>
            </w:pPr>
            <w:r>
              <w:rPr>
                <w:rFonts w:cstheme="minorHAnsi"/>
                <w:bCs/>
                <w:sz w:val="18"/>
                <w:szCs w:val="18"/>
              </w:rPr>
              <w:t>N.v.t.</w:t>
            </w:r>
          </w:p>
        </w:tc>
      </w:tr>
      <w:tr w:rsidR="00F43C9B" w:rsidRPr="00E15D20" w:rsidTr="00F43C9B">
        <w:trPr>
          <w:trHeight w:val="456"/>
        </w:trPr>
        <w:tc>
          <w:tcPr>
            <w:tcW w:w="4193" w:type="dxa"/>
            <w:shd w:val="clear" w:color="auto" w:fill="B3B3B3"/>
            <w:vAlign w:val="center"/>
          </w:tcPr>
          <w:p w:rsidR="00F43C9B" w:rsidRPr="00E15D20" w:rsidRDefault="00F43C9B" w:rsidP="00F43C9B">
            <w:pPr>
              <w:shd w:val="clear" w:color="auto" w:fill="D9D9D9" w:themeFill="background1" w:themeFillShade="D9"/>
              <w:ind w:right="183"/>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ind w:right="183"/>
              <w:rPr>
                <w:rFonts w:cstheme="minorHAnsi"/>
                <w:bCs/>
                <w:sz w:val="18"/>
                <w:szCs w:val="18"/>
              </w:rPr>
            </w:pPr>
            <w:r>
              <w:rPr>
                <w:rFonts w:cstheme="minorHAnsi"/>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ind w:right="183"/>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ind w:right="183"/>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ind w:right="183"/>
              <w:rPr>
                <w:rFonts w:cstheme="minorHAnsi"/>
                <w:b/>
                <w:bCs/>
                <w:sz w:val="18"/>
                <w:szCs w:val="18"/>
              </w:rPr>
            </w:pPr>
            <w:r w:rsidRPr="00E15D20">
              <w:rPr>
                <w:rFonts w:cstheme="minorHAnsi"/>
                <w:b/>
                <w:bCs/>
                <w:sz w:val="18"/>
                <w:szCs w:val="18"/>
              </w:rPr>
              <w:t>Alternatieve erkende maatregelen</w:t>
            </w:r>
          </w:p>
        </w:tc>
        <w:tc>
          <w:tcPr>
            <w:tcW w:w="6507" w:type="dxa"/>
            <w:vAlign w:val="center"/>
          </w:tcPr>
          <w:p w:rsidR="00F43C9B" w:rsidRDefault="00F43C9B" w:rsidP="00F43C9B">
            <w:pPr>
              <w:shd w:val="clear" w:color="auto" w:fill="D9D9D9" w:themeFill="background1" w:themeFillShade="D9"/>
              <w:ind w:right="183"/>
              <w:rPr>
                <w:rFonts w:cstheme="minorHAnsi"/>
                <w:bCs/>
                <w:sz w:val="18"/>
                <w:szCs w:val="18"/>
              </w:rPr>
            </w:pPr>
            <w:r>
              <w:rPr>
                <w:rFonts w:cstheme="minorHAnsi"/>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ind w:right="183"/>
              <w:rPr>
                <w:rFonts w:cstheme="minorHAnsi"/>
                <w:b/>
                <w:bCs/>
                <w:sz w:val="18"/>
                <w:szCs w:val="18"/>
              </w:rPr>
            </w:pPr>
            <w:r w:rsidRPr="00E15D20">
              <w:rPr>
                <w:rFonts w:cstheme="minorHAnsi"/>
                <w:b/>
                <w:bCs/>
                <w:sz w:val="18"/>
                <w:szCs w:val="18"/>
              </w:rPr>
              <w:t>Bijzondere omstandigheden</w:t>
            </w:r>
          </w:p>
        </w:tc>
        <w:tc>
          <w:tcPr>
            <w:tcW w:w="6507" w:type="dxa"/>
            <w:vAlign w:val="center"/>
          </w:tcPr>
          <w:p w:rsidR="00F43C9B" w:rsidRDefault="00F43C9B" w:rsidP="00F43C9B">
            <w:pPr>
              <w:shd w:val="clear" w:color="auto" w:fill="D9D9D9" w:themeFill="background1" w:themeFillShade="D9"/>
              <w:ind w:right="183"/>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ind w:right="183"/>
        <w:rPr>
          <w:rFonts w:cstheme="minorHAnsi"/>
          <w:sz w:val="18"/>
          <w:szCs w:val="18"/>
        </w:rPr>
      </w:pPr>
    </w:p>
    <w:tbl>
      <w:tblPr>
        <w:tblW w:w="1070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0"/>
        <w:gridCol w:w="6500"/>
      </w:tblGrid>
      <w:tr w:rsidR="00F43C9B" w:rsidRPr="00E15D20" w:rsidTr="00F43C9B">
        <w:trPr>
          <w:trHeight w:val="427"/>
        </w:trPr>
        <w:tc>
          <w:tcPr>
            <w:tcW w:w="4200" w:type="dxa"/>
            <w:shd w:val="clear" w:color="auto" w:fill="A6A6A6"/>
            <w:vAlign w:val="center"/>
          </w:tcPr>
          <w:p w:rsidR="00F43C9B" w:rsidRDefault="00F43C9B" w:rsidP="00F43C9B">
            <w:pPr>
              <w:shd w:val="clear" w:color="auto" w:fill="D9D9D9" w:themeFill="background1" w:themeFillShade="D9"/>
              <w:ind w:left="100" w:right="183"/>
              <w:rPr>
                <w:rFonts w:cstheme="minorHAnsi"/>
                <w:b/>
                <w:bCs/>
                <w:sz w:val="18"/>
                <w:szCs w:val="18"/>
              </w:rPr>
            </w:pPr>
            <w:r>
              <w:rPr>
                <w:rFonts w:cstheme="minorHAnsi"/>
                <w:b/>
                <w:bCs/>
                <w:sz w:val="18"/>
                <w:szCs w:val="18"/>
              </w:rPr>
              <w:t>Type maatregel</w:t>
            </w:r>
          </w:p>
        </w:tc>
        <w:tc>
          <w:tcPr>
            <w:tcW w:w="6500" w:type="dxa"/>
            <w:vAlign w:val="center"/>
          </w:tcPr>
          <w:p w:rsidR="00F43C9B" w:rsidRDefault="00F43C9B" w:rsidP="00F43C9B">
            <w:pPr>
              <w:shd w:val="clear" w:color="auto" w:fill="D9D9D9" w:themeFill="background1" w:themeFillShade="D9"/>
              <w:ind w:left="100" w:right="183"/>
              <w:rPr>
                <w:rFonts w:cstheme="minorHAnsi"/>
                <w:b/>
                <w:bCs/>
                <w:sz w:val="18"/>
                <w:szCs w:val="18"/>
              </w:rPr>
            </w:pPr>
            <w:r>
              <w:rPr>
                <w:rFonts w:cstheme="minorHAnsi"/>
                <w:b/>
                <w:bCs/>
                <w:sz w:val="18"/>
                <w:szCs w:val="18"/>
              </w:rPr>
              <w:t>Processen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Nummer maatregel</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19</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Omschrijving maatregel</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Energiezuinige branderpijpen bij doorloopgloeioven toepassen.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Mogelijke technieken ten opzichte van uitgangssituatie</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Hoogrendements- (HR-) branderpijpen toepassen.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Uitgangssituatie op basis van een referentietechniek</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Conventionele branderpijpen zijn aanwezig.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Technische randvoorwaarden</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N.v.t.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Economische randvoorwaarden</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Vermogen brander is minimaal 30 kW.</w:t>
            </w:r>
          </w:p>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Bedrijfstijd brander is meer dan 1.750 uur per jaar.</w:t>
            </w:r>
          </w:p>
        </w:tc>
      </w:tr>
      <w:tr w:rsidR="00F43C9B" w:rsidRPr="00E15D20" w:rsidTr="00F43C9B">
        <w:trPr>
          <w:trHeight w:val="179"/>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 xml:space="preserve">Toepasbaar op een zelfstandig of </w:t>
            </w:r>
            <w:r>
              <w:rPr>
                <w:rFonts w:cstheme="minorHAnsi"/>
                <w:b/>
                <w:bCs/>
                <w:sz w:val="18"/>
                <w:szCs w:val="18"/>
              </w:rPr>
              <w:t>natuurlijk moment?</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ind w:left="100" w:right="183"/>
              <w:rPr>
                <w:rFonts w:cstheme="minorHAnsi"/>
                <w:bCs/>
                <w:sz w:val="18"/>
                <w:szCs w:val="18"/>
              </w:rPr>
            </w:pPr>
            <w:r>
              <w:rPr>
                <w:rFonts w:cstheme="minorHAnsi"/>
                <w:bCs/>
                <w:sz w:val="18"/>
                <w:szCs w:val="18"/>
              </w:rPr>
              <w:t>Natuurlijk moment: Ja.</w:t>
            </w:r>
          </w:p>
        </w:tc>
      </w:tr>
      <w:tr w:rsidR="00F43C9B" w:rsidRPr="00E15D20" w:rsidTr="00F43C9B">
        <w:trPr>
          <w:trHeight w:val="146"/>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Alternatieve erkende maatregelen</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sz w:val="18"/>
                <w:szCs w:val="18"/>
              </w:rPr>
              <w:t>N.v.t.</w:t>
            </w:r>
          </w:p>
        </w:tc>
      </w:tr>
      <w:tr w:rsidR="00F43C9B" w:rsidRPr="00E15D20" w:rsidTr="00F43C9B">
        <w:trPr>
          <w:trHeight w:val="156"/>
        </w:trPr>
        <w:tc>
          <w:tcPr>
            <w:tcW w:w="4200" w:type="dxa"/>
            <w:shd w:val="clear" w:color="auto" w:fill="A6A6A6"/>
            <w:vAlign w:val="center"/>
          </w:tcPr>
          <w:p w:rsidR="00F43C9B" w:rsidRPr="00E15D20" w:rsidRDefault="00F43C9B" w:rsidP="00F43C9B">
            <w:pPr>
              <w:shd w:val="clear" w:color="auto" w:fill="D9D9D9" w:themeFill="background1" w:themeFillShade="D9"/>
              <w:ind w:left="100" w:right="183"/>
              <w:rPr>
                <w:rFonts w:cstheme="minorHAnsi"/>
                <w:b/>
                <w:bCs/>
                <w:sz w:val="18"/>
                <w:szCs w:val="18"/>
              </w:rPr>
            </w:pPr>
            <w:r w:rsidRPr="00E15D20">
              <w:rPr>
                <w:rFonts w:cstheme="minorHAnsi"/>
                <w:b/>
                <w:bCs/>
                <w:sz w:val="18"/>
                <w:szCs w:val="18"/>
              </w:rPr>
              <w:t>Bijzondere omstandigheden</w:t>
            </w:r>
          </w:p>
        </w:tc>
        <w:tc>
          <w:tcPr>
            <w:tcW w:w="6500" w:type="dxa"/>
            <w:vAlign w:val="center"/>
          </w:tcPr>
          <w:p w:rsidR="00F43C9B" w:rsidRDefault="00F43C9B" w:rsidP="00F43C9B">
            <w:pPr>
              <w:shd w:val="clear" w:color="auto" w:fill="D9D9D9" w:themeFill="background1" w:themeFillShade="D9"/>
              <w:ind w:left="100" w:right="183"/>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Faciliteiten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20</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Nullasturen persluchtcompressor beperken.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Persluchtcompressor met frequentie- of toerenregeling toepassen.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Vollast/nullast- of vollast/nullast/uitschakeling is aanwezig.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Bij meerdere compressoren uitvoeren bij leidende compressor en rest op basis van aan/uitschakeling.</w:t>
            </w:r>
          </w:p>
        </w:tc>
      </w:tr>
      <w:tr w:rsidR="00F43C9B" w:rsidRPr="00E15D20" w:rsidTr="00F43C9B">
        <w:trPr>
          <w:trHeight w:val="456"/>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Aantal nullasturen is minimaal 1.100 uur per jaar (ter indicatie: 4 uur per werkdag).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3107"/>
        <w:gridCol w:w="146"/>
        <w:gridCol w:w="3254"/>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gridSpan w:val="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Faciliteiten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gridSpan w:val="3"/>
            <w:vAlign w:val="center"/>
          </w:tcPr>
          <w:p w:rsidR="00F43C9B" w:rsidRDefault="00F43C9B" w:rsidP="00F43C9B">
            <w:pPr>
              <w:shd w:val="clear" w:color="auto" w:fill="D9D9D9" w:themeFill="background1" w:themeFillShade="D9"/>
              <w:rPr>
                <w:rFonts w:cstheme="minorHAnsi"/>
                <w:b/>
                <w:bCs/>
                <w:sz w:val="18"/>
                <w:szCs w:val="18"/>
              </w:rPr>
            </w:pPr>
            <w:r>
              <w:rPr>
                <w:rFonts w:cstheme="minorHAnsi"/>
                <w:bCs/>
                <w:sz w:val="18"/>
                <w:szCs w:val="18"/>
              </w:rPr>
              <w:t>21</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Energiezuinig perslucht maken door koude lucht te gebruiken.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1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Koude buitenlucht gebruiken.</w:t>
            </w:r>
          </w:p>
        </w:tc>
        <w:tc>
          <w:tcPr>
            <w:tcW w:w="3400" w:type="dxa"/>
            <w:gridSpan w:val="2"/>
            <w:vAlign w:val="center"/>
          </w:tcPr>
          <w:p w:rsidR="00F43C9B" w:rsidRDefault="00F43C9B" w:rsidP="00F43C9B">
            <w:pPr>
              <w:shd w:val="clear" w:color="auto" w:fill="D9D9D9" w:themeFill="background1" w:themeFillShade="D9"/>
              <w:ind w:left="92"/>
              <w:rPr>
                <w:rFonts w:cstheme="minorHAnsi"/>
                <w:bCs/>
                <w:sz w:val="18"/>
                <w:szCs w:val="18"/>
              </w:rPr>
            </w:pPr>
            <w:r>
              <w:rPr>
                <w:rFonts w:cstheme="minorHAnsi"/>
                <w:bCs/>
                <w:sz w:val="18"/>
                <w:szCs w:val="18"/>
              </w:rPr>
              <w:t>b) Binnenlucht uit onverwarmde ruimte gebruiken.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Compressor zuigt door zichzelf opgewarmde warme lucht of warme proceslucht aan.</w:t>
            </w:r>
          </w:p>
        </w:tc>
      </w:tr>
      <w:tr w:rsidR="00F43C9B" w:rsidRPr="00E15D20" w:rsidTr="00F43C9B">
        <w:trPr>
          <w:trHeight w:val="2253"/>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3253"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Opening in gevel is mogelijk binnen een afstand van 3 meter.</w:t>
            </w:r>
          </w:p>
        </w:tc>
        <w:tc>
          <w:tcPr>
            <w:tcW w:w="3254"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N.v.t.</w:t>
            </w:r>
          </w:p>
        </w:tc>
      </w:tr>
      <w:tr w:rsidR="00F43C9B" w:rsidRPr="00E15D20" w:rsidTr="00F43C9B">
        <w:trPr>
          <w:trHeight w:val="456"/>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Vermogen compressor (in kW) vermenigvuldigd met aantal equivalenten van vollasturen  (in uur per jaar) is minimaal 50.000 (kWh per jaar).</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w:t>
            </w:r>
            <w:r>
              <w:rPr>
                <w:rFonts w:cstheme="minorHAnsi"/>
                <w:b/>
                <w:bCs/>
                <w:sz w:val="18"/>
                <w:szCs w:val="18"/>
              </w:rPr>
              <w:t>erkende maatregelen</w:t>
            </w:r>
          </w:p>
        </w:tc>
        <w:tc>
          <w:tcPr>
            <w:tcW w:w="650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p w:rsidR="00F43C9B" w:rsidRDefault="00F43C9B" w:rsidP="00F43C9B">
      <w:pPr>
        <w:shd w:val="clear" w:color="auto" w:fill="D9D9D9" w:themeFill="background1" w:themeFillShade="D9"/>
        <w:ind w:left="400"/>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3253"/>
        <w:gridCol w:w="3254"/>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gridSpan w:val="2"/>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Faciliteiten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22</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Warmte van persluchtcompressoren nuttig gebruiken.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253"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Warmte van luchtgekoelde compressor gebruiken voor ruimteverwarming.</w:t>
            </w:r>
          </w:p>
        </w:tc>
        <w:tc>
          <w:tcPr>
            <w:tcW w:w="3254"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Warmte van watergekoelde compressor gebruiken voor lagetemperatuurverwarming, verwarming van tapwater of badenverwarming.</w:t>
            </w:r>
          </w:p>
        </w:tc>
      </w:tr>
      <w:tr w:rsidR="00F43C9B" w:rsidRPr="00E15D20" w:rsidTr="00F43C9B">
        <w:trPr>
          <w:trHeight w:val="413"/>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Warmte van compressor wordt naar buiten afgevoerd.</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223"/>
        </w:trPr>
        <w:tc>
          <w:tcPr>
            <w:tcW w:w="4193"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rPr>
          <w:trHeight w:val="1184"/>
        </w:trPr>
        <w:tc>
          <w:tcPr>
            <w:tcW w:w="4193" w:type="dxa"/>
            <w:vMerge/>
            <w:shd w:val="clear" w:color="auto" w:fill="B3B3B3"/>
          </w:tcPr>
          <w:p w:rsidR="00F43C9B" w:rsidRDefault="00F43C9B" w:rsidP="00F43C9B">
            <w:pPr>
              <w:shd w:val="clear" w:color="auto" w:fill="D9D9D9" w:themeFill="background1" w:themeFillShade="D9"/>
              <w:rPr>
                <w:rFonts w:cstheme="minorHAnsi"/>
                <w:b/>
                <w:bCs/>
                <w:sz w:val="18"/>
                <w:szCs w:val="18"/>
              </w:rPr>
            </w:pPr>
          </w:p>
        </w:tc>
        <w:tc>
          <w:tcPr>
            <w:tcW w:w="3253" w:type="dxa"/>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Aantal equivalenten van vollasturen is minimaal 1.400 uur per stookseizoen (ter indicatie: 10 uur per werkdag in stookseizoen).</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Afstand tot te verwarmen ruimte is minder dan 3 meter.</w:t>
            </w:r>
          </w:p>
        </w:tc>
        <w:tc>
          <w:tcPr>
            <w:tcW w:w="3254" w:type="dxa"/>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Vermogen compressor (in kW) vermenigvuldigd met aantal equivalenten van vollasturen (in uur per jaar) is minimaal 40.000 (kWh per jaar).</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Warmtebehoefte per jaar komt overeen met minimaal 300 m</w:t>
            </w:r>
            <w:r>
              <w:rPr>
                <w:rFonts w:cstheme="minorHAnsi"/>
                <w:bCs/>
                <w:sz w:val="18"/>
                <w:szCs w:val="18"/>
                <w:vertAlign w:val="superscript"/>
              </w:rPr>
              <w:t>3</w:t>
            </w:r>
            <w:r>
              <w:rPr>
                <w:rFonts w:cstheme="minorHAnsi"/>
                <w:bCs/>
                <w:sz w:val="18"/>
                <w:szCs w:val="18"/>
              </w:rPr>
              <w:t xml:space="preserve"> warmtapwater van 60°C.</w:t>
            </w:r>
          </w:p>
        </w:tc>
      </w:tr>
      <w:tr w:rsidR="00F43C9B" w:rsidRPr="00E15D20" w:rsidTr="00F43C9B">
        <w:tc>
          <w:tcPr>
            <w:tcW w:w="4193"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3253" w:type="dxa"/>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c>
          <w:tcPr>
            <w:tcW w:w="3254" w:type="dxa"/>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[20] Nullasturen persluchtcompressor beperken.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ind w:right="183"/>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p w:rsidR="00F43C9B" w:rsidRDefault="00F43C9B" w:rsidP="00F43C9B">
      <w:pPr>
        <w:shd w:val="clear" w:color="auto" w:fill="D9D9D9" w:themeFill="background1" w:themeFillShade="D9"/>
        <w:ind w:right="183"/>
        <w:rPr>
          <w:rFonts w:cstheme="minorHAnsi"/>
          <w:sz w:val="18"/>
          <w:szCs w:val="18"/>
        </w:rPr>
      </w:pPr>
    </w:p>
    <w:tbl>
      <w:tblPr>
        <w:tblW w:w="10723"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0"/>
        <w:gridCol w:w="6523"/>
      </w:tblGrid>
      <w:tr w:rsidR="00F43C9B" w:rsidRPr="00E15D20" w:rsidTr="00F43C9B">
        <w:trPr>
          <w:trHeight w:val="699"/>
        </w:trPr>
        <w:tc>
          <w:tcPr>
            <w:tcW w:w="4200" w:type="dxa"/>
            <w:shd w:val="clear" w:color="auto" w:fill="A6A6A6"/>
            <w:vAlign w:val="center"/>
          </w:tcPr>
          <w:p w:rsidR="00F43C9B" w:rsidRDefault="00F43C9B" w:rsidP="00F43C9B">
            <w:pPr>
              <w:shd w:val="clear" w:color="auto" w:fill="D9D9D9" w:themeFill="background1" w:themeFillShade="D9"/>
              <w:ind w:left="100" w:right="-46"/>
              <w:rPr>
                <w:rFonts w:cstheme="minorHAnsi"/>
                <w:b/>
                <w:bCs/>
                <w:sz w:val="18"/>
                <w:szCs w:val="18"/>
              </w:rPr>
            </w:pPr>
            <w:r>
              <w:rPr>
                <w:rFonts w:cstheme="minorHAnsi"/>
                <w:b/>
                <w:bCs/>
                <w:sz w:val="18"/>
                <w:szCs w:val="18"/>
              </w:rPr>
              <w:t>Type maatregel</w:t>
            </w:r>
          </w:p>
        </w:tc>
        <w:tc>
          <w:tcPr>
            <w:tcW w:w="6523" w:type="dxa"/>
            <w:vAlign w:val="center"/>
          </w:tcPr>
          <w:p w:rsidR="00F43C9B" w:rsidRDefault="00F43C9B" w:rsidP="00F43C9B">
            <w:pPr>
              <w:shd w:val="clear" w:color="auto" w:fill="D9D9D9" w:themeFill="background1" w:themeFillShade="D9"/>
              <w:ind w:left="100" w:right="100"/>
              <w:rPr>
                <w:rFonts w:cstheme="minorHAnsi"/>
                <w:b/>
                <w:bCs/>
                <w:sz w:val="18"/>
                <w:szCs w:val="18"/>
              </w:rPr>
            </w:pPr>
            <w:r>
              <w:rPr>
                <w:rFonts w:cstheme="minorHAnsi"/>
                <w:b/>
                <w:bCs/>
                <w:sz w:val="18"/>
                <w:szCs w:val="18"/>
              </w:rPr>
              <w:t>In werking hebben van een koelinstallatie</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Nummer maatregel</w:t>
            </w:r>
          </w:p>
        </w:tc>
        <w:tc>
          <w:tcPr>
            <w:tcW w:w="6523"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23</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Omschrijving maatregel</w:t>
            </w:r>
          </w:p>
        </w:tc>
        <w:tc>
          <w:tcPr>
            <w:tcW w:w="6523"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 xml:space="preserve">Debiet </w:t>
            </w:r>
            <w:r>
              <w:rPr>
                <w:rFonts w:cstheme="minorHAnsi"/>
                <w:sz w:val="18"/>
                <w:szCs w:val="18"/>
              </w:rPr>
              <w:t xml:space="preserve">koelwaterpompen voor ovenwandkoeling van kroesoven </w:t>
            </w:r>
            <w:r>
              <w:rPr>
                <w:rFonts w:cstheme="minorHAnsi"/>
                <w:bCs/>
                <w:sz w:val="18"/>
                <w:szCs w:val="18"/>
              </w:rPr>
              <w:t xml:space="preserve">automatisch regelen op basis van </w:t>
            </w:r>
            <w:r>
              <w:rPr>
                <w:rFonts w:cstheme="minorHAnsi"/>
                <w:sz w:val="18"/>
                <w:szCs w:val="18"/>
              </w:rPr>
              <w:t>koudebehoefte.</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Mogelijke technieken ten opzichte van uitgangssituatie</w:t>
            </w:r>
          </w:p>
        </w:tc>
        <w:tc>
          <w:tcPr>
            <w:tcW w:w="6523"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sz w:val="18"/>
                <w:szCs w:val="18"/>
              </w:rPr>
              <w:t>Frequentieregeling op koelwaterpompen toepassen.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Uitgangssituatie op basis van een referentietechnie</w:t>
            </w:r>
            <w:r>
              <w:rPr>
                <w:rFonts w:cstheme="minorHAnsi"/>
                <w:b/>
                <w:bCs/>
                <w:sz w:val="18"/>
                <w:szCs w:val="18"/>
              </w:rPr>
              <w:t>k</w:t>
            </w:r>
          </w:p>
        </w:tc>
        <w:tc>
          <w:tcPr>
            <w:tcW w:w="6523"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Parallel systeem met twee frequentieregelaars is aanwezig.</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Technische randvoorwaarden</w:t>
            </w:r>
          </w:p>
        </w:tc>
        <w:tc>
          <w:tcPr>
            <w:tcW w:w="6523"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N.v.t.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Economische randvoorwaarden</w:t>
            </w:r>
          </w:p>
        </w:tc>
        <w:tc>
          <w:tcPr>
            <w:tcW w:w="6523"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Vermogen koelwaterpomp (in kW) vermenigvuldigd met aantal equivalenten van vollasturen (in uur per jaar) dat pomp is uit te schakelen is minimaal 25.000 (kWh per jaar).</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Toepasbaar op een zelfstandig of natuurlijk moment?</w:t>
            </w:r>
          </w:p>
        </w:tc>
        <w:tc>
          <w:tcPr>
            <w:tcW w:w="6523"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Alternatieve erkende maatregelen</w:t>
            </w:r>
          </w:p>
        </w:tc>
        <w:tc>
          <w:tcPr>
            <w:tcW w:w="6523"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N.v.t.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Bijzondere omstandigheden</w:t>
            </w:r>
          </w:p>
        </w:tc>
        <w:tc>
          <w:tcPr>
            <w:tcW w:w="6523" w:type="dxa"/>
            <w:vAlign w:val="center"/>
          </w:tcPr>
          <w:p w:rsidR="00F43C9B" w:rsidRDefault="00F43C9B" w:rsidP="00F43C9B">
            <w:pPr>
              <w:shd w:val="clear" w:color="auto" w:fill="D9D9D9" w:themeFill="background1" w:themeFillShade="D9"/>
              <w:ind w:left="100" w:right="100"/>
              <w:rPr>
                <w:rFonts w:cstheme="minorHAnsi"/>
                <w:bCs/>
                <w:sz w:val="18"/>
                <w:szCs w:val="18"/>
              </w:rPr>
            </w:pPr>
            <w:r>
              <w:rPr>
                <w:rFonts w:cstheme="minorHAnsi"/>
                <w:bCs/>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23"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0"/>
        <w:gridCol w:w="6523"/>
      </w:tblGrid>
      <w:tr w:rsidR="00F43C9B" w:rsidRPr="00E15D20" w:rsidTr="00F43C9B">
        <w:trPr>
          <w:trHeight w:val="397"/>
        </w:trPr>
        <w:tc>
          <w:tcPr>
            <w:tcW w:w="4200" w:type="dxa"/>
            <w:shd w:val="clear" w:color="auto" w:fill="A6A6A6"/>
            <w:vAlign w:val="center"/>
          </w:tcPr>
          <w:p w:rsidR="00F43C9B" w:rsidRDefault="00F43C9B" w:rsidP="00F43C9B">
            <w:pPr>
              <w:shd w:val="clear" w:color="auto" w:fill="D9D9D9" w:themeFill="background1" w:themeFillShade="D9"/>
              <w:ind w:left="100" w:right="-46"/>
              <w:rPr>
                <w:rFonts w:cstheme="minorHAnsi"/>
                <w:b/>
                <w:bCs/>
                <w:sz w:val="18"/>
                <w:szCs w:val="18"/>
              </w:rPr>
            </w:pPr>
            <w:r>
              <w:rPr>
                <w:rFonts w:cstheme="minorHAnsi"/>
                <w:b/>
                <w:bCs/>
                <w:sz w:val="18"/>
                <w:szCs w:val="18"/>
              </w:rPr>
              <w:t>Activiteit</w:t>
            </w:r>
          </w:p>
        </w:tc>
        <w:tc>
          <w:tcPr>
            <w:tcW w:w="6523" w:type="dxa"/>
            <w:vAlign w:val="center"/>
          </w:tcPr>
          <w:p w:rsidR="00F43C9B" w:rsidRDefault="00F43C9B" w:rsidP="00F43C9B">
            <w:pPr>
              <w:shd w:val="clear" w:color="auto" w:fill="D9D9D9" w:themeFill="background1" w:themeFillShade="D9"/>
              <w:ind w:left="100" w:right="200"/>
              <w:rPr>
                <w:rFonts w:cstheme="minorHAnsi"/>
                <w:b/>
                <w:bCs/>
                <w:sz w:val="18"/>
                <w:szCs w:val="18"/>
              </w:rPr>
            </w:pPr>
            <w:r>
              <w:rPr>
                <w:rFonts w:cstheme="minorHAnsi"/>
                <w:b/>
                <w:bCs/>
                <w:sz w:val="18"/>
                <w:szCs w:val="18"/>
              </w:rPr>
              <w:t>Reinigen, lijmen of coaten van metalen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Nummer maatregel</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24</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Omschrijving maatregel</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Onnodig aanstaan van werpstralers (werpwielen, straalmiddeltransport, rollenbaan en afzuiging) tijdens productie-onderbreking voorkomen.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Mogelijke technieken ten opzichte van uitgangssituatie</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Bewegingsmelder op transportbaan (signaal aandrijfmotor) of loadcell aan straaljuk toepassen.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Uitgangssituatie op basis van een referentietechniek</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Bewegingsmelder en loadcell ontbreken.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Technische randvoorwaarden</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N.v.t.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Economische randvoorwaarden</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Vermogen motor werpstraler is minimaal 20 kW.</w:t>
            </w:r>
          </w:p>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Takttijd is meer dan 25% van bedrijfstijd van werpstralers (ter indicatie: bij bedrijfstijd van 2.500 uur per jaar is takttijd minimaal 625 uur per jaar).</w:t>
            </w:r>
          </w:p>
        </w:tc>
      </w:tr>
      <w:tr w:rsidR="00F43C9B" w:rsidRPr="00E15D20" w:rsidTr="00F43C9B">
        <w:trPr>
          <w:trHeight w:val="221"/>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Toepasbaar op een zelfstandig of natuurlijk moment?</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Natuurlijk moment: Ja.</w:t>
            </w:r>
          </w:p>
        </w:tc>
      </w:tr>
      <w:tr w:rsidR="00F43C9B" w:rsidRPr="00E15D20" w:rsidTr="00F43C9B">
        <w:trPr>
          <w:trHeight w:val="174"/>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Alternatieve erkende maatregelen</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sz w:val="18"/>
                <w:szCs w:val="18"/>
              </w:rPr>
              <w:t>N.v.t.</w:t>
            </w:r>
          </w:p>
        </w:tc>
      </w:tr>
      <w:tr w:rsidR="00F43C9B" w:rsidRPr="00E15D20" w:rsidTr="00F43C9B">
        <w:trPr>
          <w:trHeight w:val="128"/>
        </w:trPr>
        <w:tc>
          <w:tcPr>
            <w:tcW w:w="4200" w:type="dxa"/>
            <w:shd w:val="clear" w:color="auto" w:fill="A6A6A6"/>
            <w:vAlign w:val="center"/>
          </w:tcPr>
          <w:p w:rsidR="00F43C9B" w:rsidRPr="00E15D20" w:rsidRDefault="00F43C9B" w:rsidP="00F43C9B">
            <w:pPr>
              <w:shd w:val="clear" w:color="auto" w:fill="D9D9D9" w:themeFill="background1" w:themeFillShade="D9"/>
              <w:ind w:left="100" w:right="-46"/>
              <w:rPr>
                <w:rFonts w:cstheme="minorHAnsi"/>
                <w:b/>
                <w:bCs/>
                <w:sz w:val="18"/>
                <w:szCs w:val="18"/>
              </w:rPr>
            </w:pPr>
            <w:r w:rsidRPr="00E15D20">
              <w:rPr>
                <w:rFonts w:cstheme="minorHAnsi"/>
                <w:b/>
                <w:bCs/>
                <w:sz w:val="18"/>
                <w:szCs w:val="18"/>
              </w:rPr>
              <w:t>Bijzondere omstandigheden</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bookmarkStart w:id="658" w:name="_Toc382223982"/>
    </w:p>
    <w:tbl>
      <w:tblPr>
        <w:tblW w:w="10723"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0"/>
        <w:gridCol w:w="6523"/>
      </w:tblGrid>
      <w:tr w:rsidR="00F43C9B" w:rsidRPr="00E15D20" w:rsidTr="00F43C9B">
        <w:trPr>
          <w:trHeight w:val="397"/>
        </w:trPr>
        <w:tc>
          <w:tcPr>
            <w:tcW w:w="4200" w:type="dxa"/>
            <w:shd w:val="clear" w:color="auto" w:fill="A6A6A6"/>
            <w:vAlign w:val="center"/>
          </w:tcPr>
          <w:p w:rsidR="00F43C9B" w:rsidRDefault="00F43C9B" w:rsidP="00F43C9B">
            <w:pPr>
              <w:shd w:val="clear" w:color="auto" w:fill="D9D9D9" w:themeFill="background1" w:themeFillShade="D9"/>
              <w:ind w:left="100"/>
              <w:rPr>
                <w:rFonts w:cstheme="minorHAnsi"/>
                <w:b/>
                <w:bCs/>
                <w:sz w:val="18"/>
                <w:szCs w:val="18"/>
              </w:rPr>
            </w:pPr>
            <w:r>
              <w:rPr>
                <w:rFonts w:cstheme="minorHAnsi"/>
                <w:b/>
                <w:bCs/>
                <w:sz w:val="18"/>
                <w:szCs w:val="18"/>
              </w:rPr>
              <w:t>Activiteit</w:t>
            </w:r>
          </w:p>
        </w:tc>
        <w:tc>
          <w:tcPr>
            <w:tcW w:w="6523" w:type="dxa"/>
            <w:vAlign w:val="center"/>
          </w:tcPr>
          <w:p w:rsidR="00F43C9B" w:rsidRDefault="00F43C9B" w:rsidP="00F43C9B">
            <w:pPr>
              <w:shd w:val="clear" w:color="auto" w:fill="D9D9D9" w:themeFill="background1" w:themeFillShade="D9"/>
              <w:ind w:left="100" w:right="200"/>
              <w:rPr>
                <w:rFonts w:cstheme="minorHAnsi"/>
                <w:b/>
                <w:bCs/>
                <w:sz w:val="18"/>
                <w:szCs w:val="18"/>
              </w:rPr>
            </w:pPr>
            <w:r>
              <w:rPr>
                <w:rFonts w:cstheme="minorHAnsi"/>
                <w:b/>
                <w:bCs/>
                <w:sz w:val="18"/>
                <w:szCs w:val="18"/>
              </w:rPr>
              <w:t>Reinigen, lijmen of coaten van metalen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Nummer maatregel</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25</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Omschrijving maatregel</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Onnodig aanstaan van ventilatie van handspuitcabine of handspuitwand voor poedercoaten voorkomen.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Mogelijke technieken ten opzichte van uitgangssituatie</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Automatische schakeling (verbreekcontact) van afzuiging toepassen.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Uitgangssituatie op basis van een referentietechniek</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Automatische schakeling ontbreekt.</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Technische randvoorwaarden</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Cabine kan op onderdruk blijven.</w:t>
            </w:r>
          </w:p>
        </w:tc>
      </w:tr>
      <w:tr w:rsidR="00F43C9B" w:rsidRPr="00E15D20" w:rsidTr="00F43C9B">
        <w:trPr>
          <w:trHeight w:val="397"/>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Economische randvoorwaarden</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Ventilatiedebiet (in m</w:t>
            </w:r>
            <w:r>
              <w:rPr>
                <w:rFonts w:cstheme="minorHAnsi"/>
                <w:bCs/>
                <w:sz w:val="18"/>
                <w:szCs w:val="18"/>
                <w:vertAlign w:val="superscript"/>
              </w:rPr>
              <w:t>3</w:t>
            </w:r>
            <w:r>
              <w:rPr>
                <w:rFonts w:cstheme="minorHAnsi"/>
                <w:bCs/>
                <w:sz w:val="18"/>
                <w:szCs w:val="18"/>
              </w:rPr>
              <w:t xml:space="preserve"> per uur) vermenigvuldigd met tijd (in uur per jaar) dat pomp is uit te schakelen is minimaal 600.000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rPr>
          <w:trHeight w:val="140"/>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Toepasbaar op een zelfstandig of natuurlijk moment?</w:t>
            </w:r>
          </w:p>
        </w:tc>
        <w:tc>
          <w:tcPr>
            <w:tcW w:w="6523"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Natuurlijk moment: Ja.</w:t>
            </w:r>
          </w:p>
        </w:tc>
      </w:tr>
      <w:tr w:rsidR="00F43C9B" w:rsidRPr="00E15D20" w:rsidTr="00F43C9B">
        <w:trPr>
          <w:trHeight w:val="274"/>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Alternatieve erkende maatregelen</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sz w:val="18"/>
                <w:szCs w:val="18"/>
              </w:rPr>
              <w:t>N.v.t.</w:t>
            </w:r>
          </w:p>
        </w:tc>
      </w:tr>
      <w:tr w:rsidR="00F43C9B" w:rsidRPr="00E15D20" w:rsidTr="00F43C9B">
        <w:trPr>
          <w:trHeight w:val="215"/>
        </w:trPr>
        <w:tc>
          <w:tcPr>
            <w:tcW w:w="4200"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Bijzondere omstandigheden</w:t>
            </w:r>
          </w:p>
        </w:tc>
        <w:tc>
          <w:tcPr>
            <w:tcW w:w="6523"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6663"/>
      </w:tblGrid>
      <w:tr w:rsidR="00F43C9B" w:rsidRPr="00E15D20" w:rsidTr="00F43C9B">
        <w:trPr>
          <w:trHeight w:val="397"/>
        </w:trPr>
        <w:tc>
          <w:tcPr>
            <w:tcW w:w="4111" w:type="dxa"/>
            <w:shd w:val="clear" w:color="auto" w:fill="A6A6A6"/>
            <w:vAlign w:val="center"/>
          </w:tcPr>
          <w:p w:rsidR="00F43C9B" w:rsidRPr="00E15D20" w:rsidRDefault="00F43C9B" w:rsidP="00F43C9B">
            <w:pPr>
              <w:shd w:val="clear" w:color="auto" w:fill="D9D9D9" w:themeFill="background1" w:themeFillShade="D9"/>
              <w:ind w:left="142" w:right="-142"/>
              <w:rPr>
                <w:rFonts w:cstheme="minorHAnsi"/>
                <w:b/>
                <w:bCs/>
                <w:sz w:val="18"/>
                <w:szCs w:val="18"/>
              </w:rPr>
            </w:pPr>
            <w:r>
              <w:rPr>
                <w:rFonts w:cstheme="minorHAnsi"/>
                <w:sz w:val="18"/>
                <w:szCs w:val="18"/>
              </w:rPr>
              <w:br w:type="page"/>
            </w:r>
            <w:r>
              <w:rPr>
                <w:rFonts w:cstheme="minorHAnsi"/>
                <w:b/>
                <w:bCs/>
                <w:sz w:val="18"/>
                <w:szCs w:val="18"/>
              </w:rPr>
              <w:t>Activiteiten</w:t>
            </w:r>
          </w:p>
        </w:tc>
        <w:tc>
          <w:tcPr>
            <w:tcW w:w="6663" w:type="dxa"/>
            <w:vAlign w:val="center"/>
          </w:tcPr>
          <w:p w:rsidR="00F43C9B" w:rsidRDefault="00F43C9B" w:rsidP="00F43C9B">
            <w:pPr>
              <w:shd w:val="clear" w:color="auto" w:fill="D9D9D9" w:themeFill="background1" w:themeFillShade="D9"/>
              <w:ind w:left="142" w:right="142"/>
              <w:rPr>
                <w:rFonts w:cstheme="minorHAnsi"/>
                <w:b/>
                <w:sz w:val="18"/>
                <w:szCs w:val="18"/>
              </w:rPr>
            </w:pPr>
            <w:r>
              <w:rPr>
                <w:rFonts w:cstheme="minorHAnsi"/>
                <w:b/>
                <w:sz w:val="18"/>
                <w:szCs w:val="18"/>
              </w:rPr>
              <w:t>Aanbrengen anorganische deklagen op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Beitsen of etsen van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Elektrolytisch of stroomloos aanbrengen van metaallagen op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Aanbrengen van conversielagen op metalen</w:t>
            </w:r>
          </w:p>
          <w:p w:rsidR="00F43C9B" w:rsidRDefault="00F43C9B" w:rsidP="00F43C9B">
            <w:pPr>
              <w:shd w:val="clear" w:color="auto" w:fill="D9D9D9" w:themeFill="background1" w:themeFillShade="D9"/>
              <w:ind w:left="142" w:right="142"/>
              <w:rPr>
                <w:rFonts w:cstheme="minorHAnsi"/>
                <w:bCs/>
                <w:sz w:val="18"/>
                <w:szCs w:val="18"/>
              </w:rPr>
            </w:pPr>
            <w:r>
              <w:rPr>
                <w:rFonts w:cstheme="minorHAnsi"/>
                <w:b/>
                <w:bCs/>
                <w:sz w:val="18"/>
                <w:szCs w:val="18"/>
              </w:rPr>
              <w:t>Thermisch aanbrengen van metaallagen op metalen</w:t>
            </w:r>
          </w:p>
        </w:tc>
      </w:tr>
      <w:tr w:rsidR="00F43C9B" w:rsidRPr="00E15D20" w:rsidTr="00F43C9B">
        <w:trPr>
          <w:trHeight w:val="397"/>
        </w:trPr>
        <w:tc>
          <w:tcPr>
            <w:tcW w:w="4111" w:type="dxa"/>
            <w:shd w:val="clear" w:color="auto" w:fill="A6A6A6"/>
            <w:vAlign w:val="center"/>
          </w:tcPr>
          <w:p w:rsidR="00F43C9B" w:rsidRPr="00E15D20" w:rsidRDefault="00F43C9B" w:rsidP="00F43C9B">
            <w:pPr>
              <w:shd w:val="clear" w:color="auto" w:fill="D9D9D9" w:themeFill="background1" w:themeFillShade="D9"/>
              <w:ind w:left="142" w:right="-142"/>
              <w:rPr>
                <w:rFonts w:cstheme="minorHAnsi"/>
                <w:b/>
                <w:bCs/>
                <w:sz w:val="18"/>
                <w:szCs w:val="18"/>
              </w:rPr>
            </w:pPr>
            <w:r w:rsidRPr="00E15D20">
              <w:rPr>
                <w:rFonts w:cstheme="minorHAnsi"/>
                <w:b/>
                <w:bCs/>
                <w:sz w:val="18"/>
                <w:szCs w:val="18"/>
              </w:rPr>
              <w:t>Nummer maatregel</w:t>
            </w:r>
          </w:p>
        </w:tc>
        <w:tc>
          <w:tcPr>
            <w:tcW w:w="6663"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26</w:t>
            </w:r>
          </w:p>
        </w:tc>
      </w:tr>
      <w:tr w:rsidR="00F43C9B" w:rsidRPr="00E15D20" w:rsidTr="00F43C9B">
        <w:trPr>
          <w:trHeight w:val="397"/>
        </w:trPr>
        <w:tc>
          <w:tcPr>
            <w:tcW w:w="4111" w:type="dxa"/>
            <w:shd w:val="clear" w:color="auto" w:fill="A6A6A6"/>
            <w:vAlign w:val="center"/>
          </w:tcPr>
          <w:p w:rsidR="00F43C9B" w:rsidRPr="00E15D20" w:rsidRDefault="00F43C9B" w:rsidP="00F43C9B">
            <w:pPr>
              <w:shd w:val="clear" w:color="auto" w:fill="D9D9D9" w:themeFill="background1" w:themeFillShade="D9"/>
              <w:ind w:left="142" w:right="-142"/>
              <w:rPr>
                <w:rFonts w:cstheme="minorHAnsi"/>
                <w:b/>
                <w:bCs/>
                <w:sz w:val="18"/>
                <w:szCs w:val="18"/>
              </w:rPr>
            </w:pPr>
            <w:r w:rsidRPr="00E15D20">
              <w:rPr>
                <w:rFonts w:cstheme="minorHAnsi"/>
                <w:b/>
                <w:bCs/>
                <w:sz w:val="18"/>
                <w:szCs w:val="18"/>
              </w:rPr>
              <w:t>Omschrijving maatregel</w:t>
            </w:r>
          </w:p>
        </w:tc>
        <w:tc>
          <w:tcPr>
            <w:tcW w:w="6663"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Warmteverlies via distributieleidingen van procesbad beperken.</w:t>
            </w:r>
          </w:p>
        </w:tc>
      </w:tr>
      <w:tr w:rsidR="00F43C9B" w:rsidRPr="00E15D20" w:rsidTr="00F43C9B">
        <w:trPr>
          <w:trHeight w:val="397"/>
        </w:trPr>
        <w:tc>
          <w:tcPr>
            <w:tcW w:w="4111" w:type="dxa"/>
            <w:shd w:val="clear" w:color="auto" w:fill="A6A6A6"/>
            <w:vAlign w:val="center"/>
          </w:tcPr>
          <w:p w:rsidR="00F43C9B" w:rsidRPr="00E15D20" w:rsidRDefault="00F43C9B" w:rsidP="00F43C9B">
            <w:pPr>
              <w:shd w:val="clear" w:color="auto" w:fill="D9D9D9" w:themeFill="background1" w:themeFillShade="D9"/>
              <w:ind w:left="142" w:right="-142"/>
              <w:rPr>
                <w:rFonts w:cstheme="minorHAnsi"/>
                <w:b/>
                <w:bCs/>
                <w:sz w:val="18"/>
                <w:szCs w:val="18"/>
              </w:rPr>
            </w:pPr>
            <w:r w:rsidRPr="00E15D20">
              <w:rPr>
                <w:rFonts w:cstheme="minorHAnsi"/>
                <w:b/>
                <w:bCs/>
                <w:sz w:val="18"/>
                <w:szCs w:val="18"/>
              </w:rPr>
              <w:t>Mogelijke technieken ten opzichte van uitgangssituatie</w:t>
            </w:r>
          </w:p>
        </w:tc>
        <w:tc>
          <w:tcPr>
            <w:tcW w:w="6663"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Isolatie aanbrengen om distributieleidingen.</w:t>
            </w:r>
          </w:p>
        </w:tc>
      </w:tr>
      <w:tr w:rsidR="00F43C9B" w:rsidRPr="00E15D20" w:rsidTr="00F43C9B">
        <w:trPr>
          <w:trHeight w:val="397"/>
        </w:trPr>
        <w:tc>
          <w:tcPr>
            <w:tcW w:w="4111" w:type="dxa"/>
            <w:shd w:val="clear" w:color="auto" w:fill="A6A6A6"/>
            <w:vAlign w:val="center"/>
          </w:tcPr>
          <w:p w:rsidR="00F43C9B" w:rsidRPr="00E15D20" w:rsidRDefault="00F43C9B" w:rsidP="00F43C9B">
            <w:pPr>
              <w:shd w:val="clear" w:color="auto" w:fill="D9D9D9" w:themeFill="background1" w:themeFillShade="D9"/>
              <w:ind w:left="142" w:right="-142"/>
              <w:rPr>
                <w:rFonts w:cstheme="minorHAnsi"/>
                <w:b/>
                <w:bCs/>
                <w:sz w:val="18"/>
                <w:szCs w:val="18"/>
              </w:rPr>
            </w:pPr>
            <w:r w:rsidRPr="00E15D20">
              <w:rPr>
                <w:rFonts w:cstheme="minorHAnsi"/>
                <w:b/>
                <w:bCs/>
                <w:sz w:val="18"/>
                <w:szCs w:val="18"/>
              </w:rPr>
              <w:t>Uitgangs</w:t>
            </w:r>
            <w:r>
              <w:rPr>
                <w:rFonts w:cstheme="minorHAnsi"/>
                <w:b/>
                <w:bCs/>
                <w:sz w:val="18"/>
                <w:szCs w:val="18"/>
              </w:rPr>
              <w:t>situatie op basis van een referentietechniek</w:t>
            </w:r>
          </w:p>
        </w:tc>
        <w:tc>
          <w:tcPr>
            <w:tcW w:w="6663"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Isolatie om leiding ontbreekt.</w:t>
            </w:r>
          </w:p>
        </w:tc>
      </w:tr>
      <w:tr w:rsidR="00F43C9B" w:rsidRPr="00E15D20" w:rsidTr="00F43C9B">
        <w:trPr>
          <w:trHeight w:val="152"/>
        </w:trPr>
        <w:tc>
          <w:tcPr>
            <w:tcW w:w="4111" w:type="dxa"/>
            <w:shd w:val="clear" w:color="auto" w:fill="A6A6A6"/>
            <w:vAlign w:val="center"/>
          </w:tcPr>
          <w:p w:rsidR="00F43C9B" w:rsidRPr="00E15D20" w:rsidRDefault="00F43C9B" w:rsidP="00F43C9B">
            <w:pPr>
              <w:shd w:val="clear" w:color="auto" w:fill="D9D9D9" w:themeFill="background1" w:themeFillShade="D9"/>
              <w:ind w:left="142" w:right="-142"/>
              <w:rPr>
                <w:rFonts w:cstheme="minorHAnsi"/>
                <w:b/>
                <w:bCs/>
                <w:sz w:val="18"/>
                <w:szCs w:val="18"/>
              </w:rPr>
            </w:pPr>
            <w:r w:rsidRPr="00E15D20">
              <w:rPr>
                <w:rFonts w:cstheme="minorHAnsi"/>
                <w:b/>
                <w:bCs/>
                <w:sz w:val="18"/>
                <w:szCs w:val="18"/>
              </w:rPr>
              <w:t>Technische randvoorwaarden</w:t>
            </w:r>
          </w:p>
        </w:tc>
        <w:tc>
          <w:tcPr>
            <w:tcW w:w="6663"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N.v.t.</w:t>
            </w:r>
          </w:p>
        </w:tc>
      </w:tr>
      <w:tr w:rsidR="00F43C9B" w:rsidRPr="00E15D20" w:rsidTr="00F43C9B">
        <w:trPr>
          <w:trHeight w:val="397"/>
        </w:trPr>
        <w:tc>
          <w:tcPr>
            <w:tcW w:w="4111" w:type="dxa"/>
            <w:shd w:val="clear" w:color="auto" w:fill="A6A6A6"/>
            <w:vAlign w:val="center"/>
          </w:tcPr>
          <w:p w:rsidR="00F43C9B" w:rsidRPr="00E15D20" w:rsidRDefault="00F43C9B" w:rsidP="00F43C9B">
            <w:pPr>
              <w:shd w:val="clear" w:color="auto" w:fill="D9D9D9" w:themeFill="background1" w:themeFillShade="D9"/>
              <w:ind w:left="142" w:right="-142"/>
              <w:rPr>
                <w:rFonts w:cstheme="minorHAnsi"/>
                <w:b/>
                <w:bCs/>
                <w:sz w:val="18"/>
                <w:szCs w:val="18"/>
              </w:rPr>
            </w:pPr>
            <w:r w:rsidRPr="00E15D20">
              <w:rPr>
                <w:rFonts w:cstheme="minorHAnsi"/>
                <w:b/>
                <w:bCs/>
                <w:sz w:val="18"/>
                <w:szCs w:val="18"/>
              </w:rPr>
              <w:t>Economische randvoorwaarden</w:t>
            </w:r>
          </w:p>
        </w:tc>
        <w:tc>
          <w:tcPr>
            <w:tcW w:w="6663"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Aansluitvermogen verwarming procesbad (in kW) vermenigvuldigd met bedrijfstijd (in uur per jaar) is minimaal 100.000 (kW</w:t>
            </w:r>
            <w:r>
              <w:rPr>
                <w:rFonts w:cstheme="minorHAnsi"/>
                <w:bCs/>
                <w:sz w:val="18"/>
                <w:szCs w:val="18"/>
                <w:vertAlign w:val="subscript"/>
              </w:rPr>
              <w:t>thermisch</w:t>
            </w:r>
            <w:r>
              <w:rPr>
                <w:rFonts w:cstheme="minorHAnsi"/>
                <w:bCs/>
                <w:sz w:val="18"/>
                <w:szCs w:val="18"/>
              </w:rPr>
              <w:t>h per jaar).</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Temperatuur distributieleiding is meer dan 40</w:t>
            </w:r>
            <w:r>
              <w:rPr>
                <w:rFonts w:cstheme="minorHAnsi"/>
                <w:bCs/>
                <w:sz w:val="18"/>
                <w:szCs w:val="18"/>
                <w:vertAlign w:val="superscript"/>
              </w:rPr>
              <w:t>o</w:t>
            </w:r>
            <w:r>
              <w:rPr>
                <w:rFonts w:cstheme="minorHAnsi"/>
                <w:bCs/>
                <w:sz w:val="18"/>
                <w:szCs w:val="18"/>
              </w:rPr>
              <w:t>C.</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Lengte ongeïsoleerde distributieleiding is meer dan 4 meter.</w:t>
            </w:r>
          </w:p>
        </w:tc>
      </w:tr>
      <w:tr w:rsidR="00F43C9B" w:rsidRPr="00E15D20" w:rsidTr="00F43C9B">
        <w:trPr>
          <w:trHeight w:val="218"/>
        </w:trPr>
        <w:tc>
          <w:tcPr>
            <w:tcW w:w="4111" w:type="dxa"/>
            <w:shd w:val="clear" w:color="auto" w:fill="A6A6A6"/>
            <w:vAlign w:val="center"/>
          </w:tcPr>
          <w:p w:rsidR="00F43C9B" w:rsidRPr="00E15D20" w:rsidRDefault="00F43C9B" w:rsidP="00F43C9B">
            <w:pPr>
              <w:shd w:val="clear" w:color="auto" w:fill="D9D9D9" w:themeFill="background1" w:themeFillShade="D9"/>
              <w:ind w:left="142" w:right="-142"/>
              <w:rPr>
                <w:rFonts w:cstheme="minorHAnsi"/>
                <w:b/>
                <w:bCs/>
                <w:sz w:val="18"/>
                <w:szCs w:val="18"/>
              </w:rPr>
            </w:pPr>
            <w:r w:rsidRPr="00E15D20">
              <w:rPr>
                <w:rFonts w:cstheme="minorHAnsi"/>
                <w:b/>
                <w:bCs/>
                <w:sz w:val="18"/>
                <w:szCs w:val="18"/>
              </w:rPr>
              <w:t>Toepasbaar op een zelfstandig of natuurlijk moment?</w:t>
            </w:r>
          </w:p>
        </w:tc>
        <w:tc>
          <w:tcPr>
            <w:tcW w:w="6663"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111" w:type="dxa"/>
            <w:shd w:val="clear" w:color="auto" w:fill="A6A6A6"/>
            <w:vAlign w:val="center"/>
          </w:tcPr>
          <w:p w:rsidR="00F43C9B" w:rsidRPr="00E15D20" w:rsidRDefault="00F43C9B" w:rsidP="00F43C9B">
            <w:pPr>
              <w:shd w:val="clear" w:color="auto" w:fill="D9D9D9" w:themeFill="background1" w:themeFillShade="D9"/>
              <w:ind w:left="142" w:right="-142"/>
              <w:rPr>
                <w:rFonts w:cstheme="minorHAnsi"/>
                <w:b/>
                <w:bCs/>
                <w:sz w:val="18"/>
                <w:szCs w:val="18"/>
              </w:rPr>
            </w:pPr>
            <w:r w:rsidRPr="00E15D20">
              <w:rPr>
                <w:rFonts w:cstheme="minorHAnsi"/>
                <w:b/>
                <w:bCs/>
                <w:sz w:val="18"/>
                <w:szCs w:val="18"/>
              </w:rPr>
              <w:t>Alternatieve erkende maatregelen</w:t>
            </w:r>
          </w:p>
        </w:tc>
        <w:tc>
          <w:tcPr>
            <w:tcW w:w="6663"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[27] Warmteverlies via badoppervlak van procesbad beperken</w:t>
            </w:r>
          </w:p>
        </w:tc>
      </w:tr>
      <w:tr w:rsidR="00F43C9B" w:rsidRPr="00E15D20" w:rsidTr="00F43C9B">
        <w:trPr>
          <w:trHeight w:val="222"/>
        </w:trPr>
        <w:tc>
          <w:tcPr>
            <w:tcW w:w="4111" w:type="dxa"/>
            <w:shd w:val="clear" w:color="auto" w:fill="A6A6A6"/>
            <w:vAlign w:val="center"/>
          </w:tcPr>
          <w:p w:rsidR="00F43C9B" w:rsidRPr="00E15D20" w:rsidRDefault="00F43C9B" w:rsidP="00F43C9B">
            <w:pPr>
              <w:shd w:val="clear" w:color="auto" w:fill="D9D9D9" w:themeFill="background1" w:themeFillShade="D9"/>
              <w:ind w:left="142" w:right="-142"/>
              <w:rPr>
                <w:rFonts w:cstheme="minorHAnsi"/>
                <w:b/>
                <w:bCs/>
                <w:sz w:val="18"/>
                <w:szCs w:val="18"/>
              </w:rPr>
            </w:pPr>
            <w:r w:rsidRPr="00E15D20">
              <w:rPr>
                <w:rFonts w:cstheme="minorHAnsi"/>
                <w:b/>
                <w:bCs/>
                <w:sz w:val="18"/>
                <w:szCs w:val="18"/>
              </w:rPr>
              <w:t>Bijzondere omstandigheden</w:t>
            </w:r>
          </w:p>
        </w:tc>
        <w:tc>
          <w:tcPr>
            <w:tcW w:w="6663"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sz w:val="18"/>
                <w:szCs w:val="18"/>
              </w:rPr>
              <w:t>N.v.t.</w:t>
            </w:r>
          </w:p>
        </w:tc>
      </w:tr>
      <w:bookmarkEnd w:id="658"/>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2"/>
        <w:gridCol w:w="6662"/>
      </w:tblGrid>
      <w:tr w:rsidR="00F43C9B" w:rsidRPr="00E15D20" w:rsidTr="00F43C9B">
        <w:trPr>
          <w:trHeight w:val="64"/>
        </w:trPr>
        <w:tc>
          <w:tcPr>
            <w:tcW w:w="4112" w:type="dxa"/>
            <w:shd w:val="clear" w:color="auto" w:fill="A6A6A6"/>
            <w:vAlign w:val="center"/>
          </w:tcPr>
          <w:p w:rsidR="00F43C9B" w:rsidRDefault="00F43C9B" w:rsidP="00F43C9B">
            <w:pPr>
              <w:shd w:val="clear" w:color="auto" w:fill="D9D9D9" w:themeFill="background1" w:themeFillShade="D9"/>
              <w:ind w:left="142" w:right="-141"/>
              <w:rPr>
                <w:rFonts w:cstheme="minorHAnsi"/>
                <w:b/>
                <w:bCs/>
                <w:sz w:val="18"/>
                <w:szCs w:val="18"/>
              </w:rPr>
            </w:pPr>
            <w:r>
              <w:rPr>
                <w:rFonts w:cstheme="minorHAnsi"/>
                <w:b/>
                <w:bCs/>
                <w:sz w:val="18"/>
                <w:szCs w:val="18"/>
              </w:rPr>
              <w:t>Activiteiten</w:t>
            </w:r>
          </w:p>
        </w:tc>
        <w:tc>
          <w:tcPr>
            <w:tcW w:w="6662" w:type="dxa"/>
            <w:vAlign w:val="center"/>
          </w:tcPr>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Aanbrengen anorganische deklagen op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Beitsen of etsen van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Elektrolytisch of stroomloos aanbrengen van metaallagen op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Aanbrengen van conversielagen op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Thermisch aanbrengen van metaallagen op metalen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27</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Warmteverlies via badoppervlak van procesbad beperken.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Isolerende drijflichamen van inert materiaal toepassen.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Isolerende voorziening ontbreekt.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Contact drijflichaam en product is toegestaan.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Vermogen procesbad (in kW) vermenigvuldigd met bedrijfstijd (in uur per jaar) is minimaal 24.000 (kWh per jaar).Temperatuur procesbad is tussen 70 en 100</w:t>
            </w:r>
            <w:r>
              <w:rPr>
                <w:rFonts w:cstheme="minorHAnsi"/>
                <w:bCs/>
                <w:sz w:val="18"/>
                <w:szCs w:val="18"/>
                <w:vertAlign w:val="superscript"/>
              </w:rPr>
              <w:t>o</w:t>
            </w:r>
            <w:r>
              <w:rPr>
                <w:rFonts w:cstheme="minorHAnsi"/>
                <w:bCs/>
                <w:sz w:val="18"/>
                <w:szCs w:val="18"/>
              </w:rPr>
              <w:t>C.</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Oppervlakte van procesbad is meer dan 2 m</w:t>
            </w:r>
            <w:r>
              <w:rPr>
                <w:rFonts w:cstheme="minorHAnsi"/>
                <w:bCs/>
                <w:sz w:val="18"/>
                <w:szCs w:val="18"/>
                <w:vertAlign w:val="superscript"/>
              </w:rPr>
              <w:t>2</w:t>
            </w:r>
            <w:r>
              <w:rPr>
                <w:rFonts w:cstheme="minorHAnsi"/>
                <w:sz w:val="18"/>
                <w:szCs w:val="18"/>
              </w:rPr>
              <w:t>.</w:t>
            </w:r>
          </w:p>
        </w:tc>
      </w:tr>
      <w:tr w:rsidR="00F43C9B" w:rsidRPr="00E15D20" w:rsidTr="00F43C9B">
        <w:trPr>
          <w:trHeight w:val="254"/>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Natuurlijk moment: Ja.</w:t>
            </w:r>
          </w:p>
        </w:tc>
      </w:tr>
      <w:tr w:rsidR="00F43C9B" w:rsidRPr="00E15D20" w:rsidTr="00F43C9B">
        <w:trPr>
          <w:trHeight w:val="102"/>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N.v.t.</w:t>
            </w:r>
          </w:p>
        </w:tc>
      </w:tr>
      <w:tr w:rsidR="00F43C9B" w:rsidRPr="00E15D20" w:rsidTr="00F43C9B">
        <w:trPr>
          <w:trHeight w:val="70"/>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ind w:left="142" w:right="142"/>
              <w:rPr>
                <w:rFonts w:cstheme="minorHAnsi"/>
                <w:b/>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2"/>
        <w:gridCol w:w="2764"/>
        <w:gridCol w:w="3898"/>
      </w:tblGrid>
      <w:tr w:rsidR="00F43C9B" w:rsidRPr="00E15D20" w:rsidTr="00F43C9B">
        <w:trPr>
          <w:trHeight w:val="397"/>
        </w:trPr>
        <w:tc>
          <w:tcPr>
            <w:tcW w:w="4112" w:type="dxa"/>
            <w:shd w:val="clear" w:color="auto" w:fill="A6A6A6"/>
            <w:vAlign w:val="center"/>
          </w:tcPr>
          <w:p w:rsidR="00F43C9B" w:rsidRDefault="00F43C9B" w:rsidP="00F43C9B">
            <w:pPr>
              <w:shd w:val="clear" w:color="auto" w:fill="D9D9D9" w:themeFill="background1" w:themeFillShade="D9"/>
              <w:ind w:left="142" w:right="-141"/>
              <w:rPr>
                <w:rFonts w:cstheme="minorHAnsi"/>
                <w:b/>
                <w:bCs/>
                <w:sz w:val="18"/>
                <w:szCs w:val="18"/>
              </w:rPr>
            </w:pPr>
            <w:r>
              <w:rPr>
                <w:rFonts w:cstheme="minorHAnsi"/>
                <w:b/>
                <w:bCs/>
                <w:sz w:val="18"/>
                <w:szCs w:val="18"/>
              </w:rPr>
              <w:t>Activiteiten</w:t>
            </w:r>
          </w:p>
        </w:tc>
        <w:tc>
          <w:tcPr>
            <w:tcW w:w="6662" w:type="dxa"/>
            <w:gridSpan w:val="2"/>
            <w:vAlign w:val="center"/>
          </w:tcPr>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Aanbrengen anorganische deklagen op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Beitsen of etsen van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Elektrolytisch of stroomloos aanbrengen van metaallagen op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Aanbrengen van conversielagen op metalen</w:t>
            </w:r>
          </w:p>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Thermisch aanbrengen van metaallagen op metalen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Nummer maatregel</w:t>
            </w:r>
          </w:p>
        </w:tc>
        <w:tc>
          <w:tcPr>
            <w:tcW w:w="6662"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28</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 xml:space="preserve">Omschrijving </w:t>
            </w:r>
            <w:r>
              <w:rPr>
                <w:rFonts w:cstheme="minorHAnsi"/>
                <w:b/>
                <w:bCs/>
                <w:sz w:val="18"/>
                <w:szCs w:val="18"/>
              </w:rPr>
              <w:t>maatregel</w:t>
            </w:r>
          </w:p>
        </w:tc>
        <w:tc>
          <w:tcPr>
            <w:tcW w:w="6662"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Pomp voor badagitatie toepassen in procesbad.</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Mogelijke technieken ten opzichte van uitgangssituatie</w:t>
            </w:r>
          </w:p>
        </w:tc>
        <w:tc>
          <w:tcPr>
            <w:tcW w:w="2764"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 Beluchtingspomp toepassen.</w:t>
            </w:r>
          </w:p>
        </w:tc>
        <w:tc>
          <w:tcPr>
            <w:tcW w:w="3898"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b) Dompelpomp toepassen.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Uitgangssituatie op basis van een referentietechniek</w:t>
            </w:r>
          </w:p>
        </w:tc>
        <w:tc>
          <w:tcPr>
            <w:tcW w:w="6662"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Perslucht wordt gebruikt voor badagitatie.</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Technische randvoorwaarden</w:t>
            </w:r>
          </w:p>
        </w:tc>
        <w:tc>
          <w:tcPr>
            <w:tcW w:w="6662"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Blowerlucht dient schoon te zijn, zodat kwaliteit niet wordt beïnvloed.</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Economische randvoorwaarden</w:t>
            </w:r>
          </w:p>
        </w:tc>
        <w:tc>
          <w:tcPr>
            <w:tcW w:w="6662"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Debiet perslucht (in m</w:t>
            </w:r>
            <w:r>
              <w:rPr>
                <w:rFonts w:cstheme="minorHAnsi"/>
                <w:bCs/>
                <w:sz w:val="18"/>
                <w:szCs w:val="18"/>
                <w:vertAlign w:val="superscript"/>
              </w:rPr>
              <w:t>3</w:t>
            </w:r>
            <w:r>
              <w:rPr>
                <w:rFonts w:cstheme="minorHAnsi"/>
                <w:bCs/>
                <w:sz w:val="18"/>
                <w:szCs w:val="18"/>
              </w:rPr>
              <w:t xml:space="preserve"> per uur) vermenigvuldigd met bedrijfstijd (in uur per jaar) is minimaal 3.000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Persluchtdruk is meer dan 2 bar.</w:t>
            </w:r>
          </w:p>
        </w:tc>
      </w:tr>
      <w:tr w:rsidR="00F43C9B" w:rsidRPr="00E15D20" w:rsidTr="00F43C9B">
        <w:trPr>
          <w:trHeight w:val="258"/>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Toepasbaar op een zelfstandig of natuurlijk moment?</w:t>
            </w:r>
          </w:p>
        </w:tc>
        <w:tc>
          <w:tcPr>
            <w:tcW w:w="666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Natuurlijk moment: Ja.</w:t>
            </w:r>
          </w:p>
        </w:tc>
      </w:tr>
      <w:tr w:rsidR="00F43C9B" w:rsidRPr="00E15D20" w:rsidTr="00F43C9B">
        <w:trPr>
          <w:trHeight w:val="212"/>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Alternatieve erkende maatregelen</w:t>
            </w:r>
          </w:p>
        </w:tc>
        <w:tc>
          <w:tcPr>
            <w:tcW w:w="6662"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N.v.t.</w:t>
            </w:r>
          </w:p>
        </w:tc>
      </w:tr>
      <w:tr w:rsidR="00F43C9B" w:rsidRPr="00E15D20" w:rsidTr="00F43C9B">
        <w:trPr>
          <w:trHeight w:val="166"/>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Bijzondere omstandigheden</w:t>
            </w:r>
          </w:p>
        </w:tc>
        <w:tc>
          <w:tcPr>
            <w:tcW w:w="6662"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2"/>
        <w:gridCol w:w="2835"/>
        <w:gridCol w:w="496"/>
        <w:gridCol w:w="3331"/>
      </w:tblGrid>
      <w:tr w:rsidR="00F43C9B" w:rsidRPr="00E15D20" w:rsidTr="00F43C9B">
        <w:trPr>
          <w:trHeight w:val="397"/>
        </w:trPr>
        <w:tc>
          <w:tcPr>
            <w:tcW w:w="4112" w:type="dxa"/>
            <w:shd w:val="clear" w:color="auto" w:fill="A6A6A6"/>
            <w:vAlign w:val="center"/>
          </w:tcPr>
          <w:p w:rsidR="00F43C9B" w:rsidRDefault="00F43C9B" w:rsidP="00F43C9B">
            <w:pPr>
              <w:shd w:val="clear" w:color="auto" w:fill="D9D9D9" w:themeFill="background1" w:themeFillShade="D9"/>
              <w:ind w:left="142" w:right="-141"/>
              <w:rPr>
                <w:rFonts w:cstheme="minorHAnsi"/>
                <w:b/>
                <w:bCs/>
                <w:sz w:val="18"/>
                <w:szCs w:val="18"/>
              </w:rPr>
            </w:pPr>
            <w:r>
              <w:rPr>
                <w:rFonts w:cstheme="minorHAnsi"/>
                <w:b/>
                <w:bCs/>
                <w:sz w:val="18"/>
                <w:szCs w:val="18"/>
              </w:rPr>
              <w:t>Activiteiten</w:t>
            </w:r>
          </w:p>
        </w:tc>
        <w:tc>
          <w:tcPr>
            <w:tcW w:w="6662" w:type="dxa"/>
            <w:gridSpan w:val="3"/>
            <w:vAlign w:val="center"/>
          </w:tcPr>
          <w:p w:rsidR="00F43C9B" w:rsidRDefault="00F43C9B" w:rsidP="00F43C9B">
            <w:pPr>
              <w:shd w:val="clear" w:color="auto" w:fill="D9D9D9" w:themeFill="background1" w:themeFillShade="D9"/>
              <w:ind w:left="142" w:right="-141"/>
              <w:rPr>
                <w:rFonts w:cstheme="minorHAnsi"/>
                <w:b/>
                <w:bCs/>
                <w:sz w:val="18"/>
                <w:szCs w:val="18"/>
              </w:rPr>
            </w:pPr>
            <w:r>
              <w:rPr>
                <w:rFonts w:cstheme="minorHAnsi"/>
                <w:b/>
                <w:bCs/>
                <w:sz w:val="18"/>
                <w:szCs w:val="18"/>
              </w:rPr>
              <w:t>Aanbrengen anorganische deklagen op metalen</w:t>
            </w:r>
          </w:p>
          <w:p w:rsidR="00F43C9B" w:rsidRDefault="00F43C9B" w:rsidP="00F43C9B">
            <w:pPr>
              <w:shd w:val="clear" w:color="auto" w:fill="D9D9D9" w:themeFill="background1" w:themeFillShade="D9"/>
              <w:ind w:left="142" w:right="-141"/>
              <w:rPr>
                <w:rFonts w:cstheme="minorHAnsi"/>
                <w:b/>
                <w:bCs/>
                <w:sz w:val="18"/>
                <w:szCs w:val="18"/>
              </w:rPr>
            </w:pPr>
            <w:r>
              <w:rPr>
                <w:rFonts w:cstheme="minorHAnsi"/>
                <w:b/>
                <w:bCs/>
                <w:sz w:val="18"/>
                <w:szCs w:val="18"/>
              </w:rPr>
              <w:t>Beitsen of etsen van metalen</w:t>
            </w:r>
          </w:p>
          <w:p w:rsidR="00F43C9B" w:rsidRDefault="00F43C9B" w:rsidP="00F43C9B">
            <w:pPr>
              <w:shd w:val="clear" w:color="auto" w:fill="D9D9D9" w:themeFill="background1" w:themeFillShade="D9"/>
              <w:ind w:left="142" w:right="-141"/>
              <w:rPr>
                <w:rFonts w:cstheme="minorHAnsi"/>
                <w:b/>
                <w:bCs/>
                <w:sz w:val="18"/>
                <w:szCs w:val="18"/>
              </w:rPr>
            </w:pPr>
            <w:r>
              <w:rPr>
                <w:rFonts w:cstheme="minorHAnsi"/>
                <w:b/>
                <w:bCs/>
                <w:sz w:val="18"/>
                <w:szCs w:val="18"/>
              </w:rPr>
              <w:t>Elektrolytisch of stroomloos aanbrengen van metaallagen op metalen</w:t>
            </w:r>
          </w:p>
          <w:p w:rsidR="00F43C9B" w:rsidRDefault="00F43C9B" w:rsidP="00F43C9B">
            <w:pPr>
              <w:shd w:val="clear" w:color="auto" w:fill="D9D9D9" w:themeFill="background1" w:themeFillShade="D9"/>
              <w:ind w:left="142" w:right="-141"/>
              <w:rPr>
                <w:rFonts w:cstheme="minorHAnsi"/>
                <w:b/>
                <w:bCs/>
                <w:sz w:val="18"/>
                <w:szCs w:val="18"/>
              </w:rPr>
            </w:pPr>
            <w:r>
              <w:rPr>
                <w:rFonts w:cstheme="minorHAnsi"/>
                <w:b/>
                <w:bCs/>
                <w:sz w:val="18"/>
                <w:szCs w:val="18"/>
              </w:rPr>
              <w:t>Aanbrengen van conversielagen op metalen</w:t>
            </w:r>
          </w:p>
          <w:p w:rsidR="00F43C9B" w:rsidRDefault="00F43C9B" w:rsidP="00F43C9B">
            <w:pPr>
              <w:shd w:val="clear" w:color="auto" w:fill="D9D9D9" w:themeFill="background1" w:themeFillShade="D9"/>
              <w:ind w:left="142" w:right="-141"/>
              <w:rPr>
                <w:rFonts w:cstheme="minorHAnsi"/>
                <w:b/>
                <w:bCs/>
                <w:sz w:val="18"/>
                <w:szCs w:val="18"/>
              </w:rPr>
            </w:pPr>
            <w:r>
              <w:rPr>
                <w:rFonts w:cstheme="minorHAnsi"/>
                <w:b/>
                <w:bCs/>
                <w:sz w:val="18"/>
                <w:szCs w:val="18"/>
              </w:rPr>
              <w:t>Thermisch aanbrengen van metaallagen op metalen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Nummer maatregel</w:t>
            </w:r>
          </w:p>
        </w:tc>
        <w:tc>
          <w:tcPr>
            <w:tcW w:w="6662" w:type="dxa"/>
            <w:gridSpan w:val="3"/>
            <w:vAlign w:val="center"/>
          </w:tcPr>
          <w:p w:rsidR="00F43C9B" w:rsidRDefault="00F43C9B" w:rsidP="00F43C9B">
            <w:pPr>
              <w:shd w:val="clear" w:color="auto" w:fill="D9D9D9" w:themeFill="background1" w:themeFillShade="D9"/>
              <w:ind w:left="142" w:right="-141"/>
              <w:rPr>
                <w:rFonts w:cstheme="minorHAnsi"/>
                <w:bCs/>
                <w:sz w:val="18"/>
                <w:szCs w:val="18"/>
              </w:rPr>
            </w:pPr>
            <w:r>
              <w:rPr>
                <w:rFonts w:cstheme="minorHAnsi"/>
                <w:bCs/>
                <w:sz w:val="18"/>
                <w:szCs w:val="18"/>
              </w:rPr>
              <w:t>29</w:t>
            </w:r>
          </w:p>
        </w:tc>
      </w:tr>
      <w:tr w:rsidR="00F43C9B" w:rsidRPr="00E15D20" w:rsidTr="00F43C9B">
        <w:trPr>
          <w:trHeight w:val="316"/>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 xml:space="preserve">Omschrijving </w:t>
            </w:r>
            <w:r>
              <w:rPr>
                <w:rFonts w:cstheme="minorHAnsi"/>
                <w:b/>
                <w:bCs/>
                <w:sz w:val="18"/>
                <w:szCs w:val="18"/>
              </w:rPr>
              <w:t>maatregel</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Energiezuinige warmteopwekking van procesbad toepassen.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Mogelijke technieken ten opzichte van uitgangssituatie</w:t>
            </w:r>
          </w:p>
        </w:tc>
        <w:tc>
          <w:tcPr>
            <w:tcW w:w="3331"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 Hoogrendementsketel HR107 met warmtewisselaar (voor procesbad) toepassen.</w:t>
            </w:r>
          </w:p>
        </w:tc>
        <w:tc>
          <w:tcPr>
            <w:tcW w:w="3331"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b) Hoogrendementsketel HR100, HR104 of HR107 toepassen.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Uitgangssituatie op basis van een referentietechniek</w:t>
            </w:r>
          </w:p>
        </w:tc>
        <w:tc>
          <w:tcPr>
            <w:tcW w:w="3331"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 Elektrische warmteopwekking is aanwezig.</w:t>
            </w:r>
          </w:p>
        </w:tc>
        <w:tc>
          <w:tcPr>
            <w:tcW w:w="3331"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b) Conventioneelrendements- (CR-) ketel is aanwezig voor bad met retourtemperatuur lager dan 55°C.</w:t>
            </w:r>
          </w:p>
        </w:tc>
      </w:tr>
      <w:tr w:rsidR="00F43C9B" w:rsidRPr="00E15D20" w:rsidTr="00F43C9B">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Technische randvoorwaarden</w:t>
            </w:r>
          </w:p>
        </w:tc>
        <w:tc>
          <w:tcPr>
            <w:tcW w:w="3331"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 Aansluitmogelijkheid voor cv-ketel(s) met voldoende capaciteit.</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Aansluiting aardgas, rookgasafvoer en condensafvoer zijn eenvoudig realiseerbaar.</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Bad geschikt voor ombouw (warmtewisselaar in bad of plaats voor externe warmtewisselaar met pomp).</w:t>
            </w:r>
          </w:p>
        </w:tc>
        <w:tc>
          <w:tcPr>
            <w:tcW w:w="3331"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b) Condensafvoer is eenvoudig realiseerbaar.</w:t>
            </w:r>
          </w:p>
        </w:tc>
      </w:tr>
      <w:tr w:rsidR="00F43C9B" w:rsidRPr="00E15D20" w:rsidTr="00F43C9B">
        <w:trPr>
          <w:trHeight w:val="3071"/>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Economische randvoorwaarden</w:t>
            </w:r>
          </w:p>
        </w:tc>
        <w:tc>
          <w:tcPr>
            <w:tcW w:w="2835"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 Vermogen elektrische warmteopwekking (in kW) vermenigvuldigd met bedrijfstijd (in uur per jaar) is minimaal 100.000 (kWh per jaar).</w:t>
            </w:r>
          </w:p>
        </w:tc>
        <w:tc>
          <w:tcPr>
            <w:tcW w:w="3827" w:type="dxa"/>
            <w:gridSpan w:val="2"/>
            <w:vAlign w:val="center"/>
          </w:tcPr>
          <w:p w:rsidR="00F43C9B" w:rsidRDefault="00F43C9B" w:rsidP="00F43C9B">
            <w:pPr>
              <w:shd w:val="clear" w:color="auto" w:fill="D9D9D9" w:themeFill="background1" w:themeFillShade="D9"/>
              <w:ind w:right="142"/>
              <w:rPr>
                <w:rFonts w:cstheme="minorHAnsi"/>
                <w:bCs/>
                <w:sz w:val="18"/>
                <w:szCs w:val="18"/>
              </w:rPr>
            </w:pPr>
            <w:r>
              <w:rPr>
                <w:rFonts w:cstheme="minorHAnsi"/>
                <w:bCs/>
                <w:sz w:val="18"/>
                <w:szCs w:val="18"/>
              </w:rPr>
              <w:t>b) Aardgasverbruik is minder dan 170.000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Toepasbaar op een zelfstandig of</w:t>
            </w:r>
            <w:r>
              <w:rPr>
                <w:rFonts w:cstheme="minorHAnsi"/>
                <w:b/>
                <w:bCs/>
                <w:sz w:val="18"/>
                <w:szCs w:val="18"/>
              </w:rPr>
              <w:t xml:space="preserve"> natuurlijk moment?</w:t>
            </w:r>
          </w:p>
        </w:tc>
        <w:tc>
          <w:tcPr>
            <w:tcW w:w="2835"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Zelfstandig moment: Ja.</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Natuurlijk moment: Ja.</w:t>
            </w:r>
          </w:p>
        </w:tc>
        <w:tc>
          <w:tcPr>
            <w:tcW w:w="3827"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Zelfstandig moment: Nee.</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Alternatieve erkende maatregelen</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[27] Warmteverlies via badoppervlak van procesbad beperken.</w:t>
            </w:r>
          </w:p>
        </w:tc>
      </w:tr>
      <w:tr w:rsidR="00F43C9B" w:rsidRPr="00E15D20" w:rsidTr="00F43C9B">
        <w:trPr>
          <w:trHeight w:val="112"/>
        </w:trPr>
        <w:tc>
          <w:tcPr>
            <w:tcW w:w="4112" w:type="dxa"/>
            <w:shd w:val="clear" w:color="auto" w:fill="A6A6A6"/>
            <w:vAlign w:val="center"/>
          </w:tcPr>
          <w:p w:rsidR="00F43C9B" w:rsidRPr="00E15D20" w:rsidRDefault="00F43C9B" w:rsidP="00F43C9B">
            <w:pPr>
              <w:shd w:val="clear" w:color="auto" w:fill="D9D9D9" w:themeFill="background1" w:themeFillShade="D9"/>
              <w:ind w:left="142" w:right="-141"/>
              <w:rPr>
                <w:rFonts w:cstheme="minorHAnsi"/>
                <w:b/>
                <w:bCs/>
                <w:sz w:val="18"/>
                <w:szCs w:val="18"/>
              </w:rPr>
            </w:pPr>
            <w:r w:rsidRPr="00E15D20">
              <w:rPr>
                <w:rFonts w:cstheme="minorHAnsi"/>
                <w:b/>
                <w:bCs/>
                <w:sz w:val="18"/>
                <w:szCs w:val="18"/>
              </w:rPr>
              <w:t>Bijzondere omstandigheden</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sz w:val="18"/>
                <w:szCs w:val="18"/>
              </w:rPr>
              <w:t>N.v.t.</w:t>
            </w:r>
          </w:p>
        </w:tc>
      </w:tr>
    </w:tbl>
    <w:p w:rsidR="00F43C9B" w:rsidRDefault="00F43C9B" w:rsidP="00F43C9B">
      <w:pPr>
        <w:shd w:val="clear" w:color="auto" w:fill="D9D9D9" w:themeFill="background1" w:themeFillShade="D9"/>
        <w:tabs>
          <w:tab w:val="left" w:pos="1350"/>
        </w:tabs>
        <w:rPr>
          <w:rFonts w:cstheme="minorHAnsi"/>
          <w:sz w:val="18"/>
          <w:szCs w:val="18"/>
        </w:rPr>
      </w:pPr>
      <w:bookmarkStart w:id="659" w:name="_Toc382223983"/>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6"/>
        <w:gridCol w:w="2896"/>
        <w:gridCol w:w="3742"/>
      </w:tblGrid>
      <w:tr w:rsidR="00F43C9B" w:rsidRPr="00E15D20" w:rsidTr="00F43C9B">
        <w:tc>
          <w:tcPr>
            <w:tcW w:w="4136" w:type="dxa"/>
            <w:shd w:val="clear" w:color="auto" w:fill="B3B3B3"/>
            <w:vAlign w:val="center"/>
          </w:tcPr>
          <w:p w:rsidR="00F43C9B" w:rsidRDefault="00F43C9B" w:rsidP="00F43C9B">
            <w:pPr>
              <w:shd w:val="clear" w:color="auto" w:fill="D9D9D9" w:themeFill="background1" w:themeFillShade="D9"/>
              <w:ind w:left="34" w:right="-225"/>
              <w:rPr>
                <w:rFonts w:cstheme="minorHAnsi"/>
                <w:b/>
                <w:bCs/>
                <w:sz w:val="18"/>
                <w:szCs w:val="18"/>
              </w:rPr>
            </w:pPr>
            <w:r>
              <w:rPr>
                <w:rFonts w:cstheme="minorHAnsi"/>
                <w:b/>
                <w:bCs/>
                <w:sz w:val="18"/>
                <w:szCs w:val="18"/>
              </w:rPr>
              <w:t>Activiteit</w:t>
            </w:r>
          </w:p>
        </w:tc>
        <w:tc>
          <w:tcPr>
            <w:tcW w:w="6638" w:type="dxa"/>
            <w:gridSpan w:val="2"/>
            <w:vAlign w:val="center"/>
          </w:tcPr>
          <w:p w:rsidR="00F43C9B" w:rsidRDefault="00F43C9B" w:rsidP="00F43C9B">
            <w:pPr>
              <w:shd w:val="clear" w:color="auto" w:fill="D9D9D9" w:themeFill="background1" w:themeFillShade="D9"/>
              <w:ind w:left="34" w:right="176"/>
              <w:rPr>
                <w:rFonts w:cstheme="minorHAnsi"/>
                <w:b/>
                <w:bCs/>
                <w:sz w:val="18"/>
                <w:szCs w:val="18"/>
              </w:rPr>
            </w:pPr>
            <w:r>
              <w:rPr>
                <w:rFonts w:cstheme="minorHAnsi"/>
                <w:b/>
                <w:bCs/>
                <w:sz w:val="18"/>
                <w:szCs w:val="18"/>
              </w:rPr>
              <w:t>Drogen van metalen</w:t>
            </w:r>
          </w:p>
        </w:tc>
      </w:tr>
      <w:tr w:rsidR="00F43C9B" w:rsidRPr="00E15D20" w:rsidTr="00F43C9B">
        <w:tc>
          <w:tcPr>
            <w:tcW w:w="4136" w:type="dxa"/>
            <w:shd w:val="clear" w:color="auto" w:fill="B3B3B3"/>
            <w:vAlign w:val="center"/>
          </w:tcPr>
          <w:p w:rsidR="00F43C9B" w:rsidRPr="00E15D20" w:rsidRDefault="00F43C9B" w:rsidP="00F43C9B">
            <w:pPr>
              <w:shd w:val="clear" w:color="auto" w:fill="D9D9D9" w:themeFill="background1" w:themeFillShade="D9"/>
              <w:ind w:left="34" w:right="-225"/>
              <w:rPr>
                <w:rFonts w:cstheme="minorHAnsi"/>
                <w:b/>
                <w:bCs/>
                <w:sz w:val="18"/>
                <w:szCs w:val="18"/>
              </w:rPr>
            </w:pPr>
            <w:r w:rsidRPr="00E15D20">
              <w:rPr>
                <w:rFonts w:cstheme="minorHAnsi"/>
                <w:b/>
                <w:bCs/>
                <w:sz w:val="18"/>
                <w:szCs w:val="18"/>
              </w:rPr>
              <w:t>Nummer maatregel</w:t>
            </w:r>
          </w:p>
        </w:tc>
        <w:tc>
          <w:tcPr>
            <w:tcW w:w="6638"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30</w:t>
            </w:r>
          </w:p>
        </w:tc>
      </w:tr>
      <w:tr w:rsidR="00F43C9B" w:rsidRPr="00E15D20" w:rsidTr="00F43C9B">
        <w:tc>
          <w:tcPr>
            <w:tcW w:w="4136" w:type="dxa"/>
            <w:shd w:val="clear" w:color="auto" w:fill="B3B3B3"/>
            <w:vAlign w:val="center"/>
          </w:tcPr>
          <w:p w:rsidR="00F43C9B" w:rsidRPr="00E15D20" w:rsidRDefault="00F43C9B" w:rsidP="00F43C9B">
            <w:pPr>
              <w:shd w:val="clear" w:color="auto" w:fill="D9D9D9" w:themeFill="background1" w:themeFillShade="D9"/>
              <w:ind w:left="34" w:right="-225"/>
              <w:rPr>
                <w:rFonts w:cstheme="minorHAnsi"/>
                <w:b/>
                <w:bCs/>
                <w:sz w:val="18"/>
                <w:szCs w:val="18"/>
              </w:rPr>
            </w:pPr>
            <w:r w:rsidRPr="00E15D20">
              <w:rPr>
                <w:rFonts w:cstheme="minorHAnsi"/>
                <w:b/>
                <w:bCs/>
                <w:sz w:val="18"/>
                <w:szCs w:val="18"/>
              </w:rPr>
              <w:t>Omschrijving maatregel</w:t>
            </w:r>
          </w:p>
        </w:tc>
        <w:tc>
          <w:tcPr>
            <w:tcW w:w="6638"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 xml:space="preserve">Warmte uit uitgaande drogerlucht </w:t>
            </w:r>
            <w:r>
              <w:rPr>
                <w:rFonts w:cstheme="minorHAnsi"/>
                <w:sz w:val="18"/>
                <w:szCs w:val="18"/>
              </w:rPr>
              <w:t>gebruiken voor voorverwarmen ingaande drogerlucht.</w:t>
            </w:r>
          </w:p>
        </w:tc>
      </w:tr>
      <w:tr w:rsidR="00F43C9B" w:rsidRPr="00E15D20" w:rsidTr="00F43C9B">
        <w:tc>
          <w:tcPr>
            <w:tcW w:w="4136" w:type="dxa"/>
            <w:shd w:val="clear" w:color="auto" w:fill="B3B3B3"/>
            <w:vAlign w:val="center"/>
          </w:tcPr>
          <w:p w:rsidR="00F43C9B" w:rsidRPr="00E15D20" w:rsidRDefault="00F43C9B" w:rsidP="00F43C9B">
            <w:pPr>
              <w:shd w:val="clear" w:color="auto" w:fill="D9D9D9" w:themeFill="background1" w:themeFillShade="D9"/>
              <w:ind w:left="34" w:right="-225"/>
              <w:rPr>
                <w:rFonts w:cstheme="minorHAnsi"/>
                <w:b/>
                <w:bCs/>
                <w:sz w:val="18"/>
                <w:szCs w:val="18"/>
              </w:rPr>
            </w:pPr>
            <w:r w:rsidRPr="00E15D20">
              <w:rPr>
                <w:rFonts w:cstheme="minorHAnsi"/>
                <w:b/>
                <w:bCs/>
                <w:sz w:val="18"/>
                <w:szCs w:val="18"/>
              </w:rPr>
              <w:t>Mogelijke technieken ten opzichte van uitgangssituatie</w:t>
            </w:r>
          </w:p>
        </w:tc>
        <w:tc>
          <w:tcPr>
            <w:tcW w:w="2896" w:type="dxa"/>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a) Platenwarmtewisselaar (met rendement van minimaal 65%) toepassen.</w:t>
            </w:r>
          </w:p>
        </w:tc>
        <w:tc>
          <w:tcPr>
            <w:tcW w:w="3742" w:type="dxa"/>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b) Twincoilsysteem (met rendement van minimaal 65%) toepassen.</w:t>
            </w:r>
          </w:p>
        </w:tc>
      </w:tr>
      <w:tr w:rsidR="00F43C9B" w:rsidRPr="00E15D20" w:rsidTr="00F43C9B">
        <w:tc>
          <w:tcPr>
            <w:tcW w:w="4136" w:type="dxa"/>
            <w:shd w:val="clear" w:color="auto" w:fill="B3B3B3"/>
            <w:vAlign w:val="center"/>
          </w:tcPr>
          <w:p w:rsidR="00F43C9B" w:rsidRPr="00E15D20" w:rsidRDefault="00F43C9B" w:rsidP="00F43C9B">
            <w:pPr>
              <w:shd w:val="clear" w:color="auto" w:fill="D9D9D9" w:themeFill="background1" w:themeFillShade="D9"/>
              <w:ind w:left="34" w:right="-225"/>
              <w:rPr>
                <w:rFonts w:cstheme="minorHAnsi"/>
                <w:b/>
                <w:bCs/>
                <w:sz w:val="18"/>
                <w:szCs w:val="18"/>
              </w:rPr>
            </w:pPr>
            <w:r w:rsidRPr="00E15D20">
              <w:rPr>
                <w:rFonts w:cstheme="minorHAnsi"/>
                <w:b/>
                <w:bCs/>
                <w:sz w:val="18"/>
                <w:szCs w:val="18"/>
              </w:rPr>
              <w:t>Uitgangssituatie op basis van een referentietechniek</w:t>
            </w:r>
          </w:p>
        </w:tc>
        <w:tc>
          <w:tcPr>
            <w:tcW w:w="6638"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Warmteterugwinsysteem ontbreekt voor uitgaande drogerlucht bij droger met centrale luchttoevoer- en afvoer nabij elkaar.</w:t>
            </w:r>
          </w:p>
        </w:tc>
      </w:tr>
      <w:tr w:rsidR="00F43C9B" w:rsidRPr="00E15D20" w:rsidTr="00F43C9B">
        <w:tc>
          <w:tcPr>
            <w:tcW w:w="4136" w:type="dxa"/>
            <w:shd w:val="clear" w:color="auto" w:fill="B3B3B3"/>
            <w:vAlign w:val="center"/>
          </w:tcPr>
          <w:p w:rsidR="00F43C9B" w:rsidRPr="00E15D20" w:rsidRDefault="00F43C9B" w:rsidP="00F43C9B">
            <w:pPr>
              <w:shd w:val="clear" w:color="auto" w:fill="D9D9D9" w:themeFill="background1" w:themeFillShade="D9"/>
              <w:ind w:left="34" w:right="-225"/>
              <w:rPr>
                <w:rFonts w:cstheme="minorHAnsi"/>
                <w:b/>
                <w:bCs/>
                <w:sz w:val="18"/>
                <w:szCs w:val="18"/>
              </w:rPr>
            </w:pPr>
            <w:r w:rsidRPr="00E15D20">
              <w:rPr>
                <w:rFonts w:cstheme="minorHAnsi"/>
                <w:b/>
                <w:bCs/>
                <w:sz w:val="18"/>
                <w:szCs w:val="18"/>
              </w:rPr>
              <w:t>Technische randvoorwaarden</w:t>
            </w:r>
          </w:p>
        </w:tc>
        <w:tc>
          <w:tcPr>
            <w:tcW w:w="6638"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Luchttoevoer en luchtafvoer liggen nabij elkaar en worden niet door bouwkundige elementen gescheiden.</w:t>
            </w:r>
          </w:p>
        </w:tc>
      </w:tr>
      <w:tr w:rsidR="00F43C9B" w:rsidRPr="00E15D20" w:rsidTr="00F43C9B">
        <w:trPr>
          <w:trHeight w:val="456"/>
        </w:trPr>
        <w:tc>
          <w:tcPr>
            <w:tcW w:w="4136" w:type="dxa"/>
            <w:shd w:val="clear" w:color="auto" w:fill="B3B3B3"/>
            <w:vAlign w:val="center"/>
          </w:tcPr>
          <w:p w:rsidR="00F43C9B" w:rsidRPr="00E15D20" w:rsidRDefault="00F43C9B" w:rsidP="00F43C9B">
            <w:pPr>
              <w:shd w:val="clear" w:color="auto" w:fill="D9D9D9" w:themeFill="background1" w:themeFillShade="D9"/>
              <w:ind w:left="34" w:right="-225"/>
              <w:rPr>
                <w:rFonts w:cstheme="minorHAnsi"/>
                <w:b/>
                <w:bCs/>
                <w:sz w:val="18"/>
                <w:szCs w:val="18"/>
              </w:rPr>
            </w:pPr>
            <w:r w:rsidRPr="00E15D20">
              <w:rPr>
                <w:rFonts w:cstheme="minorHAnsi"/>
                <w:b/>
                <w:bCs/>
                <w:sz w:val="18"/>
                <w:szCs w:val="18"/>
              </w:rPr>
              <w:t xml:space="preserve">Economische </w:t>
            </w:r>
            <w:r>
              <w:rPr>
                <w:rFonts w:cstheme="minorHAnsi"/>
                <w:b/>
                <w:bCs/>
                <w:sz w:val="18"/>
                <w:szCs w:val="18"/>
              </w:rPr>
              <w:t>randvoorwaarden</w:t>
            </w:r>
          </w:p>
        </w:tc>
        <w:tc>
          <w:tcPr>
            <w:tcW w:w="6638"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Debiet drooglucht (in m</w:t>
            </w:r>
            <w:r>
              <w:rPr>
                <w:rFonts w:cstheme="minorHAnsi"/>
                <w:bCs/>
                <w:sz w:val="18"/>
                <w:szCs w:val="18"/>
                <w:vertAlign w:val="superscript"/>
              </w:rPr>
              <w:t>3</w:t>
            </w:r>
            <w:r>
              <w:rPr>
                <w:rFonts w:cstheme="minorHAnsi"/>
                <w:bCs/>
                <w:sz w:val="18"/>
                <w:szCs w:val="18"/>
              </w:rPr>
              <w:t xml:space="preserve"> per uur) vermenigvuldigd met bedrijfstijd (in uur per jaar) is meer dan 12 miljoen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Temperatuurverschil tussen ingaande en uitgaande drogerlucht is minimaal 85°C.</w:t>
            </w:r>
          </w:p>
        </w:tc>
      </w:tr>
      <w:tr w:rsidR="00F43C9B" w:rsidRPr="00E15D20" w:rsidTr="00F43C9B">
        <w:tc>
          <w:tcPr>
            <w:tcW w:w="4136" w:type="dxa"/>
            <w:shd w:val="clear" w:color="auto" w:fill="B3B3B3"/>
            <w:vAlign w:val="center"/>
          </w:tcPr>
          <w:p w:rsidR="00F43C9B" w:rsidRPr="00E15D20" w:rsidRDefault="00F43C9B" w:rsidP="00F43C9B">
            <w:pPr>
              <w:shd w:val="clear" w:color="auto" w:fill="D9D9D9" w:themeFill="background1" w:themeFillShade="D9"/>
              <w:ind w:left="34" w:right="-225"/>
              <w:rPr>
                <w:rFonts w:cstheme="minorHAnsi"/>
                <w:b/>
                <w:bCs/>
                <w:sz w:val="18"/>
                <w:szCs w:val="18"/>
              </w:rPr>
            </w:pPr>
            <w:r w:rsidRPr="00E15D20">
              <w:rPr>
                <w:rFonts w:cstheme="minorHAnsi"/>
                <w:b/>
                <w:bCs/>
                <w:sz w:val="18"/>
                <w:szCs w:val="18"/>
              </w:rPr>
              <w:t>Toepasbaar op een zelfstandig of natuurlijk moment?</w:t>
            </w:r>
          </w:p>
        </w:tc>
        <w:tc>
          <w:tcPr>
            <w:tcW w:w="6638"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Natuurlijk moment: Ja.</w:t>
            </w:r>
          </w:p>
        </w:tc>
      </w:tr>
      <w:tr w:rsidR="00F43C9B" w:rsidRPr="00E15D20" w:rsidTr="00F43C9B">
        <w:tc>
          <w:tcPr>
            <w:tcW w:w="4136" w:type="dxa"/>
            <w:shd w:val="clear" w:color="auto" w:fill="B3B3B3"/>
            <w:vAlign w:val="center"/>
          </w:tcPr>
          <w:p w:rsidR="00F43C9B" w:rsidRPr="00E15D20" w:rsidRDefault="00F43C9B" w:rsidP="00F43C9B">
            <w:pPr>
              <w:shd w:val="clear" w:color="auto" w:fill="D9D9D9" w:themeFill="background1" w:themeFillShade="D9"/>
              <w:ind w:left="34" w:right="-225"/>
              <w:rPr>
                <w:rFonts w:cstheme="minorHAnsi"/>
                <w:b/>
                <w:bCs/>
                <w:sz w:val="18"/>
                <w:szCs w:val="18"/>
              </w:rPr>
            </w:pPr>
            <w:r w:rsidRPr="00E15D20">
              <w:rPr>
                <w:rFonts w:cstheme="minorHAnsi"/>
                <w:b/>
                <w:bCs/>
                <w:sz w:val="18"/>
                <w:szCs w:val="18"/>
              </w:rPr>
              <w:t>Alternatieve erkende maatregelen</w:t>
            </w:r>
          </w:p>
        </w:tc>
        <w:tc>
          <w:tcPr>
            <w:tcW w:w="6638"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sz w:val="18"/>
                <w:szCs w:val="18"/>
              </w:rPr>
              <w:t>N.v.t.</w:t>
            </w:r>
          </w:p>
        </w:tc>
      </w:tr>
      <w:tr w:rsidR="00F43C9B" w:rsidRPr="00E15D20" w:rsidTr="00F43C9B">
        <w:tc>
          <w:tcPr>
            <w:tcW w:w="4136" w:type="dxa"/>
            <w:shd w:val="clear" w:color="auto" w:fill="B3B3B3"/>
            <w:vAlign w:val="center"/>
          </w:tcPr>
          <w:p w:rsidR="00F43C9B" w:rsidRPr="00E15D20" w:rsidRDefault="00F43C9B" w:rsidP="00F43C9B">
            <w:pPr>
              <w:shd w:val="clear" w:color="auto" w:fill="D9D9D9" w:themeFill="background1" w:themeFillShade="D9"/>
              <w:ind w:left="34" w:right="-225"/>
              <w:rPr>
                <w:rFonts w:cstheme="minorHAnsi"/>
                <w:b/>
                <w:bCs/>
                <w:sz w:val="18"/>
                <w:szCs w:val="18"/>
              </w:rPr>
            </w:pPr>
            <w:r w:rsidRPr="00E15D20">
              <w:rPr>
                <w:rFonts w:cstheme="minorHAnsi"/>
                <w:b/>
                <w:bCs/>
                <w:sz w:val="18"/>
                <w:szCs w:val="18"/>
              </w:rPr>
              <w:t>Bijzondere omstandigheden</w:t>
            </w:r>
          </w:p>
        </w:tc>
        <w:tc>
          <w:tcPr>
            <w:tcW w:w="6638"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sz w:val="18"/>
                <w:szCs w:val="18"/>
              </w:rPr>
              <w:t>N.v.t.</w:t>
            </w:r>
          </w:p>
        </w:tc>
      </w:tr>
      <w:bookmarkEnd w:id="659"/>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p w:rsidR="00F43C9B" w:rsidRDefault="00F43C9B" w:rsidP="00F43C9B">
      <w:pPr>
        <w:shd w:val="clear" w:color="auto" w:fill="D9D9D9" w:themeFill="background1" w:themeFillShade="D9"/>
        <w:rPr>
          <w:rFonts w:cstheme="minorHAnsi"/>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tabs>
                <w:tab w:val="left" w:pos="34"/>
              </w:tabs>
              <w:ind w:left="34" w:right="-249"/>
              <w:rPr>
                <w:rFonts w:cstheme="minorHAnsi"/>
                <w:b/>
                <w:bCs/>
                <w:sz w:val="18"/>
                <w:szCs w:val="18"/>
              </w:rPr>
            </w:pPr>
            <w:r>
              <w:rPr>
                <w:rFonts w:cstheme="minorHAnsi"/>
                <w:b/>
                <w:bCs/>
                <w:sz w:val="18"/>
                <w:szCs w:val="18"/>
              </w:rPr>
              <w:t>Activiteit</w:t>
            </w:r>
          </w:p>
        </w:tc>
        <w:tc>
          <w:tcPr>
            <w:tcW w:w="6662" w:type="dxa"/>
            <w:vAlign w:val="center"/>
          </w:tcPr>
          <w:p w:rsidR="00F43C9B" w:rsidRDefault="00F43C9B" w:rsidP="00F43C9B">
            <w:pPr>
              <w:shd w:val="clear" w:color="auto" w:fill="D9D9D9" w:themeFill="background1" w:themeFillShade="D9"/>
              <w:tabs>
                <w:tab w:val="left" w:pos="34"/>
              </w:tabs>
              <w:ind w:left="34" w:right="-249"/>
              <w:rPr>
                <w:rFonts w:cstheme="minorHAnsi"/>
                <w:b/>
                <w:bCs/>
                <w:sz w:val="18"/>
                <w:szCs w:val="18"/>
              </w:rPr>
            </w:pPr>
            <w:r>
              <w:rPr>
                <w:rFonts w:cstheme="minorHAnsi"/>
                <w:b/>
                <w:bCs/>
                <w:sz w:val="18"/>
                <w:szCs w:val="18"/>
              </w:rPr>
              <w:t>Drogen van metalen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tabs>
                <w:tab w:val="left" w:pos="34"/>
              </w:tabs>
              <w:ind w:left="34" w:right="-24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bCs/>
                <w:sz w:val="18"/>
                <w:szCs w:val="18"/>
              </w:rPr>
              <w:t>31</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tabs>
                <w:tab w:val="left" w:pos="34"/>
              </w:tabs>
              <w:ind w:left="34" w:right="-24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bCs/>
                <w:sz w:val="18"/>
                <w:szCs w:val="18"/>
              </w:rPr>
              <w:t>Energiezuinige voorverwarming van metalen bij moffelovens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tabs>
                <w:tab w:val="left" w:pos="34"/>
              </w:tabs>
              <w:ind w:left="34" w:right="-24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bCs/>
                <w:sz w:val="18"/>
                <w:szCs w:val="18"/>
              </w:rPr>
              <w:t>Infrarood voorverwarming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tabs>
                <w:tab w:val="left" w:pos="34"/>
              </w:tabs>
              <w:ind w:left="34" w:right="-24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bCs/>
                <w:sz w:val="18"/>
                <w:szCs w:val="18"/>
              </w:rPr>
              <w:t>Voorverwarmen met warme lucht.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tabs>
                <w:tab w:val="left" w:pos="34"/>
              </w:tabs>
              <w:ind w:left="34" w:right="-24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bCs/>
                <w:sz w:val="18"/>
                <w:szCs w:val="18"/>
              </w:rPr>
              <w:t>N.v.t.</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tabs>
                <w:tab w:val="left" w:pos="34"/>
              </w:tabs>
              <w:ind w:left="34" w:right="-24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bCs/>
                <w:sz w:val="18"/>
                <w:szCs w:val="18"/>
              </w:rPr>
              <w:t>Bedrijfstijd moffeloven is meer dan 3.300 uur per jaar.</w:t>
            </w:r>
          </w:p>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bCs/>
                <w:sz w:val="18"/>
                <w:szCs w:val="18"/>
              </w:rPr>
              <w:t>Temperatuur moffeloven is meer dan 220°C.</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tabs>
                <w:tab w:val="left" w:pos="34"/>
              </w:tabs>
              <w:ind w:left="34" w:right="-249"/>
              <w:rPr>
                <w:rFonts w:cstheme="minorHAnsi"/>
                <w:b/>
                <w:bCs/>
                <w:sz w:val="18"/>
                <w:szCs w:val="18"/>
              </w:rPr>
            </w:pPr>
            <w:r w:rsidRPr="00E15D20">
              <w:rPr>
                <w:rFonts w:cstheme="minorHAnsi"/>
                <w:b/>
                <w:bCs/>
                <w:sz w:val="18"/>
                <w:szCs w:val="18"/>
              </w:rPr>
              <w:t>Toepasbaar op een zelfstandig</w:t>
            </w:r>
            <w:r>
              <w:rPr>
                <w:rFonts w:cstheme="minorHAnsi"/>
                <w:b/>
                <w:bCs/>
                <w:sz w:val="18"/>
                <w:szCs w:val="18"/>
              </w:rPr>
              <w:t xml:space="preserve">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tabs>
                <w:tab w:val="left" w:pos="34"/>
              </w:tabs>
              <w:ind w:left="34" w:right="-24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sz w:val="18"/>
                <w:szCs w:val="18"/>
              </w:rPr>
              <w:t>N.v.t.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tabs>
                <w:tab w:val="left" w:pos="34"/>
              </w:tabs>
              <w:ind w:left="34" w:right="-24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tabs>
                <w:tab w:val="left" w:pos="34"/>
              </w:tabs>
              <w:ind w:left="34" w:right="-24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2"/>
        <w:gridCol w:w="3331"/>
        <w:gridCol w:w="212"/>
        <w:gridCol w:w="3119"/>
      </w:tblGrid>
      <w:tr w:rsidR="00F43C9B" w:rsidRPr="00E15D20" w:rsidTr="00F43C9B">
        <w:trPr>
          <w:trHeight w:val="397"/>
        </w:trPr>
        <w:tc>
          <w:tcPr>
            <w:tcW w:w="4112" w:type="dxa"/>
            <w:shd w:val="clear" w:color="auto" w:fill="A6A6A6"/>
            <w:vAlign w:val="center"/>
          </w:tcPr>
          <w:p w:rsidR="00F43C9B" w:rsidRDefault="00F43C9B" w:rsidP="00F43C9B">
            <w:pPr>
              <w:shd w:val="clear" w:color="auto" w:fill="D9D9D9" w:themeFill="background1" w:themeFillShade="D9"/>
              <w:ind w:left="142"/>
              <w:rPr>
                <w:rFonts w:cstheme="minorHAnsi"/>
                <w:b/>
                <w:bCs/>
                <w:sz w:val="18"/>
                <w:szCs w:val="18"/>
              </w:rPr>
            </w:pPr>
            <w:r>
              <w:rPr>
                <w:rFonts w:cstheme="minorHAnsi"/>
                <w:b/>
                <w:bCs/>
                <w:sz w:val="18"/>
                <w:szCs w:val="18"/>
              </w:rPr>
              <w:t>Activiteit</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
                <w:bCs/>
                <w:sz w:val="18"/>
                <w:szCs w:val="18"/>
              </w:rPr>
            </w:pPr>
            <w:r>
              <w:rPr>
                <w:rFonts w:cstheme="minorHAnsi"/>
                <w:b/>
                <w:bCs/>
                <w:sz w:val="18"/>
                <w:szCs w:val="18"/>
              </w:rPr>
              <w:t>Reinigen, lijmen of coaten van metalen</w:t>
            </w:r>
          </w:p>
        </w:tc>
      </w:tr>
      <w:tr w:rsidR="00F43C9B" w:rsidRPr="00E15D20" w:rsidTr="00F43C9B">
        <w:trPr>
          <w:trHeight w:val="100"/>
        </w:trPr>
        <w:tc>
          <w:tcPr>
            <w:tcW w:w="4112" w:type="dxa"/>
            <w:shd w:val="clear" w:color="auto" w:fill="A6A6A6"/>
            <w:vAlign w:val="center"/>
          </w:tcPr>
          <w:p w:rsidR="00F43C9B" w:rsidRPr="00E15D20" w:rsidRDefault="00F43C9B" w:rsidP="00F43C9B">
            <w:pPr>
              <w:shd w:val="clear" w:color="auto" w:fill="D9D9D9" w:themeFill="background1" w:themeFillShade="D9"/>
              <w:ind w:left="142"/>
              <w:rPr>
                <w:rFonts w:cstheme="minorHAnsi"/>
                <w:b/>
                <w:bCs/>
                <w:sz w:val="18"/>
                <w:szCs w:val="18"/>
              </w:rPr>
            </w:pPr>
            <w:r w:rsidRPr="00E15D20">
              <w:rPr>
                <w:rFonts w:cstheme="minorHAnsi"/>
                <w:b/>
                <w:bCs/>
                <w:sz w:val="18"/>
                <w:szCs w:val="18"/>
              </w:rPr>
              <w:t>Nummer maatregel</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32</w:t>
            </w:r>
          </w:p>
        </w:tc>
      </w:tr>
      <w:tr w:rsidR="00F43C9B" w:rsidRPr="00E15D20" w:rsidTr="00F43C9B">
        <w:trPr>
          <w:trHeight w:val="234"/>
        </w:trPr>
        <w:tc>
          <w:tcPr>
            <w:tcW w:w="4112" w:type="dxa"/>
            <w:shd w:val="clear" w:color="auto" w:fill="A6A6A6"/>
            <w:vAlign w:val="center"/>
          </w:tcPr>
          <w:p w:rsidR="00F43C9B" w:rsidRPr="00E15D20" w:rsidRDefault="00F43C9B" w:rsidP="00F43C9B">
            <w:pPr>
              <w:shd w:val="clear" w:color="auto" w:fill="D9D9D9" w:themeFill="background1" w:themeFillShade="D9"/>
              <w:ind w:left="142"/>
              <w:rPr>
                <w:rFonts w:cstheme="minorHAnsi"/>
                <w:b/>
                <w:bCs/>
                <w:sz w:val="18"/>
                <w:szCs w:val="18"/>
              </w:rPr>
            </w:pPr>
            <w:r w:rsidRPr="00E15D20">
              <w:rPr>
                <w:rFonts w:cstheme="minorHAnsi"/>
                <w:b/>
                <w:bCs/>
                <w:sz w:val="18"/>
                <w:szCs w:val="18"/>
              </w:rPr>
              <w:t>Omschrijving maatregel</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sz w:val="18"/>
                <w:szCs w:val="18"/>
              </w:rPr>
              <w:t>Vollasturen ventilatoren van moffeloven beperken door automatisch regelen op basis van bezettingsgraad.</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Pr>
                <w:rFonts w:cstheme="minorHAnsi"/>
                <w:b/>
                <w:bCs/>
                <w:sz w:val="18"/>
                <w:szCs w:val="18"/>
              </w:rPr>
            </w:pPr>
            <w:r w:rsidRPr="00E15D20">
              <w:rPr>
                <w:rFonts w:cstheme="minorHAnsi"/>
                <w:b/>
                <w:bCs/>
                <w:sz w:val="18"/>
                <w:szCs w:val="18"/>
              </w:rPr>
              <w:t>Mogelijke technieken ten opzichte van uitgangssituatie</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Toerenregeling met bezettingsgraaddetectie toepassen.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Pr>
                <w:rFonts w:cstheme="minorHAnsi"/>
                <w:b/>
                <w:bCs/>
                <w:sz w:val="18"/>
                <w:szCs w:val="18"/>
              </w:rPr>
            </w:pPr>
            <w:r w:rsidRPr="00E15D20">
              <w:rPr>
                <w:rFonts w:cstheme="minorHAnsi"/>
                <w:b/>
                <w:bCs/>
                <w:sz w:val="18"/>
                <w:szCs w:val="18"/>
              </w:rPr>
              <w:t xml:space="preserve">Uitgangssituatie op basis van een </w:t>
            </w:r>
            <w:r>
              <w:rPr>
                <w:rFonts w:cstheme="minorHAnsi"/>
                <w:b/>
                <w:bCs/>
                <w:sz w:val="18"/>
                <w:szCs w:val="18"/>
              </w:rPr>
              <w:t>referentietechniek</w:t>
            </w:r>
          </w:p>
        </w:tc>
        <w:tc>
          <w:tcPr>
            <w:tcW w:w="3331"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 Toerenregeling of bezettingsgraaddetectie ontbreekt op doorloopoven.</w:t>
            </w:r>
          </w:p>
        </w:tc>
        <w:tc>
          <w:tcPr>
            <w:tcW w:w="3331"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b) Toerenregeling of bezettingsgraaddetectie ontbreekt op batchoven.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ind w:left="142"/>
              <w:rPr>
                <w:rFonts w:cstheme="minorHAnsi"/>
                <w:b/>
                <w:bCs/>
                <w:sz w:val="18"/>
                <w:szCs w:val="18"/>
              </w:rPr>
            </w:pPr>
            <w:r w:rsidRPr="00E15D20">
              <w:rPr>
                <w:rFonts w:cstheme="minorHAnsi"/>
                <w:b/>
                <w:bCs/>
                <w:sz w:val="18"/>
                <w:szCs w:val="18"/>
              </w:rPr>
              <w:t>Technische randvoorwaarden</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Toerenregeling dusdanig instellen dat er geen doorverwarming van elektromotor mogelijk is.</w:t>
            </w:r>
          </w:p>
        </w:tc>
      </w:tr>
      <w:tr w:rsidR="00F43C9B" w:rsidRPr="00E15D20" w:rsidTr="00F43C9B">
        <w:tc>
          <w:tcPr>
            <w:tcW w:w="4112" w:type="dxa"/>
            <w:vMerge w:val="restart"/>
            <w:shd w:val="clear" w:color="auto" w:fill="A6A6A6"/>
            <w:vAlign w:val="center"/>
          </w:tcPr>
          <w:p w:rsidR="00F43C9B" w:rsidRPr="00E15D20" w:rsidRDefault="00F43C9B" w:rsidP="00F43C9B">
            <w:pPr>
              <w:shd w:val="clear" w:color="auto" w:fill="D9D9D9" w:themeFill="background1" w:themeFillShade="D9"/>
              <w:ind w:left="142"/>
              <w:rPr>
                <w:rFonts w:cstheme="minorHAnsi"/>
                <w:b/>
                <w:bCs/>
                <w:sz w:val="18"/>
                <w:szCs w:val="18"/>
              </w:rPr>
            </w:pPr>
            <w:r w:rsidRPr="00E15D20">
              <w:rPr>
                <w:rFonts w:cstheme="minorHAnsi"/>
                <w:b/>
                <w:bCs/>
                <w:sz w:val="18"/>
                <w:szCs w:val="18"/>
              </w:rPr>
              <w:t>Economische randvoorwaarden</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Bedrijfstijd moffeloven is meer dan 2.500 uur per jaar.</w:t>
            </w:r>
          </w:p>
        </w:tc>
      </w:tr>
      <w:tr w:rsidR="00F43C9B" w:rsidRPr="00E15D20" w:rsidTr="00F43C9B">
        <w:tc>
          <w:tcPr>
            <w:tcW w:w="4112" w:type="dxa"/>
            <w:vMerge/>
            <w:shd w:val="clear" w:color="auto" w:fill="A6A6A6"/>
            <w:vAlign w:val="center"/>
          </w:tcPr>
          <w:p w:rsidR="00F43C9B" w:rsidRDefault="00F43C9B" w:rsidP="00F43C9B">
            <w:pPr>
              <w:shd w:val="clear" w:color="auto" w:fill="D9D9D9" w:themeFill="background1" w:themeFillShade="D9"/>
              <w:ind w:left="142"/>
              <w:rPr>
                <w:rFonts w:cstheme="minorHAnsi"/>
                <w:b/>
                <w:bCs/>
                <w:sz w:val="18"/>
                <w:szCs w:val="18"/>
              </w:rPr>
            </w:pPr>
          </w:p>
        </w:tc>
        <w:tc>
          <w:tcPr>
            <w:tcW w:w="3543" w:type="dxa"/>
            <w:gridSpan w:val="2"/>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a) Vermogen ventilator is meer dan 8 kW.</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Ovenbezetting is meer dan 25% en oven is meer dan 75% van bedrijfstijd niet maximaal bezet (ter indicatie: bij bedrijfstijd van 2.500 uur per jaar is dat 1.900 uur per jaar).</w:t>
            </w:r>
          </w:p>
        </w:tc>
        <w:tc>
          <w:tcPr>
            <w:tcW w:w="3119" w:type="dxa"/>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b) Vermogen ventilator is meer dan 12 kW.</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Ovenbezetting is meer dan 50%.</w:t>
            </w:r>
          </w:p>
        </w:tc>
      </w:tr>
      <w:tr w:rsidR="00F43C9B" w:rsidRPr="00E15D20" w:rsidTr="00F43C9B">
        <w:trPr>
          <w:trHeight w:val="196"/>
        </w:trPr>
        <w:tc>
          <w:tcPr>
            <w:tcW w:w="4112" w:type="dxa"/>
            <w:shd w:val="clear" w:color="auto" w:fill="A6A6A6"/>
            <w:vAlign w:val="center"/>
          </w:tcPr>
          <w:p w:rsidR="00F43C9B" w:rsidRPr="00E15D20" w:rsidRDefault="00F43C9B" w:rsidP="00F43C9B">
            <w:pPr>
              <w:shd w:val="clear" w:color="auto" w:fill="D9D9D9" w:themeFill="background1" w:themeFillShade="D9"/>
              <w:ind w:left="142"/>
              <w:rPr>
                <w:rFonts w:cstheme="minorHAnsi"/>
                <w:b/>
                <w:bCs/>
                <w:sz w:val="18"/>
                <w:szCs w:val="18"/>
              </w:rPr>
            </w:pPr>
            <w:r w:rsidRPr="00E15D20">
              <w:rPr>
                <w:rFonts w:cstheme="minorHAnsi"/>
                <w:b/>
                <w:bCs/>
                <w:sz w:val="18"/>
                <w:szCs w:val="18"/>
              </w:rPr>
              <w:t>Toepasbaar op een zelfstandig of natuurlijk moment?</w:t>
            </w:r>
          </w:p>
        </w:tc>
        <w:tc>
          <w:tcPr>
            <w:tcW w:w="6662"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Natuurlijk moment: Ja.</w:t>
            </w:r>
          </w:p>
        </w:tc>
      </w:tr>
      <w:tr w:rsidR="00F43C9B" w:rsidRPr="00E15D20" w:rsidTr="00F43C9B">
        <w:trPr>
          <w:trHeight w:val="139"/>
        </w:trPr>
        <w:tc>
          <w:tcPr>
            <w:tcW w:w="4112" w:type="dxa"/>
            <w:shd w:val="clear" w:color="auto" w:fill="A6A6A6"/>
            <w:vAlign w:val="center"/>
          </w:tcPr>
          <w:p w:rsidR="00F43C9B" w:rsidRPr="00E15D20" w:rsidRDefault="00F43C9B" w:rsidP="00F43C9B">
            <w:pPr>
              <w:shd w:val="clear" w:color="auto" w:fill="D9D9D9" w:themeFill="background1" w:themeFillShade="D9"/>
              <w:ind w:left="142"/>
              <w:rPr>
                <w:rFonts w:cstheme="minorHAnsi"/>
                <w:b/>
                <w:bCs/>
                <w:sz w:val="18"/>
                <w:szCs w:val="18"/>
              </w:rPr>
            </w:pPr>
            <w:r w:rsidRPr="00E15D20">
              <w:rPr>
                <w:rFonts w:cstheme="minorHAnsi"/>
                <w:b/>
                <w:bCs/>
                <w:sz w:val="18"/>
                <w:szCs w:val="18"/>
              </w:rPr>
              <w:t>Alternatieve erkende maatregelen</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bCs/>
                <w:sz w:val="18"/>
                <w:szCs w:val="18"/>
              </w:rPr>
              <w:t>N.v.t.</w:t>
            </w:r>
          </w:p>
        </w:tc>
      </w:tr>
      <w:tr w:rsidR="00F43C9B" w:rsidRPr="00E15D20" w:rsidTr="00F43C9B">
        <w:trPr>
          <w:trHeight w:val="80"/>
        </w:trPr>
        <w:tc>
          <w:tcPr>
            <w:tcW w:w="4112" w:type="dxa"/>
            <w:shd w:val="clear" w:color="auto" w:fill="A6A6A6"/>
            <w:vAlign w:val="center"/>
          </w:tcPr>
          <w:p w:rsidR="00F43C9B" w:rsidRPr="00E15D20" w:rsidRDefault="00F43C9B" w:rsidP="00F43C9B">
            <w:pPr>
              <w:shd w:val="clear" w:color="auto" w:fill="D9D9D9" w:themeFill="background1" w:themeFillShade="D9"/>
              <w:ind w:left="142"/>
              <w:rPr>
                <w:rFonts w:cstheme="minorHAnsi"/>
                <w:b/>
                <w:bCs/>
                <w:sz w:val="18"/>
                <w:szCs w:val="18"/>
              </w:rPr>
            </w:pPr>
            <w:r w:rsidRPr="00E15D20">
              <w:rPr>
                <w:rFonts w:cstheme="minorHAnsi"/>
                <w:b/>
                <w:bCs/>
                <w:sz w:val="18"/>
                <w:szCs w:val="18"/>
              </w:rPr>
              <w:t>Bijzondere omstandigheden</w:t>
            </w:r>
          </w:p>
        </w:tc>
        <w:tc>
          <w:tcPr>
            <w:tcW w:w="6662" w:type="dxa"/>
            <w:gridSpan w:val="3"/>
            <w:vAlign w:val="center"/>
          </w:tcPr>
          <w:p w:rsidR="00F43C9B" w:rsidRDefault="00F43C9B" w:rsidP="00F43C9B">
            <w:pPr>
              <w:shd w:val="clear" w:color="auto" w:fill="D9D9D9" w:themeFill="background1" w:themeFillShade="D9"/>
              <w:ind w:left="142" w:right="142"/>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b/>
          <w:bCs/>
          <w:sz w:val="18"/>
          <w:szCs w:val="18"/>
        </w:rPr>
      </w:pP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bCs/>
          <w:sz w:val="18"/>
          <w:szCs w:val="18"/>
          <w:u w:val="single"/>
        </w:rPr>
      </w:pPr>
      <w:r>
        <w:rPr>
          <w:rFonts w:cstheme="minorHAnsi"/>
          <w:bCs/>
          <w:sz w:val="18"/>
          <w:szCs w:val="18"/>
          <w:u w:val="single"/>
        </w:rPr>
        <w:t>Autoschadeherstelbedrijven</w:t>
      </w: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t>Bedrijven waar overwegend onderdelen van motorvoertuigen (inclusief carrosserieherstel), motorfietsen, caravans/campers en aanhangwagens worden hersteld. Denk aan (spaanloze, verspanende en thermische) mechanische bewerking en/of eindbewerking van metalen. Oppervlaktebehandeling via coatprocessen en het verbinden van metalen of legeringen (zoals lassen en solderen) zijn ook kenmerkend. Ter indicatie hierbij een aantal SBI-codes die voor de indeling van deze bedrijven veelal wordt gebruikt: 45204, 45112, 45191, 45192, 45203, 45205.</w:t>
      </w:r>
    </w:p>
    <w:p w:rsidR="00F43C9B" w:rsidRDefault="00F43C9B" w:rsidP="00F43C9B">
      <w:pPr>
        <w:shd w:val="clear" w:color="auto" w:fill="D9D9D9" w:themeFill="background1" w:themeFillShade="D9"/>
        <w:autoSpaceDE w:val="0"/>
        <w:autoSpaceDN w:val="0"/>
        <w:adjustRightInd w:val="0"/>
        <w:rPr>
          <w:rFonts w:cstheme="minorHAnsi"/>
          <w:sz w:val="18"/>
          <w:szCs w:val="18"/>
        </w:rPr>
      </w:pPr>
      <w:r>
        <w:rPr>
          <w:rFonts w:cstheme="minorHAnsi"/>
          <w:sz w:val="18"/>
          <w:szCs w:val="18"/>
        </w:rPr>
        <w:t>In deze bedrijfstak zijn erkende maatregelen aangemerkt voor de in tabel 5.2 genoemde activiteiten en typen maatregelen. Voor faciliteiten (zoals ICT, productkoeling en grootkeuken/kantine) die met name in kantoorgebouwen plaatsvinden zijn nog geen erkende maatregelen opgenomen. Voor deze ‘typen maatregelen’ en ‘activiteiten’ blijft artikel 2.15 van het Activiteitenbesluit gelden. In een later stadium kunnen hiervoor alsnog erkende maatregelen worden opgenomen.</w:t>
      </w:r>
    </w:p>
    <w:p w:rsidR="00F43C9B" w:rsidRDefault="00F43C9B" w:rsidP="00F43C9B">
      <w:pPr>
        <w:shd w:val="clear" w:color="auto" w:fill="D9D9D9" w:themeFill="background1" w:themeFillShade="D9"/>
        <w:rPr>
          <w:rFonts w:cstheme="minorHAnsi"/>
          <w:sz w:val="18"/>
          <w:szCs w:val="18"/>
          <w:u w:val="single"/>
        </w:rPr>
      </w:pPr>
      <w:r>
        <w:rPr>
          <w:rFonts w:cstheme="minorHAnsi"/>
          <w:sz w:val="18"/>
          <w:szCs w:val="18"/>
          <w:u w:val="single"/>
        </w:rPr>
        <w:t>Maatregelen</w:t>
      </w:r>
    </w:p>
    <w:p w:rsidR="00F43C9B" w:rsidRDefault="00F43C9B" w:rsidP="00F43C9B">
      <w:pPr>
        <w:shd w:val="clear" w:color="auto" w:fill="D9D9D9" w:themeFill="background1" w:themeFillShade="D9"/>
        <w:rPr>
          <w:rFonts w:cstheme="minorHAnsi"/>
          <w:i/>
          <w:sz w:val="18"/>
          <w:szCs w:val="18"/>
        </w:rPr>
      </w:pPr>
      <w:r>
        <w:rPr>
          <w:rFonts w:cstheme="minorHAnsi"/>
          <w:i/>
          <w:sz w:val="18"/>
          <w:szCs w:val="18"/>
        </w:rPr>
        <w:t>Tabel 5.2 Aangewezen erkende maatregelen voor energiebesparing bij de autoschadeherstelbedrijven</w:t>
      </w:r>
    </w:p>
    <w:tbl>
      <w:tblPr>
        <w:tblW w:w="78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5"/>
        <w:gridCol w:w="2127"/>
      </w:tblGrid>
      <w:tr w:rsidR="00F43C9B" w:rsidRPr="00E15D20" w:rsidTr="00F43C9B">
        <w:trPr>
          <w:trHeight w:val="450"/>
        </w:trPr>
        <w:tc>
          <w:tcPr>
            <w:tcW w:w="5685" w:type="dxa"/>
          </w:tcPr>
          <w:p w:rsidR="00F43C9B" w:rsidRDefault="00F43C9B" w:rsidP="00F43C9B">
            <w:pPr>
              <w:shd w:val="clear" w:color="auto" w:fill="D9D9D9" w:themeFill="background1" w:themeFillShade="D9"/>
              <w:rPr>
                <w:rFonts w:cstheme="minorHAnsi"/>
                <w:sz w:val="18"/>
                <w:szCs w:val="18"/>
              </w:rPr>
            </w:pPr>
            <w:r>
              <w:rPr>
                <w:rFonts w:cstheme="minorHAnsi"/>
                <w:b/>
                <w:bCs/>
                <w:sz w:val="18"/>
                <w:szCs w:val="18"/>
              </w:rPr>
              <w:t>Type maatregelen</w:t>
            </w:r>
          </w:p>
        </w:tc>
        <w:tc>
          <w:tcPr>
            <w:tcW w:w="2127" w:type="dxa"/>
          </w:tcPr>
          <w:p w:rsidR="00F43C9B" w:rsidRDefault="00F43C9B" w:rsidP="00F43C9B">
            <w:pPr>
              <w:shd w:val="clear" w:color="auto" w:fill="D9D9D9" w:themeFill="background1" w:themeFillShade="D9"/>
              <w:rPr>
                <w:rFonts w:cstheme="minorHAnsi"/>
                <w:sz w:val="18"/>
                <w:szCs w:val="18"/>
              </w:rPr>
            </w:pPr>
            <w:r>
              <w:rPr>
                <w:rFonts w:cstheme="minorHAnsi"/>
                <w:sz w:val="18"/>
                <w:szCs w:val="18"/>
              </w:rPr>
              <w:t>nummers</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5685"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Gebouwschil</w:t>
            </w:r>
          </w:p>
        </w:tc>
        <w:tc>
          <w:tcPr>
            <w:tcW w:w="2127"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Pr>
                <w:rFonts w:cstheme="minorHAnsi"/>
                <w:sz w:val="18"/>
                <w:szCs w:val="18"/>
              </w:rPr>
              <w:t>1</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5685"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Ruimteverwarming</w:t>
            </w:r>
          </w:p>
        </w:tc>
        <w:tc>
          <w:tcPr>
            <w:tcW w:w="2127"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Pr>
                <w:rFonts w:cstheme="minorHAnsi"/>
                <w:sz w:val="18"/>
                <w:szCs w:val="18"/>
              </w:rPr>
              <w:t>2, 5-8</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5685"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 en buitenverlichting</w:t>
            </w:r>
          </w:p>
        </w:tc>
        <w:tc>
          <w:tcPr>
            <w:tcW w:w="2127"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Pr>
                <w:rFonts w:cstheme="minorHAnsi"/>
                <w:sz w:val="18"/>
                <w:szCs w:val="18"/>
              </w:rPr>
              <w:t>10-17</w:t>
            </w:r>
          </w:p>
        </w:tc>
      </w:tr>
      <w:tr w:rsidR="00F43C9B" w:rsidRPr="00E15D20" w:rsidTr="00F43C9B">
        <w:trPr>
          <w:trHeight w:val="450"/>
        </w:trPr>
        <w:tc>
          <w:tcPr>
            <w:tcW w:w="5685" w:type="dxa"/>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Faciliteiten</w:t>
            </w:r>
          </w:p>
        </w:tc>
        <w:tc>
          <w:tcPr>
            <w:tcW w:w="2127" w:type="dxa"/>
          </w:tcPr>
          <w:p w:rsidR="00F43C9B" w:rsidRDefault="00F43C9B" w:rsidP="00F43C9B">
            <w:pPr>
              <w:shd w:val="clear" w:color="auto" w:fill="D9D9D9" w:themeFill="background1" w:themeFillShade="D9"/>
              <w:rPr>
                <w:rFonts w:cstheme="minorHAnsi"/>
                <w:sz w:val="18"/>
                <w:szCs w:val="18"/>
              </w:rPr>
            </w:pPr>
            <w:r>
              <w:rPr>
                <w:rFonts w:cstheme="minorHAnsi"/>
                <w:sz w:val="18"/>
                <w:szCs w:val="18"/>
              </w:rPr>
              <w:t>19-23</w:t>
            </w:r>
          </w:p>
        </w:tc>
      </w:tr>
      <w:tr w:rsidR="00F43C9B" w:rsidRPr="00E15D20" w:rsidTr="00F43C9B">
        <w:trPr>
          <w:trHeight w:val="255"/>
        </w:trPr>
        <w:tc>
          <w:tcPr>
            <w:tcW w:w="5685" w:type="dxa"/>
            <w:noWrap/>
            <w:vAlign w:val="bottom"/>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Activiteit</w:t>
            </w:r>
          </w:p>
        </w:tc>
        <w:tc>
          <w:tcPr>
            <w:tcW w:w="2127" w:type="dxa"/>
            <w:noWrap/>
            <w:vAlign w:val="bottom"/>
          </w:tcPr>
          <w:p w:rsidR="00F43C9B" w:rsidRDefault="00F43C9B" w:rsidP="00F43C9B">
            <w:pPr>
              <w:shd w:val="clear" w:color="auto" w:fill="D9D9D9" w:themeFill="background1" w:themeFillShade="D9"/>
              <w:rPr>
                <w:rFonts w:cstheme="minorHAnsi"/>
                <w:b/>
                <w:bCs/>
                <w:sz w:val="18"/>
                <w:szCs w:val="18"/>
              </w:rPr>
            </w:pPr>
          </w:p>
        </w:tc>
      </w:tr>
      <w:tr w:rsidR="00F43C9B" w:rsidRPr="00E15D20" w:rsidTr="00F43C9B">
        <w:trPr>
          <w:trHeight w:val="450"/>
        </w:trPr>
        <w:tc>
          <w:tcPr>
            <w:tcW w:w="5685" w:type="dxa"/>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 xml:space="preserve">In werking hebben van een </w:t>
            </w:r>
            <w:r>
              <w:rPr>
                <w:rFonts w:cstheme="minorHAnsi"/>
                <w:sz w:val="18"/>
                <w:szCs w:val="18"/>
              </w:rPr>
              <w:t>stookinstallatie (emissies naar de lucht)</w:t>
            </w:r>
          </w:p>
        </w:tc>
        <w:tc>
          <w:tcPr>
            <w:tcW w:w="2127" w:type="dxa"/>
          </w:tcPr>
          <w:p w:rsidR="00F43C9B" w:rsidRDefault="00F43C9B" w:rsidP="00F43C9B">
            <w:pPr>
              <w:shd w:val="clear" w:color="auto" w:fill="D9D9D9" w:themeFill="background1" w:themeFillShade="D9"/>
              <w:rPr>
                <w:rFonts w:cstheme="minorHAnsi"/>
                <w:sz w:val="18"/>
                <w:szCs w:val="18"/>
              </w:rPr>
            </w:pPr>
            <w:r>
              <w:rPr>
                <w:rFonts w:cstheme="minorHAnsi"/>
                <w:sz w:val="18"/>
                <w:szCs w:val="18"/>
              </w:rPr>
              <w:t>3,4,9</w:t>
            </w:r>
          </w:p>
        </w:tc>
      </w:tr>
      <w:tr w:rsidR="00F43C9B" w:rsidRPr="00E15D20" w:rsidTr="00F43C9B">
        <w:trPr>
          <w:trHeight w:val="255"/>
        </w:trPr>
        <w:tc>
          <w:tcPr>
            <w:tcW w:w="5685" w:type="dxa"/>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Reinigen, lijmen of coaten van metalen</w:t>
            </w:r>
          </w:p>
        </w:tc>
        <w:tc>
          <w:tcPr>
            <w:tcW w:w="2127" w:type="dxa"/>
          </w:tcPr>
          <w:p w:rsidR="00F43C9B" w:rsidRDefault="00F43C9B" w:rsidP="00F43C9B">
            <w:pPr>
              <w:shd w:val="clear" w:color="auto" w:fill="D9D9D9" w:themeFill="background1" w:themeFillShade="D9"/>
              <w:rPr>
                <w:rFonts w:cstheme="minorHAnsi"/>
                <w:sz w:val="18"/>
                <w:szCs w:val="18"/>
              </w:rPr>
            </w:pPr>
            <w:r>
              <w:rPr>
                <w:rFonts w:cstheme="minorHAnsi"/>
                <w:sz w:val="18"/>
                <w:szCs w:val="18"/>
              </w:rPr>
              <w:t>24-26</w:t>
            </w:r>
          </w:p>
        </w:tc>
      </w:tr>
    </w:tbl>
    <w:p w:rsidR="00F43C9B" w:rsidRPr="00E15D20"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bCs/>
          <w:sz w:val="18"/>
          <w:szCs w:val="18"/>
          <w:u w:val="single"/>
        </w:rPr>
      </w:pPr>
      <w:r>
        <w:rPr>
          <w:rFonts w:cstheme="minorHAnsi"/>
          <w:bCs/>
          <w:sz w:val="18"/>
          <w:szCs w:val="18"/>
          <w:u w:val="single"/>
        </w:rPr>
        <w:br w:type="page"/>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3331"/>
        <w:gridCol w:w="3331"/>
      </w:tblGrid>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Pr>
                <w:rFonts w:cstheme="minorHAnsi"/>
                <w:b/>
                <w:bCs/>
                <w:sz w:val="18"/>
                <w:szCs w:val="18"/>
              </w:rPr>
              <w:t>Type maatregel</w:t>
            </w:r>
          </w:p>
        </w:tc>
        <w:tc>
          <w:tcPr>
            <w:tcW w:w="6662" w:type="dxa"/>
            <w:gridSpan w:val="2"/>
            <w:vAlign w:val="center"/>
          </w:tcPr>
          <w:p w:rsidR="00F43C9B" w:rsidRDefault="00F43C9B" w:rsidP="00F43C9B">
            <w:pPr>
              <w:shd w:val="clear" w:color="auto" w:fill="D9D9D9" w:themeFill="background1" w:themeFillShade="D9"/>
              <w:ind w:left="34" w:right="176"/>
              <w:rPr>
                <w:rFonts w:cstheme="minorHAnsi"/>
                <w:b/>
                <w:bCs/>
                <w:sz w:val="18"/>
                <w:szCs w:val="18"/>
              </w:rPr>
            </w:pPr>
            <w:r>
              <w:rPr>
                <w:rFonts w:cstheme="minorHAnsi"/>
                <w:b/>
                <w:bCs/>
                <w:sz w:val="18"/>
                <w:szCs w:val="18"/>
              </w:rPr>
              <w:t>Gebouwschil</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Nummer maatregel</w:t>
            </w:r>
          </w:p>
        </w:tc>
        <w:tc>
          <w:tcPr>
            <w:tcW w:w="6662"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1</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Omschrijving maatregel</w:t>
            </w:r>
          </w:p>
        </w:tc>
        <w:tc>
          <w:tcPr>
            <w:tcW w:w="6662"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sz w:val="18"/>
                <w:szCs w:val="18"/>
              </w:rPr>
              <w:t>Kantoor: Warmte- en koudeverlies via buitenmuur beperken.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 xml:space="preserve">Mogelijke technieken ten </w:t>
            </w:r>
            <w:r>
              <w:rPr>
                <w:rFonts w:cstheme="minorHAnsi"/>
                <w:b/>
                <w:bCs/>
                <w:sz w:val="18"/>
                <w:szCs w:val="18"/>
              </w:rPr>
              <w:t>opzichte van uitgangssituatie</w:t>
            </w:r>
          </w:p>
        </w:tc>
        <w:tc>
          <w:tcPr>
            <w:tcW w:w="6662"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sz w:val="18"/>
                <w:szCs w:val="18"/>
              </w:rPr>
              <w:t>Spouwmuur isoleren.</w:t>
            </w:r>
          </w:p>
        </w:tc>
      </w:tr>
      <w:tr w:rsidR="00F43C9B" w:rsidRPr="00E15D20" w:rsidTr="00F43C9B">
        <w:trPr>
          <w:trHeight w:val="400"/>
        </w:trPr>
        <w:tc>
          <w:tcPr>
            <w:tcW w:w="4112" w:type="dxa"/>
            <w:vMerge w:val="restart"/>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Uitgangssituatie op basis van een referentietechniek</w:t>
            </w:r>
          </w:p>
        </w:tc>
        <w:tc>
          <w:tcPr>
            <w:tcW w:w="6662"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sz w:val="18"/>
                <w:szCs w:val="18"/>
              </w:rPr>
              <w:t>Isolatie in spouwmuur ontbreekt.</w:t>
            </w:r>
          </w:p>
        </w:tc>
      </w:tr>
      <w:tr w:rsidR="00F43C9B" w:rsidRPr="00E15D20" w:rsidTr="00F43C9B">
        <w:trPr>
          <w:trHeight w:val="400"/>
        </w:trPr>
        <w:tc>
          <w:tcPr>
            <w:tcW w:w="4112" w:type="dxa"/>
            <w:vMerge/>
            <w:shd w:val="clear" w:color="auto" w:fill="B3B3B3"/>
            <w:vAlign w:val="center"/>
          </w:tcPr>
          <w:p w:rsidR="00F43C9B" w:rsidRDefault="00F43C9B" w:rsidP="00F43C9B">
            <w:pPr>
              <w:shd w:val="clear" w:color="auto" w:fill="D9D9D9" w:themeFill="background1" w:themeFillShade="D9"/>
              <w:ind w:left="34" w:right="-249"/>
              <w:rPr>
                <w:rFonts w:cstheme="minorHAnsi"/>
                <w:b/>
                <w:bCs/>
                <w:sz w:val="18"/>
                <w:szCs w:val="18"/>
              </w:rPr>
            </w:pPr>
          </w:p>
        </w:tc>
        <w:tc>
          <w:tcPr>
            <w:tcW w:w="3331" w:type="dxa"/>
            <w:vAlign w:val="center"/>
          </w:tcPr>
          <w:p w:rsidR="00F43C9B" w:rsidRDefault="00F43C9B" w:rsidP="00F43C9B">
            <w:pPr>
              <w:shd w:val="clear" w:color="auto" w:fill="D9D9D9" w:themeFill="background1" w:themeFillShade="D9"/>
              <w:ind w:left="34" w:right="176"/>
              <w:rPr>
                <w:rFonts w:cstheme="minorHAnsi"/>
                <w:sz w:val="18"/>
                <w:szCs w:val="18"/>
              </w:rPr>
            </w:pPr>
            <w:r>
              <w:rPr>
                <w:rFonts w:cstheme="minorHAnsi"/>
                <w:sz w:val="18"/>
                <w:szCs w:val="18"/>
              </w:rPr>
              <w:t>a) Kantoor wordt verwarmd.</w:t>
            </w:r>
          </w:p>
        </w:tc>
        <w:tc>
          <w:tcPr>
            <w:tcW w:w="3331" w:type="dxa"/>
            <w:vAlign w:val="center"/>
          </w:tcPr>
          <w:p w:rsidR="00F43C9B" w:rsidRDefault="00F43C9B" w:rsidP="00F43C9B">
            <w:pPr>
              <w:shd w:val="clear" w:color="auto" w:fill="D9D9D9" w:themeFill="background1" w:themeFillShade="D9"/>
              <w:ind w:left="34" w:right="176"/>
              <w:rPr>
                <w:rFonts w:cstheme="minorHAnsi"/>
                <w:sz w:val="18"/>
                <w:szCs w:val="18"/>
              </w:rPr>
            </w:pPr>
            <w:r>
              <w:rPr>
                <w:rFonts w:cstheme="minorHAnsi"/>
                <w:sz w:val="18"/>
                <w:szCs w:val="18"/>
              </w:rPr>
              <w:t>b) Kantoor wordt verwarmd en gekoeld.</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Technische randvoorwaarden</w:t>
            </w:r>
          </w:p>
        </w:tc>
        <w:tc>
          <w:tcPr>
            <w:tcW w:w="6662"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N.v.t.</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 xml:space="preserve">Economische </w:t>
            </w:r>
            <w:r>
              <w:rPr>
                <w:rFonts w:cstheme="minorHAnsi"/>
                <w:b/>
                <w:bCs/>
                <w:sz w:val="18"/>
                <w:szCs w:val="18"/>
              </w:rPr>
              <w:t>randvoorwaarden</w:t>
            </w:r>
          </w:p>
        </w:tc>
        <w:tc>
          <w:tcPr>
            <w:tcW w:w="6662" w:type="dxa"/>
            <w:gridSpan w:val="2"/>
            <w:vAlign w:val="center"/>
          </w:tcPr>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Toepasbaar op een zelfstandig of natuurlijk moment?</w:t>
            </w:r>
          </w:p>
        </w:tc>
        <w:tc>
          <w:tcPr>
            <w:tcW w:w="333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Zelfstandig moment: Nee.</w:t>
            </w:r>
          </w:p>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Natuurlijk moment: Ja.</w:t>
            </w:r>
          </w:p>
        </w:tc>
        <w:tc>
          <w:tcPr>
            <w:tcW w:w="333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Zelfstandig moment: Ja.</w:t>
            </w:r>
          </w:p>
          <w:p w:rsidR="00F43C9B" w:rsidRDefault="00F43C9B" w:rsidP="00F43C9B">
            <w:pPr>
              <w:shd w:val="clear" w:color="auto" w:fill="D9D9D9" w:themeFill="background1" w:themeFillShade="D9"/>
              <w:ind w:left="34" w:right="176"/>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Alternatieve erkende maatregelen</w:t>
            </w:r>
          </w:p>
        </w:tc>
        <w:tc>
          <w:tcPr>
            <w:tcW w:w="6662" w:type="dxa"/>
            <w:gridSpan w:val="2"/>
            <w:vAlign w:val="center"/>
          </w:tcPr>
          <w:p w:rsidR="00F43C9B" w:rsidRDefault="00F43C9B" w:rsidP="00F43C9B">
            <w:pPr>
              <w:shd w:val="clear" w:color="auto" w:fill="D9D9D9" w:themeFill="background1" w:themeFillShade="D9"/>
              <w:ind w:left="34" w:right="176"/>
              <w:rPr>
                <w:rFonts w:cstheme="minorHAnsi"/>
                <w:sz w:val="18"/>
                <w:szCs w:val="18"/>
              </w:rPr>
            </w:pPr>
            <w:r>
              <w:rPr>
                <w:rFonts w:cstheme="minorHAnsi"/>
                <w:sz w:val="18"/>
                <w:szCs w:val="18"/>
              </w:rPr>
              <w:t xml:space="preserve">[2] </w:t>
            </w:r>
            <w:r>
              <w:rPr>
                <w:rFonts w:cstheme="minorHAnsi"/>
                <w:bCs/>
                <w:sz w:val="18"/>
                <w:szCs w:val="18"/>
              </w:rPr>
              <w:t>Kantoor: Aanvoertemperatuur cv-water automatisch regelen op basis van buitentemperatuur.</w:t>
            </w:r>
          </w:p>
          <w:p w:rsidR="00F43C9B" w:rsidRDefault="00F43C9B" w:rsidP="00F43C9B">
            <w:pPr>
              <w:shd w:val="clear" w:color="auto" w:fill="D9D9D9" w:themeFill="background1" w:themeFillShade="D9"/>
              <w:ind w:left="34" w:right="176"/>
              <w:rPr>
                <w:rFonts w:cstheme="minorHAnsi"/>
                <w:sz w:val="18"/>
                <w:szCs w:val="18"/>
              </w:rPr>
            </w:pPr>
            <w:r>
              <w:rPr>
                <w:rFonts w:cstheme="minorHAnsi"/>
                <w:sz w:val="18"/>
                <w:szCs w:val="18"/>
              </w:rPr>
              <w:t>[3] Kantoor: Energiezuinige warmteopwekking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Bijzondere omstandigheden</w:t>
            </w:r>
          </w:p>
        </w:tc>
        <w:tc>
          <w:tcPr>
            <w:tcW w:w="6662" w:type="dxa"/>
            <w:gridSpan w:val="2"/>
            <w:vAlign w:val="center"/>
          </w:tcPr>
          <w:p w:rsidR="00F43C9B" w:rsidRDefault="00F43C9B" w:rsidP="00F43C9B">
            <w:pPr>
              <w:shd w:val="clear" w:color="auto" w:fill="D9D9D9" w:themeFill="background1" w:themeFillShade="D9"/>
              <w:ind w:left="34" w:right="176"/>
              <w:rPr>
                <w:rFonts w:cstheme="minorHAnsi"/>
                <w:sz w:val="18"/>
                <w:szCs w:val="18"/>
              </w:rPr>
            </w:pPr>
            <w:r>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ind w:left="34" w:right="-24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ind w:left="34" w:right="-249"/>
              <w:rPr>
                <w:rFonts w:cstheme="minorHAnsi"/>
                <w:b/>
                <w:bCs/>
                <w:sz w:val="18"/>
                <w:szCs w:val="18"/>
              </w:rPr>
            </w:pPr>
            <w:r>
              <w:rPr>
                <w:rFonts w:cstheme="minorHAnsi"/>
                <w:b/>
                <w:bCs/>
                <w:sz w:val="18"/>
                <w:szCs w:val="18"/>
              </w:rPr>
              <w:t>In werking hebben van een stookinstallatie</w:t>
            </w:r>
            <w:r>
              <w:rPr>
                <w:rFonts w:cstheme="minorHAnsi"/>
                <w:sz w:val="18"/>
                <w:szCs w:val="18"/>
              </w:rPr>
              <w:t xml:space="preserve"> (emissies naar de lucht)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bCs/>
                <w:sz w:val="18"/>
                <w:szCs w:val="18"/>
              </w:rPr>
              <w:t>2</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bCs/>
                <w:sz w:val="18"/>
                <w:szCs w:val="18"/>
              </w:rPr>
              <w:t>Kantoor: Aanvoertemperatuur cv-water automatisch regelen op basis van buitentemperatuur.</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bCs/>
                <w:sz w:val="18"/>
                <w:szCs w:val="18"/>
              </w:rPr>
              <w:t>Weersafhankelijke regeling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bCs/>
                <w:sz w:val="18"/>
                <w:szCs w:val="18"/>
              </w:rPr>
              <w:t>Weersafhankelijke regeling ontbreekt op een cv-groep mett hogetemperatuurverwarming.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bCs/>
                <w:sz w:val="18"/>
                <w:szCs w:val="18"/>
              </w:rPr>
              <w:t>Weersafhankelijke regeling toepassen op groep indien dit op ketel onmogelijk is i.v.m. warmtapwatervoorziening.</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bCs/>
                <w:sz w:val="18"/>
                <w:szCs w:val="18"/>
              </w:rPr>
              <w:t>Meerdere verblijfsruimte met totaal bruto vloeroppervlakte van minimaal 150 m</w:t>
            </w:r>
            <w:r>
              <w:rPr>
                <w:rFonts w:cstheme="minorHAnsi"/>
                <w:bCs/>
                <w:sz w:val="18"/>
                <w:szCs w:val="18"/>
                <w:vertAlign w:val="superscript"/>
              </w:rPr>
              <w:t>2</w:t>
            </w:r>
            <w:r>
              <w:rPr>
                <w:rFonts w:cstheme="minorHAnsi"/>
                <w:bCs/>
                <w:sz w:val="18"/>
                <w:szCs w:val="18"/>
              </w:rPr>
              <w:t xml:space="preserve"> met verschillende warmtebehoefte.</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ind w:left="34" w:right="-24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[1] Kantoor: Warmte- en koudeverlies via buitenmuur beperken.</w:t>
            </w:r>
          </w:p>
          <w:p w:rsidR="00F43C9B" w:rsidRDefault="00F43C9B" w:rsidP="00F43C9B">
            <w:pPr>
              <w:shd w:val="clear" w:color="auto" w:fill="D9D9D9" w:themeFill="background1" w:themeFillShade="D9"/>
              <w:ind w:left="34" w:right="-249"/>
              <w:rPr>
                <w:rFonts w:cstheme="minorHAnsi"/>
                <w:sz w:val="18"/>
                <w:szCs w:val="18"/>
              </w:rPr>
            </w:pPr>
            <w:r>
              <w:rPr>
                <w:rFonts w:cstheme="minorHAnsi"/>
                <w:sz w:val="18"/>
                <w:szCs w:val="18"/>
              </w:rPr>
              <w:t>[3] Kantoor: Energiezuinige warmteopwekking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ind w:left="34" w:right="-249"/>
              <w:rPr>
                <w:rFonts w:cstheme="minorHAnsi"/>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b/>
          <w:sz w:val="18"/>
          <w:szCs w:val="18"/>
        </w:rPr>
      </w:pPr>
      <w:r>
        <w:rPr>
          <w:rFonts w:cstheme="minorHAnsi"/>
          <w:b/>
          <w:sz w:val="18"/>
          <w:szCs w:val="18"/>
        </w:rPr>
        <w:br w:type="page"/>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3331"/>
        <w:gridCol w:w="3331"/>
      </w:tblGrid>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Pr>
                <w:rFonts w:cstheme="minorHAnsi"/>
                <w:b/>
                <w:bCs/>
                <w:sz w:val="18"/>
                <w:szCs w:val="18"/>
              </w:rPr>
              <w:t>Activiteit</w:t>
            </w:r>
          </w:p>
        </w:tc>
        <w:tc>
          <w:tcPr>
            <w:tcW w:w="6662" w:type="dxa"/>
            <w:gridSpan w:val="2"/>
            <w:vAlign w:val="center"/>
          </w:tcPr>
          <w:p w:rsidR="00F43C9B" w:rsidRDefault="00F43C9B" w:rsidP="00F43C9B">
            <w:pPr>
              <w:shd w:val="clear" w:color="auto" w:fill="D9D9D9" w:themeFill="background1" w:themeFillShade="D9"/>
              <w:ind w:left="34" w:right="-249"/>
              <w:rPr>
                <w:rFonts w:cstheme="minorHAnsi"/>
                <w:b/>
                <w:bCs/>
                <w:sz w:val="18"/>
                <w:szCs w:val="18"/>
              </w:rPr>
            </w:pPr>
            <w:r>
              <w:rPr>
                <w:rFonts w:cstheme="minorHAnsi"/>
                <w:b/>
                <w:bCs/>
                <w:sz w:val="18"/>
                <w:szCs w:val="18"/>
              </w:rPr>
              <w:t>In werking hebben van een stookinstallatie</w:t>
            </w:r>
            <w:r>
              <w:rPr>
                <w:rFonts w:cstheme="minorHAnsi"/>
                <w:sz w:val="18"/>
                <w:szCs w:val="18"/>
              </w:rPr>
              <w:t xml:space="preserve"> (emissies naar de lucht)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Nummer maatregel</w:t>
            </w:r>
          </w:p>
        </w:tc>
        <w:tc>
          <w:tcPr>
            <w:tcW w:w="6662" w:type="dxa"/>
            <w:gridSpan w:val="2"/>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bCs/>
                <w:sz w:val="18"/>
                <w:szCs w:val="18"/>
              </w:rPr>
              <w:t>3</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Omschrijving maatregel</w:t>
            </w:r>
          </w:p>
        </w:tc>
        <w:tc>
          <w:tcPr>
            <w:tcW w:w="6662" w:type="dxa"/>
            <w:gridSpan w:val="2"/>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bCs/>
                <w:sz w:val="18"/>
                <w:szCs w:val="18"/>
              </w:rPr>
              <w:t>Kantoor: Energiezuinige warmteopwekking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Mogelijke technieken ten opzichte van uitgangssituatie</w:t>
            </w:r>
          </w:p>
        </w:tc>
        <w:tc>
          <w:tcPr>
            <w:tcW w:w="6662" w:type="dxa"/>
            <w:gridSpan w:val="2"/>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sz w:val="18"/>
                <w:szCs w:val="18"/>
              </w:rPr>
              <w:t>Hoogrendementsketel HR107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Uitgangssituatie op basis</w:t>
            </w:r>
            <w:r>
              <w:rPr>
                <w:rFonts w:cstheme="minorHAnsi"/>
                <w:b/>
                <w:bCs/>
                <w:sz w:val="18"/>
                <w:szCs w:val="18"/>
              </w:rPr>
              <w:t xml:space="preserve"> van een referentietechniek</w:t>
            </w:r>
          </w:p>
        </w:tc>
        <w:tc>
          <w:tcPr>
            <w:tcW w:w="3331" w:type="dxa"/>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sz w:val="18"/>
                <w:szCs w:val="18"/>
              </w:rPr>
              <w:t>a) Conventioneelrendements- (CR-) of verbeterdrendements- (VR-) ketel is aanwezig voor basislast (bedrijfstijd is meer dan 500 uur per jaar).</w:t>
            </w:r>
          </w:p>
        </w:tc>
        <w:tc>
          <w:tcPr>
            <w:tcW w:w="3331" w:type="dxa"/>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sz w:val="18"/>
                <w:szCs w:val="18"/>
              </w:rPr>
              <w:t>b) Hoogrendementsketel HR100 is aanwezig voor basislast (bedrijfstijd is meer dan 500 uur per jaar).</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Technische randvoorwaarden</w:t>
            </w:r>
          </w:p>
        </w:tc>
        <w:tc>
          <w:tcPr>
            <w:tcW w:w="6662"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Retourtemperatuur van ketel kan lager zijn dan 55°C. Hogetemperatuursystemen (zoals warmtapwatersysteem of hogetemperatuurstralingspanelen) verhinderen dat soms.</w:t>
            </w:r>
          </w:p>
          <w:p w:rsidR="00F43C9B" w:rsidRDefault="00F43C9B" w:rsidP="00F43C9B">
            <w:pPr>
              <w:shd w:val="clear" w:color="auto" w:fill="D9D9D9" w:themeFill="background1" w:themeFillShade="D9"/>
              <w:ind w:left="34" w:right="-249"/>
              <w:rPr>
                <w:rFonts w:cstheme="minorHAnsi"/>
                <w:bCs/>
                <w:sz w:val="18"/>
                <w:szCs w:val="18"/>
              </w:rPr>
            </w:pPr>
            <w:r>
              <w:rPr>
                <w:rFonts w:cstheme="minorHAnsi"/>
                <w:sz w:val="18"/>
                <w:szCs w:val="18"/>
              </w:rPr>
              <w:t>Condensafvoer is mogelijk.</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 xml:space="preserve">Economische </w:t>
            </w:r>
            <w:r>
              <w:rPr>
                <w:rFonts w:cstheme="minorHAnsi"/>
                <w:b/>
                <w:bCs/>
                <w:sz w:val="18"/>
                <w:szCs w:val="18"/>
              </w:rPr>
              <w:t>randvoorwaarden</w:t>
            </w:r>
          </w:p>
        </w:tc>
        <w:tc>
          <w:tcPr>
            <w:tcW w:w="3331" w:type="dxa"/>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sz w:val="18"/>
                <w:szCs w:val="18"/>
              </w:rPr>
              <w:t>a) N.v.t.</w:t>
            </w:r>
          </w:p>
        </w:tc>
        <w:tc>
          <w:tcPr>
            <w:tcW w:w="3331" w:type="dxa"/>
            <w:vAlign w:val="center"/>
          </w:tcPr>
          <w:p w:rsidR="00F43C9B" w:rsidRDefault="00F43C9B" w:rsidP="00F43C9B">
            <w:pPr>
              <w:shd w:val="clear" w:color="auto" w:fill="D9D9D9" w:themeFill="background1" w:themeFillShade="D9"/>
              <w:ind w:left="34" w:right="-249"/>
              <w:rPr>
                <w:rFonts w:cstheme="minorHAnsi"/>
                <w:bCs/>
                <w:sz w:val="18"/>
                <w:szCs w:val="18"/>
              </w:rPr>
            </w:pPr>
            <w:r>
              <w:rPr>
                <w:rFonts w:cstheme="minorHAnsi"/>
                <w:sz w:val="18"/>
                <w:szCs w:val="18"/>
              </w:rPr>
              <w:t>b) Aardgasverbruik is minder dan 170.000 m</w:t>
            </w:r>
            <w:r>
              <w:rPr>
                <w:rFonts w:cstheme="minorHAnsi"/>
                <w:sz w:val="18"/>
                <w:szCs w:val="18"/>
                <w:vertAlign w:val="superscript"/>
              </w:rPr>
              <w:t>3</w:t>
            </w:r>
            <w:r>
              <w:rPr>
                <w:rFonts w:cstheme="minorHAnsi"/>
                <w:sz w:val="18"/>
                <w:szCs w:val="18"/>
              </w:rPr>
              <w:t xml:space="preserve"> per jaar.</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Toepasbaar op een zelfstandig of natuurlijk moment?</w:t>
            </w:r>
          </w:p>
        </w:tc>
        <w:tc>
          <w:tcPr>
            <w:tcW w:w="3331" w:type="dxa"/>
            <w:vAlign w:val="center"/>
          </w:tcPr>
          <w:p w:rsidR="00F43C9B" w:rsidRDefault="00F43C9B" w:rsidP="00F43C9B">
            <w:pPr>
              <w:shd w:val="clear" w:color="auto" w:fill="D9D9D9" w:themeFill="background1" w:themeFillShade="D9"/>
              <w:tabs>
                <w:tab w:val="left" w:pos="180"/>
              </w:tabs>
              <w:rPr>
                <w:rFonts w:cstheme="minorHAnsi"/>
                <w:sz w:val="18"/>
                <w:szCs w:val="18"/>
              </w:rPr>
            </w:pPr>
            <w:r>
              <w:rPr>
                <w:rFonts w:cstheme="minorHAnsi"/>
                <w:sz w:val="18"/>
                <w:szCs w:val="18"/>
              </w:rPr>
              <w:t xml:space="preserve">a) </w:t>
            </w:r>
            <w:r>
              <w:rPr>
                <w:rFonts w:cstheme="minorHAnsi"/>
                <w:bCs/>
                <w:sz w:val="18"/>
                <w:szCs w:val="18"/>
              </w:rPr>
              <w:t xml:space="preserve">Zelfstandig moment: </w:t>
            </w:r>
            <w:r>
              <w:rPr>
                <w:rFonts w:cstheme="minorHAnsi"/>
                <w:sz w:val="18"/>
                <w:szCs w:val="18"/>
              </w:rPr>
              <w:t>Ja, indien aardgasverbruik minder is dan 170.000 m</w:t>
            </w:r>
            <w:r>
              <w:rPr>
                <w:rFonts w:cstheme="minorHAnsi"/>
                <w:sz w:val="18"/>
                <w:szCs w:val="18"/>
                <w:vertAlign w:val="superscript"/>
              </w:rPr>
              <w:t>3</w:t>
            </w:r>
            <w:r>
              <w:rPr>
                <w:rFonts w:cstheme="minorHAnsi"/>
                <w:sz w:val="18"/>
                <w:szCs w:val="18"/>
              </w:rPr>
              <w:t xml:space="preserve"> per jaar.</w:t>
            </w:r>
          </w:p>
          <w:p w:rsidR="00F43C9B" w:rsidRDefault="00F43C9B" w:rsidP="00F43C9B">
            <w:pPr>
              <w:shd w:val="clear" w:color="auto" w:fill="D9D9D9" w:themeFill="background1" w:themeFillShade="D9"/>
              <w:ind w:left="34" w:right="-249"/>
              <w:rPr>
                <w:rFonts w:cstheme="minorHAnsi"/>
                <w:bCs/>
                <w:sz w:val="18"/>
                <w:szCs w:val="18"/>
              </w:rPr>
            </w:pPr>
            <w:r>
              <w:rPr>
                <w:rFonts w:cstheme="minorHAnsi"/>
                <w:sz w:val="18"/>
                <w:szCs w:val="18"/>
              </w:rPr>
              <w:t>Natuurlijk moment: Ja.</w:t>
            </w:r>
          </w:p>
        </w:tc>
        <w:tc>
          <w:tcPr>
            <w:tcW w:w="333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 xml:space="preserve">b) </w:t>
            </w:r>
            <w:r>
              <w:rPr>
                <w:rFonts w:cstheme="minorHAnsi"/>
                <w:bCs/>
                <w:sz w:val="18"/>
                <w:szCs w:val="18"/>
              </w:rPr>
              <w:t>Zelfstandig moment: Nee.</w:t>
            </w:r>
          </w:p>
          <w:p w:rsidR="00F43C9B" w:rsidRDefault="00F43C9B" w:rsidP="00F43C9B">
            <w:pPr>
              <w:shd w:val="clear" w:color="auto" w:fill="D9D9D9" w:themeFill="background1" w:themeFillShade="D9"/>
              <w:ind w:left="34" w:right="-24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Alternatieve erkende maatregelen</w:t>
            </w:r>
          </w:p>
        </w:tc>
        <w:tc>
          <w:tcPr>
            <w:tcW w:w="6662"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[1] Kantoor: Warmte- en koudeverlies via buitenmuur beperken.</w:t>
            </w:r>
          </w:p>
          <w:p w:rsidR="00F43C9B" w:rsidRDefault="00F43C9B" w:rsidP="00F43C9B">
            <w:pPr>
              <w:shd w:val="clear" w:color="auto" w:fill="D9D9D9" w:themeFill="background1" w:themeFillShade="D9"/>
              <w:ind w:left="34" w:right="-249"/>
              <w:rPr>
                <w:rFonts w:cstheme="minorHAnsi"/>
                <w:sz w:val="18"/>
                <w:szCs w:val="18"/>
              </w:rPr>
            </w:pPr>
            <w:r>
              <w:rPr>
                <w:rFonts w:cstheme="minorHAnsi"/>
                <w:sz w:val="18"/>
                <w:szCs w:val="18"/>
              </w:rPr>
              <w:t xml:space="preserve">[2] </w:t>
            </w:r>
            <w:r>
              <w:rPr>
                <w:rFonts w:cstheme="minorHAnsi"/>
                <w:bCs/>
                <w:sz w:val="18"/>
                <w:szCs w:val="18"/>
              </w:rPr>
              <w:t>Kantoor: Aanvoertemperatuur cv-water automatisch regelen op basis van buitentemperatuur.</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Bijzondere omstandigheden</w:t>
            </w:r>
          </w:p>
        </w:tc>
        <w:tc>
          <w:tcPr>
            <w:tcW w:w="6662" w:type="dxa"/>
            <w:gridSpan w:val="2"/>
            <w:vAlign w:val="center"/>
          </w:tcPr>
          <w:p w:rsidR="00F43C9B" w:rsidRDefault="00F43C9B" w:rsidP="00F43C9B">
            <w:pPr>
              <w:shd w:val="clear" w:color="auto" w:fill="D9D9D9" w:themeFill="background1" w:themeFillShade="D9"/>
              <w:ind w:left="34" w:right="-249"/>
              <w:rPr>
                <w:rFonts w:cstheme="minorHAnsi"/>
                <w:sz w:val="18"/>
                <w:szCs w:val="18"/>
              </w:rPr>
            </w:pPr>
            <w:r>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ind w:left="34" w:right="-249"/>
              <w:rPr>
                <w:rFonts w:cstheme="minorHAnsi"/>
                <w:b/>
                <w:bCs/>
                <w:sz w:val="18"/>
                <w:szCs w:val="18"/>
              </w:rPr>
            </w:pPr>
            <w:r>
              <w:rPr>
                <w:rFonts w:cstheme="minorHAnsi"/>
                <w:b/>
                <w:bCs/>
                <w:sz w:val="18"/>
                <w:szCs w:val="18"/>
              </w:rPr>
              <w:t>Activiteit</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In werking hebben van een stookinstallatie</w:t>
            </w:r>
            <w:r>
              <w:rPr>
                <w:rFonts w:cstheme="minorHAnsi"/>
                <w:sz w:val="18"/>
                <w:szCs w:val="18"/>
              </w:rPr>
              <w:t xml:space="preserve"> (emissies naar de lucht)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4</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Onnodig aanstaan van ruimteverwarming buiten bedrijfstijd voorkomen.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Tijdschakelaar of tijdschakelaar met weekschakeling (met of zonder overwerktimer)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Automatische aan- en uitschakeling ontbreekt.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ind w:left="34" w:right="-24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5</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Warmte in hoge hal actief verdelen naar werkplekken met warmtevraag om verwarming met aardgas te beperken.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Ondersteuningsventilator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w:t>
            </w:r>
            <w:r>
              <w:rPr>
                <w:rFonts w:cstheme="minorHAnsi"/>
                <w:b/>
                <w:bCs/>
                <w:sz w:val="18"/>
                <w:szCs w:val="18"/>
              </w:rPr>
              <w:t>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Voorziening voor luchtcirculatie ontbreekt.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Geen vervuilende gassen (zoals las- of lijmdampen) aanwezig.</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Kraanbaan en ondersteuningsventilator hinderen elkaar niet.</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Temperatuur boven in hal is minimaal 4°C hoger dan temperatuur op werkniveau.</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erkende </w:t>
            </w:r>
            <w:r>
              <w:rPr>
                <w:rFonts w:cstheme="minorHAnsi"/>
                <w:b/>
                <w:bCs/>
                <w:sz w:val="18"/>
                <w:szCs w:val="18"/>
              </w:rPr>
              <w:t>maatregelen</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bCs/>
                <w:sz w:val="18"/>
                <w:szCs w:val="18"/>
              </w:rPr>
              <w:t>[9c] Bedrijfshal: Energiezuinige warmteopwekking toepassen: Gasgestookte donkere stralers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6</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Warmteverlies via warmwaterleidingen en -appendages beperken in onverwarmde ruimten.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Isolatie aanbrengen om leidingen en appendages.</w:t>
            </w:r>
          </w:p>
          <w:p w:rsidR="00F43C9B" w:rsidRDefault="00F43C9B" w:rsidP="00F43C9B">
            <w:pPr>
              <w:shd w:val="clear" w:color="auto" w:fill="D9D9D9" w:themeFill="background1" w:themeFillShade="D9"/>
              <w:rPr>
                <w:rFonts w:cstheme="minorHAnsi"/>
                <w:bCs/>
                <w:sz w:val="18"/>
                <w:szCs w:val="18"/>
              </w:rPr>
            </w:pP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Isolatie om leidingen en appendages ontbreekt.</w:t>
            </w:r>
          </w:p>
          <w:p w:rsidR="00F43C9B" w:rsidRDefault="00F43C9B" w:rsidP="00F43C9B">
            <w:pPr>
              <w:shd w:val="clear" w:color="auto" w:fill="D9D9D9" w:themeFill="background1" w:themeFillShade="D9"/>
              <w:rPr>
                <w:rFonts w:cstheme="minorHAnsi"/>
                <w:bCs/>
                <w:sz w:val="18"/>
                <w:szCs w:val="18"/>
              </w:rPr>
            </w:pP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Als fabrikant voorschrijft dat vocht of warmte weg moet kunnen i.v.m. garantie, dan hier rekening mee houden bij keuze isolatiemateriaal.</w:t>
            </w:r>
          </w:p>
        </w:tc>
      </w:tr>
      <w:tr w:rsidR="00F43C9B" w:rsidRPr="00E15D20" w:rsidTr="00F43C9B">
        <w:trPr>
          <w:trHeight w:val="2562"/>
        </w:trPr>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Bedrijfstijd van installatie behorende bij leidingen en appendages is minimaal 1.250 uur per jaar (ter indicatie: een standaard stookseizoen).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7</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Debiet cv-pomp automatisch regelen op basis van warmtebehoefte.</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technieken </w:t>
            </w:r>
            <w:r>
              <w:rPr>
                <w:rFonts w:cstheme="minorHAnsi"/>
                <w:b/>
                <w:bCs/>
                <w:sz w:val="18"/>
                <w:szCs w:val="18"/>
              </w:rPr>
              <w:t>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Cv-pomp met frequentieregeling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Toeren- of frequentieregeling op cv-pomp ontbreekt.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Bij meerdere parallel geschakelde pompen uitvoeren bij (minimaal) één pomp.</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Variërend debiet  is mogelijk in combinatie met warmteopwekking en –afgiftesysteem.</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Geen aanpassingen aan driewegkleppen en regelsysteem nodig.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Toepasbaar op een zelfstandig of natuurlijk </w:t>
            </w:r>
            <w:r>
              <w:rPr>
                <w:rFonts w:cstheme="minorHAnsi"/>
                <w:b/>
                <w:bCs/>
                <w:sz w:val="18"/>
                <w:szCs w:val="18"/>
              </w:rPr>
              <w:t>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8</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Temperatuur per ruimte naregelen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Thermostatische radiatorkranen of ruimtethermostaten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Individuele naregeling per ruimte ontbreekt.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[9] Bedrijfshal: Energiezuinige warmteopwekking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2"/>
        <w:gridCol w:w="2220"/>
        <w:gridCol w:w="2174"/>
        <w:gridCol w:w="47"/>
        <w:gridCol w:w="2221"/>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6662" w:type="dxa"/>
            <w:gridSpan w:val="4"/>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In werking hebben van een stookinstallatie</w:t>
            </w:r>
            <w:r>
              <w:rPr>
                <w:rFonts w:cstheme="minorHAnsi"/>
                <w:sz w:val="18"/>
                <w:szCs w:val="18"/>
              </w:rPr>
              <w:t xml:space="preserve"> (emissies naar de lucht)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gridSpan w:val="4"/>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9</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gridSpan w:val="4"/>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Energiezuinige warmteopwekking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w:t>
            </w:r>
            <w:r>
              <w:rPr>
                <w:rFonts w:cstheme="minorHAnsi"/>
                <w:b/>
                <w:bCs/>
                <w:sz w:val="18"/>
                <w:szCs w:val="18"/>
              </w:rPr>
              <w:t>technieken ten opzichte van uitgangssituatie</w:t>
            </w:r>
          </w:p>
        </w:tc>
        <w:tc>
          <w:tcPr>
            <w:tcW w:w="222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Hoogrendementsketel HR100, HR104 of HR107 toepassen.</w:t>
            </w:r>
          </w:p>
        </w:tc>
        <w:tc>
          <w:tcPr>
            <w:tcW w:w="2221" w:type="dxa"/>
            <w:gridSpan w:val="2"/>
            <w:vAlign w:val="center"/>
          </w:tcPr>
          <w:p w:rsidR="00F43C9B" w:rsidRDefault="00F43C9B" w:rsidP="00F43C9B">
            <w:pPr>
              <w:shd w:val="clear" w:color="auto" w:fill="D9D9D9" w:themeFill="background1" w:themeFillShade="D9"/>
              <w:tabs>
                <w:tab w:val="left" w:pos="80"/>
              </w:tabs>
              <w:rPr>
                <w:rFonts w:cstheme="minorHAnsi"/>
                <w:bCs/>
                <w:sz w:val="18"/>
                <w:szCs w:val="18"/>
              </w:rPr>
            </w:pPr>
            <w:r>
              <w:rPr>
                <w:rFonts w:cstheme="minorHAnsi"/>
                <w:bCs/>
                <w:sz w:val="18"/>
                <w:szCs w:val="18"/>
              </w:rPr>
              <w:t>b) Hoogrendements- (HR-) luchtverhitter toepassen.</w:t>
            </w:r>
          </w:p>
        </w:tc>
        <w:tc>
          <w:tcPr>
            <w:tcW w:w="2221" w:type="dxa"/>
            <w:vAlign w:val="center"/>
          </w:tcPr>
          <w:p w:rsidR="00F43C9B" w:rsidRDefault="00F43C9B" w:rsidP="00F43C9B">
            <w:pPr>
              <w:shd w:val="clear" w:color="auto" w:fill="D9D9D9" w:themeFill="background1" w:themeFillShade="D9"/>
              <w:tabs>
                <w:tab w:val="left" w:pos="80"/>
              </w:tabs>
              <w:rPr>
                <w:rFonts w:cstheme="minorHAnsi"/>
                <w:bCs/>
                <w:sz w:val="18"/>
                <w:szCs w:val="18"/>
              </w:rPr>
            </w:pPr>
            <w:r>
              <w:rPr>
                <w:rFonts w:cstheme="minorHAnsi"/>
                <w:bCs/>
                <w:sz w:val="18"/>
                <w:szCs w:val="18"/>
              </w:rPr>
              <w:t>c) Gasgestookte donkere straler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222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 xml:space="preserve">a) </w:t>
            </w:r>
            <w:r>
              <w:rPr>
                <w:rFonts w:cstheme="minorHAnsi"/>
                <w:sz w:val="18"/>
                <w:szCs w:val="18"/>
              </w:rPr>
              <w:t>Conventioneelrendements- (CR-) of verbeterdrendements- (VR-) ketel is aanwezig voor basislast (bedrijfstijd is meer dan 500 uur per jaar)</w:t>
            </w:r>
            <w:r>
              <w:rPr>
                <w:rFonts w:cstheme="minorHAnsi"/>
                <w:bCs/>
                <w:sz w:val="18"/>
                <w:szCs w:val="18"/>
              </w:rPr>
              <w:t>.</w:t>
            </w:r>
          </w:p>
        </w:tc>
        <w:tc>
          <w:tcPr>
            <w:tcW w:w="2221"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Conventionele luchtverhitter is aanwezig.</w:t>
            </w:r>
          </w:p>
        </w:tc>
        <w:tc>
          <w:tcPr>
            <w:tcW w:w="222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c) Conventionele luchtverhitter is aanwezig.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4394"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en b) Condensafvoer is eenvoudig realiseerbaar.</w:t>
            </w:r>
          </w:p>
        </w:tc>
        <w:tc>
          <w:tcPr>
            <w:tcW w:w="2268"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c) Rookgasafvoer is mogelijk.</w:t>
            </w:r>
          </w:p>
        </w:tc>
      </w:tr>
      <w:tr w:rsidR="00F43C9B" w:rsidRPr="00E15D20" w:rsidTr="00F43C9B">
        <w:trPr>
          <w:trHeight w:val="1028"/>
        </w:trPr>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gridSpan w:val="4"/>
            <w:vAlign w:val="center"/>
          </w:tcPr>
          <w:p w:rsidR="00F43C9B" w:rsidRDefault="00F43C9B" w:rsidP="00F43C9B">
            <w:pPr>
              <w:shd w:val="clear" w:color="auto" w:fill="D9D9D9" w:themeFill="background1" w:themeFillShade="D9"/>
              <w:rPr>
                <w:rFonts w:cstheme="minorHAnsi"/>
                <w:b/>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gridSpan w:val="4"/>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gridSpan w:val="4"/>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[8] Bedrijfshal: Temperatuur per ruimte naregelen.</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[7] Bedrijfshal: Debiet cv-pomp automatisch regelen op basis van warmtebehoefte.</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gridSpan w:val="4"/>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 en buitenverlichting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10</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Kantoor: Onnodig binnenbranden van verlichting in pauzes en buiten bedrijfstijd voorkomen.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Veegschakeling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basis van </w:t>
            </w:r>
            <w:r>
              <w:rPr>
                <w:rFonts w:cstheme="minorHAnsi"/>
                <w:b/>
                <w:bCs/>
                <w:sz w:val="18"/>
                <w:szCs w:val="18"/>
              </w:rPr>
              <w:t>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Verlichting wordt handmatig geschakeld per ruimte.</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Geïnstalleerd vermogen per veegschakeling is minimaal 18 kW.</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Per veegschakeling zijn maximaal 12 aanpassingen nodig om te voorkomen dat apparatuur onbedoeld wordt uitgeschakeld.</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Verlichting kan minimaal 1 uur per dag extra uitgeschakeld worden.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erkende </w:t>
            </w:r>
            <w:r>
              <w:rPr>
                <w:rFonts w:cstheme="minorHAnsi"/>
                <w:b/>
                <w:bCs/>
                <w:sz w:val="18"/>
                <w:szCs w:val="18"/>
              </w:rPr>
              <w:t>maatregelen</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1"/>
        <w:gridCol w:w="2909"/>
        <w:gridCol w:w="299"/>
        <w:gridCol w:w="2611"/>
        <w:gridCol w:w="597"/>
      </w:tblGrid>
      <w:tr w:rsidR="00F43C9B" w:rsidRPr="00E15D20" w:rsidTr="00F43C9B">
        <w:trPr>
          <w:gridAfter w:val="1"/>
          <w:wAfter w:w="597" w:type="dxa"/>
        </w:trPr>
        <w:tc>
          <w:tcPr>
            <w:tcW w:w="37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5819" w:type="dxa"/>
            <w:gridSpan w:val="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 en buitenverlichting</w:t>
            </w:r>
          </w:p>
        </w:tc>
      </w:tr>
      <w:tr w:rsidR="00F43C9B" w:rsidRPr="00E15D20" w:rsidTr="00F43C9B">
        <w:trPr>
          <w:gridAfter w:val="1"/>
          <w:wAfter w:w="597" w:type="dxa"/>
        </w:trPr>
        <w:tc>
          <w:tcPr>
            <w:tcW w:w="37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5819"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11</w:t>
            </w:r>
          </w:p>
        </w:tc>
      </w:tr>
      <w:tr w:rsidR="00F43C9B" w:rsidRPr="00E15D20" w:rsidTr="00F43C9B">
        <w:trPr>
          <w:gridAfter w:val="1"/>
          <w:wAfter w:w="597" w:type="dxa"/>
        </w:trPr>
        <w:tc>
          <w:tcPr>
            <w:tcW w:w="37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5819"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Kantoor: Geïnstalleerd vermogen binnenverlichting beperken.</w:t>
            </w:r>
          </w:p>
        </w:tc>
      </w:tr>
      <w:tr w:rsidR="00F43C9B" w:rsidRPr="00E15D20" w:rsidTr="00F43C9B">
        <w:tc>
          <w:tcPr>
            <w:tcW w:w="37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208"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 xml:space="preserve">a) Armaturen met  </w:t>
            </w:r>
            <w:r>
              <w:rPr>
                <w:rFonts w:cstheme="minorHAnsi"/>
                <w:sz w:val="18"/>
                <w:szCs w:val="18"/>
              </w:rPr>
              <w:t xml:space="preserve">langwerpige </w:t>
            </w:r>
            <w:r>
              <w:rPr>
                <w:rFonts w:cstheme="minorHAnsi"/>
                <w:bCs/>
                <w:sz w:val="18"/>
                <w:szCs w:val="18"/>
              </w:rPr>
              <w:t>fluorescentielampen</w:t>
            </w:r>
            <w:r>
              <w:rPr>
                <w:rFonts w:cstheme="minorHAnsi"/>
                <w:sz w:val="18"/>
                <w:szCs w:val="18"/>
              </w:rPr>
              <w:t xml:space="preserve"> (</w:t>
            </w:r>
            <w:r>
              <w:rPr>
                <w:rFonts w:cstheme="minorHAnsi"/>
                <w:bCs/>
                <w:sz w:val="18"/>
                <w:szCs w:val="18"/>
              </w:rPr>
              <w:t>TL5) toepassen.</w:t>
            </w:r>
          </w:p>
        </w:tc>
        <w:tc>
          <w:tcPr>
            <w:tcW w:w="3208"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Armaturen met led-lampen toepassen.</w:t>
            </w:r>
          </w:p>
        </w:tc>
      </w:tr>
      <w:tr w:rsidR="00F43C9B" w:rsidRPr="00E15D20" w:rsidTr="00F43C9B">
        <w:tc>
          <w:tcPr>
            <w:tcW w:w="37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416" w:type="dxa"/>
            <w:gridSpan w:val="4"/>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 xml:space="preserve">Conventionele armaturen met </w:t>
            </w:r>
            <w:r>
              <w:rPr>
                <w:rFonts w:cstheme="minorHAnsi"/>
                <w:sz w:val="18"/>
                <w:szCs w:val="18"/>
              </w:rPr>
              <w:t xml:space="preserve">langwerpige </w:t>
            </w:r>
            <w:r>
              <w:rPr>
                <w:rFonts w:cstheme="minorHAnsi"/>
                <w:bCs/>
                <w:sz w:val="18"/>
                <w:szCs w:val="18"/>
              </w:rPr>
              <w:t>fluorescentielampen (TL) zijn aanwezig.</w:t>
            </w:r>
          </w:p>
        </w:tc>
      </w:tr>
      <w:tr w:rsidR="00F43C9B" w:rsidRPr="00E15D20" w:rsidTr="00F43C9B">
        <w:trPr>
          <w:gridAfter w:val="1"/>
          <w:wAfter w:w="597" w:type="dxa"/>
        </w:trPr>
        <w:tc>
          <w:tcPr>
            <w:tcW w:w="37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5819"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gridAfter w:val="1"/>
          <w:wAfter w:w="597" w:type="dxa"/>
        </w:trPr>
        <w:tc>
          <w:tcPr>
            <w:tcW w:w="37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Technische </w:t>
            </w:r>
            <w:r>
              <w:rPr>
                <w:rFonts w:cstheme="minorHAnsi"/>
                <w:b/>
                <w:bCs/>
                <w:sz w:val="18"/>
                <w:szCs w:val="18"/>
              </w:rPr>
              <w:t>randvoorwaarden</w:t>
            </w:r>
          </w:p>
        </w:tc>
        <w:tc>
          <w:tcPr>
            <w:tcW w:w="5819"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gridAfter w:val="1"/>
          <w:wAfter w:w="597" w:type="dxa"/>
          <w:trHeight w:val="950"/>
        </w:trPr>
        <w:tc>
          <w:tcPr>
            <w:tcW w:w="3791"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5819"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Aantal branduren is minimaal 2.500 uur per jaar.</w:t>
            </w:r>
          </w:p>
        </w:tc>
      </w:tr>
      <w:tr w:rsidR="00F43C9B" w:rsidRPr="00E15D20" w:rsidTr="00F43C9B">
        <w:trPr>
          <w:gridAfter w:val="1"/>
          <w:wAfter w:w="597" w:type="dxa"/>
          <w:trHeight w:val="950"/>
        </w:trPr>
        <w:tc>
          <w:tcPr>
            <w:tcW w:w="3791"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2909" w:type="dxa"/>
            <w:vAlign w:val="center"/>
          </w:tcPr>
          <w:p w:rsidR="00F43C9B" w:rsidRDefault="00F43C9B" w:rsidP="00F43C9B">
            <w:pPr>
              <w:shd w:val="clear" w:color="auto" w:fill="D9D9D9" w:themeFill="background1" w:themeFillShade="D9"/>
              <w:rPr>
                <w:rFonts w:cstheme="minorHAnsi"/>
                <w:bCs/>
                <w:sz w:val="18"/>
                <w:szCs w:val="18"/>
              </w:rPr>
            </w:pPr>
          </w:p>
        </w:tc>
        <w:tc>
          <w:tcPr>
            <w:tcW w:w="2910"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Geïnstalleerd vermogen van verlichting neemt door toepassen van led-lampen minimaal 50% af bij voldoende lichtopbrengst.</w:t>
            </w:r>
          </w:p>
        </w:tc>
      </w:tr>
      <w:tr w:rsidR="00F43C9B" w:rsidRPr="00E15D20" w:rsidTr="00F43C9B">
        <w:trPr>
          <w:gridAfter w:val="1"/>
          <w:wAfter w:w="597" w:type="dxa"/>
        </w:trPr>
        <w:tc>
          <w:tcPr>
            <w:tcW w:w="37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Toepasbaar op een </w:t>
            </w:r>
            <w:r>
              <w:rPr>
                <w:rFonts w:cstheme="minorHAnsi"/>
                <w:b/>
                <w:bCs/>
                <w:sz w:val="18"/>
                <w:szCs w:val="18"/>
              </w:rPr>
              <w:t>zelfstandig of natuurlijk moment?</w:t>
            </w:r>
          </w:p>
        </w:tc>
        <w:tc>
          <w:tcPr>
            <w:tcW w:w="5819" w:type="dxa"/>
            <w:gridSpan w:val="3"/>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rPr>
          <w:gridAfter w:val="1"/>
          <w:wAfter w:w="597" w:type="dxa"/>
          <w:trHeight w:val="189"/>
        </w:trPr>
        <w:tc>
          <w:tcPr>
            <w:tcW w:w="37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5819" w:type="dxa"/>
            <w:gridSpan w:val="3"/>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rPr>
          <w:gridAfter w:val="1"/>
          <w:wAfter w:w="597" w:type="dxa"/>
          <w:trHeight w:val="130"/>
        </w:trPr>
        <w:tc>
          <w:tcPr>
            <w:tcW w:w="37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5819" w:type="dxa"/>
            <w:gridSpan w:val="3"/>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p w:rsidR="00F43C9B" w:rsidRDefault="00F43C9B" w:rsidP="00F43C9B">
      <w:pPr>
        <w:shd w:val="clear" w:color="auto" w:fill="D9D9D9" w:themeFill="background1" w:themeFillShade="D9"/>
        <w:rPr>
          <w:rFonts w:cstheme="minorHAnsi"/>
          <w:sz w:val="18"/>
          <w:szCs w:val="18"/>
        </w:rPr>
      </w:pP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2"/>
        <w:gridCol w:w="6662"/>
      </w:tblGrid>
      <w:tr w:rsidR="00F43C9B" w:rsidRPr="00E15D20" w:rsidTr="00F43C9B">
        <w:trPr>
          <w:trHeight w:val="397"/>
          <w:tblHeader/>
        </w:trPr>
        <w:tc>
          <w:tcPr>
            <w:tcW w:w="4112" w:type="dxa"/>
            <w:shd w:val="clear" w:color="auto" w:fill="A6A6A6"/>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Nummer </w:t>
            </w:r>
            <w:r>
              <w:rPr>
                <w:rFonts w:cstheme="minorHAnsi"/>
                <w:b/>
                <w:bCs/>
                <w:sz w:val="18"/>
                <w:szCs w:val="18"/>
              </w:rPr>
              <w:t>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12</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Onnodig branden van binnenverlichting in pauzes en buiten bedrijfstijd voorkomen.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Veegschakeling toepassen.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basis van een </w:t>
            </w:r>
            <w:r>
              <w:rPr>
                <w:rFonts w:cstheme="minorHAnsi"/>
                <w:b/>
                <w:bCs/>
                <w:sz w:val="18"/>
                <w:szCs w:val="18"/>
              </w:rPr>
              <w:t>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Verlichting wordt handmatig geschakeld per (deel van de) ruimte.</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ind w:left="100"/>
              <w:rPr>
                <w:rFonts w:cstheme="minorHAnsi"/>
                <w:sz w:val="18"/>
                <w:szCs w:val="18"/>
              </w:rPr>
            </w:pPr>
            <w:r>
              <w:rPr>
                <w:rFonts w:cstheme="minorHAnsi"/>
                <w:sz w:val="18"/>
                <w:szCs w:val="18"/>
              </w:rPr>
              <w:t>Geïnstalleerd vermogen per veegschakeling is minimaal 18 kW.</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Per veegschakeling zijn maximaal 12 aanpassingen nodig om te voorkomen dat apparatuur onbedoeld wordt uitgeschakeld.</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Verlichting kan minimaal 1 uur per dag extra uitgeschakeld worden.</w:t>
            </w:r>
          </w:p>
        </w:tc>
      </w:tr>
      <w:tr w:rsidR="00F43C9B" w:rsidRPr="00E15D20" w:rsidTr="00F43C9B">
        <w:trPr>
          <w:trHeight w:val="290"/>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rPr>
          <w:trHeight w:val="244"/>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r w:rsidR="00F43C9B" w:rsidRPr="00E15D20" w:rsidTr="00F43C9B">
        <w:trPr>
          <w:trHeight w:val="198"/>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r w:rsidRPr="00E15D20">
        <w:rPr>
          <w:rFonts w:cstheme="minorHAnsi"/>
          <w:sz w:val="18"/>
          <w:szCs w:val="18"/>
        </w:rPr>
        <w:br w:type="page"/>
      </w:r>
    </w:p>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32"/>
        <w:gridCol w:w="3321"/>
        <w:gridCol w:w="3321"/>
      </w:tblGrid>
      <w:tr w:rsidR="00F43C9B" w:rsidRPr="00E15D20" w:rsidTr="00F43C9B">
        <w:trPr>
          <w:trHeight w:val="397"/>
        </w:trPr>
        <w:tc>
          <w:tcPr>
            <w:tcW w:w="4132" w:type="dxa"/>
            <w:shd w:val="clear" w:color="auto" w:fill="A6A6A6"/>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42" w:type="dxa"/>
            <w:gridSpan w:val="2"/>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13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4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13</w:t>
            </w:r>
          </w:p>
        </w:tc>
      </w:tr>
      <w:tr w:rsidR="00F43C9B" w:rsidRPr="00E15D20" w:rsidTr="00F43C9B">
        <w:trPr>
          <w:trHeight w:val="397"/>
        </w:trPr>
        <w:tc>
          <w:tcPr>
            <w:tcW w:w="413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4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Binnenverlichting automatisch verminderen op basis van daglichttoetreding door ramen en daklichten.</w:t>
            </w:r>
          </w:p>
        </w:tc>
      </w:tr>
      <w:tr w:rsidR="00F43C9B" w:rsidRPr="00E15D20" w:rsidTr="00F43C9B">
        <w:trPr>
          <w:trHeight w:val="397"/>
        </w:trPr>
        <w:tc>
          <w:tcPr>
            <w:tcW w:w="413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32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Daglichtafhankelijke regeling voor dimmen van verlichting toepassen.</w:t>
            </w:r>
          </w:p>
        </w:tc>
        <w:tc>
          <w:tcPr>
            <w:tcW w:w="332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Daglichtafhankelijke schakeling voor schakelen van verlichting toepassen.</w:t>
            </w:r>
          </w:p>
        </w:tc>
      </w:tr>
      <w:tr w:rsidR="00F43C9B" w:rsidRPr="00E15D20" w:rsidTr="00F43C9B">
        <w:trPr>
          <w:trHeight w:val="1170"/>
        </w:trPr>
        <w:tc>
          <w:tcPr>
            <w:tcW w:w="4132" w:type="dxa"/>
            <w:vMerge w:val="restart"/>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4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Daglichtafhankelijke schakeling of regeling ontbreekt.</w:t>
            </w:r>
          </w:p>
        </w:tc>
      </w:tr>
      <w:tr w:rsidR="00F43C9B" w:rsidRPr="00E15D20" w:rsidTr="00F43C9B">
        <w:trPr>
          <w:trHeight w:val="1170"/>
        </w:trPr>
        <w:tc>
          <w:tcPr>
            <w:tcW w:w="4132" w:type="dxa"/>
            <w:vMerge/>
            <w:shd w:val="clear" w:color="auto" w:fill="A6A6A6"/>
            <w:vAlign w:val="center"/>
          </w:tcPr>
          <w:p w:rsidR="00F43C9B" w:rsidRDefault="00F43C9B" w:rsidP="00F43C9B">
            <w:pPr>
              <w:shd w:val="clear" w:color="auto" w:fill="D9D9D9" w:themeFill="background1" w:themeFillShade="D9"/>
              <w:rPr>
                <w:rFonts w:cstheme="minorHAnsi"/>
                <w:b/>
                <w:bCs/>
                <w:sz w:val="18"/>
                <w:szCs w:val="18"/>
              </w:rPr>
            </w:pPr>
          </w:p>
        </w:tc>
        <w:tc>
          <w:tcPr>
            <w:tcW w:w="3321"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 xml:space="preserve">a) Hoogfrequente (HF) armaturen met </w:t>
            </w:r>
            <w:r>
              <w:rPr>
                <w:rFonts w:cstheme="minorHAnsi"/>
                <w:sz w:val="18"/>
                <w:szCs w:val="18"/>
              </w:rPr>
              <w:t xml:space="preserve">langwerpige </w:t>
            </w:r>
            <w:r>
              <w:rPr>
                <w:rFonts w:cstheme="minorHAnsi"/>
                <w:bCs/>
                <w:sz w:val="18"/>
                <w:szCs w:val="18"/>
              </w:rPr>
              <w:t>fluorescentielampen (TL) (niet retrofit) zijn aanwezig.</w:t>
            </w:r>
          </w:p>
        </w:tc>
        <w:tc>
          <w:tcPr>
            <w:tcW w:w="3321" w:type="dxa"/>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 xml:space="preserve">b) Conventionele armaturen met </w:t>
            </w:r>
            <w:r>
              <w:rPr>
                <w:rFonts w:cstheme="minorHAnsi"/>
                <w:sz w:val="18"/>
                <w:szCs w:val="18"/>
              </w:rPr>
              <w:t xml:space="preserve">langwerpige </w:t>
            </w:r>
            <w:r>
              <w:rPr>
                <w:rFonts w:cstheme="minorHAnsi"/>
                <w:bCs/>
                <w:sz w:val="18"/>
                <w:szCs w:val="18"/>
              </w:rPr>
              <w:t>fluorescentielampen (TL) zijn aanwezig.</w:t>
            </w:r>
          </w:p>
        </w:tc>
      </w:tr>
      <w:tr w:rsidR="00F43C9B" w:rsidRPr="00E15D20" w:rsidTr="00F43C9B">
        <w:trPr>
          <w:trHeight w:val="397"/>
        </w:trPr>
        <w:tc>
          <w:tcPr>
            <w:tcW w:w="413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4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Verlichting is apart schakelbaar langs ramen en/of onder daglichtopeningen.</w:t>
            </w:r>
          </w:p>
        </w:tc>
      </w:tr>
      <w:tr w:rsidR="00F43C9B" w:rsidRPr="00E15D20" w:rsidTr="00F43C9B">
        <w:trPr>
          <w:trHeight w:val="397"/>
        </w:trPr>
        <w:tc>
          <w:tcPr>
            <w:tcW w:w="413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42" w:type="dxa"/>
            <w:gridSpan w:val="2"/>
            <w:vAlign w:val="center"/>
          </w:tcPr>
          <w:p w:rsidR="00F43C9B" w:rsidRDefault="00F43C9B" w:rsidP="00F43C9B">
            <w:pPr>
              <w:shd w:val="clear" w:color="auto" w:fill="D9D9D9" w:themeFill="background1" w:themeFillShade="D9"/>
              <w:ind w:left="100"/>
              <w:rPr>
                <w:rFonts w:cstheme="minorHAnsi"/>
                <w:bCs/>
                <w:sz w:val="18"/>
                <w:szCs w:val="18"/>
              </w:rPr>
            </w:pPr>
            <w:r>
              <w:rPr>
                <w:rFonts w:cstheme="minorHAnsi"/>
                <w:bCs/>
                <w:sz w:val="18"/>
                <w:szCs w:val="18"/>
              </w:rPr>
              <w:t>Geïnstalleerd vermogen per verlichtingsgroep is minimaal 0,7 kW.</w:t>
            </w:r>
          </w:p>
          <w:p w:rsidR="00F43C9B" w:rsidRDefault="00F43C9B" w:rsidP="00F43C9B">
            <w:pPr>
              <w:shd w:val="clear" w:color="auto" w:fill="D9D9D9" w:themeFill="background1" w:themeFillShade="D9"/>
              <w:ind w:left="100"/>
              <w:rPr>
                <w:rFonts w:cstheme="minorHAnsi"/>
                <w:bCs/>
                <w:sz w:val="18"/>
                <w:szCs w:val="18"/>
              </w:rPr>
            </w:pPr>
            <w:r>
              <w:rPr>
                <w:rFonts w:cstheme="minorHAnsi"/>
                <w:sz w:val="18"/>
                <w:szCs w:val="18"/>
              </w:rPr>
              <w:t>Daglichtoppervlak in dak is minimaal 10% van dakoppervlak of daglichtoppervlak in gevel is minimaal 30% van vloeroppervlak.</w:t>
            </w:r>
          </w:p>
        </w:tc>
      </w:tr>
      <w:tr w:rsidR="00F43C9B" w:rsidRPr="00E15D20" w:rsidTr="00F43C9B">
        <w:trPr>
          <w:trHeight w:val="397"/>
        </w:trPr>
        <w:tc>
          <w:tcPr>
            <w:tcW w:w="413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4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13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w:t>
            </w:r>
            <w:r>
              <w:rPr>
                <w:rFonts w:cstheme="minorHAnsi"/>
                <w:b/>
                <w:bCs/>
                <w:sz w:val="18"/>
                <w:szCs w:val="18"/>
              </w:rPr>
              <w:t>n</w:t>
            </w:r>
          </w:p>
        </w:tc>
        <w:tc>
          <w:tcPr>
            <w:tcW w:w="664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r w:rsidR="00F43C9B" w:rsidRPr="00E15D20" w:rsidTr="00F43C9B">
        <w:trPr>
          <w:trHeight w:val="397"/>
        </w:trPr>
        <w:tc>
          <w:tcPr>
            <w:tcW w:w="413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42" w:type="dxa"/>
            <w:gridSpan w:val="2"/>
            <w:vAlign w:val="center"/>
          </w:tcPr>
          <w:p w:rsidR="00F43C9B" w:rsidRDefault="00F43C9B" w:rsidP="00F43C9B">
            <w:pPr>
              <w:shd w:val="clear" w:color="auto" w:fill="D9D9D9" w:themeFill="background1" w:themeFillShade="D9"/>
              <w:rPr>
                <w:rFonts w:cstheme="minorHAnsi"/>
                <w:b/>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2"/>
        <w:gridCol w:w="6662"/>
      </w:tblGrid>
      <w:tr w:rsidR="00F43C9B" w:rsidRPr="00E15D20" w:rsidTr="00F43C9B">
        <w:trPr>
          <w:trHeight w:val="397"/>
          <w:tblHeader/>
        </w:trPr>
        <w:tc>
          <w:tcPr>
            <w:tcW w:w="4112" w:type="dxa"/>
            <w:shd w:val="clear" w:color="auto" w:fill="A6A6A6"/>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14</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Onnodig branden van verlichting in magazijnen en opslagruimten voorkomen bij wisselend ruimtegebruik.</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Aanwezigheidschakeling toepassen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Aanwezigheidschakeling ontbreekt.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Verlichting is apart schakelbaar per (deel van de) ruimte.</w:t>
            </w:r>
          </w:p>
        </w:tc>
      </w:tr>
      <w:tr w:rsidR="00F43C9B" w:rsidRPr="00E15D20" w:rsidTr="00F43C9B">
        <w:trPr>
          <w:trHeight w:val="5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Geïnstalleerd vermogen per verlichtingsgroep is minimaal 0,42 kW.</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Bijzondere </w:t>
            </w:r>
            <w:r>
              <w:rPr>
                <w:rFonts w:cstheme="minorHAnsi"/>
                <w:b/>
                <w:bCs/>
                <w:sz w:val="18"/>
                <w:szCs w:val="18"/>
              </w:rPr>
              <w:t>omstandigheden</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2"/>
        <w:gridCol w:w="6662"/>
      </w:tblGrid>
      <w:tr w:rsidR="00F43C9B" w:rsidRPr="00E15D20" w:rsidTr="00F43C9B">
        <w:trPr>
          <w:trHeight w:val="397"/>
          <w:tblHeader/>
        </w:trPr>
        <w:tc>
          <w:tcPr>
            <w:tcW w:w="4112" w:type="dxa"/>
            <w:shd w:val="clear" w:color="auto" w:fill="A6A6A6"/>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15</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 xml:space="preserve">Bedrijfshal: Vermogen </w:t>
            </w:r>
            <w:r>
              <w:rPr>
                <w:rFonts w:cstheme="minorHAnsi"/>
                <w:sz w:val="18"/>
                <w:szCs w:val="18"/>
              </w:rPr>
              <w:t xml:space="preserve">conventionele verlichting met langwerpige </w:t>
            </w:r>
            <w:r>
              <w:rPr>
                <w:rFonts w:cstheme="minorHAnsi"/>
                <w:bCs/>
                <w:sz w:val="18"/>
                <w:szCs w:val="18"/>
              </w:rPr>
              <w:t>fluorescentielampen</w:t>
            </w:r>
            <w:r>
              <w:rPr>
                <w:rFonts w:cstheme="minorHAnsi"/>
                <w:sz w:val="18"/>
                <w:szCs w:val="18"/>
              </w:rPr>
              <w:t xml:space="preserve"> (TL) verlagen door spanningsverlaging.</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w:t>
            </w:r>
            <w:r>
              <w:rPr>
                <w:rFonts w:cstheme="minorHAnsi"/>
                <w:b/>
                <w:bCs/>
                <w:sz w:val="18"/>
                <w:szCs w:val="18"/>
              </w:rPr>
              <w:t>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Spanningsverlagingstoestel toepassen dat spanning verlaagt naar 207 tot 210 Volt.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Spanningsverlagingstoestel ontbreekt.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Aparte verlichtingsgroep is aanwezig.</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sz w:val="18"/>
                <w:szCs w:val="18"/>
              </w:rPr>
              <w:t>Geïnstalleerd vermogen per verlichtingsgroep is minimaal 11,5 kW.</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Aantal branduren is minimaal 2.500 uur per jaar.</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[12] Bedrijfshal: Onnodig branden van binnenverlichting in pauzes en buiten bedrijfstijd voorkomen.</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[14] Bedrijfshal: Onnodig branden van verlichting in magazijnen en opslagruimten voorkomen bij wisselend ruimtegebruik.</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sz w:val="18"/>
                <w:szCs w:val="18"/>
              </w:rPr>
            </w:pPr>
            <w:r>
              <w:rPr>
                <w:rFonts w:cstheme="minorHAnsi"/>
                <w:b/>
                <w:sz w:val="18"/>
                <w:szCs w:val="18"/>
              </w:rPr>
              <w:t>Ruimte- en buitenverlichting</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16</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Onnodig branden van hefbrugverlichting voorkomen.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Schakelaar toepassen die verlichting automatisch uitschakelt zodra hefbrug in laagste stand staat.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Automatische schakeling ontbreekt.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Hefbrugverlichting is apart schakelbaar.</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Geïnstalleerd vermogen is minimaal 0,22 kW.</w:t>
            </w:r>
          </w:p>
          <w:p w:rsidR="00F43C9B" w:rsidRDefault="00F43C9B" w:rsidP="00F43C9B">
            <w:pPr>
              <w:shd w:val="clear" w:color="auto" w:fill="D9D9D9" w:themeFill="background1" w:themeFillShade="D9"/>
              <w:rPr>
                <w:rFonts w:cstheme="minorHAnsi"/>
                <w:sz w:val="18"/>
                <w:szCs w:val="18"/>
              </w:rPr>
            </w:pPr>
            <w:r>
              <w:rPr>
                <w:rFonts w:cstheme="minorHAnsi"/>
                <w:sz w:val="18"/>
                <w:szCs w:val="18"/>
              </w:rPr>
              <w:t>Hefbrugverlichting is minimaal 750 uur per jaar onnodig aan (ter indicatie: 3 uur per werkdag).</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Zelfstandig moment: Nee.</w:t>
            </w:r>
          </w:p>
          <w:p w:rsidR="00F43C9B" w:rsidRDefault="00F43C9B" w:rsidP="00F43C9B">
            <w:pPr>
              <w:shd w:val="clear" w:color="auto" w:fill="D9D9D9" w:themeFill="background1" w:themeFillShade="D9"/>
              <w:rPr>
                <w:rFonts w:cstheme="minorHAnsi"/>
                <w:sz w:val="18"/>
                <w:szCs w:val="18"/>
              </w:rPr>
            </w:pPr>
            <w:r>
              <w:rPr>
                <w:rFonts w:cstheme="minorHAnsi"/>
                <w:sz w:val="18"/>
                <w:szCs w:val="18"/>
              </w:rPr>
              <w:t>Natuurlijk moment: Ja.</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2"/>
        <w:gridCol w:w="3331"/>
        <w:gridCol w:w="3331"/>
      </w:tblGrid>
      <w:tr w:rsidR="00F43C9B" w:rsidRPr="00E15D20" w:rsidTr="00F43C9B">
        <w:trPr>
          <w:trHeight w:val="397"/>
          <w:tblHeader/>
        </w:trPr>
        <w:tc>
          <w:tcPr>
            <w:tcW w:w="4112" w:type="dxa"/>
            <w:shd w:val="clear" w:color="auto" w:fill="A6A6A6"/>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gridSpan w:val="2"/>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17</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Bedrijfshal: Geïnstalleerd vermogen binnenverlichting beperken.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33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 xml:space="preserve">a) Armaturen met </w:t>
            </w:r>
            <w:r>
              <w:rPr>
                <w:rFonts w:cstheme="minorHAnsi"/>
                <w:sz w:val="18"/>
                <w:szCs w:val="18"/>
              </w:rPr>
              <w:t xml:space="preserve">langwerpige </w:t>
            </w:r>
            <w:r>
              <w:rPr>
                <w:rFonts w:cstheme="minorHAnsi"/>
                <w:bCs/>
                <w:sz w:val="18"/>
                <w:szCs w:val="18"/>
              </w:rPr>
              <w:t>fluorescentielampen</w:t>
            </w:r>
            <w:r>
              <w:rPr>
                <w:rFonts w:cstheme="minorHAnsi"/>
                <w:sz w:val="18"/>
                <w:szCs w:val="18"/>
              </w:rPr>
              <w:t xml:space="preserve"> (</w:t>
            </w:r>
            <w:r>
              <w:rPr>
                <w:rFonts w:cstheme="minorHAnsi"/>
                <w:bCs/>
                <w:sz w:val="18"/>
                <w:szCs w:val="18"/>
              </w:rPr>
              <w:t>TL5) toepassen.</w:t>
            </w:r>
          </w:p>
        </w:tc>
        <w:tc>
          <w:tcPr>
            <w:tcW w:w="333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Armaturen met led-lampen toepassen.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 xml:space="preserve">Conventionele armaturen met </w:t>
            </w:r>
            <w:r>
              <w:rPr>
                <w:rFonts w:cstheme="minorHAnsi"/>
                <w:sz w:val="18"/>
                <w:szCs w:val="18"/>
              </w:rPr>
              <w:t xml:space="preserve">langwerpige </w:t>
            </w:r>
            <w:r>
              <w:rPr>
                <w:rFonts w:cstheme="minorHAnsi"/>
                <w:bCs/>
                <w:sz w:val="18"/>
                <w:szCs w:val="18"/>
              </w:rPr>
              <w:t>fluorescentielampen</w:t>
            </w:r>
            <w:r>
              <w:rPr>
                <w:rFonts w:cstheme="minorHAnsi"/>
                <w:sz w:val="18"/>
                <w:szCs w:val="18"/>
              </w:rPr>
              <w:t xml:space="preserve"> (TL) </w:t>
            </w:r>
            <w:r>
              <w:rPr>
                <w:rFonts w:cstheme="minorHAnsi"/>
                <w:bCs/>
                <w:sz w:val="18"/>
                <w:szCs w:val="18"/>
              </w:rPr>
              <w:t>zijn aanwezig.</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1090"/>
        </w:trPr>
        <w:tc>
          <w:tcPr>
            <w:tcW w:w="4112" w:type="dxa"/>
            <w:vMerge w:val="restart"/>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Aantal branduren is minimaal 2.500 uur per jaar.</w:t>
            </w:r>
          </w:p>
          <w:p w:rsidR="00F43C9B" w:rsidRDefault="00F43C9B" w:rsidP="00F43C9B">
            <w:pPr>
              <w:shd w:val="clear" w:color="auto" w:fill="D9D9D9" w:themeFill="background1" w:themeFillShade="D9"/>
              <w:rPr>
                <w:rFonts w:cstheme="minorHAnsi"/>
                <w:bCs/>
                <w:sz w:val="18"/>
                <w:szCs w:val="18"/>
              </w:rPr>
            </w:pPr>
          </w:p>
        </w:tc>
      </w:tr>
      <w:tr w:rsidR="00F43C9B" w:rsidRPr="00E15D20" w:rsidTr="00F43C9B">
        <w:trPr>
          <w:trHeight w:val="1090"/>
        </w:trPr>
        <w:tc>
          <w:tcPr>
            <w:tcW w:w="4112" w:type="dxa"/>
            <w:vMerge/>
            <w:shd w:val="clear" w:color="auto" w:fill="A6A6A6"/>
            <w:vAlign w:val="center"/>
          </w:tcPr>
          <w:p w:rsidR="00F43C9B" w:rsidRDefault="00F43C9B" w:rsidP="00F43C9B">
            <w:pPr>
              <w:shd w:val="clear" w:color="auto" w:fill="D9D9D9" w:themeFill="background1" w:themeFillShade="D9"/>
              <w:rPr>
                <w:rFonts w:cstheme="minorHAnsi"/>
                <w:b/>
                <w:bCs/>
                <w:sz w:val="18"/>
                <w:szCs w:val="18"/>
              </w:rPr>
            </w:pPr>
          </w:p>
        </w:tc>
        <w:tc>
          <w:tcPr>
            <w:tcW w:w="3331" w:type="dxa"/>
            <w:vAlign w:val="center"/>
          </w:tcPr>
          <w:p w:rsidR="00F43C9B" w:rsidRDefault="00F43C9B" w:rsidP="00F43C9B">
            <w:pPr>
              <w:shd w:val="clear" w:color="auto" w:fill="D9D9D9" w:themeFill="background1" w:themeFillShade="D9"/>
              <w:rPr>
                <w:rFonts w:cstheme="minorHAnsi"/>
                <w:bCs/>
                <w:sz w:val="18"/>
                <w:szCs w:val="18"/>
              </w:rPr>
            </w:pPr>
          </w:p>
        </w:tc>
        <w:tc>
          <w:tcPr>
            <w:tcW w:w="333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Geïnstalleerd vermogen van verlichting neemt door toepassen van led-lampen minimaal 50% af bij voldoende lichtopbrengst.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gridSpan w:val="2"/>
            <w:vAlign w:val="center"/>
          </w:tcPr>
          <w:p w:rsidR="00F43C9B" w:rsidRDefault="00F43C9B" w:rsidP="00F43C9B">
            <w:pPr>
              <w:shd w:val="clear" w:color="auto" w:fill="D9D9D9" w:themeFill="background1" w:themeFillShade="D9"/>
              <w:ind w:left="100" w:right="200"/>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[12] Bedrijfshal: Onnodig branden van binnenverlichting in pauzes en buiten bedrijfstijd voorkomen.</w:t>
            </w:r>
          </w:p>
          <w:p w:rsidR="00F43C9B" w:rsidRDefault="00F43C9B" w:rsidP="00F43C9B">
            <w:pPr>
              <w:shd w:val="clear" w:color="auto" w:fill="D9D9D9" w:themeFill="background1" w:themeFillShade="D9"/>
              <w:rPr>
                <w:rFonts w:cstheme="minorHAnsi"/>
                <w:bCs/>
                <w:sz w:val="18"/>
                <w:szCs w:val="18"/>
              </w:rPr>
            </w:pPr>
            <w:r>
              <w:rPr>
                <w:rFonts w:cstheme="minorHAnsi"/>
                <w:sz w:val="18"/>
                <w:szCs w:val="18"/>
              </w:rPr>
              <w:t xml:space="preserve">[13] </w:t>
            </w:r>
            <w:r>
              <w:rPr>
                <w:rFonts w:cstheme="minorHAnsi"/>
                <w:bCs/>
                <w:sz w:val="18"/>
                <w:szCs w:val="18"/>
              </w:rPr>
              <w:t>Bedrijfshal: Binnenverlichting automatisch verminderen op basis van daglichttoetreding door ramen en daklichten.</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[14] Bedrijfshal: Onnodig branden van verlichting in magazijnen en opslagruimten voorkomen bij wisselend ruimtegebruik.</w:t>
            </w:r>
          </w:p>
        </w:tc>
      </w:tr>
      <w:tr w:rsidR="00F43C9B" w:rsidRPr="00E15D20" w:rsidTr="00F43C9B">
        <w:trPr>
          <w:trHeight w:val="397"/>
        </w:trPr>
        <w:tc>
          <w:tcPr>
            <w:tcW w:w="4112" w:type="dxa"/>
            <w:shd w:val="clear" w:color="auto" w:fill="A6A6A6" w:themeFill="background1" w:themeFillShade="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gridSpan w:val="2"/>
            <w:shd w:val="clear" w:color="auto" w:fill="auto"/>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7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2"/>
        <w:gridCol w:w="6662"/>
      </w:tblGrid>
      <w:tr w:rsidR="00F43C9B" w:rsidRPr="00E15D20" w:rsidTr="00F43C9B">
        <w:trPr>
          <w:trHeight w:val="397"/>
        </w:trPr>
        <w:tc>
          <w:tcPr>
            <w:tcW w:w="4112" w:type="dxa"/>
            <w:shd w:val="clear" w:color="auto" w:fill="A6A6A6"/>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18</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Onnodig branden van reclame- en overige buitenverlichting voorkomen</w:t>
            </w:r>
            <w:r>
              <w:rPr>
                <w:rFonts w:cstheme="minorHAnsi"/>
                <w:sz w:val="18"/>
                <w:szCs w:val="18"/>
              </w:rPr>
              <w:t xml:space="preserve"> zodat verlichting alleen brandt als het donker is en per nacht minimaal 6 uur uit is</w:t>
            </w:r>
            <w:r>
              <w:rPr>
                <w:rFonts w:cstheme="minorHAnsi"/>
                <w:bCs/>
                <w:sz w:val="18"/>
                <w:szCs w:val="18"/>
              </w:rPr>
              <w: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Schemerschakelaar en tijdschakelklok toepassen.</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Schemerschakelaar en/of tijdschakelaar ontbreekt.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r w:rsidR="00F43C9B" w:rsidRPr="00E15D20" w:rsidTr="00F43C9B">
        <w:trPr>
          <w:trHeight w:val="397"/>
        </w:trPr>
        <w:tc>
          <w:tcPr>
            <w:tcW w:w="4112" w:type="dxa"/>
            <w:shd w:val="clear" w:color="auto" w:fill="A6A6A6"/>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Faciliteiten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19</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Energiezuinige motor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IE2-motor met frequentieregeling of IE3-motor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Motor met vermogen meer dan 7,5 kW en minder dan 375 kW en met rendementsklasse IE1, IE2 (zonder frequentieregeling) of lager is aanwezig.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Economische </w:t>
            </w:r>
            <w:r>
              <w:rPr>
                <w:rFonts w:cstheme="minorHAnsi"/>
                <w:b/>
                <w:bCs/>
                <w:sz w:val="18"/>
                <w:szCs w:val="18"/>
              </w:rPr>
              <w:t>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Faciliteiten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20</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Nullasturen persluchtcompressor beperken.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Persluchtcompressor met frequentie- of toerenregeling toepassen.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Compressor heeft vollast/nullast- of vollast/nullast/uitschakeling.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Bij meerdere compressoren uitvoeren bij leidende compressor en rest op basis van aan/uitschakeling.</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Aantal nullasturen is minimaal 1.100 uur per jaar (ter indicatie: 4 uur per werkdag).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73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3311"/>
        <w:gridCol w:w="3311"/>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22" w:type="dxa"/>
            <w:gridSpan w:val="2"/>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Faciliteiten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Nummer </w:t>
            </w:r>
            <w:r>
              <w:rPr>
                <w:rFonts w:cstheme="minorHAnsi"/>
                <w:b/>
                <w:bCs/>
                <w:sz w:val="18"/>
                <w:szCs w:val="18"/>
              </w:rPr>
              <w:t>maatregel</w:t>
            </w:r>
          </w:p>
        </w:tc>
        <w:tc>
          <w:tcPr>
            <w:tcW w:w="6622" w:type="dxa"/>
            <w:gridSpan w:val="2"/>
            <w:vAlign w:val="center"/>
          </w:tcPr>
          <w:p w:rsidR="00F43C9B" w:rsidRDefault="00F43C9B" w:rsidP="00F43C9B">
            <w:pPr>
              <w:shd w:val="clear" w:color="auto" w:fill="D9D9D9" w:themeFill="background1" w:themeFillShade="D9"/>
              <w:rPr>
                <w:rFonts w:cstheme="minorHAnsi"/>
                <w:b/>
                <w:bCs/>
                <w:sz w:val="18"/>
                <w:szCs w:val="18"/>
              </w:rPr>
            </w:pPr>
            <w:r>
              <w:rPr>
                <w:rFonts w:cstheme="minorHAnsi"/>
                <w:bCs/>
                <w:sz w:val="18"/>
                <w:szCs w:val="18"/>
              </w:rPr>
              <w:t>21</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2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Energiezuinig perslucht maken door koude lucht te gebruiken.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31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Koude buitenlucht gebruiken.</w:t>
            </w:r>
          </w:p>
        </w:tc>
        <w:tc>
          <w:tcPr>
            <w:tcW w:w="331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 Binnenlucht uit onverwarmde ruimte gebruiken.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w:t>
            </w:r>
            <w:r>
              <w:rPr>
                <w:rFonts w:cstheme="minorHAnsi"/>
                <w:b/>
                <w:bCs/>
                <w:sz w:val="18"/>
                <w:szCs w:val="18"/>
              </w:rPr>
              <w:t>basis van een referentietechniek</w:t>
            </w:r>
          </w:p>
        </w:tc>
        <w:tc>
          <w:tcPr>
            <w:tcW w:w="662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Compressor zuigt door zichzelf opgewarmde warme lucht of warme proceslucht aan.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2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3311"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 Opening in gevel is mogelijk binnen een afstand van 3 meter.</w:t>
            </w:r>
          </w:p>
        </w:tc>
        <w:tc>
          <w:tcPr>
            <w:tcW w:w="3311" w:type="dxa"/>
            <w:vAlign w:val="center"/>
          </w:tcPr>
          <w:p w:rsidR="00F43C9B" w:rsidRDefault="00F43C9B" w:rsidP="00F43C9B">
            <w:pPr>
              <w:shd w:val="clear" w:color="auto" w:fill="D9D9D9" w:themeFill="background1" w:themeFillShade="D9"/>
              <w:rPr>
                <w:rFonts w:cstheme="minorHAnsi"/>
                <w:sz w:val="18"/>
                <w:szCs w:val="18"/>
              </w:rPr>
            </w:pPr>
            <w:r>
              <w:rPr>
                <w:rFonts w:cstheme="minorHAnsi"/>
                <w:bCs/>
                <w:sz w:val="18"/>
                <w:szCs w:val="18"/>
              </w:rPr>
              <w:t>b) N.v.t.</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2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Vermogen van compressor (in kW) vermenigvuldigd met aantal equivalenten van vollasturen per jaar (in uur per jaar) is minimaal 50.000 (kWh per jaar).</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2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22"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6662"/>
      </w:tblGrid>
      <w:tr w:rsidR="00F43C9B" w:rsidRPr="00E15D20" w:rsidTr="00F43C9B">
        <w:tc>
          <w:tcPr>
            <w:tcW w:w="4112"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Energiefunctie</w:t>
            </w:r>
          </w:p>
        </w:tc>
        <w:tc>
          <w:tcPr>
            <w:tcW w:w="6662"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Faciliteiten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22</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Warmte van persluchtcompressoren nuttig gebruiken.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Warmte gebruiken voor ruimteverwarming.</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Warmte van compressor wordt naar buiten afgevoerd.</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rPr>
          <w:trHeight w:val="456"/>
        </w:trPr>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Aantal equivalenten van vollasturen is minimaal 1.400 uur per stookseizoen (ter indicatie: 10 uur per werkdag in stookseizoen).</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Afstand tot te verwarmen ruimte is minder dan 3 meter.</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erkende </w:t>
            </w:r>
            <w:r>
              <w:rPr>
                <w:rFonts w:cstheme="minorHAnsi"/>
                <w:b/>
                <w:bCs/>
                <w:sz w:val="18"/>
                <w:szCs w:val="18"/>
              </w:rPr>
              <w:t>maatregelen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 xml:space="preserve">[20] </w:t>
            </w:r>
            <w:r>
              <w:rPr>
                <w:rFonts w:cstheme="minorHAnsi"/>
                <w:bCs/>
                <w:sz w:val="18"/>
                <w:szCs w:val="18"/>
              </w:rPr>
              <w:t>Nullasturen persluchtcompressor beperken.</w:t>
            </w:r>
          </w:p>
        </w:tc>
      </w:tr>
      <w:tr w:rsidR="00F43C9B" w:rsidRPr="00E15D20" w:rsidTr="00F43C9B">
        <w:tc>
          <w:tcPr>
            <w:tcW w:w="411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62"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800"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61"/>
        <w:gridCol w:w="6639"/>
      </w:tblGrid>
      <w:tr w:rsidR="00F43C9B" w:rsidRPr="00E15D20" w:rsidTr="00F43C9B">
        <w:trPr>
          <w:trHeight w:val="397"/>
        </w:trPr>
        <w:tc>
          <w:tcPr>
            <w:tcW w:w="4161" w:type="dxa"/>
            <w:shd w:val="clear" w:color="auto" w:fill="A6A6A6"/>
            <w:vAlign w:val="center"/>
          </w:tcPr>
          <w:p w:rsidR="00F43C9B" w:rsidRDefault="00F43C9B" w:rsidP="00F43C9B">
            <w:pPr>
              <w:shd w:val="clear" w:color="auto" w:fill="D9D9D9" w:themeFill="background1" w:themeFillShade="D9"/>
              <w:ind w:left="100"/>
              <w:rPr>
                <w:rFonts w:cstheme="minorHAnsi"/>
                <w:b/>
                <w:sz w:val="18"/>
                <w:szCs w:val="18"/>
              </w:rPr>
            </w:pPr>
            <w:r>
              <w:rPr>
                <w:rFonts w:cstheme="minorHAnsi"/>
                <w:b/>
                <w:sz w:val="18"/>
                <w:szCs w:val="18"/>
              </w:rPr>
              <w:br w:type="page"/>
              <w:t>Type maatregel</w:t>
            </w:r>
          </w:p>
        </w:tc>
        <w:tc>
          <w:tcPr>
            <w:tcW w:w="6639" w:type="dxa"/>
            <w:vAlign w:val="center"/>
          </w:tcPr>
          <w:p w:rsidR="00F43C9B" w:rsidRDefault="00F43C9B" w:rsidP="00F43C9B">
            <w:pPr>
              <w:shd w:val="clear" w:color="auto" w:fill="D9D9D9" w:themeFill="background1" w:themeFillShade="D9"/>
              <w:ind w:left="139" w:right="100"/>
              <w:rPr>
                <w:rFonts w:cstheme="minorHAnsi"/>
                <w:b/>
                <w:sz w:val="18"/>
                <w:szCs w:val="18"/>
              </w:rPr>
            </w:pPr>
            <w:r>
              <w:rPr>
                <w:rFonts w:cstheme="minorHAnsi"/>
                <w:b/>
                <w:sz w:val="18"/>
                <w:szCs w:val="18"/>
              </w:rPr>
              <w:t>Faciliteiten</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Nummer maatregel</w:t>
            </w:r>
          </w:p>
        </w:tc>
        <w:tc>
          <w:tcPr>
            <w:tcW w:w="6639" w:type="dxa"/>
            <w:vAlign w:val="center"/>
          </w:tcPr>
          <w:p w:rsidR="00F43C9B" w:rsidRDefault="00F43C9B" w:rsidP="00F43C9B">
            <w:pPr>
              <w:shd w:val="clear" w:color="auto" w:fill="D9D9D9" w:themeFill="background1" w:themeFillShade="D9"/>
              <w:ind w:left="139" w:right="100"/>
              <w:rPr>
                <w:rFonts w:cstheme="minorHAnsi"/>
                <w:sz w:val="18"/>
                <w:szCs w:val="18"/>
              </w:rPr>
            </w:pPr>
            <w:r>
              <w:rPr>
                <w:rFonts w:cstheme="minorHAnsi"/>
                <w:sz w:val="18"/>
                <w:szCs w:val="18"/>
              </w:rPr>
              <w:t>23</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Omschrijving maatregel</w:t>
            </w:r>
          </w:p>
        </w:tc>
        <w:tc>
          <w:tcPr>
            <w:tcW w:w="6639" w:type="dxa"/>
            <w:shd w:val="clear" w:color="auto" w:fill="FFFFFF" w:themeFill="background1"/>
            <w:vAlign w:val="center"/>
          </w:tcPr>
          <w:p w:rsidR="00F43C9B" w:rsidRDefault="00F43C9B" w:rsidP="00F43C9B">
            <w:pPr>
              <w:shd w:val="clear" w:color="auto" w:fill="D9D9D9" w:themeFill="background1" w:themeFillShade="D9"/>
              <w:ind w:left="139" w:right="100"/>
              <w:rPr>
                <w:rFonts w:cstheme="minorHAnsi"/>
                <w:sz w:val="18"/>
                <w:szCs w:val="18"/>
              </w:rPr>
            </w:pPr>
            <w:r>
              <w:rPr>
                <w:rFonts w:cstheme="minorHAnsi"/>
                <w:sz w:val="18"/>
                <w:szCs w:val="18"/>
              </w:rPr>
              <w:t>Debiet centrale stofafzuiging beperken door lager toerental van ventilatoren.</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Mogelijke technieken ten opzichte van uitgangssituatie</w:t>
            </w:r>
          </w:p>
        </w:tc>
        <w:tc>
          <w:tcPr>
            <w:tcW w:w="6639" w:type="dxa"/>
            <w:vAlign w:val="center"/>
          </w:tcPr>
          <w:p w:rsidR="00F43C9B" w:rsidRDefault="00F43C9B" w:rsidP="00F43C9B">
            <w:pPr>
              <w:shd w:val="clear" w:color="auto" w:fill="D9D9D9" w:themeFill="background1" w:themeFillShade="D9"/>
              <w:ind w:left="139" w:right="100"/>
              <w:rPr>
                <w:rFonts w:cstheme="minorHAnsi"/>
                <w:sz w:val="18"/>
                <w:szCs w:val="18"/>
              </w:rPr>
            </w:pPr>
            <w:r>
              <w:rPr>
                <w:rFonts w:cstheme="minorHAnsi"/>
                <w:sz w:val="18"/>
                <w:szCs w:val="18"/>
              </w:rPr>
              <w:t>Toerenregeling toepassen.</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Uitgangssituatie op basis van een referentietechniek</w:t>
            </w:r>
          </w:p>
        </w:tc>
        <w:tc>
          <w:tcPr>
            <w:tcW w:w="6639" w:type="dxa"/>
            <w:vAlign w:val="center"/>
          </w:tcPr>
          <w:p w:rsidR="00F43C9B" w:rsidRDefault="00F43C9B" w:rsidP="00F43C9B">
            <w:pPr>
              <w:shd w:val="clear" w:color="auto" w:fill="D9D9D9" w:themeFill="background1" w:themeFillShade="D9"/>
              <w:ind w:left="139" w:right="100"/>
              <w:rPr>
                <w:rFonts w:cstheme="minorHAnsi"/>
                <w:sz w:val="18"/>
                <w:szCs w:val="18"/>
              </w:rPr>
            </w:pPr>
            <w:r>
              <w:rPr>
                <w:rFonts w:cstheme="minorHAnsi"/>
                <w:sz w:val="18"/>
                <w:szCs w:val="18"/>
              </w:rPr>
              <w:t>Toerenregeling ontbreekt.</w:t>
            </w:r>
          </w:p>
        </w:tc>
      </w:tr>
      <w:tr w:rsidR="00F43C9B" w:rsidRPr="00E15D20" w:rsidTr="00F43C9B">
        <w:trPr>
          <w:trHeight w:val="110"/>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Technische randvoorwaarden</w:t>
            </w:r>
          </w:p>
        </w:tc>
        <w:tc>
          <w:tcPr>
            <w:tcW w:w="6639" w:type="dxa"/>
            <w:vAlign w:val="center"/>
          </w:tcPr>
          <w:p w:rsidR="00F43C9B" w:rsidRDefault="00F43C9B" w:rsidP="00F43C9B">
            <w:pPr>
              <w:shd w:val="clear" w:color="auto" w:fill="D9D9D9" w:themeFill="background1" w:themeFillShade="D9"/>
              <w:ind w:left="139" w:right="100"/>
              <w:rPr>
                <w:rFonts w:cstheme="minorHAnsi"/>
                <w:sz w:val="18"/>
                <w:szCs w:val="18"/>
              </w:rPr>
            </w:pPr>
            <w:r>
              <w:rPr>
                <w:rFonts w:cstheme="minorHAnsi"/>
                <w:sz w:val="18"/>
                <w:szCs w:val="18"/>
              </w:rPr>
              <w:t>N.v.t.</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Economische randvoorwaarden</w:t>
            </w:r>
          </w:p>
        </w:tc>
        <w:tc>
          <w:tcPr>
            <w:tcW w:w="6639" w:type="dxa"/>
            <w:vAlign w:val="center"/>
          </w:tcPr>
          <w:p w:rsidR="00F43C9B" w:rsidRDefault="00F43C9B" w:rsidP="00F43C9B">
            <w:pPr>
              <w:shd w:val="clear" w:color="auto" w:fill="D9D9D9" w:themeFill="background1" w:themeFillShade="D9"/>
              <w:ind w:left="139" w:right="100"/>
              <w:rPr>
                <w:rFonts w:cstheme="minorHAnsi"/>
                <w:sz w:val="18"/>
                <w:szCs w:val="18"/>
              </w:rPr>
            </w:pPr>
            <w:r>
              <w:rPr>
                <w:rFonts w:cstheme="minorHAnsi"/>
                <w:bCs/>
                <w:sz w:val="18"/>
                <w:szCs w:val="18"/>
              </w:rPr>
              <w:t>Vermogen van centrale stofafzuiger (in kW) vermenigvuldigd met aantal uren (in uur per jaar) dat afzuiginstallatie niet vol belast is, is minimaal 4.000 (kWh per jaar).</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p>
        </w:tc>
        <w:tc>
          <w:tcPr>
            <w:tcW w:w="6639"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Zelfstandig moment: Nee.</w:t>
            </w:r>
          </w:p>
          <w:p w:rsidR="00F43C9B" w:rsidRDefault="00F43C9B" w:rsidP="00F43C9B">
            <w:pPr>
              <w:shd w:val="clear" w:color="auto" w:fill="D9D9D9" w:themeFill="background1" w:themeFillShade="D9"/>
              <w:ind w:left="139" w:right="100"/>
              <w:rPr>
                <w:rFonts w:cstheme="minorHAnsi"/>
                <w:sz w:val="18"/>
                <w:szCs w:val="18"/>
              </w:rPr>
            </w:pPr>
            <w:r>
              <w:rPr>
                <w:rFonts w:cstheme="minorHAnsi"/>
                <w:sz w:val="18"/>
                <w:szCs w:val="18"/>
              </w:rPr>
              <w:t>Natuurlijk moment: Ja.</w:t>
            </w:r>
          </w:p>
        </w:tc>
      </w:tr>
      <w:tr w:rsidR="00F43C9B" w:rsidRPr="00E15D20" w:rsidTr="00F43C9B">
        <w:trPr>
          <w:trHeight w:val="20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Alternatieve erkende maatregelen</w:t>
            </w:r>
          </w:p>
        </w:tc>
        <w:tc>
          <w:tcPr>
            <w:tcW w:w="6639" w:type="dxa"/>
            <w:vAlign w:val="center"/>
          </w:tcPr>
          <w:p w:rsidR="00F43C9B" w:rsidRDefault="00F43C9B" w:rsidP="00F43C9B">
            <w:pPr>
              <w:shd w:val="clear" w:color="auto" w:fill="D9D9D9" w:themeFill="background1" w:themeFillShade="D9"/>
              <w:ind w:left="139" w:right="100"/>
              <w:rPr>
                <w:rFonts w:cstheme="minorHAnsi"/>
                <w:sz w:val="18"/>
                <w:szCs w:val="18"/>
              </w:rPr>
            </w:pPr>
            <w:r>
              <w:rPr>
                <w:rFonts w:cstheme="minorHAnsi"/>
                <w:sz w:val="18"/>
                <w:szCs w:val="18"/>
              </w:rPr>
              <w:t>N.v.t.</w:t>
            </w:r>
          </w:p>
        </w:tc>
      </w:tr>
      <w:tr w:rsidR="00F43C9B" w:rsidRPr="00E15D20" w:rsidTr="00F43C9B">
        <w:trPr>
          <w:trHeight w:val="134"/>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 xml:space="preserve">Bijzondere </w:t>
            </w:r>
            <w:r>
              <w:rPr>
                <w:rFonts w:cstheme="minorHAnsi"/>
                <w:b/>
                <w:sz w:val="18"/>
                <w:szCs w:val="18"/>
              </w:rPr>
              <w:t>omstandigheden</w:t>
            </w:r>
          </w:p>
        </w:tc>
        <w:tc>
          <w:tcPr>
            <w:tcW w:w="6639" w:type="dxa"/>
            <w:vAlign w:val="center"/>
          </w:tcPr>
          <w:p w:rsidR="00F43C9B" w:rsidRDefault="00F43C9B" w:rsidP="00F43C9B">
            <w:pPr>
              <w:shd w:val="clear" w:color="auto" w:fill="D9D9D9" w:themeFill="background1" w:themeFillShade="D9"/>
              <w:ind w:left="139" w:right="100"/>
              <w:rPr>
                <w:rFonts w:cstheme="minorHAnsi"/>
                <w:sz w:val="18"/>
                <w:szCs w:val="18"/>
              </w:rPr>
            </w:pPr>
            <w:r>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9747" w:type="dxa"/>
        <w:tblCellMar>
          <w:left w:w="0" w:type="dxa"/>
          <w:right w:w="0" w:type="dxa"/>
        </w:tblCellMar>
        <w:tblLook w:val="04A0" w:firstRow="1" w:lastRow="0" w:firstColumn="1" w:lastColumn="0" w:noHBand="0" w:noVBand="1"/>
      </w:tblPr>
      <w:tblGrid>
        <w:gridCol w:w="2072"/>
        <w:gridCol w:w="7534"/>
        <w:gridCol w:w="141"/>
      </w:tblGrid>
      <w:tr w:rsidR="00F43C9B" w:rsidRPr="00E15D20" w:rsidTr="00F43C9B">
        <w:trPr>
          <w:gridAfter w:val="1"/>
          <w:wAfter w:w="141" w:type="dxa"/>
        </w:trPr>
        <w:tc>
          <w:tcPr>
            <w:tcW w:w="207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F43C9B" w:rsidRDefault="00F43C9B" w:rsidP="00F43C9B">
            <w:pPr>
              <w:shd w:val="clear" w:color="auto" w:fill="D9D9D9" w:themeFill="background1" w:themeFillShade="D9"/>
              <w:ind w:left="100" w:right="-139"/>
              <w:rPr>
                <w:rFonts w:eastAsiaTheme="minorHAnsi" w:cstheme="minorHAnsi"/>
                <w:b/>
                <w:bCs/>
                <w:sz w:val="18"/>
                <w:szCs w:val="18"/>
                <w:lang w:eastAsia="en-US"/>
              </w:rPr>
            </w:pPr>
            <w:r>
              <w:rPr>
                <w:rFonts w:cstheme="minorHAnsi"/>
                <w:b/>
                <w:bCs/>
                <w:sz w:val="18"/>
                <w:szCs w:val="18"/>
              </w:rPr>
              <w:t>Activiteiten</w:t>
            </w:r>
          </w:p>
        </w:tc>
        <w:tc>
          <w:tcPr>
            <w:tcW w:w="75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F43C9B" w:rsidRDefault="00F43C9B" w:rsidP="00F43C9B">
            <w:pPr>
              <w:shd w:val="clear" w:color="auto" w:fill="D9D9D9" w:themeFill="background1" w:themeFillShade="D9"/>
              <w:ind w:left="139"/>
              <w:rPr>
                <w:rFonts w:eastAsiaTheme="minorHAnsi" w:cstheme="minorHAnsi"/>
                <w:b/>
                <w:bCs/>
                <w:sz w:val="18"/>
                <w:szCs w:val="18"/>
                <w:lang w:eastAsia="en-US"/>
              </w:rPr>
            </w:pPr>
            <w:r>
              <w:rPr>
                <w:rFonts w:cstheme="minorHAnsi"/>
                <w:b/>
                <w:bCs/>
                <w:sz w:val="18"/>
                <w:szCs w:val="18"/>
              </w:rPr>
              <w:t>Reinigen, lijmen of coaten van metalen</w:t>
            </w:r>
          </w:p>
        </w:tc>
      </w:tr>
      <w:tr w:rsidR="00F43C9B" w:rsidRPr="00E15D20" w:rsidTr="00F43C9B">
        <w:trPr>
          <w:gridAfter w:val="1"/>
          <w:wAfter w:w="141" w:type="dxa"/>
        </w:trPr>
        <w:tc>
          <w:tcPr>
            <w:tcW w:w="207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9B" w:rsidRPr="00E15D20" w:rsidRDefault="00F43C9B" w:rsidP="00F43C9B">
            <w:pPr>
              <w:shd w:val="clear" w:color="auto" w:fill="D9D9D9" w:themeFill="background1" w:themeFillShade="D9"/>
              <w:ind w:left="100" w:right="-139"/>
              <w:rPr>
                <w:rFonts w:eastAsiaTheme="minorHAnsi" w:cstheme="minorHAnsi"/>
                <w:b/>
                <w:bCs/>
                <w:sz w:val="18"/>
                <w:szCs w:val="18"/>
                <w:lang w:eastAsia="en-US"/>
              </w:rPr>
            </w:pPr>
            <w:r w:rsidRPr="00E15D20">
              <w:rPr>
                <w:rFonts w:cstheme="minorHAnsi"/>
                <w:b/>
                <w:bCs/>
                <w:sz w:val="18"/>
                <w:szCs w:val="18"/>
              </w:rPr>
              <w:t>Nummer maatregel</w:t>
            </w:r>
          </w:p>
        </w:tc>
        <w:tc>
          <w:tcPr>
            <w:tcW w:w="75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F43C9B" w:rsidRDefault="00F43C9B" w:rsidP="00F43C9B">
            <w:pPr>
              <w:shd w:val="clear" w:color="auto" w:fill="D9D9D9" w:themeFill="background1" w:themeFillShade="D9"/>
              <w:ind w:left="139"/>
              <w:rPr>
                <w:rFonts w:eastAsiaTheme="minorHAnsi" w:cstheme="minorHAnsi"/>
                <w:sz w:val="18"/>
                <w:szCs w:val="18"/>
                <w:lang w:eastAsia="en-US"/>
              </w:rPr>
            </w:pPr>
            <w:r>
              <w:rPr>
                <w:rFonts w:cstheme="minorHAnsi"/>
                <w:sz w:val="18"/>
                <w:szCs w:val="18"/>
              </w:rPr>
              <w:t>24</w:t>
            </w:r>
          </w:p>
        </w:tc>
      </w:tr>
      <w:tr w:rsidR="00F43C9B" w:rsidRPr="00E15D20" w:rsidTr="00F43C9B">
        <w:tc>
          <w:tcPr>
            <w:tcW w:w="2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9B" w:rsidRPr="00E15D20" w:rsidRDefault="00F43C9B" w:rsidP="00F43C9B">
            <w:pPr>
              <w:shd w:val="clear" w:color="auto" w:fill="D9D9D9" w:themeFill="background1" w:themeFillShade="D9"/>
              <w:ind w:left="100" w:right="-139"/>
              <w:rPr>
                <w:rFonts w:eastAsiaTheme="minorHAnsi" w:cstheme="minorHAnsi"/>
                <w:b/>
                <w:bCs/>
                <w:sz w:val="18"/>
                <w:szCs w:val="18"/>
                <w:lang w:eastAsia="en-US"/>
              </w:rPr>
            </w:pPr>
            <w:r w:rsidRPr="00E15D20">
              <w:rPr>
                <w:rFonts w:cstheme="minorHAnsi"/>
                <w:b/>
                <w:bCs/>
                <w:sz w:val="18"/>
                <w:szCs w:val="18"/>
              </w:rPr>
              <w:t>Omschrijving maatregel</w:t>
            </w:r>
          </w:p>
        </w:tc>
        <w:tc>
          <w:tcPr>
            <w:tcW w:w="76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43C9B" w:rsidRDefault="00F43C9B" w:rsidP="00F43C9B">
            <w:pPr>
              <w:shd w:val="clear" w:color="auto" w:fill="D9D9D9" w:themeFill="background1" w:themeFillShade="D9"/>
              <w:ind w:left="139"/>
              <w:rPr>
                <w:rFonts w:eastAsiaTheme="minorHAnsi" w:cstheme="minorHAnsi"/>
                <w:sz w:val="18"/>
                <w:szCs w:val="18"/>
                <w:lang w:eastAsia="en-US"/>
              </w:rPr>
            </w:pPr>
            <w:r>
              <w:rPr>
                <w:rFonts w:cstheme="minorHAnsi"/>
                <w:sz w:val="18"/>
                <w:szCs w:val="18"/>
              </w:rPr>
              <w:t>Energieverbruik van spuitcabine beperken door automatisch over te schakelen van ventilatiestand naar circulatiestand.</w:t>
            </w:r>
          </w:p>
        </w:tc>
      </w:tr>
      <w:tr w:rsidR="00F43C9B" w:rsidRPr="00E15D20" w:rsidTr="00F43C9B">
        <w:tc>
          <w:tcPr>
            <w:tcW w:w="2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9B" w:rsidRPr="00E15D20" w:rsidRDefault="00F43C9B" w:rsidP="00F43C9B">
            <w:pPr>
              <w:shd w:val="clear" w:color="auto" w:fill="D9D9D9" w:themeFill="background1" w:themeFillShade="D9"/>
              <w:ind w:left="100" w:right="-139"/>
              <w:rPr>
                <w:rFonts w:eastAsiaTheme="minorHAnsi" w:cstheme="minorHAnsi"/>
                <w:b/>
                <w:bCs/>
                <w:sz w:val="18"/>
                <w:szCs w:val="18"/>
                <w:lang w:eastAsia="en-US"/>
              </w:rPr>
            </w:pPr>
            <w:r w:rsidRPr="00E15D20">
              <w:rPr>
                <w:rFonts w:cstheme="minorHAnsi"/>
                <w:b/>
                <w:bCs/>
                <w:sz w:val="18"/>
                <w:szCs w:val="18"/>
              </w:rPr>
              <w:t xml:space="preserve">Mogelijke </w:t>
            </w:r>
            <w:r>
              <w:rPr>
                <w:rFonts w:cstheme="minorHAnsi"/>
                <w:b/>
                <w:bCs/>
                <w:sz w:val="18"/>
                <w:szCs w:val="18"/>
              </w:rPr>
              <w:t>technieken ten opzichte van uitgangssituatie</w:t>
            </w:r>
          </w:p>
        </w:tc>
        <w:tc>
          <w:tcPr>
            <w:tcW w:w="7675" w:type="dxa"/>
            <w:gridSpan w:val="2"/>
            <w:tcBorders>
              <w:top w:val="nil"/>
              <w:left w:val="nil"/>
              <w:bottom w:val="single" w:sz="8" w:space="0" w:color="auto"/>
              <w:right w:val="single" w:sz="8" w:space="0" w:color="auto"/>
            </w:tcBorders>
            <w:tcMar>
              <w:top w:w="0" w:type="dxa"/>
              <w:left w:w="108" w:type="dxa"/>
              <w:bottom w:w="0" w:type="dxa"/>
              <w:right w:w="108" w:type="dxa"/>
            </w:tcMar>
          </w:tcPr>
          <w:p w:rsidR="00F43C9B" w:rsidRDefault="00F43C9B" w:rsidP="00F43C9B">
            <w:pPr>
              <w:shd w:val="clear" w:color="auto" w:fill="D9D9D9" w:themeFill="background1" w:themeFillShade="D9"/>
              <w:ind w:left="139"/>
              <w:rPr>
                <w:rFonts w:eastAsiaTheme="minorHAnsi" w:cstheme="minorHAnsi"/>
                <w:sz w:val="18"/>
                <w:szCs w:val="18"/>
                <w:lang w:eastAsia="en-US"/>
              </w:rPr>
            </w:pPr>
            <w:r>
              <w:rPr>
                <w:rFonts w:cstheme="minorHAnsi"/>
                <w:sz w:val="18"/>
                <w:szCs w:val="18"/>
              </w:rPr>
              <w:t>Automatische omschakeling op basis van persluchtafname toepassen.</w:t>
            </w:r>
          </w:p>
        </w:tc>
      </w:tr>
      <w:tr w:rsidR="00F43C9B" w:rsidRPr="00E15D20" w:rsidTr="00F43C9B">
        <w:tc>
          <w:tcPr>
            <w:tcW w:w="2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9B" w:rsidRPr="00E15D20" w:rsidRDefault="00F43C9B" w:rsidP="00F43C9B">
            <w:pPr>
              <w:shd w:val="clear" w:color="auto" w:fill="D9D9D9" w:themeFill="background1" w:themeFillShade="D9"/>
              <w:ind w:left="100" w:right="-139"/>
              <w:rPr>
                <w:rFonts w:eastAsiaTheme="minorHAnsi" w:cstheme="minorHAnsi"/>
                <w:b/>
                <w:bCs/>
                <w:sz w:val="18"/>
                <w:szCs w:val="18"/>
                <w:lang w:eastAsia="en-US"/>
              </w:rPr>
            </w:pPr>
            <w:r w:rsidRPr="00E15D20">
              <w:rPr>
                <w:rFonts w:cstheme="minorHAnsi"/>
                <w:b/>
                <w:bCs/>
                <w:sz w:val="18"/>
                <w:szCs w:val="18"/>
              </w:rPr>
              <w:t>Uitgangssituatie op basis van een referentietechniek</w:t>
            </w:r>
          </w:p>
        </w:tc>
        <w:tc>
          <w:tcPr>
            <w:tcW w:w="7675" w:type="dxa"/>
            <w:gridSpan w:val="2"/>
            <w:tcBorders>
              <w:top w:val="nil"/>
              <w:left w:val="nil"/>
              <w:bottom w:val="single" w:sz="8" w:space="0" w:color="auto"/>
              <w:right w:val="single" w:sz="8" w:space="0" w:color="auto"/>
            </w:tcBorders>
            <w:tcMar>
              <w:top w:w="0" w:type="dxa"/>
              <w:left w:w="108" w:type="dxa"/>
              <w:bottom w:w="0" w:type="dxa"/>
              <w:right w:w="108" w:type="dxa"/>
            </w:tcMar>
          </w:tcPr>
          <w:p w:rsidR="00F43C9B" w:rsidRDefault="00F43C9B" w:rsidP="00F43C9B">
            <w:pPr>
              <w:shd w:val="clear" w:color="auto" w:fill="D9D9D9" w:themeFill="background1" w:themeFillShade="D9"/>
              <w:rPr>
                <w:rFonts w:eastAsiaTheme="minorHAnsi" w:cstheme="minorHAnsi"/>
                <w:sz w:val="18"/>
                <w:szCs w:val="18"/>
                <w:lang w:eastAsia="en-US"/>
              </w:rPr>
            </w:pPr>
            <w:r>
              <w:rPr>
                <w:rFonts w:cstheme="minorHAnsi"/>
                <w:sz w:val="18"/>
                <w:szCs w:val="18"/>
              </w:rPr>
              <w:t>Automatisch omschakelmodule op basis van persluchtverbruik ontbreekt.</w:t>
            </w:r>
          </w:p>
        </w:tc>
      </w:tr>
      <w:tr w:rsidR="00F43C9B" w:rsidRPr="00E15D20" w:rsidTr="00F43C9B">
        <w:tc>
          <w:tcPr>
            <w:tcW w:w="2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9B" w:rsidRPr="00E15D20" w:rsidRDefault="00F43C9B" w:rsidP="00F43C9B">
            <w:pPr>
              <w:shd w:val="clear" w:color="auto" w:fill="D9D9D9" w:themeFill="background1" w:themeFillShade="D9"/>
              <w:ind w:left="100" w:right="-139"/>
              <w:rPr>
                <w:rFonts w:eastAsiaTheme="minorHAnsi" w:cstheme="minorHAnsi"/>
                <w:b/>
                <w:bCs/>
                <w:sz w:val="18"/>
                <w:szCs w:val="18"/>
                <w:lang w:eastAsia="en-US"/>
              </w:rPr>
            </w:pPr>
            <w:r w:rsidRPr="00E15D20">
              <w:rPr>
                <w:rFonts w:cstheme="minorHAnsi"/>
                <w:b/>
                <w:bCs/>
                <w:sz w:val="18"/>
                <w:szCs w:val="18"/>
              </w:rPr>
              <w:t xml:space="preserve">Technische </w:t>
            </w:r>
            <w:r>
              <w:rPr>
                <w:rFonts w:cstheme="minorHAnsi"/>
                <w:b/>
                <w:bCs/>
                <w:sz w:val="18"/>
                <w:szCs w:val="18"/>
              </w:rPr>
              <w:t>randvoorwaarden</w:t>
            </w:r>
          </w:p>
        </w:tc>
        <w:tc>
          <w:tcPr>
            <w:tcW w:w="76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43C9B" w:rsidRDefault="00F43C9B" w:rsidP="00F43C9B">
            <w:pPr>
              <w:shd w:val="clear" w:color="auto" w:fill="D9D9D9" w:themeFill="background1" w:themeFillShade="D9"/>
              <w:rPr>
                <w:rFonts w:eastAsiaTheme="minorHAnsi" w:cstheme="minorHAnsi"/>
                <w:sz w:val="18"/>
                <w:szCs w:val="18"/>
                <w:lang w:eastAsia="en-US"/>
              </w:rPr>
            </w:pPr>
            <w:r>
              <w:rPr>
                <w:rFonts w:cstheme="minorHAnsi"/>
                <w:sz w:val="18"/>
                <w:szCs w:val="18"/>
              </w:rPr>
              <w:t>Voldoende afvoer van vervuilde lucht alvorens over schakelen naar circulatiestand.</w:t>
            </w:r>
          </w:p>
        </w:tc>
      </w:tr>
      <w:tr w:rsidR="00F43C9B" w:rsidRPr="00E15D20" w:rsidTr="00F43C9B">
        <w:tc>
          <w:tcPr>
            <w:tcW w:w="2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9B" w:rsidRPr="00E15D20" w:rsidRDefault="00F43C9B" w:rsidP="00F43C9B">
            <w:pPr>
              <w:shd w:val="clear" w:color="auto" w:fill="D9D9D9" w:themeFill="background1" w:themeFillShade="D9"/>
              <w:ind w:left="100" w:right="-139"/>
              <w:rPr>
                <w:rFonts w:eastAsiaTheme="minorHAnsi" w:cstheme="minorHAnsi"/>
                <w:b/>
                <w:bCs/>
                <w:sz w:val="18"/>
                <w:szCs w:val="18"/>
                <w:lang w:eastAsia="en-US"/>
              </w:rPr>
            </w:pPr>
            <w:r w:rsidRPr="00E15D20">
              <w:rPr>
                <w:rFonts w:cstheme="minorHAnsi"/>
                <w:b/>
                <w:bCs/>
                <w:sz w:val="18"/>
                <w:szCs w:val="18"/>
              </w:rPr>
              <w:t>Economische randvoorwaarden</w:t>
            </w:r>
          </w:p>
        </w:tc>
        <w:tc>
          <w:tcPr>
            <w:tcW w:w="7675" w:type="dxa"/>
            <w:gridSpan w:val="2"/>
            <w:tcBorders>
              <w:top w:val="nil"/>
              <w:left w:val="nil"/>
              <w:bottom w:val="single" w:sz="8" w:space="0" w:color="auto"/>
              <w:right w:val="single" w:sz="8" w:space="0" w:color="auto"/>
            </w:tcBorders>
            <w:tcMar>
              <w:top w:w="0" w:type="dxa"/>
              <w:left w:w="108" w:type="dxa"/>
              <w:bottom w:w="0" w:type="dxa"/>
              <w:right w:w="108" w:type="dxa"/>
            </w:tcMa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Debiet tijdens ventilatie (in m</w:t>
            </w:r>
            <w:r>
              <w:rPr>
                <w:rFonts w:cstheme="minorHAnsi"/>
                <w:bCs/>
                <w:sz w:val="18"/>
                <w:szCs w:val="18"/>
                <w:vertAlign w:val="superscript"/>
              </w:rPr>
              <w:t>3</w:t>
            </w:r>
            <w:r>
              <w:rPr>
                <w:rFonts w:cstheme="minorHAnsi"/>
                <w:bCs/>
                <w:sz w:val="18"/>
                <w:szCs w:val="18"/>
              </w:rPr>
              <w:t xml:space="preserve"> per uur) vermenigvuldigd met tijd (in uur per jaar) dat gecirculeerd i.p.v. geventileerd kan worden is minimaal 1,2 miljoen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rPr>
                <w:rFonts w:eastAsiaTheme="minorHAnsi" w:cstheme="minorHAnsi"/>
                <w:sz w:val="18"/>
                <w:szCs w:val="18"/>
                <w:lang w:eastAsia="en-US"/>
              </w:rPr>
            </w:pPr>
            <w:r>
              <w:rPr>
                <w:rFonts w:cstheme="minorHAnsi"/>
                <w:bCs/>
                <w:sz w:val="18"/>
                <w:szCs w:val="18"/>
              </w:rPr>
              <w:t>Temperatuurverschil tussen ingaande en uitgaande ventilatielucht is minimaal 20°C.</w:t>
            </w:r>
          </w:p>
        </w:tc>
      </w:tr>
      <w:tr w:rsidR="00F43C9B" w:rsidRPr="00E15D20" w:rsidTr="00F43C9B">
        <w:tc>
          <w:tcPr>
            <w:tcW w:w="2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9B" w:rsidRPr="00E15D20" w:rsidRDefault="00F43C9B" w:rsidP="00F43C9B">
            <w:pPr>
              <w:shd w:val="clear" w:color="auto" w:fill="D9D9D9" w:themeFill="background1" w:themeFillShade="D9"/>
              <w:ind w:left="100" w:right="-139"/>
              <w:rPr>
                <w:rFonts w:eastAsiaTheme="minorHAnsi" w:cstheme="minorHAnsi"/>
                <w:b/>
                <w:bCs/>
                <w:sz w:val="18"/>
                <w:szCs w:val="18"/>
                <w:lang w:eastAsia="en-US"/>
              </w:rPr>
            </w:pPr>
            <w:r w:rsidRPr="00E15D20">
              <w:rPr>
                <w:rFonts w:cstheme="minorHAnsi"/>
                <w:b/>
                <w:bCs/>
                <w:sz w:val="18"/>
                <w:szCs w:val="18"/>
              </w:rPr>
              <w:t>Toepasbaar op een zelfstandig of</w:t>
            </w:r>
            <w:r>
              <w:rPr>
                <w:rFonts w:cstheme="minorHAnsi"/>
                <w:b/>
                <w:bCs/>
                <w:sz w:val="18"/>
                <w:szCs w:val="18"/>
              </w:rPr>
              <w:t xml:space="preserve"> natuurlijk moment?</w:t>
            </w:r>
          </w:p>
        </w:tc>
        <w:tc>
          <w:tcPr>
            <w:tcW w:w="76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43C9B" w:rsidRDefault="00F43C9B" w:rsidP="00F43C9B">
            <w:pPr>
              <w:shd w:val="clear" w:color="auto" w:fill="D9D9D9" w:themeFill="background1" w:themeFillShade="D9"/>
              <w:rPr>
                <w:rFonts w:eastAsiaTheme="minorHAnsi" w:cstheme="minorHAnsi"/>
                <w:sz w:val="18"/>
                <w:szCs w:val="18"/>
                <w:lang w:eastAsia="en-US"/>
              </w:rPr>
            </w:pPr>
            <w:r>
              <w:rPr>
                <w:rFonts w:cstheme="minorHAnsi"/>
                <w:sz w:val="18"/>
                <w:szCs w:val="18"/>
              </w:rPr>
              <w:t>Zelfstandig moment: Ja</w:t>
            </w:r>
          </w:p>
          <w:p w:rsidR="00F43C9B" w:rsidRDefault="00F43C9B" w:rsidP="00F43C9B">
            <w:pPr>
              <w:shd w:val="clear" w:color="auto" w:fill="D9D9D9" w:themeFill="background1" w:themeFillShade="D9"/>
              <w:rPr>
                <w:rFonts w:eastAsiaTheme="minorHAnsi" w:cstheme="minorHAnsi"/>
                <w:sz w:val="18"/>
                <w:szCs w:val="18"/>
                <w:lang w:eastAsia="en-US"/>
              </w:rPr>
            </w:pPr>
            <w:r>
              <w:rPr>
                <w:rFonts w:cstheme="minorHAnsi"/>
                <w:sz w:val="18"/>
                <w:szCs w:val="18"/>
              </w:rPr>
              <w:t>Natuurlijk moment: Ja.</w:t>
            </w:r>
          </w:p>
        </w:tc>
      </w:tr>
      <w:tr w:rsidR="00F43C9B" w:rsidRPr="00E15D20" w:rsidTr="00F43C9B">
        <w:tc>
          <w:tcPr>
            <w:tcW w:w="2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9B" w:rsidRPr="00E15D20" w:rsidRDefault="00F43C9B" w:rsidP="00F43C9B">
            <w:pPr>
              <w:shd w:val="clear" w:color="auto" w:fill="D9D9D9" w:themeFill="background1" w:themeFillShade="D9"/>
              <w:ind w:left="100" w:right="-139"/>
              <w:rPr>
                <w:rFonts w:eastAsiaTheme="minorHAnsi" w:cstheme="minorHAnsi"/>
                <w:b/>
                <w:bCs/>
                <w:sz w:val="18"/>
                <w:szCs w:val="18"/>
                <w:lang w:eastAsia="en-US"/>
              </w:rPr>
            </w:pPr>
            <w:r w:rsidRPr="00E15D20">
              <w:rPr>
                <w:rFonts w:cstheme="minorHAnsi"/>
                <w:b/>
                <w:bCs/>
                <w:sz w:val="18"/>
                <w:szCs w:val="18"/>
              </w:rPr>
              <w:t>Alternatieve erkende maatregelen</w:t>
            </w:r>
          </w:p>
        </w:tc>
        <w:tc>
          <w:tcPr>
            <w:tcW w:w="76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43C9B" w:rsidRDefault="00F43C9B" w:rsidP="00F43C9B">
            <w:pPr>
              <w:shd w:val="clear" w:color="auto" w:fill="D9D9D9" w:themeFill="background1" w:themeFillShade="D9"/>
              <w:ind w:left="139"/>
              <w:rPr>
                <w:rFonts w:eastAsiaTheme="minorHAnsi" w:cstheme="minorHAnsi"/>
                <w:sz w:val="18"/>
                <w:szCs w:val="18"/>
                <w:lang w:eastAsia="en-US"/>
              </w:rPr>
            </w:pPr>
            <w:r>
              <w:rPr>
                <w:rFonts w:cstheme="minorHAnsi"/>
                <w:sz w:val="18"/>
                <w:szCs w:val="18"/>
              </w:rPr>
              <w:t>[26] Energiezuinig droogsysteem toepassen voor spotreparaties.</w:t>
            </w:r>
          </w:p>
        </w:tc>
      </w:tr>
      <w:tr w:rsidR="00F43C9B" w:rsidRPr="00E15D20" w:rsidTr="00F43C9B">
        <w:tc>
          <w:tcPr>
            <w:tcW w:w="2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9B" w:rsidRPr="00E15D20" w:rsidRDefault="00F43C9B" w:rsidP="00F43C9B">
            <w:pPr>
              <w:shd w:val="clear" w:color="auto" w:fill="D9D9D9" w:themeFill="background1" w:themeFillShade="D9"/>
              <w:ind w:left="100" w:right="-139"/>
              <w:rPr>
                <w:rFonts w:eastAsiaTheme="minorHAnsi" w:cstheme="minorHAnsi"/>
                <w:b/>
                <w:bCs/>
                <w:sz w:val="18"/>
                <w:szCs w:val="18"/>
                <w:lang w:eastAsia="en-US"/>
              </w:rPr>
            </w:pPr>
            <w:r w:rsidRPr="00E15D20">
              <w:rPr>
                <w:rFonts w:cstheme="minorHAnsi"/>
                <w:b/>
                <w:bCs/>
                <w:sz w:val="18"/>
                <w:szCs w:val="18"/>
              </w:rPr>
              <w:t>Bijzondere omstandigheden</w:t>
            </w:r>
          </w:p>
        </w:tc>
        <w:tc>
          <w:tcPr>
            <w:tcW w:w="76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43C9B" w:rsidRDefault="00F43C9B" w:rsidP="00F43C9B">
            <w:pPr>
              <w:shd w:val="clear" w:color="auto" w:fill="D9D9D9" w:themeFill="background1" w:themeFillShade="D9"/>
              <w:ind w:left="139"/>
              <w:rPr>
                <w:rFonts w:eastAsiaTheme="minorHAnsi" w:cstheme="minorHAnsi"/>
                <w:sz w:val="18"/>
                <w:szCs w:val="18"/>
                <w:lang w:eastAsia="en-US"/>
              </w:rPr>
            </w:pPr>
            <w:r>
              <w:rPr>
                <w:rFonts w:cstheme="minorHAnsi"/>
                <w:sz w:val="18"/>
                <w:szCs w:val="18"/>
              </w:rPr>
              <w:t>n.v.t.</w:t>
            </w:r>
          </w:p>
        </w:tc>
      </w:tr>
    </w:tbl>
    <w:p w:rsidR="00F43C9B" w:rsidRPr="00E15D20" w:rsidRDefault="00F43C9B" w:rsidP="00F43C9B">
      <w:pPr>
        <w:shd w:val="clear" w:color="auto" w:fill="D9D9D9" w:themeFill="background1" w:themeFillShade="D9"/>
        <w:rPr>
          <w:rFonts w:eastAsiaTheme="minorHAnsi" w:cstheme="minorHAnsi"/>
          <w:sz w:val="18"/>
          <w:szCs w:val="18"/>
          <w:lang w:eastAsia="en-US"/>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800"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61"/>
        <w:gridCol w:w="6639"/>
      </w:tblGrid>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Pr>
                <w:rFonts w:cstheme="minorHAnsi"/>
                <w:b/>
                <w:sz w:val="18"/>
                <w:szCs w:val="18"/>
              </w:rPr>
              <w:t>Activiteiten</w:t>
            </w:r>
          </w:p>
        </w:tc>
        <w:tc>
          <w:tcPr>
            <w:tcW w:w="6639" w:type="dxa"/>
            <w:vAlign w:val="center"/>
          </w:tcPr>
          <w:p w:rsidR="00F43C9B" w:rsidRDefault="00F43C9B" w:rsidP="00F43C9B">
            <w:pPr>
              <w:shd w:val="clear" w:color="auto" w:fill="D9D9D9" w:themeFill="background1" w:themeFillShade="D9"/>
              <w:ind w:left="139"/>
              <w:rPr>
                <w:rFonts w:cstheme="minorHAnsi"/>
                <w:b/>
                <w:sz w:val="18"/>
                <w:szCs w:val="18"/>
              </w:rPr>
            </w:pPr>
            <w:r>
              <w:rPr>
                <w:rFonts w:cstheme="minorHAnsi"/>
                <w:b/>
                <w:sz w:val="18"/>
                <w:szCs w:val="18"/>
              </w:rPr>
              <w:t>Reinigen, lijmen of coaten van metalen</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Nummer maatregel</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25</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Omschrijving maatregel</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Energiezuinig brandersysteem bij spuitcabine toepassen.</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Mogelijke technieken ten opzichte van uitgangssituatie</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Open brandersysteem toepassen.</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Uitgangssituatie op basis van een referentietechniek</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Conventioneel brandersysteem is aanwezig.</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Technische randvoorwaarden</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N.v.t.</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Economische randvoorwaarden</w:t>
            </w:r>
          </w:p>
        </w:tc>
        <w:tc>
          <w:tcPr>
            <w:tcW w:w="6639" w:type="dxa"/>
            <w:vAlign w:val="center"/>
          </w:tcPr>
          <w:p w:rsidR="00F43C9B" w:rsidRDefault="00F43C9B" w:rsidP="00F43C9B">
            <w:pPr>
              <w:shd w:val="clear" w:color="auto" w:fill="D9D9D9" w:themeFill="background1" w:themeFillShade="D9"/>
              <w:ind w:left="13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139"/>
              <w:rPr>
                <w:rFonts w:cstheme="minorHAnsi"/>
                <w:sz w:val="18"/>
                <w:szCs w:val="18"/>
              </w:rPr>
            </w:pPr>
            <w:r>
              <w:rPr>
                <w:rFonts w:cstheme="minorHAnsi"/>
                <w:bCs/>
                <w:sz w:val="18"/>
                <w:szCs w:val="18"/>
              </w:rPr>
              <w:t>Aardgasverbruik spuitcabine (in m</w:t>
            </w:r>
            <w:r>
              <w:rPr>
                <w:rFonts w:cstheme="minorHAnsi"/>
                <w:bCs/>
                <w:sz w:val="18"/>
                <w:szCs w:val="18"/>
                <w:vertAlign w:val="superscript"/>
              </w:rPr>
              <w:t>3</w:t>
            </w:r>
            <w:r>
              <w:rPr>
                <w:rFonts w:cstheme="minorHAnsi"/>
                <w:bCs/>
                <w:sz w:val="18"/>
                <w:szCs w:val="18"/>
              </w:rPr>
              <w:t xml:space="preserve"> per uur) vermenigvuldigd met bedrijfstijd spuitcabine (in uur per jaar) is minimaal 13.500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Verschil tussen ruimte- en droogtemperatuur is minimaal 20°C.</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bCs/>
                <w:sz w:val="18"/>
                <w:szCs w:val="18"/>
              </w:rPr>
              <w:t>Toepasbaar op een zelfstandig of natuurlijk moment?</w:t>
            </w:r>
          </w:p>
        </w:tc>
        <w:tc>
          <w:tcPr>
            <w:tcW w:w="6639"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Zelfstandig moment: Nee.</w:t>
            </w:r>
          </w:p>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Natuurlijk moment: Ja.</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Alternatieve erkende maatregelen</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[26] Energiezuinig droogsysteem toepassen voor spotreparaties.</w:t>
            </w:r>
          </w:p>
        </w:tc>
      </w:tr>
      <w:tr w:rsidR="00F43C9B" w:rsidRPr="00E15D20" w:rsidTr="00F43C9B">
        <w:trPr>
          <w:trHeight w:val="181"/>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sz w:val="18"/>
                <w:szCs w:val="18"/>
              </w:rPr>
            </w:pPr>
            <w:r w:rsidRPr="00E15D20">
              <w:rPr>
                <w:rFonts w:cstheme="minorHAnsi"/>
                <w:b/>
                <w:sz w:val="18"/>
                <w:szCs w:val="18"/>
              </w:rPr>
              <w:t>Bijzondere omstandigheden</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800"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61"/>
        <w:gridCol w:w="6639"/>
      </w:tblGrid>
      <w:tr w:rsidR="00F43C9B" w:rsidRPr="00E15D20" w:rsidTr="00F43C9B">
        <w:trPr>
          <w:trHeight w:val="397"/>
        </w:trPr>
        <w:tc>
          <w:tcPr>
            <w:tcW w:w="4161" w:type="dxa"/>
            <w:shd w:val="clear" w:color="auto" w:fill="A6A6A6"/>
            <w:vAlign w:val="center"/>
          </w:tcPr>
          <w:p w:rsidR="00F43C9B" w:rsidRDefault="00F43C9B" w:rsidP="00F43C9B">
            <w:pPr>
              <w:shd w:val="clear" w:color="auto" w:fill="D9D9D9" w:themeFill="background1" w:themeFillShade="D9"/>
              <w:ind w:left="100"/>
              <w:rPr>
                <w:rFonts w:cstheme="minorHAnsi"/>
                <w:b/>
                <w:bCs/>
                <w:sz w:val="18"/>
                <w:szCs w:val="18"/>
              </w:rPr>
            </w:pPr>
            <w:r>
              <w:rPr>
                <w:rFonts w:cstheme="minorHAnsi"/>
                <w:b/>
                <w:bCs/>
                <w:sz w:val="18"/>
                <w:szCs w:val="18"/>
              </w:rPr>
              <w:br w:type="page"/>
              <w:t>Activiteit</w:t>
            </w:r>
          </w:p>
        </w:tc>
        <w:tc>
          <w:tcPr>
            <w:tcW w:w="6639" w:type="dxa"/>
            <w:vAlign w:val="center"/>
          </w:tcPr>
          <w:p w:rsidR="00F43C9B" w:rsidRDefault="00F43C9B" w:rsidP="00F43C9B">
            <w:pPr>
              <w:shd w:val="clear" w:color="auto" w:fill="D9D9D9" w:themeFill="background1" w:themeFillShade="D9"/>
              <w:ind w:left="139"/>
              <w:rPr>
                <w:rFonts w:cstheme="minorHAnsi"/>
                <w:b/>
                <w:sz w:val="18"/>
                <w:szCs w:val="18"/>
              </w:rPr>
            </w:pPr>
            <w:r>
              <w:rPr>
                <w:rFonts w:cstheme="minorHAnsi"/>
                <w:b/>
                <w:sz w:val="18"/>
                <w:szCs w:val="18"/>
              </w:rPr>
              <w:t>Reinigen, lijmen of coaten van metalen</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Nummer maatregel</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26</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Omschrijving maatregel</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Energiezuinig droogsysteem toepassen voor spotreparaties.</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Mogelijke technieken ten opzichte van uitgangssituatie</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Infrarood droogsysteem (IR-A) toepassen.</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Uitgangssituatie op basis van een referentietechniek</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Spuitcabine wordt gebruikt voor spotreparaties.</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 xml:space="preserve">Technische </w:t>
            </w:r>
            <w:r>
              <w:rPr>
                <w:rFonts w:cstheme="minorHAnsi"/>
                <w:b/>
                <w:bCs/>
                <w:sz w:val="18"/>
                <w:szCs w:val="18"/>
              </w:rPr>
              <w:t>randvoorwaarden</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N.v.t.</w:t>
            </w:r>
          </w:p>
        </w:tc>
      </w:tr>
      <w:tr w:rsidR="00F43C9B" w:rsidRPr="00E15D20" w:rsidTr="00F43C9B">
        <w:trPr>
          <w:trHeight w:val="397"/>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Economische randvoorwaarden</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139"/>
              <w:rPr>
                <w:rFonts w:cstheme="minorHAnsi"/>
                <w:sz w:val="18"/>
                <w:szCs w:val="18"/>
              </w:rPr>
            </w:pPr>
            <w:r>
              <w:rPr>
                <w:rFonts w:cstheme="minorHAnsi"/>
                <w:bCs/>
                <w:sz w:val="18"/>
                <w:szCs w:val="18"/>
              </w:rPr>
              <w:t>Aardgasverbruik spuitcabine (in m</w:t>
            </w:r>
            <w:r>
              <w:rPr>
                <w:rFonts w:cstheme="minorHAnsi"/>
                <w:bCs/>
                <w:sz w:val="18"/>
                <w:szCs w:val="18"/>
                <w:vertAlign w:val="superscript"/>
              </w:rPr>
              <w:t>3</w:t>
            </w:r>
            <w:r>
              <w:rPr>
                <w:rFonts w:cstheme="minorHAnsi"/>
                <w:bCs/>
                <w:sz w:val="18"/>
                <w:szCs w:val="18"/>
              </w:rPr>
              <w:t xml:space="preserve"> per uur) vermenigvuldigd met bedrijfstijd spuitcabine (in uur per jaar) is minimaal 16.000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Minimaal 50% van uitgevoerde reparaties zijn spotreparaties.</w:t>
            </w:r>
          </w:p>
        </w:tc>
      </w:tr>
      <w:tr w:rsidR="00F43C9B" w:rsidRPr="00E15D20" w:rsidTr="00F43C9B">
        <w:trPr>
          <w:trHeight w:val="165"/>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Toepasbaar op een zelfstandig of natuurlijk moment?</w:t>
            </w:r>
          </w:p>
        </w:tc>
        <w:tc>
          <w:tcPr>
            <w:tcW w:w="6639"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Zelfstandig moment: Ja.</w:t>
            </w:r>
          </w:p>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Natuurlijk moment: Ja.</w:t>
            </w:r>
          </w:p>
        </w:tc>
      </w:tr>
      <w:tr w:rsidR="00F43C9B" w:rsidRPr="00E15D20" w:rsidTr="00F43C9B">
        <w:trPr>
          <w:trHeight w:val="286"/>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Alternatieve erkende maatregelen</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N.v.t.</w:t>
            </w:r>
          </w:p>
        </w:tc>
      </w:tr>
      <w:tr w:rsidR="00F43C9B" w:rsidRPr="00E15D20" w:rsidTr="00F43C9B">
        <w:trPr>
          <w:trHeight w:val="252"/>
        </w:trPr>
        <w:tc>
          <w:tcPr>
            <w:tcW w:w="4161" w:type="dxa"/>
            <w:shd w:val="clear" w:color="auto" w:fill="A6A6A6"/>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Bijzondere omstandigheden</w:t>
            </w:r>
          </w:p>
        </w:tc>
        <w:tc>
          <w:tcPr>
            <w:tcW w:w="6639" w:type="dxa"/>
            <w:vAlign w:val="center"/>
          </w:tcPr>
          <w:p w:rsidR="00F43C9B" w:rsidRDefault="00F43C9B" w:rsidP="00F43C9B">
            <w:pPr>
              <w:shd w:val="clear" w:color="auto" w:fill="D9D9D9" w:themeFill="background1" w:themeFillShade="D9"/>
              <w:ind w:left="139"/>
              <w:rPr>
                <w:rFonts w:cstheme="minorHAnsi"/>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bCs/>
          <w:sz w:val="18"/>
          <w:szCs w:val="18"/>
          <w:u w:val="single"/>
        </w:rPr>
      </w:pPr>
      <w:r>
        <w:rPr>
          <w:rFonts w:cstheme="minorHAnsi"/>
          <w:bCs/>
          <w:sz w:val="18"/>
          <w:szCs w:val="18"/>
          <w:u w:val="single"/>
        </w:rPr>
        <w:t>Gezondheidszorg- en welzijnszorginstellingen</w:t>
      </w: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autoSpaceDE w:val="0"/>
        <w:autoSpaceDN w:val="0"/>
        <w:rPr>
          <w:rFonts w:cstheme="minorHAnsi"/>
          <w:sz w:val="18"/>
          <w:szCs w:val="18"/>
        </w:rPr>
      </w:pPr>
      <w:r>
        <w:rPr>
          <w:rFonts w:cstheme="minorHAnsi"/>
          <w:sz w:val="18"/>
          <w:szCs w:val="18"/>
        </w:rPr>
        <w:t>Instellingen waar medische en tandheelkundige behandeling, verzorging, verpleging en/of genezende behandelingen worden verricht. De inrichting heeft overwegend een gezondheidszorgfunctie zoals aangehaald in het Bouwbesluit 2012. Denk aan een ziekenhuis, verzorgingstehuis, psychiatrische inrichting, medisch centrum, polikliniek, praktijkruimtes voor een huisarts en/of een fysiotherapeut of een tandartspraktijk. Ter indicatie de SBI-code die voor de indeling van instellingen veelal wordt gebruikt: 86.</w:t>
      </w:r>
    </w:p>
    <w:p w:rsidR="00F43C9B" w:rsidRDefault="00F43C9B" w:rsidP="00F43C9B">
      <w:pPr>
        <w:shd w:val="clear" w:color="auto" w:fill="D9D9D9" w:themeFill="background1" w:themeFillShade="D9"/>
        <w:rPr>
          <w:rFonts w:cstheme="minorHAnsi"/>
          <w:sz w:val="18"/>
          <w:szCs w:val="18"/>
        </w:rPr>
      </w:pPr>
      <w:r>
        <w:rPr>
          <w:rFonts w:cstheme="minorHAnsi"/>
          <w:sz w:val="18"/>
          <w:szCs w:val="18"/>
        </w:rPr>
        <w:t>In deze bedrijfstak zijn erkende maatregelen aangemerkt voor de in tabel 5.3 genoemde activiteiten en typen maatregelen. Voor faciliteiten (zoals ICT, productkoeling en grootkeuken/kantine) en processen zijn nog geen erkende maatregelen opgenomen. Voor deze ‘typen maatregelen’ en ‘activiteiten’ blijft artikel 2.15 van het Activiteitenbesluit gelden. In een later stadium worden hiervoor alsnog erkende maatregelen opgenomen.</w:t>
      </w:r>
    </w:p>
    <w:p w:rsidR="00F43C9B" w:rsidRDefault="00F43C9B" w:rsidP="00F43C9B">
      <w:pPr>
        <w:shd w:val="clear" w:color="auto" w:fill="D9D9D9" w:themeFill="background1" w:themeFillShade="D9"/>
        <w:rPr>
          <w:rFonts w:cstheme="minorHAnsi"/>
          <w:sz w:val="18"/>
          <w:szCs w:val="18"/>
          <w:u w:val="single"/>
        </w:rPr>
      </w:pPr>
      <w:r>
        <w:rPr>
          <w:rFonts w:cstheme="minorHAnsi"/>
          <w:sz w:val="18"/>
          <w:szCs w:val="18"/>
          <w:u w:val="single"/>
        </w:rPr>
        <w:t>Maatregelen</w:t>
      </w:r>
    </w:p>
    <w:p w:rsidR="00F43C9B" w:rsidRDefault="00F43C9B" w:rsidP="00F43C9B">
      <w:pPr>
        <w:shd w:val="clear" w:color="auto" w:fill="D9D9D9" w:themeFill="background1" w:themeFillShade="D9"/>
        <w:rPr>
          <w:rFonts w:cstheme="minorHAnsi"/>
          <w:bCs/>
          <w:i/>
          <w:sz w:val="18"/>
          <w:szCs w:val="18"/>
        </w:rPr>
      </w:pPr>
      <w:r>
        <w:rPr>
          <w:rFonts w:cstheme="minorHAnsi"/>
          <w:i/>
          <w:sz w:val="18"/>
          <w:szCs w:val="18"/>
        </w:rPr>
        <w:t xml:space="preserve">Tabel 5.3 Aangewezen erkende maatregelen voor energiebesparing in </w:t>
      </w:r>
      <w:r>
        <w:rPr>
          <w:rFonts w:cstheme="minorHAnsi"/>
          <w:bCs/>
          <w:i/>
          <w:sz w:val="18"/>
          <w:szCs w:val="18"/>
        </w:rPr>
        <w:t>de gezondheidszorg- en welzijnszorginstellingen</w:t>
      </w:r>
    </w:p>
    <w:p w:rsidR="00F43C9B" w:rsidRDefault="00F43C9B" w:rsidP="00F43C9B">
      <w:pPr>
        <w:shd w:val="clear" w:color="auto" w:fill="D9D9D9" w:themeFill="background1" w:themeFillShade="D9"/>
        <w:rPr>
          <w:rFonts w:cstheme="minorHAnsi"/>
          <w:i/>
          <w:sz w:val="18"/>
          <w:szCs w:val="18"/>
        </w:rPr>
      </w:pPr>
    </w:p>
    <w:tbl>
      <w:tblPr>
        <w:tblW w:w="7528" w:type="dxa"/>
        <w:tblInd w:w="55" w:type="dxa"/>
        <w:tblCellMar>
          <w:left w:w="0" w:type="dxa"/>
          <w:right w:w="0" w:type="dxa"/>
        </w:tblCellMar>
        <w:tblLook w:val="00A0" w:firstRow="1" w:lastRow="0" w:firstColumn="1" w:lastColumn="0" w:noHBand="0" w:noVBand="0"/>
      </w:tblPr>
      <w:tblGrid>
        <w:gridCol w:w="6111"/>
        <w:gridCol w:w="1417"/>
      </w:tblGrid>
      <w:tr w:rsidR="00F43C9B" w:rsidRPr="00E15D20" w:rsidTr="00F43C9B">
        <w:trPr>
          <w:trHeight w:val="615"/>
        </w:trPr>
        <w:tc>
          <w:tcPr>
            <w:tcW w:w="611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maatregelen</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nummers</w:t>
            </w:r>
          </w:p>
        </w:tc>
      </w:tr>
      <w:tr w:rsidR="00F43C9B" w:rsidRPr="00E15D20" w:rsidTr="00F43C9B">
        <w:tblPrEx>
          <w:tblCellMar>
            <w:left w:w="70" w:type="dxa"/>
            <w:right w:w="70" w:type="dxa"/>
          </w:tblCellMar>
        </w:tblPrEx>
        <w:trPr>
          <w:trHeight w:val="450"/>
        </w:trPr>
        <w:tc>
          <w:tcPr>
            <w:tcW w:w="6111"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Gebouwschil</w:t>
            </w:r>
          </w:p>
        </w:tc>
        <w:tc>
          <w:tcPr>
            <w:tcW w:w="1417"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Pr>
                <w:rFonts w:cstheme="minorHAnsi"/>
                <w:sz w:val="18"/>
                <w:szCs w:val="18"/>
              </w:rPr>
              <w:t>1</w:t>
            </w:r>
          </w:p>
        </w:tc>
      </w:tr>
      <w:tr w:rsidR="00F43C9B" w:rsidRPr="00E15D20" w:rsidTr="00F43C9B">
        <w:trPr>
          <w:trHeight w:val="270"/>
        </w:trPr>
        <w:tc>
          <w:tcPr>
            <w:tcW w:w="6111"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Ruimteventilatie</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43C9B" w:rsidRDefault="00F43C9B" w:rsidP="00F43C9B">
            <w:pPr>
              <w:shd w:val="clear" w:color="auto" w:fill="D9D9D9" w:themeFill="background1" w:themeFillShade="D9"/>
              <w:rPr>
                <w:rFonts w:cstheme="minorHAnsi"/>
                <w:sz w:val="18"/>
                <w:szCs w:val="18"/>
              </w:rPr>
            </w:pPr>
            <w:r>
              <w:rPr>
                <w:rFonts w:cstheme="minorHAnsi"/>
                <w:sz w:val="18"/>
                <w:szCs w:val="18"/>
              </w:rPr>
              <w:t>2-5</w:t>
            </w:r>
          </w:p>
        </w:tc>
      </w:tr>
      <w:tr w:rsidR="00F43C9B" w:rsidRPr="00E15D20" w:rsidTr="00F43C9B">
        <w:trPr>
          <w:trHeight w:val="270"/>
        </w:trPr>
        <w:tc>
          <w:tcPr>
            <w:tcW w:w="6111"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Ruimteverwarming</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43C9B" w:rsidRDefault="00F43C9B" w:rsidP="00F43C9B">
            <w:pPr>
              <w:shd w:val="clear" w:color="auto" w:fill="D9D9D9" w:themeFill="background1" w:themeFillShade="D9"/>
              <w:rPr>
                <w:rFonts w:cstheme="minorHAnsi"/>
                <w:sz w:val="18"/>
                <w:szCs w:val="18"/>
              </w:rPr>
            </w:pPr>
            <w:r>
              <w:rPr>
                <w:rFonts w:cstheme="minorHAnsi"/>
                <w:sz w:val="18"/>
                <w:szCs w:val="18"/>
              </w:rPr>
              <w:t>8</w:t>
            </w:r>
          </w:p>
        </w:tc>
      </w:tr>
      <w:tr w:rsidR="00F43C9B" w:rsidRPr="00E15D20" w:rsidTr="00F43C9B">
        <w:trPr>
          <w:trHeight w:val="270"/>
        </w:trPr>
        <w:tc>
          <w:tcPr>
            <w:tcW w:w="6111"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 en buitenverlichting</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43C9B" w:rsidRDefault="00F43C9B" w:rsidP="00F43C9B">
            <w:pPr>
              <w:shd w:val="clear" w:color="auto" w:fill="D9D9D9" w:themeFill="background1" w:themeFillShade="D9"/>
              <w:rPr>
                <w:rFonts w:cstheme="minorHAnsi"/>
                <w:sz w:val="18"/>
                <w:szCs w:val="18"/>
              </w:rPr>
            </w:pPr>
            <w:r>
              <w:rPr>
                <w:rFonts w:cstheme="minorHAnsi"/>
                <w:sz w:val="18"/>
                <w:szCs w:val="18"/>
              </w:rPr>
              <w:t>10-15</w:t>
            </w:r>
          </w:p>
        </w:tc>
      </w:tr>
      <w:tr w:rsidR="00F43C9B" w:rsidRPr="00E15D20" w:rsidTr="00F43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55"/>
        </w:trPr>
        <w:tc>
          <w:tcPr>
            <w:tcW w:w="6111" w:type="dxa"/>
            <w:noWrap/>
            <w:vAlign w:val="bottom"/>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Activiteit</w:t>
            </w:r>
          </w:p>
        </w:tc>
        <w:tc>
          <w:tcPr>
            <w:tcW w:w="1417" w:type="dxa"/>
            <w:noWrap/>
            <w:vAlign w:val="bottom"/>
          </w:tcPr>
          <w:p w:rsidR="00F43C9B" w:rsidRDefault="00F43C9B" w:rsidP="00F43C9B">
            <w:pPr>
              <w:shd w:val="clear" w:color="auto" w:fill="D9D9D9" w:themeFill="background1" w:themeFillShade="D9"/>
              <w:rPr>
                <w:rFonts w:cstheme="minorHAnsi"/>
                <w:b/>
                <w:bCs/>
                <w:sz w:val="18"/>
                <w:szCs w:val="18"/>
              </w:rPr>
            </w:pPr>
          </w:p>
        </w:tc>
      </w:tr>
      <w:tr w:rsidR="00F43C9B" w:rsidRPr="00E15D20" w:rsidTr="00F43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50"/>
        </w:trPr>
        <w:tc>
          <w:tcPr>
            <w:tcW w:w="6111" w:type="dxa"/>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 xml:space="preserve">In werking hebben van een stookinstallatie (emissies naar de </w:t>
            </w:r>
            <w:r>
              <w:rPr>
                <w:rFonts w:cstheme="minorHAnsi"/>
                <w:sz w:val="18"/>
                <w:szCs w:val="18"/>
              </w:rPr>
              <w:t>lucht)</w:t>
            </w:r>
          </w:p>
        </w:tc>
        <w:tc>
          <w:tcPr>
            <w:tcW w:w="1417" w:type="dxa"/>
          </w:tcPr>
          <w:p w:rsidR="00F43C9B" w:rsidRDefault="00F43C9B" w:rsidP="00F43C9B">
            <w:pPr>
              <w:shd w:val="clear" w:color="auto" w:fill="D9D9D9" w:themeFill="background1" w:themeFillShade="D9"/>
              <w:rPr>
                <w:rFonts w:cstheme="minorHAnsi"/>
                <w:sz w:val="18"/>
                <w:szCs w:val="18"/>
              </w:rPr>
            </w:pPr>
            <w:r>
              <w:rPr>
                <w:rFonts w:cstheme="minorHAnsi"/>
                <w:sz w:val="18"/>
                <w:szCs w:val="18"/>
              </w:rPr>
              <w:t>6, 7, 9, 16</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80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8"/>
        <w:gridCol w:w="3300"/>
        <w:gridCol w:w="3300"/>
      </w:tblGrid>
      <w:tr w:rsidR="00F43C9B" w:rsidRPr="00E15D20" w:rsidTr="00F43C9B">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gridSpan w:val="2"/>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Gebouwschil</w:t>
            </w:r>
          </w:p>
        </w:tc>
      </w:tr>
      <w:tr w:rsidR="00F43C9B" w:rsidRPr="00E15D20" w:rsidTr="00F43C9B">
        <w:tc>
          <w:tcPr>
            <w:tcW w:w="4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gridSpan w:val="2"/>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1</w:t>
            </w:r>
          </w:p>
        </w:tc>
      </w:tr>
      <w:tr w:rsidR="00F43C9B" w:rsidRPr="00E15D20" w:rsidTr="00F43C9B">
        <w:tc>
          <w:tcPr>
            <w:tcW w:w="4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p w:rsidR="00F43C9B" w:rsidRDefault="00F43C9B" w:rsidP="00F43C9B">
            <w:pPr>
              <w:shd w:val="clear" w:color="auto" w:fill="D9D9D9" w:themeFill="background1" w:themeFillShade="D9"/>
              <w:rPr>
                <w:rFonts w:cstheme="minorHAnsi"/>
                <w:b/>
                <w:bCs/>
                <w:sz w:val="18"/>
                <w:szCs w:val="18"/>
              </w:rPr>
            </w:pPr>
          </w:p>
        </w:tc>
        <w:tc>
          <w:tcPr>
            <w:tcW w:w="6600" w:type="dxa"/>
            <w:gridSpan w:val="2"/>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Warmte- en koudeverlies via buitenmuur beperken.</w:t>
            </w:r>
          </w:p>
        </w:tc>
      </w:tr>
      <w:tr w:rsidR="00F43C9B" w:rsidRPr="00E15D20" w:rsidTr="00F43C9B">
        <w:tc>
          <w:tcPr>
            <w:tcW w:w="4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00" w:type="dxa"/>
            <w:gridSpan w:val="2"/>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Spouwmuur isoleren.</w:t>
            </w:r>
          </w:p>
        </w:tc>
      </w:tr>
      <w:tr w:rsidR="00F43C9B" w:rsidRPr="00E15D20" w:rsidTr="00F43C9B">
        <w:trPr>
          <w:trHeight w:val="566"/>
        </w:trPr>
        <w:tc>
          <w:tcPr>
            <w:tcW w:w="4208"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basis van een </w:t>
            </w:r>
            <w:r>
              <w:rPr>
                <w:rFonts w:cstheme="minorHAnsi"/>
                <w:b/>
                <w:bCs/>
                <w:sz w:val="18"/>
                <w:szCs w:val="18"/>
              </w:rPr>
              <w:t>referentietechniek</w:t>
            </w:r>
          </w:p>
        </w:tc>
        <w:tc>
          <w:tcPr>
            <w:tcW w:w="6600" w:type="dxa"/>
            <w:gridSpan w:val="2"/>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Isolatie in spouwmuur ontbreekt.</w:t>
            </w:r>
          </w:p>
        </w:tc>
      </w:tr>
      <w:tr w:rsidR="00F43C9B" w:rsidRPr="00E15D20" w:rsidTr="00F43C9B">
        <w:trPr>
          <w:trHeight w:val="565"/>
        </w:trPr>
        <w:tc>
          <w:tcPr>
            <w:tcW w:w="4208"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3300" w:type="dxa"/>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a) Gebouw wordt verwarmd.</w:t>
            </w:r>
          </w:p>
        </w:tc>
        <w:tc>
          <w:tcPr>
            <w:tcW w:w="3300" w:type="dxa"/>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b) Gebouw wordt gekoeld.</w:t>
            </w:r>
          </w:p>
        </w:tc>
      </w:tr>
      <w:tr w:rsidR="00F43C9B" w:rsidRPr="00E15D20" w:rsidTr="00F43C9B">
        <w:tc>
          <w:tcPr>
            <w:tcW w:w="4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gridSpan w:val="2"/>
            <w:vAlign w:val="center"/>
          </w:tcPr>
          <w:p w:rsidR="00F43C9B" w:rsidRDefault="00F43C9B" w:rsidP="00F43C9B">
            <w:pPr>
              <w:shd w:val="clear" w:color="auto" w:fill="D9D9D9" w:themeFill="background1" w:themeFillShade="D9"/>
              <w:tabs>
                <w:tab w:val="left" w:pos="0"/>
              </w:tabs>
              <w:ind w:left="92"/>
              <w:rPr>
                <w:rFonts w:cstheme="minorHAnsi"/>
                <w:sz w:val="18"/>
                <w:szCs w:val="18"/>
              </w:rPr>
            </w:pPr>
            <w:r>
              <w:rPr>
                <w:rFonts w:cstheme="minorHAnsi"/>
                <w:sz w:val="18"/>
                <w:szCs w:val="18"/>
              </w:rPr>
              <w:t>N.v.t.</w:t>
            </w:r>
          </w:p>
        </w:tc>
      </w:tr>
      <w:tr w:rsidR="00F43C9B" w:rsidRPr="00E15D20" w:rsidTr="00F43C9B">
        <w:tc>
          <w:tcPr>
            <w:tcW w:w="4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3300" w:type="dxa"/>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a) N.v.t.</w:t>
            </w:r>
          </w:p>
        </w:tc>
        <w:tc>
          <w:tcPr>
            <w:tcW w:w="3300" w:type="dxa"/>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b) Aardgasverbruik is minder dan 1 miljoen m</w:t>
            </w:r>
            <w:r>
              <w:rPr>
                <w:rFonts w:cstheme="minorHAnsi"/>
                <w:sz w:val="18"/>
                <w:szCs w:val="18"/>
                <w:vertAlign w:val="superscript"/>
              </w:rPr>
              <w:t>3</w:t>
            </w:r>
            <w:r>
              <w:rPr>
                <w:rFonts w:cstheme="minorHAnsi"/>
                <w:sz w:val="18"/>
                <w:szCs w:val="18"/>
              </w:rPr>
              <w:t xml:space="preserve"> per jaar.</w:t>
            </w:r>
          </w:p>
        </w:tc>
      </w:tr>
      <w:tr w:rsidR="00F43C9B" w:rsidRPr="00E15D20" w:rsidTr="00F43C9B">
        <w:tc>
          <w:tcPr>
            <w:tcW w:w="4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Toepasbaar op een </w:t>
            </w:r>
            <w:r>
              <w:rPr>
                <w:rFonts w:cstheme="minorHAnsi"/>
                <w:b/>
                <w:bCs/>
                <w:sz w:val="18"/>
                <w:szCs w:val="18"/>
              </w:rPr>
              <w:t>zelfstandig of natuurlijk moment?</w:t>
            </w:r>
          </w:p>
        </w:tc>
        <w:tc>
          <w:tcPr>
            <w:tcW w:w="6600" w:type="dxa"/>
            <w:gridSpan w:val="2"/>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Zelfstandig moment: Ja, indien aardgasverbruik minder is dan 170.000 m</w:t>
            </w:r>
            <w:r>
              <w:rPr>
                <w:rFonts w:cstheme="minorHAnsi"/>
                <w:sz w:val="18"/>
                <w:szCs w:val="18"/>
                <w:vertAlign w:val="superscript"/>
              </w:rPr>
              <w:t>3</w:t>
            </w:r>
            <w:r>
              <w:rPr>
                <w:rFonts w:cstheme="minorHAnsi"/>
                <w:sz w:val="18"/>
                <w:szCs w:val="18"/>
              </w:rPr>
              <w:t xml:space="preserve"> per jaar.</w:t>
            </w:r>
          </w:p>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Natuurlijk Moment: Ja</w:t>
            </w:r>
          </w:p>
        </w:tc>
      </w:tr>
      <w:tr w:rsidR="00F43C9B" w:rsidRPr="00E15D20" w:rsidTr="00F43C9B">
        <w:tc>
          <w:tcPr>
            <w:tcW w:w="4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gridSpan w:val="2"/>
            <w:vAlign w:val="center"/>
          </w:tcPr>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[5] Warmte uit uitgaande ventilatielucht gebruiken voor voorverwarmen ingaande ventilatielucht bij gebalanceerd ventilatiesysteem.</w:t>
            </w:r>
          </w:p>
          <w:p w:rsidR="00F43C9B" w:rsidRDefault="00F43C9B" w:rsidP="00F43C9B">
            <w:pPr>
              <w:shd w:val="clear" w:color="auto" w:fill="D9D9D9" w:themeFill="background1" w:themeFillShade="D9"/>
              <w:ind w:left="92"/>
              <w:rPr>
                <w:rFonts w:cstheme="minorHAnsi"/>
                <w:sz w:val="18"/>
                <w:szCs w:val="18"/>
              </w:rPr>
            </w:pPr>
            <w:r>
              <w:rPr>
                <w:rFonts w:cstheme="minorHAnsi"/>
                <w:sz w:val="18"/>
                <w:szCs w:val="18"/>
              </w:rPr>
              <w:t>[9] Energiezuinige warmteopwekking toepassen.</w:t>
            </w:r>
          </w:p>
        </w:tc>
      </w:tr>
      <w:tr w:rsidR="00F43C9B" w:rsidRPr="00E15D20" w:rsidTr="00F43C9B">
        <w:tc>
          <w:tcPr>
            <w:tcW w:w="4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gridSpan w:val="2"/>
            <w:vAlign w:val="center"/>
          </w:tcPr>
          <w:p w:rsidR="00F43C9B" w:rsidRDefault="00F43C9B" w:rsidP="00F43C9B">
            <w:pPr>
              <w:shd w:val="clear" w:color="auto" w:fill="D9D9D9" w:themeFill="background1" w:themeFillShade="D9"/>
              <w:ind w:left="92"/>
              <w:rPr>
                <w:rFonts w:cstheme="minorHAnsi"/>
                <w:i/>
                <w:iCs/>
                <w:sz w:val="18"/>
                <w:szCs w:val="18"/>
              </w:rPr>
            </w:pPr>
            <w:r>
              <w:rPr>
                <w:rFonts w:cstheme="minorHAnsi"/>
                <w:sz w:val="18"/>
                <w:szCs w:val="18"/>
              </w:rPr>
              <w:t>In gebouwen met minimaal energielabel A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A6A6A6"/>
            <w:vAlign w:val="center"/>
          </w:tcPr>
          <w:p w:rsidR="00F43C9B" w:rsidRDefault="00F43C9B" w:rsidP="00F43C9B">
            <w:pPr>
              <w:shd w:val="clear" w:color="auto" w:fill="D9D9D9" w:themeFill="background1" w:themeFillShade="D9"/>
              <w:rPr>
                <w:rFonts w:cstheme="minorHAnsi"/>
                <w:b/>
                <w:sz w:val="18"/>
                <w:szCs w:val="18"/>
              </w:rPr>
            </w:pPr>
            <w:r>
              <w:rPr>
                <w:rFonts w:cstheme="minorHAnsi"/>
                <w:b/>
                <w:sz w:val="18"/>
                <w:szCs w:val="18"/>
              </w:rPr>
              <w:t>Type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Ruimteventilatie</w:t>
            </w:r>
          </w:p>
        </w:tc>
      </w:tr>
      <w:tr w:rsidR="00F43C9B" w:rsidRPr="00E15D20" w:rsidTr="00F43C9B">
        <w:tc>
          <w:tcPr>
            <w:tcW w:w="4200" w:type="dxa"/>
            <w:shd w:val="clear" w:color="auto" w:fill="A6A6A6"/>
            <w:vAlign w:val="center"/>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2</w:t>
            </w:r>
          </w:p>
        </w:tc>
      </w:tr>
      <w:tr w:rsidR="00F43C9B" w:rsidRPr="00E15D20" w:rsidTr="00F43C9B">
        <w:trPr>
          <w:trHeight w:val="325"/>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Omschrijving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Vollasturen ventilatoren beperken door lager toerental van ventilatoren bij lager ventilatiedebiet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Tweetoerenmotor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Conventionele wisselstroommotor zonder frequentieregeling is aanwezig.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Lager toerental is geen probleem voor luchtkwaliteit.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Aardgasverbruik is meer dan 1 miljoen m</w:t>
            </w:r>
            <w:r>
              <w:rPr>
                <w:rFonts w:cstheme="minorHAnsi"/>
                <w:sz w:val="18"/>
                <w:szCs w:val="18"/>
                <w:vertAlign w:val="superscript"/>
              </w:rPr>
              <w:t>3</w:t>
            </w:r>
            <w:r>
              <w:rPr>
                <w:rFonts w:cstheme="minorHAnsi"/>
                <w:sz w:val="18"/>
                <w:szCs w:val="18"/>
              </w:rPr>
              <w:t xml:space="preserve"> per jaar.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Zelfstandig moment: Nee.</w:t>
            </w:r>
          </w:p>
          <w:p w:rsidR="00F43C9B" w:rsidRDefault="00F43C9B" w:rsidP="00F43C9B">
            <w:pPr>
              <w:shd w:val="clear" w:color="auto" w:fill="D9D9D9" w:themeFill="background1" w:themeFillShade="D9"/>
              <w:rPr>
                <w:rFonts w:cstheme="minorHAnsi"/>
                <w:sz w:val="18"/>
                <w:szCs w:val="18"/>
              </w:rPr>
            </w:pPr>
            <w:r>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rPr>
            </w:pPr>
            <w:r>
              <w:rPr>
                <w:rFonts w:cstheme="minorHAnsi"/>
                <w:sz w:val="18"/>
                <w:szCs w:val="18"/>
              </w:rPr>
              <w:t>In gebouwen met minimaal energielabel A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Ruimteventilatie</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3</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3</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p w:rsidR="00F43C9B" w:rsidRDefault="00F43C9B" w:rsidP="00F43C9B">
            <w:pPr>
              <w:shd w:val="clear" w:color="auto" w:fill="D9D9D9" w:themeFill="background1" w:themeFillShade="D9"/>
              <w:rPr>
                <w:rFonts w:cstheme="minorHAnsi"/>
                <w:b/>
                <w:bCs/>
                <w:sz w:val="18"/>
                <w:szCs w:val="18"/>
              </w:rPr>
            </w:pP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Onnodig aanstaan van ventilatie buiten bedrijfstijd voorkomen.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bCs/>
                <w:sz w:val="18"/>
                <w:szCs w:val="18"/>
              </w:rPr>
              <w:t>Tijdschakelaar met weekschakeling (met of zonder overwerktimer)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Automatische aan- en uitregeling ontbreekt.</w:t>
            </w:r>
          </w:p>
        </w:tc>
      </w:tr>
      <w:tr w:rsidR="00F43C9B" w:rsidRPr="00E15D20" w:rsidTr="00F43C9B">
        <w:trPr>
          <w:trHeight w:val="305"/>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Niet toepasbaar in ruimten waar volcontinu gewerkt wordt.</w:t>
            </w:r>
          </w:p>
        </w:tc>
      </w:tr>
      <w:tr w:rsidR="00F43C9B" w:rsidRPr="00E15D20" w:rsidTr="00F43C9B">
        <w:trPr>
          <w:trHeight w:val="355"/>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Toepasbaar op een zelfstandig of </w:t>
            </w:r>
            <w:r>
              <w:rPr>
                <w:rFonts w:cstheme="minorHAnsi"/>
                <w:b/>
                <w:bCs/>
                <w:sz w:val="18"/>
                <w:szCs w:val="18"/>
              </w:rPr>
              <w:t>natuurlijk moment?</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Zelfstandig moment: Ja.</w:t>
            </w:r>
          </w:p>
          <w:p w:rsidR="00F43C9B" w:rsidRDefault="00F43C9B" w:rsidP="00F43C9B">
            <w:pPr>
              <w:shd w:val="clear" w:color="auto" w:fill="D9D9D9" w:themeFill="background1" w:themeFillShade="D9"/>
              <w:rPr>
                <w:rFonts w:cstheme="minorHAnsi"/>
                <w:sz w:val="18"/>
                <w:szCs w:val="18"/>
              </w:rPr>
            </w:pPr>
            <w:r>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Ruimteventilatie</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4</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Omschrijving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Vollasturen ventilatoren beperken door afschakelen van ventilatoren bij lager ventilatiedebiet.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Cascaderegeling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lang w:eastAsia="nl-NL"/>
              </w:rPr>
            </w:pPr>
            <w:r>
              <w:rPr>
                <w:rFonts w:asciiTheme="minorHAnsi" w:hAnsiTheme="minorHAnsi" w:cstheme="minorHAnsi"/>
                <w:sz w:val="18"/>
                <w:szCs w:val="18"/>
              </w:rPr>
              <w:t>Cascaderegeling ontbreekt.</w:t>
            </w:r>
          </w:p>
        </w:tc>
      </w:tr>
      <w:tr w:rsidR="00F43C9B" w:rsidRPr="00E15D20" w:rsidTr="00F43C9B">
        <w:trPr>
          <w:trHeight w:val="305"/>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rPr>
          <w:trHeight w:val="355"/>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Bruto vloeroppervlak is meer dan 300 m</w:t>
            </w:r>
            <w:r>
              <w:rPr>
                <w:rFonts w:cstheme="minorHAnsi"/>
                <w:sz w:val="18"/>
                <w:szCs w:val="18"/>
                <w:vertAlign w:val="superscript"/>
              </w:rPr>
              <w:t>2</w:t>
            </w:r>
            <w:r>
              <w:rPr>
                <w:rFonts w:cstheme="minorHAnsi"/>
                <w:sz w:val="18"/>
                <w:szCs w:val="18"/>
              </w:rPr>
              <w: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0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rPr>
            </w:pPr>
            <w:r>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w:t>
            </w:r>
            <w:r>
              <w:rPr>
                <w:rFonts w:cstheme="minorHAnsi"/>
                <w:b/>
                <w:bCs/>
                <w:sz w:val="18"/>
                <w:szCs w:val="18"/>
              </w:rPr>
              <w:t xml:space="preserv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rPr>
            </w:pPr>
            <w:r>
              <w:rPr>
                <w:rFonts w:cstheme="minorHAnsi"/>
                <w:sz w:val="18"/>
                <w:szCs w:val="18"/>
              </w:rPr>
              <w:t>In gebouwen met minimaal energielabel A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2200"/>
        <w:gridCol w:w="2200"/>
        <w:gridCol w:w="22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Ruimteventilatie</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w:t>
            </w:r>
            <w:r>
              <w:rPr>
                <w:rFonts w:cstheme="minorHAnsi"/>
                <w:b/>
                <w:bCs/>
                <w:sz w:val="18"/>
                <w:szCs w:val="18"/>
              </w:rPr>
              <w:t>er maatregel</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5</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Omschrijving maatregel</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Warmte uit uitgaande ventilatielucht gebruiken voor voorverwarmen ingaande ventilatielucht bij gebalanceerd ventilatiesysteem.</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22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a) Twincoilsysteem toepassen</w:t>
            </w:r>
          </w:p>
        </w:tc>
        <w:tc>
          <w:tcPr>
            <w:tcW w:w="22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b) Warmtewiel toepassen.</w:t>
            </w:r>
          </w:p>
        </w:tc>
        <w:tc>
          <w:tcPr>
            <w:tcW w:w="22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c) Tegenstroom warmtewisselaar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Warmteterugwinsysteem ontbreekt in luchtbehandelingskast (LBK).</w:t>
            </w:r>
          </w:p>
        </w:tc>
      </w:tr>
      <w:tr w:rsidR="00F43C9B" w:rsidRPr="00E15D20" w:rsidTr="00F43C9B">
        <w:tc>
          <w:tcPr>
            <w:tcW w:w="4200"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Pr>
                <w:rFonts w:cstheme="minorHAnsi"/>
                <w:bCs/>
                <w:sz w:val="18"/>
                <w:szCs w:val="18"/>
              </w:rPr>
              <w:t>Luchttoevoer en luchtafvoer liggen nabij elkaar en worden niet door bouwkundige elementen gescheiden.</w:t>
            </w:r>
          </w:p>
        </w:tc>
      </w:tr>
      <w:tr w:rsidR="00F43C9B" w:rsidRPr="00E15D20" w:rsidTr="00F43C9B">
        <w:tc>
          <w:tcPr>
            <w:tcW w:w="4200"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2200" w:type="dxa"/>
            <w:vAlign w:val="center"/>
          </w:tcPr>
          <w:p w:rsidR="00F43C9B" w:rsidRDefault="00F43C9B" w:rsidP="00F43C9B">
            <w:pPr>
              <w:shd w:val="clear" w:color="auto" w:fill="D9D9D9" w:themeFill="background1" w:themeFillShade="D9"/>
              <w:rPr>
                <w:rFonts w:cstheme="minorHAnsi"/>
                <w:bCs/>
                <w:sz w:val="18"/>
                <w:szCs w:val="18"/>
              </w:rPr>
            </w:pPr>
          </w:p>
        </w:tc>
        <w:tc>
          <w:tcPr>
            <w:tcW w:w="4400" w:type="dxa"/>
            <w:gridSpan w:val="2"/>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B en c) Eventuele luchtlekkage is geen probleem voor luchtkwaliteit.</w:t>
            </w:r>
          </w:p>
        </w:tc>
      </w:tr>
      <w:tr w:rsidR="00F43C9B" w:rsidRPr="00E15D20" w:rsidTr="00F43C9B">
        <w:trPr>
          <w:trHeight w:val="3093"/>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Conventioneelrendements- (CR-) of verbeterdrendements- (VR-) of of hoogrendementsketel HR 100 of HR 104 is aanwezig voor ruimteverwarming.</w:t>
            </w:r>
          </w:p>
          <w:p w:rsidR="00F43C9B" w:rsidRDefault="00F43C9B" w:rsidP="00F43C9B">
            <w:pPr>
              <w:shd w:val="clear" w:color="auto" w:fill="D9D9D9" w:themeFill="background1" w:themeFillShade="D9"/>
              <w:rPr>
                <w:rFonts w:cstheme="minorHAnsi"/>
                <w:sz w:val="18"/>
                <w:szCs w:val="18"/>
              </w:rPr>
            </w:pPr>
            <w:r>
              <w:rPr>
                <w:rFonts w:cstheme="minorHAnsi"/>
                <w:sz w:val="18"/>
                <w:szCs w:val="18"/>
              </w:rPr>
              <w:t>Beperkte isolatie is aanwezig (ter indicatie: minder dan 40 mm isolatie of bouwjaar van 1975 of eerder).</w:t>
            </w:r>
          </w:p>
          <w:p w:rsidR="00F43C9B" w:rsidRDefault="00F43C9B" w:rsidP="00F43C9B">
            <w:pPr>
              <w:shd w:val="clear" w:color="auto" w:fill="D9D9D9" w:themeFill="background1" w:themeFillShade="D9"/>
              <w:rPr>
                <w:rFonts w:cstheme="minorHAnsi"/>
                <w:sz w:val="18"/>
                <w:szCs w:val="18"/>
              </w:rPr>
            </w:pPr>
            <w:r>
              <w:rPr>
                <w:rFonts w:cstheme="minorHAnsi"/>
                <w:sz w:val="18"/>
                <w:szCs w:val="18"/>
              </w:rPr>
              <w:t>Bruto vloeroppervlakte is meer dan 300 m</w:t>
            </w:r>
            <w:r>
              <w:rPr>
                <w:rFonts w:cstheme="minorHAnsi"/>
                <w:sz w:val="18"/>
                <w:szCs w:val="18"/>
                <w:vertAlign w:val="superscript"/>
              </w:rPr>
              <w:t>2</w:t>
            </w:r>
            <w:r>
              <w:rPr>
                <w:rFonts w:cstheme="minorHAnsi"/>
                <w:sz w:val="18"/>
                <w:szCs w:val="18"/>
              </w:rPr>
              <w: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Toepasbaar op een zelfstandig of </w:t>
            </w:r>
            <w:r>
              <w:rPr>
                <w:rFonts w:cstheme="minorHAnsi"/>
                <w:b/>
                <w:bCs/>
                <w:sz w:val="18"/>
                <w:szCs w:val="18"/>
              </w:rPr>
              <w:t>natuurlijk moment?</w:t>
            </w:r>
          </w:p>
        </w:tc>
        <w:tc>
          <w:tcPr>
            <w:tcW w:w="220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rPr>
            </w:pPr>
            <w:r>
              <w:rPr>
                <w:rFonts w:cstheme="minorHAnsi"/>
                <w:bCs/>
                <w:sz w:val="18"/>
                <w:szCs w:val="18"/>
              </w:rPr>
              <w:t>Natuurlijk moment: Ja.</w:t>
            </w:r>
          </w:p>
        </w:tc>
        <w:tc>
          <w:tcPr>
            <w:tcW w:w="44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B en c) Zelfstandig moment: Ja, indien aardgasverbruik is minimaal 1 miljoen m</w:t>
            </w:r>
            <w:r>
              <w:rPr>
                <w:rFonts w:cstheme="minorHAnsi"/>
                <w:sz w:val="18"/>
                <w:szCs w:val="18"/>
                <w:vertAlign w:val="superscript"/>
              </w:rPr>
              <w:t>3</w:t>
            </w:r>
            <w:r>
              <w:rPr>
                <w:rFonts w:cstheme="minorHAnsi"/>
                <w:sz w:val="18"/>
                <w:szCs w:val="18"/>
              </w:rPr>
              <w:t xml:space="preserve"> per jaar.</w:t>
            </w:r>
          </w:p>
          <w:p w:rsidR="00F43C9B" w:rsidRDefault="00F43C9B" w:rsidP="00F43C9B">
            <w:pPr>
              <w:shd w:val="clear" w:color="auto" w:fill="D9D9D9" w:themeFill="background1" w:themeFillShade="D9"/>
              <w:rPr>
                <w:rFonts w:cstheme="minorHAnsi"/>
                <w:sz w:val="18"/>
                <w:szCs w:val="18"/>
              </w:rPr>
            </w:pPr>
            <w:r>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[9] Energiezuinige warmteopwekking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gridSpan w:val="3"/>
            <w:vAlign w:val="center"/>
          </w:tcPr>
          <w:p w:rsidR="00F43C9B" w:rsidRDefault="00F43C9B" w:rsidP="00F43C9B">
            <w:pPr>
              <w:shd w:val="clear" w:color="auto" w:fill="D9D9D9" w:themeFill="background1" w:themeFillShade="D9"/>
              <w:rPr>
                <w:rFonts w:cstheme="minorHAnsi"/>
                <w:i/>
                <w:iCs/>
                <w:sz w:val="18"/>
                <w:szCs w:val="18"/>
              </w:rPr>
            </w:pPr>
            <w:r>
              <w:rPr>
                <w:rFonts w:cstheme="minorHAnsi"/>
                <w:sz w:val="18"/>
                <w:szCs w:val="18"/>
              </w:rPr>
              <w:t>In gebouwen met minimaal energielabel A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23"/>
      </w:tblGrid>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In werking hebben van een stookinstallatie (emissies naar de lucht)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6</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Aanvoertemperatuur cv-water automatisch regelen op basis van buitentemperatuur.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Weersafhankelijke regeling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 xml:space="preserve">Weersafhankelijke regeling ontbreekt op een cv-groep </w:t>
            </w:r>
            <w:r>
              <w:rPr>
                <w:rFonts w:cstheme="minorHAnsi"/>
                <w:bCs/>
                <w:sz w:val="18"/>
                <w:szCs w:val="18"/>
              </w:rPr>
              <w:t>met hogetemperatuurverwarming</w:t>
            </w:r>
            <w:r>
              <w:rPr>
                <w:rFonts w:cstheme="minorHAnsi"/>
                <w:sz w:val="18"/>
                <w:szCs w:val="18"/>
              </w:rPr>
              <w: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bCs/>
                <w:sz w:val="18"/>
                <w:szCs w:val="18"/>
              </w:rPr>
              <w:t>Weersafhankelijke regeling toepassen op groep indien dit op ketel onmogelijk is i.v.m. warmtapwatervoorziening.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Zelfstandig moment: Ja.</w:t>
            </w:r>
          </w:p>
          <w:p w:rsidR="00F43C9B" w:rsidRDefault="00F43C9B" w:rsidP="00F43C9B">
            <w:pPr>
              <w:shd w:val="clear" w:color="auto" w:fill="D9D9D9" w:themeFill="background1" w:themeFillShade="D9"/>
              <w:rPr>
                <w:rFonts w:cstheme="minorHAnsi"/>
                <w:sz w:val="18"/>
                <w:szCs w:val="18"/>
              </w:rPr>
            </w:pPr>
            <w:r>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23" w:type="dxa"/>
            <w:vAlign w:val="center"/>
          </w:tcPr>
          <w:p w:rsidR="00F43C9B" w:rsidRDefault="00F43C9B" w:rsidP="00F43C9B">
            <w:pPr>
              <w:shd w:val="clear" w:color="auto" w:fill="D9D9D9" w:themeFill="background1" w:themeFillShade="D9"/>
              <w:rPr>
                <w:rFonts w:cstheme="minorHAnsi"/>
                <w:i/>
                <w:i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23"/>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In werking hebben van een stookinstallatie (emissies naar de lucht)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7</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Opstarttijd cv-installatie regelen op basis van buitentemperatuur en interne warmtelast.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Optimaliserende regeling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Optimaliserende regeling ontbreekt.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Niet toepasbaar in gebouw(delen) waar volcontinu gewerkt wordt.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Zelfstandig moment: Ja, indien aardgasverbruik minder is dan 170.000 m</w:t>
            </w:r>
            <w:r>
              <w:rPr>
                <w:rFonts w:cstheme="minorHAnsi"/>
                <w:sz w:val="18"/>
                <w:szCs w:val="18"/>
                <w:vertAlign w:val="superscript"/>
              </w:rPr>
              <w:t>3</w:t>
            </w:r>
            <w:r>
              <w:rPr>
                <w:rFonts w:cstheme="minorHAnsi"/>
                <w:sz w:val="18"/>
                <w:szCs w:val="18"/>
              </w:rPr>
              <w:t>.</w:t>
            </w:r>
          </w:p>
          <w:p w:rsidR="00F43C9B" w:rsidRDefault="00F43C9B" w:rsidP="00F43C9B">
            <w:pPr>
              <w:shd w:val="clear" w:color="auto" w:fill="D9D9D9" w:themeFill="background1" w:themeFillShade="D9"/>
              <w:rPr>
                <w:rFonts w:cstheme="minorHAnsi"/>
                <w:sz w:val="18"/>
                <w:szCs w:val="18"/>
              </w:rPr>
            </w:pPr>
            <w:r>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23"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23" w:type="dxa"/>
            <w:vAlign w:val="center"/>
          </w:tcPr>
          <w:p w:rsidR="00F43C9B" w:rsidRDefault="00F43C9B" w:rsidP="00F43C9B">
            <w:pPr>
              <w:shd w:val="clear" w:color="auto" w:fill="D9D9D9" w:themeFill="background1" w:themeFillShade="D9"/>
              <w:rPr>
                <w:rFonts w:cstheme="minorHAnsi"/>
                <w:i/>
                <w:iCs/>
                <w:sz w:val="18"/>
                <w:szCs w:val="18"/>
              </w:rPr>
            </w:pPr>
            <w:r>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8</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Warmteverlies via warmwaterleidingen en –appendages beperken in onverwarmde ruimten.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Isolatie aanbrengen om leidingen en appendages.</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Isolatie om leidingen en appendages ontbreekt.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Als fabrikant voorschrijft dat vocht en warmte weg moet kunnen i.v.m. garantie, dan hier rekening mee houden bij keuze isolatiemateriaal.</w:t>
            </w:r>
          </w:p>
        </w:tc>
      </w:tr>
      <w:tr w:rsidR="00F43C9B" w:rsidRPr="00E15D20" w:rsidTr="00F43C9B">
        <w:trPr>
          <w:trHeight w:val="2713"/>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Aardgasverbruik is minder dan 170.000 m</w:t>
            </w:r>
            <w:r>
              <w:rPr>
                <w:rFonts w:cstheme="minorHAnsi"/>
                <w:bCs/>
                <w:sz w:val="18"/>
                <w:szCs w:val="18"/>
                <w:vertAlign w:val="superscript"/>
              </w:rPr>
              <w:t>3</w:t>
            </w:r>
            <w:r>
              <w:rPr>
                <w:rFonts w:cstheme="minorHAnsi"/>
                <w:bCs/>
                <w:sz w:val="18"/>
                <w:szCs w:val="18"/>
              </w:rPr>
              <w:t xml:space="preserve"> per jaar.</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Bedrijfstijd van installatie behorende bij leidingen en appendages is minimaal 1.250 uur per jaar (ter indicatie: een standaard stookseizoen).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3300"/>
        <w:gridCol w:w="3300"/>
      </w:tblGrid>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In werking hebben van een stookinstallatie (emissies naar de lucht)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9</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Energiezuinige warmteopwekking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w:t>
            </w:r>
            <w:r>
              <w:rPr>
                <w:rFonts w:cstheme="minorHAnsi"/>
                <w:b/>
                <w:bCs/>
                <w:sz w:val="18"/>
                <w:szCs w:val="18"/>
              </w:rPr>
              <w:t>technieken ten opzichte van uitgangssituatie</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Hoogrendementsketel HR107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33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a) Conventioneelrendements- (CR-) of verbeterdrendements- (VR-) ketel is aanwezig voor basislast (bedrijfstijd is meer dan 500 uur per jaar).</w:t>
            </w:r>
          </w:p>
        </w:tc>
        <w:tc>
          <w:tcPr>
            <w:tcW w:w="33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b) Hoogrendementsketel HR100 is aanwezig voor basislast (bedrijfstijd is meer dan 500 uur per jaar).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Retourtemperatuur van ketel kan lager zijn dan 55°C. Hogetemperatuursystemen (zoals warmtapwatersysteem of hogetemperatuurstralingspanelen) verhinderen dat soms.</w:t>
            </w:r>
          </w:p>
          <w:p w:rsidR="00F43C9B" w:rsidRDefault="00F43C9B" w:rsidP="00F43C9B">
            <w:pPr>
              <w:shd w:val="clear" w:color="auto" w:fill="D9D9D9" w:themeFill="background1" w:themeFillShade="D9"/>
              <w:rPr>
                <w:rFonts w:cstheme="minorHAnsi"/>
                <w:sz w:val="18"/>
                <w:szCs w:val="18"/>
              </w:rPr>
            </w:pPr>
            <w:r>
              <w:rPr>
                <w:rFonts w:cstheme="minorHAnsi"/>
                <w:sz w:val="18"/>
                <w:szCs w:val="18"/>
              </w:rPr>
              <w:t>Condensafvoer is mogelijk.</w:t>
            </w:r>
          </w:p>
          <w:p w:rsidR="00F43C9B" w:rsidRDefault="00F43C9B" w:rsidP="00F43C9B">
            <w:pPr>
              <w:shd w:val="clear" w:color="auto" w:fill="D9D9D9" w:themeFill="background1" w:themeFillShade="D9"/>
              <w:rPr>
                <w:rFonts w:cstheme="minorHAnsi"/>
                <w:sz w:val="18"/>
                <w:szCs w:val="18"/>
              </w:rPr>
            </w:pPr>
            <w:r>
              <w:rPr>
                <w:rFonts w:cstheme="minorHAnsi"/>
                <w:sz w:val="18"/>
                <w:szCs w:val="18"/>
              </w:rPr>
              <w:t>Niet toepasbaar in Operatie Kamers (OK’s).</w:t>
            </w:r>
          </w:p>
        </w:tc>
      </w:tr>
      <w:tr w:rsidR="00F43C9B" w:rsidRPr="00E15D20" w:rsidTr="00F43C9B">
        <w:trPr>
          <w:trHeight w:val="878"/>
        </w:trPr>
        <w:tc>
          <w:tcPr>
            <w:tcW w:w="4200"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Beperkte isolatie is aanwezig (ter indicatie: minder dan 40 mm isolatie of bouwjaar van 1975 of eerder).</w:t>
            </w:r>
          </w:p>
        </w:tc>
      </w:tr>
      <w:tr w:rsidR="00F43C9B" w:rsidRPr="00E15D20" w:rsidTr="00F43C9B">
        <w:trPr>
          <w:trHeight w:val="877"/>
        </w:trPr>
        <w:tc>
          <w:tcPr>
            <w:tcW w:w="4200"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3300" w:type="dxa"/>
            <w:vAlign w:val="center"/>
          </w:tcPr>
          <w:p w:rsidR="00F43C9B" w:rsidRDefault="00F43C9B" w:rsidP="00F43C9B">
            <w:pPr>
              <w:shd w:val="clear" w:color="auto" w:fill="D9D9D9" w:themeFill="background1" w:themeFillShade="D9"/>
              <w:rPr>
                <w:rFonts w:cstheme="minorHAnsi"/>
                <w:sz w:val="18"/>
                <w:szCs w:val="18"/>
              </w:rPr>
            </w:pPr>
          </w:p>
        </w:tc>
        <w:tc>
          <w:tcPr>
            <w:tcW w:w="33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b) Bruto vloeroppervlak is meer dan 300 m</w:t>
            </w:r>
            <w:r>
              <w:rPr>
                <w:rFonts w:cstheme="minorHAnsi"/>
                <w:sz w:val="18"/>
                <w:szCs w:val="18"/>
                <w:vertAlign w:val="superscript"/>
              </w:rPr>
              <w:t>2</w:t>
            </w:r>
            <w:r>
              <w:rPr>
                <w:rFonts w:cstheme="minorHAnsi"/>
                <w:sz w:val="18"/>
                <w:szCs w:val="18"/>
              </w:rPr>
              <w: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3300" w:type="dxa"/>
            <w:vAlign w:val="center"/>
          </w:tcPr>
          <w:p w:rsidR="00F43C9B" w:rsidRDefault="00F43C9B" w:rsidP="00EB7F6B">
            <w:pPr>
              <w:pStyle w:val="Lijstalinea"/>
              <w:numPr>
                <w:ilvl w:val="0"/>
                <w:numId w:val="29"/>
              </w:numPr>
              <w:shd w:val="clear" w:color="auto" w:fill="D9D9D9" w:themeFill="background1" w:themeFillShade="D9"/>
              <w:tabs>
                <w:tab w:val="left" w:pos="252"/>
              </w:tabs>
              <w:spacing w:line="276" w:lineRule="auto"/>
              <w:contextualSpacing w:val="0"/>
              <w:rPr>
                <w:rFonts w:cstheme="minorHAnsi"/>
                <w:sz w:val="18"/>
                <w:szCs w:val="18"/>
              </w:rPr>
            </w:pPr>
            <w:r>
              <w:rPr>
                <w:rFonts w:cstheme="minorHAnsi"/>
                <w:sz w:val="18"/>
                <w:szCs w:val="18"/>
              </w:rPr>
              <w:t>Zelfstandig moment: Ja, indien aardgasverbruik minder dan 1 miljoen m</w:t>
            </w:r>
            <w:r>
              <w:rPr>
                <w:rFonts w:cstheme="minorHAnsi"/>
                <w:sz w:val="18"/>
                <w:szCs w:val="18"/>
                <w:vertAlign w:val="superscript"/>
              </w:rPr>
              <w:t>3</w:t>
            </w:r>
            <w:r>
              <w:rPr>
                <w:rFonts w:cstheme="minorHAnsi"/>
                <w:sz w:val="18"/>
                <w:szCs w:val="18"/>
              </w:rPr>
              <w:t xml:space="preserve"> per jaar is en bruto vloeroppervlak meer is dan 300 m</w:t>
            </w:r>
            <w:r>
              <w:rPr>
                <w:rFonts w:cstheme="minorHAnsi"/>
                <w:sz w:val="18"/>
                <w:szCs w:val="18"/>
                <w:vertAlign w:val="superscript"/>
              </w:rPr>
              <w:t>2</w:t>
            </w:r>
            <w:r>
              <w:rPr>
                <w:rFonts w:cstheme="minorHAnsi"/>
                <w:sz w:val="18"/>
                <w:szCs w:val="18"/>
              </w:rPr>
              <w:t>.</w:t>
            </w:r>
          </w:p>
          <w:p w:rsidR="00F43C9B" w:rsidRDefault="00F43C9B" w:rsidP="00F43C9B">
            <w:pPr>
              <w:shd w:val="clear" w:color="auto" w:fill="D9D9D9" w:themeFill="background1" w:themeFillShade="D9"/>
              <w:tabs>
                <w:tab w:val="left" w:pos="252"/>
              </w:tabs>
              <w:rPr>
                <w:rFonts w:cstheme="minorHAnsi"/>
                <w:sz w:val="18"/>
                <w:szCs w:val="18"/>
              </w:rPr>
            </w:pPr>
            <w:r>
              <w:rPr>
                <w:rFonts w:cstheme="minorHAnsi"/>
                <w:sz w:val="18"/>
                <w:szCs w:val="18"/>
              </w:rPr>
              <w:t>Natuurlijk moment: Ja.</w:t>
            </w:r>
          </w:p>
        </w:tc>
        <w:tc>
          <w:tcPr>
            <w:tcW w:w="3300" w:type="dxa"/>
            <w:vAlign w:val="center"/>
          </w:tcPr>
          <w:p w:rsidR="00F43C9B" w:rsidRDefault="00F43C9B" w:rsidP="00F43C9B">
            <w:pPr>
              <w:shd w:val="clear" w:color="auto" w:fill="D9D9D9" w:themeFill="background1" w:themeFillShade="D9"/>
              <w:tabs>
                <w:tab w:val="left" w:pos="252"/>
              </w:tabs>
              <w:rPr>
                <w:rFonts w:cstheme="minorHAnsi"/>
                <w:sz w:val="18"/>
                <w:szCs w:val="18"/>
              </w:rPr>
            </w:pPr>
            <w:r>
              <w:rPr>
                <w:rFonts w:cstheme="minorHAnsi"/>
                <w:sz w:val="18"/>
                <w:szCs w:val="18"/>
              </w:rPr>
              <w:t>b) Zelfstandig moment: Nee.</w:t>
            </w:r>
          </w:p>
          <w:p w:rsidR="00F43C9B" w:rsidRDefault="00F43C9B" w:rsidP="00F43C9B">
            <w:pPr>
              <w:shd w:val="clear" w:color="auto" w:fill="D9D9D9" w:themeFill="background1" w:themeFillShade="D9"/>
              <w:tabs>
                <w:tab w:val="left" w:pos="252"/>
              </w:tabs>
              <w:rPr>
                <w:rFonts w:cstheme="minorHAnsi"/>
                <w:sz w:val="18"/>
                <w:szCs w:val="18"/>
              </w:rPr>
            </w:pPr>
            <w:r>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33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a) N.v.t.</w:t>
            </w:r>
          </w:p>
        </w:tc>
        <w:tc>
          <w:tcPr>
            <w:tcW w:w="33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b) [1] Warmte- en koudeverlies via buitenmuur beperken.</w:t>
            </w:r>
          </w:p>
          <w:p w:rsidR="00F43C9B" w:rsidRDefault="00F43C9B" w:rsidP="00F43C9B">
            <w:pPr>
              <w:shd w:val="clear" w:color="auto" w:fill="D9D9D9" w:themeFill="background1" w:themeFillShade="D9"/>
              <w:rPr>
                <w:rFonts w:cstheme="minorHAnsi"/>
                <w:sz w:val="18"/>
                <w:szCs w:val="18"/>
              </w:rPr>
            </w:pPr>
            <w:r>
              <w:rPr>
                <w:rFonts w:cstheme="minorHAnsi"/>
                <w:sz w:val="18"/>
                <w:szCs w:val="18"/>
              </w:rPr>
              <w:t>[5] Warmte uit uitgaande ventilatielucht gebruiken voor voorverwarmen ingaande ventilatielucht bij gebalanceerd ventilatiesysteem.</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In gebouwen met minimaal energielabel A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Pr>
          <w:rFonts w:cstheme="minorHAnsi"/>
          <w:sz w:val="18"/>
          <w:szCs w:val="18"/>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b/>
                <w:bCs/>
                <w:sz w:val="18"/>
                <w:szCs w:val="18"/>
              </w:rPr>
              <w:t>Ruimte- en buitenverlichting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10</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p w:rsidR="00F43C9B" w:rsidRDefault="00F43C9B" w:rsidP="00F43C9B">
            <w:pPr>
              <w:shd w:val="clear" w:color="auto" w:fill="D9D9D9" w:themeFill="background1" w:themeFillShade="D9"/>
              <w:rPr>
                <w:rFonts w:cstheme="minorHAnsi"/>
                <w:sz w:val="18"/>
                <w:szCs w:val="18"/>
              </w:rPr>
            </w:pPr>
          </w:p>
        </w:tc>
        <w:tc>
          <w:tcPr>
            <w:tcW w:w="660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Onnodig branden van binnenverlichting in pauzes en buiten bedrijfstijd voorkomen in ruimten waar niet continu mensen aanwezig zijn: zoals kantoorruimten, vergaderruimten, keukens op afdelingen en opslagruimten.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sz w:val="18"/>
                <w:szCs w:val="18"/>
              </w:rPr>
              <w:t>Veegschakeling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Verlichting wordt handmatig geschakeld per ruimte.</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Technische </w:t>
            </w:r>
            <w:r>
              <w:rPr>
                <w:rFonts w:cstheme="minorHAnsi"/>
                <w:b/>
                <w:bCs/>
                <w:sz w:val="18"/>
                <w:szCs w:val="18"/>
              </w:rPr>
              <w:t>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00" w:type="dxa"/>
            <w:vAlign w:val="center"/>
          </w:tcPr>
          <w:p w:rsidR="00F43C9B" w:rsidRDefault="00F43C9B" w:rsidP="00F43C9B">
            <w:pPr>
              <w:shd w:val="clear" w:color="auto" w:fill="D9D9D9" w:themeFill="background1" w:themeFillShade="D9"/>
              <w:rPr>
                <w:rFonts w:cstheme="minorHAnsi"/>
                <w:bCs/>
                <w:sz w:val="18"/>
                <w:szCs w:val="18"/>
              </w:rPr>
            </w:pPr>
            <w:r>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rPr>
            </w:pPr>
            <w:r>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rPr>
            </w:pPr>
            <w:r>
              <w:rPr>
                <w:rFonts w:cstheme="minorHAnsi"/>
                <w:sz w:val="18"/>
                <w:szCs w:val="18"/>
              </w:rPr>
              <w:t>In gebouwen met minimaal energielabel A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00"/>
        <w:gridCol w:w="3300"/>
        <w:gridCol w:w="33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Ruimte- en buitenverlichting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w:t>
            </w:r>
            <w:r>
              <w:rPr>
                <w:rFonts w:cstheme="minorHAnsi"/>
                <w:b/>
                <w:bCs/>
                <w:sz w:val="18"/>
                <w:szCs w:val="18"/>
              </w:rPr>
              <w:t>tregel</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11</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p w:rsidR="00F43C9B" w:rsidRDefault="00F43C9B" w:rsidP="00F43C9B">
            <w:pPr>
              <w:shd w:val="clear" w:color="auto" w:fill="D9D9D9" w:themeFill="background1" w:themeFillShade="D9"/>
              <w:rPr>
                <w:rFonts w:cstheme="minorHAnsi"/>
                <w:sz w:val="18"/>
                <w:szCs w:val="18"/>
              </w:rPr>
            </w:pP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Geïnstalleerd vermogen binnenverlichting beperken.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3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a) Led-lamp toepassen in bestaande armatuur.</w:t>
            </w:r>
          </w:p>
        </w:tc>
        <w:tc>
          <w:tcPr>
            <w:tcW w:w="3300" w:type="dxa"/>
            <w:vAlign w:val="center"/>
          </w:tcPr>
          <w:p w:rsidR="00F43C9B" w:rsidRDefault="00F43C9B" w:rsidP="00F43C9B">
            <w:pPr>
              <w:shd w:val="clear" w:color="auto" w:fill="D9D9D9" w:themeFill="background1" w:themeFillShade="D9"/>
              <w:rPr>
                <w:rFonts w:cstheme="minorHAnsi"/>
                <w:sz w:val="18"/>
                <w:szCs w:val="18"/>
              </w:rPr>
            </w:pPr>
            <w:r>
              <w:rPr>
                <w:rFonts w:cstheme="minorHAnsi"/>
                <w:sz w:val="18"/>
                <w:szCs w:val="18"/>
              </w:rPr>
              <w:t>b) L</w:t>
            </w:r>
            <w:r>
              <w:rPr>
                <w:rStyle w:val="description"/>
                <w:rFonts w:cstheme="minorHAnsi"/>
                <w:sz w:val="18"/>
                <w:szCs w:val="18"/>
              </w:rPr>
              <w:t xml:space="preserve">angwerpige </w:t>
            </w:r>
            <w:r>
              <w:rPr>
                <w:rStyle w:val="Zwaar"/>
                <w:rFonts w:cstheme="minorHAnsi"/>
                <w:sz w:val="18"/>
                <w:szCs w:val="18"/>
              </w:rPr>
              <w:t>fluorescentielamp (</w:t>
            </w:r>
            <w:r w:rsidRPr="00D0146C">
              <w:rPr>
                <w:rFonts w:cstheme="minorHAnsi"/>
                <w:sz w:val="18"/>
                <w:szCs w:val="18"/>
              </w:rPr>
              <w:t>TL5) en adapter toepassen in bestaande armatuur.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33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a) PL-lamp (traditionele spaarlamp) is aanwezig in gangen en toiletten.</w:t>
            </w:r>
          </w:p>
        </w:tc>
        <w:tc>
          <w:tcPr>
            <w:tcW w:w="33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b) Conventioneel armatuur met langwerpige fluorescentielamp (TL) is aanwezig.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lang w:val="de-DE"/>
              </w:rPr>
            </w:pPr>
            <w:r w:rsidRPr="00D0146C">
              <w:rPr>
                <w:rFonts w:cstheme="minorHAnsi"/>
                <w:sz w:val="18"/>
                <w:szCs w:val="18"/>
                <w:lang w:val="de-DE"/>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33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Bruto vloeroppervlak is meer dan 46.000 m</w:t>
            </w:r>
            <w:r w:rsidRPr="00D0146C">
              <w:rPr>
                <w:rFonts w:cstheme="minorHAnsi"/>
                <w:sz w:val="18"/>
                <w:szCs w:val="18"/>
                <w:vertAlign w:val="superscript"/>
              </w:rPr>
              <w:t>2</w:t>
            </w:r>
            <w:r w:rsidRPr="00D0146C">
              <w:rPr>
                <w:rFonts w:cstheme="minorHAnsi"/>
                <w:sz w:val="18"/>
                <w:szCs w:val="18"/>
              </w:rPr>
              <w:t>.</w:t>
            </w:r>
          </w:p>
        </w:tc>
        <w:tc>
          <w:tcPr>
            <w:tcW w:w="33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3300" w:type="dxa"/>
            <w:vAlign w:val="center"/>
          </w:tcPr>
          <w:p w:rsidR="00F43C9B" w:rsidRDefault="00F43C9B" w:rsidP="00EB7F6B">
            <w:pPr>
              <w:pStyle w:val="Lijstalinea"/>
              <w:numPr>
                <w:ilvl w:val="0"/>
                <w:numId w:val="30"/>
              </w:numPr>
              <w:shd w:val="clear" w:color="auto" w:fill="D9D9D9" w:themeFill="background1" w:themeFillShade="D9"/>
              <w:spacing w:line="276" w:lineRule="auto"/>
              <w:contextualSpacing w:val="0"/>
              <w:rPr>
                <w:rFonts w:cstheme="minorHAnsi"/>
                <w:sz w:val="18"/>
                <w:szCs w:val="18"/>
              </w:rPr>
            </w:pPr>
            <w:r w:rsidRPr="00D0146C">
              <w:rPr>
                <w:rFonts w:cstheme="minorHAnsi"/>
                <w:sz w:val="18"/>
                <w:szCs w:val="18"/>
              </w:rPr>
              <w:t>Zelfstandig moment: Nee.</w:t>
            </w:r>
          </w:p>
          <w:p w:rsidR="00F43C9B" w:rsidRPr="00E15D20"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c>
          <w:tcPr>
            <w:tcW w:w="33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Zelfstandig moment: Ja.</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gridSpan w:val="2"/>
            <w:vAlign w:val="center"/>
          </w:tcPr>
          <w:p w:rsidR="00F43C9B" w:rsidRDefault="00F43C9B" w:rsidP="00F43C9B">
            <w:pPr>
              <w:shd w:val="clear" w:color="auto" w:fill="D9D9D9" w:themeFill="background1" w:themeFillShade="D9"/>
              <w:rPr>
                <w:rFonts w:cstheme="minorHAnsi"/>
                <w:i/>
                <w:iCs/>
                <w:sz w:val="18"/>
                <w:szCs w:val="18"/>
              </w:rPr>
            </w:pPr>
            <w:r w:rsidRPr="00D0146C">
              <w:rPr>
                <w:rFonts w:cstheme="minorHAnsi"/>
                <w:sz w:val="18"/>
                <w:szCs w:val="18"/>
              </w:rPr>
              <w:t>In gebouwen met minimaal energielabel A dan wel in nieuwbouw met een bouwjaar van 2003 of daarna en die derhalve aan de EPC-eisen van 2003 voldoen, wordt geacht deze maatregel reeds te zijn genomen.</w:t>
            </w:r>
          </w:p>
        </w:tc>
      </w:tr>
    </w:tbl>
    <w:p w:rsidR="00F43C9B"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00"/>
        <w:gridCol w:w="2200"/>
        <w:gridCol w:w="2200"/>
        <w:gridCol w:w="22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Ruimteverlichting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12</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Geïnstalleerd vermogen accentverlichting beperken.</w:t>
            </w:r>
          </w:p>
        </w:tc>
      </w:tr>
      <w:tr w:rsidR="00F43C9B" w:rsidRPr="00E15D20" w:rsidTr="00F43C9B">
        <w:trPr>
          <w:trHeight w:val="333"/>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technieken ten opzichte van </w:t>
            </w:r>
            <w:r>
              <w:rPr>
                <w:rFonts w:cstheme="minorHAnsi"/>
                <w:b/>
                <w:bCs/>
                <w:sz w:val="18"/>
                <w:szCs w:val="18"/>
              </w:rPr>
              <w:t>uitgangssituatie</w:t>
            </w:r>
          </w:p>
        </w:tc>
        <w:tc>
          <w:tcPr>
            <w:tcW w:w="22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Led-lamp toepassen in bestaande armatuur.</w:t>
            </w:r>
          </w:p>
        </w:tc>
        <w:tc>
          <w:tcPr>
            <w:tcW w:w="22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PL-lamp (traditionele spaarlamp) toepassen in bestaande armatuur.</w:t>
            </w:r>
          </w:p>
        </w:tc>
        <w:tc>
          <w:tcPr>
            <w:tcW w:w="22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Halogeenlamp toepassen in bestaande armatuur.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22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Halogeenlamp is aanwezig.</w:t>
            </w:r>
          </w:p>
        </w:tc>
        <w:tc>
          <w:tcPr>
            <w:tcW w:w="44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en c) Gloeilamp is aanwezig.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gridSpan w:val="3"/>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N.v.t.</w:t>
            </w:r>
          </w:p>
        </w:tc>
      </w:tr>
      <w:tr w:rsidR="00F43C9B" w:rsidRPr="00E15D20" w:rsidTr="00F43C9B">
        <w:tc>
          <w:tcPr>
            <w:tcW w:w="42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2200" w:type="dxa"/>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Elektriciteitsverbruik is minder dan 50.000 kWh per jaar.</w:t>
            </w:r>
          </w:p>
        </w:tc>
        <w:tc>
          <w:tcPr>
            <w:tcW w:w="4400" w:type="dxa"/>
            <w:gridSpan w:val="2"/>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en c) 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2200" w:type="dxa"/>
            <w:vAlign w:val="center"/>
          </w:tcPr>
          <w:p w:rsidR="00F43C9B" w:rsidRDefault="00F43C9B" w:rsidP="00EB7F6B">
            <w:pPr>
              <w:pStyle w:val="Lijstalinea"/>
              <w:numPr>
                <w:ilvl w:val="0"/>
                <w:numId w:val="31"/>
              </w:numPr>
              <w:shd w:val="clear" w:color="auto" w:fill="D9D9D9" w:themeFill="background1" w:themeFillShade="D9"/>
              <w:spacing w:line="276" w:lineRule="auto"/>
              <w:contextualSpacing w:val="0"/>
              <w:rPr>
                <w:rFonts w:cstheme="minorHAnsi"/>
                <w:sz w:val="18"/>
                <w:szCs w:val="18"/>
              </w:rPr>
            </w:pPr>
            <w:r w:rsidRPr="00D0146C">
              <w:rPr>
                <w:rFonts w:cstheme="minorHAnsi"/>
                <w:sz w:val="18"/>
                <w:szCs w:val="18"/>
              </w:rPr>
              <w:t>Zelfstandig moment: Nee.</w:t>
            </w:r>
          </w:p>
          <w:p w:rsidR="00F43C9B" w:rsidRPr="00E15D20"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c>
          <w:tcPr>
            <w:tcW w:w="22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c>
          <w:tcPr>
            <w:tcW w:w="22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Zelfstandig moment: Ja, indien elektriciteitsverbruik minder is dan 50.000 kWh per jaar.</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Bijzondere </w:t>
            </w:r>
            <w:r>
              <w:rPr>
                <w:rFonts w:cstheme="minorHAnsi"/>
                <w:b/>
                <w:bCs/>
                <w:sz w:val="18"/>
                <w:szCs w:val="18"/>
              </w:rPr>
              <w:t>omstandigheden</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br w:type="page"/>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2652"/>
        <w:gridCol w:w="172"/>
        <w:gridCol w:w="2475"/>
        <w:gridCol w:w="6"/>
        <w:gridCol w:w="2653"/>
      </w:tblGrid>
      <w:tr w:rsidR="00F43C9B" w:rsidRPr="00E15D20" w:rsidTr="00F43C9B">
        <w:tc>
          <w:tcPr>
            <w:tcW w:w="2122"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958"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Buitenverlichting</w:t>
            </w:r>
          </w:p>
        </w:tc>
      </w:tr>
      <w:tr w:rsidR="00F43C9B" w:rsidRPr="00E15D20" w:rsidTr="00F43C9B">
        <w:tc>
          <w:tcPr>
            <w:tcW w:w="21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958"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13</w:t>
            </w:r>
          </w:p>
        </w:tc>
      </w:tr>
      <w:tr w:rsidR="00F43C9B" w:rsidRPr="00E15D20" w:rsidTr="00F43C9B">
        <w:tc>
          <w:tcPr>
            <w:tcW w:w="21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958"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Onnodig branden van buitenverlichting voorkomen zodat verlichting alleen brandt als het donker is, en per nacht minimaal 6 uur uit is of alleen bij beweging brandt.</w:t>
            </w:r>
          </w:p>
        </w:tc>
      </w:tr>
      <w:tr w:rsidR="00F43C9B" w:rsidRPr="00E15D20" w:rsidTr="00F43C9B">
        <w:trPr>
          <w:trHeight w:val="333"/>
        </w:trPr>
        <w:tc>
          <w:tcPr>
            <w:tcW w:w="21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2652" w:type="dxa"/>
            <w:vAlign w:val="center"/>
          </w:tcPr>
          <w:p w:rsidR="00F43C9B"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Bewegingsensor en schemerschakelaar en tijdschakelklok toepassen.</w:t>
            </w:r>
          </w:p>
        </w:tc>
        <w:tc>
          <w:tcPr>
            <w:tcW w:w="2653"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Schemerschakelaar en tijdschakelaar toepassen.</w:t>
            </w:r>
          </w:p>
        </w:tc>
        <w:tc>
          <w:tcPr>
            <w:tcW w:w="2653"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Schemerschakelaar en tijdschakelaar toepassen.</w:t>
            </w:r>
          </w:p>
        </w:tc>
      </w:tr>
      <w:tr w:rsidR="00F43C9B" w:rsidRPr="00E15D20" w:rsidTr="00F43C9B">
        <w:tc>
          <w:tcPr>
            <w:tcW w:w="21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5299" w:type="dxa"/>
            <w:gridSpan w:val="3"/>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a en b) Schemerschakelaar of tijdschakelklok ontbreekt bij overige buitenverlichting.</w:t>
            </w:r>
          </w:p>
        </w:tc>
        <w:tc>
          <w:tcPr>
            <w:tcW w:w="2659" w:type="dxa"/>
            <w:gridSpan w:val="2"/>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c) Automatische aan- en uitschakeling ontbreekt bij reclameverlichting (verlichting is ’s nachts aan).</w:t>
            </w:r>
          </w:p>
        </w:tc>
      </w:tr>
      <w:tr w:rsidR="00F43C9B" w:rsidRPr="00E15D20" w:rsidTr="00F43C9B">
        <w:trPr>
          <w:trHeight w:val="127"/>
        </w:trPr>
        <w:tc>
          <w:tcPr>
            <w:tcW w:w="2122"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Technische </w:t>
            </w:r>
            <w:r>
              <w:rPr>
                <w:rFonts w:cstheme="minorHAnsi"/>
                <w:b/>
                <w:bCs/>
                <w:sz w:val="18"/>
                <w:szCs w:val="18"/>
              </w:rPr>
              <w:t>randvoorwaarden</w:t>
            </w:r>
          </w:p>
        </w:tc>
        <w:tc>
          <w:tcPr>
            <w:tcW w:w="2824" w:type="dxa"/>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Snelstartende lampen.</w:t>
            </w:r>
          </w:p>
        </w:tc>
        <w:tc>
          <w:tcPr>
            <w:tcW w:w="5134" w:type="dxa"/>
            <w:gridSpan w:val="3"/>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en c) N.v.t.</w:t>
            </w:r>
          </w:p>
        </w:tc>
      </w:tr>
      <w:tr w:rsidR="00F43C9B" w:rsidRPr="00E15D20" w:rsidTr="00F43C9B">
        <w:trPr>
          <w:trHeight w:val="257"/>
        </w:trPr>
        <w:tc>
          <w:tcPr>
            <w:tcW w:w="21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5299"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en b) Minimaal 5 armaturen zijn aanwezig.</w:t>
            </w:r>
          </w:p>
        </w:tc>
        <w:tc>
          <w:tcPr>
            <w:tcW w:w="2659"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N.v.t.</w:t>
            </w:r>
          </w:p>
        </w:tc>
      </w:tr>
      <w:tr w:rsidR="00F43C9B" w:rsidRPr="00E15D20" w:rsidTr="00F43C9B">
        <w:tc>
          <w:tcPr>
            <w:tcW w:w="21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5299" w:type="dxa"/>
            <w:gridSpan w:val="3"/>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A en b) Zelfstandig moment: Ja, indien minimaal 50 armaturen aanwezig zijn.</w:t>
            </w:r>
          </w:p>
          <w:p w:rsidR="00F43C9B" w:rsidRDefault="00F43C9B" w:rsidP="00F43C9B">
            <w:pPr>
              <w:shd w:val="clear" w:color="auto" w:fill="D9D9D9" w:themeFill="background1" w:themeFillShade="D9"/>
              <w:tabs>
                <w:tab w:val="left" w:pos="252"/>
              </w:tabs>
              <w:rPr>
                <w:rFonts w:cstheme="minorHAnsi"/>
                <w:bCs/>
                <w:sz w:val="18"/>
                <w:szCs w:val="18"/>
              </w:rPr>
            </w:pPr>
            <w:r w:rsidRPr="00D0146C">
              <w:rPr>
                <w:rFonts w:cstheme="minorHAnsi"/>
                <w:sz w:val="18"/>
                <w:szCs w:val="18"/>
              </w:rPr>
              <w:t>Natuurlijk moment: Ja.</w:t>
            </w:r>
          </w:p>
        </w:tc>
        <w:tc>
          <w:tcPr>
            <w:tcW w:w="2659" w:type="dxa"/>
            <w:gridSpan w:val="2"/>
            <w:vAlign w:val="center"/>
          </w:tcPr>
          <w:p w:rsidR="00F43C9B" w:rsidRDefault="00F43C9B" w:rsidP="00F43C9B">
            <w:pPr>
              <w:shd w:val="clear" w:color="auto" w:fill="D9D9D9" w:themeFill="background1" w:themeFillShade="D9"/>
              <w:tabs>
                <w:tab w:val="left" w:pos="252"/>
              </w:tabs>
              <w:rPr>
                <w:rFonts w:cstheme="minorHAnsi"/>
                <w:bCs/>
                <w:sz w:val="18"/>
                <w:szCs w:val="18"/>
              </w:rPr>
            </w:pPr>
            <w:r w:rsidRPr="00D0146C">
              <w:rPr>
                <w:rFonts w:cstheme="minorHAnsi"/>
                <w:bCs/>
                <w:sz w:val="18"/>
                <w:szCs w:val="18"/>
              </w:rPr>
              <w:t xml:space="preserve">b) </w:t>
            </w:r>
            <w:r w:rsidRPr="00D0146C">
              <w:rPr>
                <w:rFonts w:cstheme="minorHAnsi"/>
                <w:sz w:val="18"/>
                <w:szCs w:val="18"/>
              </w:rPr>
              <w:t>Zelfstandig moment: Ja, indien minimaal 5 armaturen aanwezig zijn.</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21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958"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21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958"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00"/>
        <w:gridCol w:w="1650"/>
        <w:gridCol w:w="1650"/>
        <w:gridCol w:w="1650"/>
        <w:gridCol w:w="165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 en buitenverlichting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14</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Geïnstalleerd vermogen buitenverlichting beperken.</w:t>
            </w:r>
          </w:p>
        </w:tc>
      </w:tr>
      <w:tr w:rsidR="00F43C9B" w:rsidRPr="00E15D20" w:rsidTr="00F43C9B">
        <w:trPr>
          <w:trHeight w:val="333"/>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165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Led-lamp toepassen in bestaande armatuur.</w:t>
            </w:r>
          </w:p>
        </w:tc>
        <w:tc>
          <w:tcPr>
            <w:tcW w:w="165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Natriumlamp toepassen in bestaande armatuur.</w:t>
            </w:r>
          </w:p>
        </w:tc>
        <w:tc>
          <w:tcPr>
            <w:tcW w:w="165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Metaalhalogenidelamp toepassen in bestaande armatuur.</w:t>
            </w:r>
          </w:p>
        </w:tc>
        <w:tc>
          <w:tcPr>
            <w:tcW w:w="165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d) Natriumlamp toepassen in bestaande armatuur.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3300"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 en b) Halogeenlamp is aanwezig.</w:t>
            </w:r>
          </w:p>
        </w:tc>
        <w:tc>
          <w:tcPr>
            <w:tcW w:w="3300"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C en d) Hoge druk kwiklamp is aanwezig.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Technische </w:t>
            </w:r>
            <w:r>
              <w:rPr>
                <w:rFonts w:cstheme="minorHAnsi"/>
                <w:b/>
                <w:bCs/>
                <w:sz w:val="18"/>
                <w:szCs w:val="18"/>
              </w:rPr>
              <w:t>randvoorwaarden</w:t>
            </w:r>
          </w:p>
        </w:tc>
        <w:tc>
          <w:tcPr>
            <w:tcW w:w="6600" w:type="dxa"/>
            <w:gridSpan w:val="4"/>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gridSpan w:val="4"/>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00" w:type="dxa"/>
            <w:gridSpan w:val="4"/>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00"/>
        <w:gridCol w:w="2200"/>
        <w:gridCol w:w="2155"/>
        <w:gridCol w:w="45"/>
        <w:gridCol w:w="22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 en buitenverlichting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15</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Geïnstalleerd vermogen reclameverlichting beperken</w:t>
            </w:r>
          </w:p>
        </w:tc>
      </w:tr>
      <w:tr w:rsidR="00F43C9B" w:rsidRPr="00E15D20" w:rsidTr="00F43C9B">
        <w:trPr>
          <w:trHeight w:val="333"/>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22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Led-lamp toepassen in bestaande armatuur.</w:t>
            </w:r>
          </w:p>
        </w:tc>
        <w:tc>
          <w:tcPr>
            <w:tcW w:w="22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 xml:space="preserve">b) Armatuur met </w:t>
            </w:r>
            <w:r>
              <w:rPr>
                <w:rStyle w:val="description"/>
                <w:rFonts w:cstheme="minorHAnsi"/>
                <w:sz w:val="18"/>
                <w:szCs w:val="18"/>
              </w:rPr>
              <w:t xml:space="preserve">langwerpige </w:t>
            </w:r>
            <w:r>
              <w:rPr>
                <w:rStyle w:val="Zwaar"/>
                <w:rFonts w:cstheme="minorHAnsi"/>
                <w:sz w:val="18"/>
                <w:szCs w:val="18"/>
              </w:rPr>
              <w:t>fluorescentielamp</w:t>
            </w:r>
            <w:r w:rsidRPr="00D0146C">
              <w:rPr>
                <w:rFonts w:cstheme="minorHAnsi"/>
                <w:sz w:val="18"/>
                <w:szCs w:val="18"/>
              </w:rPr>
              <w:t xml:space="preserve"> (TL5) toepassen.</w:t>
            </w:r>
          </w:p>
        </w:tc>
        <w:tc>
          <w:tcPr>
            <w:tcW w:w="22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Led-lamp toepassen in bestaande armatuur.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4355"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a en b) Gloeilamp is aanwezig.</w:t>
            </w:r>
          </w:p>
        </w:tc>
        <w:tc>
          <w:tcPr>
            <w:tcW w:w="2245"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c) Halogeenlamp is aanwezig.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00" w:type="dxa"/>
            <w:gridSpan w:val="4"/>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16</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p w:rsidR="00F43C9B" w:rsidRDefault="00F43C9B" w:rsidP="00F43C9B">
            <w:pPr>
              <w:shd w:val="clear" w:color="auto" w:fill="D9D9D9" w:themeFill="background1" w:themeFillShade="D9"/>
              <w:rPr>
                <w:rFonts w:cstheme="minorHAnsi"/>
                <w:sz w:val="18"/>
                <w:szCs w:val="18"/>
              </w:rPr>
            </w:pP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Energiezuinige warmteopwekking van tapwater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pStyle w:val="Lijstalinea1"/>
              <w:shd w:val="clear" w:color="auto" w:fill="D9D9D9" w:themeFill="background1" w:themeFillShade="D9"/>
              <w:tabs>
                <w:tab w:val="left" w:pos="0"/>
              </w:tabs>
              <w:rPr>
                <w:rFonts w:asciiTheme="minorHAnsi" w:hAnsiTheme="minorHAnsi" w:cstheme="minorHAnsi"/>
                <w:sz w:val="18"/>
                <w:szCs w:val="18"/>
              </w:rPr>
            </w:pPr>
            <w:r w:rsidRPr="00D0146C">
              <w:rPr>
                <w:rFonts w:asciiTheme="minorHAnsi" w:hAnsiTheme="minorHAnsi" w:cstheme="minorHAnsi"/>
                <w:sz w:val="18"/>
                <w:szCs w:val="18"/>
              </w:rPr>
              <w:t>Gasgestookte hoogrendements- (HR-) boiler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w:t>
            </w:r>
            <w:r>
              <w:rPr>
                <w:rFonts w:cstheme="minorHAnsi"/>
                <w:b/>
                <w:bCs/>
                <w:sz w:val="18"/>
                <w:szCs w:val="18"/>
              </w:rPr>
              <w:t xml:space="preserve"> basis van een referentietechniek</w:t>
            </w:r>
          </w:p>
        </w:tc>
        <w:tc>
          <w:tcPr>
            <w:tcW w:w="66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Conventionele gasgestookte boiler is aanwezig.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Condensafvoer is mogelijk.</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Warmtapwater wordt ook gebruikt voor douchen.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 indien sprake is van klinische gezondheidszorg en aardgasverbruik minder is dan 1 miljoen m</w:t>
            </w:r>
            <w:r w:rsidRPr="00D0146C">
              <w:rPr>
                <w:rFonts w:cstheme="minorHAnsi"/>
                <w:sz w:val="18"/>
                <w:szCs w:val="18"/>
                <w:vertAlign w:val="superscript"/>
              </w:rPr>
              <w:t>3</w:t>
            </w:r>
            <w:r w:rsidRPr="00D0146C">
              <w:rPr>
                <w:rFonts w:cstheme="minorHAnsi"/>
                <w:sz w:val="18"/>
                <w:szCs w:val="18"/>
              </w:rPr>
              <w:t xml:space="preserve"> per jaar.</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rPr>
            </w:pPr>
            <w:r w:rsidRPr="00D0146C">
              <w:rPr>
                <w:rFonts w:cstheme="minorHAnsi"/>
                <w:sz w:val="18"/>
                <w:szCs w:val="18"/>
              </w:rPr>
              <w:t>In gebouwen met minimaal energielabel A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bCs/>
          <w:sz w:val="18"/>
          <w:szCs w:val="18"/>
          <w:u w:val="single"/>
        </w:rPr>
      </w:pPr>
      <w:r w:rsidRPr="00D0146C">
        <w:rPr>
          <w:rFonts w:cstheme="minorHAnsi"/>
          <w:bCs/>
          <w:sz w:val="18"/>
          <w:szCs w:val="18"/>
          <w:u w:val="single"/>
        </w:rPr>
        <w:t>Kantoren</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 xml:space="preserve">Diensten waar administratieve werkzaamheden worden uitgevoerd. De inrichting heeft overwegend een kantoorfunctie zoals aangehaald in het Bouwbesluit 2012. Denk aan het </w:t>
      </w:r>
      <w:r w:rsidRPr="00D0146C">
        <w:rPr>
          <w:rFonts w:cstheme="minorHAnsi"/>
          <w:bCs/>
          <w:sz w:val="18"/>
          <w:szCs w:val="18"/>
        </w:rPr>
        <w:t>openbaar bestuur, overheidsdiensten, verplichte sociale verzekeringen en zakelijke en financiële dienstverlening.</w:t>
      </w:r>
      <w:r w:rsidRPr="00D0146C">
        <w:rPr>
          <w:rFonts w:cstheme="minorHAnsi"/>
          <w:sz w:val="18"/>
          <w:szCs w:val="18"/>
        </w:rPr>
        <w:t xml:space="preserve"> Ter indicatie de SBI-codes die voor de indeling van deze diensten veelal worden gebruikt zijn SBI-code 64 t/m 74 en 84.</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In deze bedrijfstak zijn erkende maatregelen aangemerkt voor de in tabel 5.4 genoemde activiteiten en typen maatregelen. Voor faciliteiten (zoals ICT, productkoeling en grootkeuken/kantine), processen en datacenters bij de kantoren zijn nog geen erkende maatregelen opgenomen. Voor deze ‘typen maatregelen’ en ‘activiteiten’ blijft artikel 2.15 van het Activiteitenbesluit gelden. In een later stadium worden hiervoor alsnog erkende maatregelen opgenomen.</w:t>
      </w:r>
    </w:p>
    <w:p w:rsidR="00F43C9B" w:rsidRDefault="00F43C9B" w:rsidP="00F43C9B">
      <w:pPr>
        <w:shd w:val="clear" w:color="auto" w:fill="D9D9D9" w:themeFill="background1" w:themeFillShade="D9"/>
        <w:rPr>
          <w:rFonts w:cstheme="minorHAnsi"/>
          <w:sz w:val="18"/>
          <w:szCs w:val="18"/>
          <w:u w:val="single"/>
        </w:rPr>
      </w:pP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u w:val="single"/>
        </w:rPr>
        <w:t>Maatregelen</w:t>
      </w:r>
    </w:p>
    <w:p w:rsidR="00F43C9B" w:rsidRDefault="00F43C9B" w:rsidP="00F43C9B">
      <w:pPr>
        <w:shd w:val="clear" w:color="auto" w:fill="D9D9D9" w:themeFill="background1" w:themeFillShade="D9"/>
        <w:rPr>
          <w:rFonts w:cstheme="minorHAnsi"/>
          <w:i/>
          <w:sz w:val="18"/>
          <w:szCs w:val="18"/>
        </w:rPr>
      </w:pPr>
      <w:r w:rsidRPr="00D0146C">
        <w:rPr>
          <w:rFonts w:cstheme="minorHAnsi"/>
          <w:i/>
          <w:sz w:val="18"/>
          <w:szCs w:val="18"/>
        </w:rPr>
        <w:t>Tabel 5.4 Aangewezen erkende maatregelen voor energiebesparing in kantoren</w:t>
      </w:r>
    </w:p>
    <w:p w:rsidR="00F43C9B" w:rsidRDefault="00F43C9B" w:rsidP="00F43C9B">
      <w:pPr>
        <w:shd w:val="clear" w:color="auto" w:fill="D9D9D9" w:themeFill="background1" w:themeFillShade="D9"/>
        <w:rPr>
          <w:rFonts w:cstheme="minorHAnsi"/>
          <w:sz w:val="18"/>
          <w:szCs w:val="18"/>
        </w:rPr>
      </w:pPr>
    </w:p>
    <w:tbl>
      <w:tblPr>
        <w:tblW w:w="7528" w:type="dxa"/>
        <w:tblInd w:w="55" w:type="dxa"/>
        <w:tblCellMar>
          <w:left w:w="0" w:type="dxa"/>
          <w:right w:w="0" w:type="dxa"/>
        </w:tblCellMar>
        <w:tblLook w:val="00A0" w:firstRow="1" w:lastRow="0" w:firstColumn="1" w:lastColumn="0" w:noHBand="0" w:noVBand="0"/>
      </w:tblPr>
      <w:tblGrid>
        <w:gridCol w:w="6111"/>
        <w:gridCol w:w="1417"/>
      </w:tblGrid>
      <w:tr w:rsidR="00F43C9B" w:rsidRPr="00E15D20" w:rsidTr="00F43C9B">
        <w:trPr>
          <w:trHeight w:val="615"/>
        </w:trPr>
        <w:tc>
          <w:tcPr>
            <w:tcW w:w="611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maatregelen</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nummers</w:t>
            </w:r>
          </w:p>
        </w:tc>
      </w:tr>
      <w:tr w:rsidR="00F43C9B" w:rsidRPr="00E15D20" w:rsidTr="00F43C9B">
        <w:tblPrEx>
          <w:tblCellMar>
            <w:left w:w="70" w:type="dxa"/>
            <w:right w:w="70" w:type="dxa"/>
          </w:tblCellMar>
        </w:tblPrEx>
        <w:trPr>
          <w:trHeight w:val="450"/>
        </w:trPr>
        <w:tc>
          <w:tcPr>
            <w:tcW w:w="6111"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Gebouwschil</w:t>
            </w:r>
          </w:p>
        </w:tc>
        <w:tc>
          <w:tcPr>
            <w:tcW w:w="1417"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w:t>
            </w:r>
          </w:p>
        </w:tc>
      </w:tr>
      <w:tr w:rsidR="00F43C9B" w:rsidRPr="00E15D20" w:rsidTr="00F43C9B">
        <w:trPr>
          <w:trHeight w:val="270"/>
        </w:trPr>
        <w:tc>
          <w:tcPr>
            <w:tcW w:w="6111"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Ruimteventilatie</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2-4</w:t>
            </w:r>
          </w:p>
        </w:tc>
      </w:tr>
      <w:tr w:rsidR="00F43C9B" w:rsidRPr="00E15D20" w:rsidTr="00F43C9B">
        <w:trPr>
          <w:trHeight w:val="270"/>
        </w:trPr>
        <w:tc>
          <w:tcPr>
            <w:tcW w:w="6111"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Ruimteverwarming</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7</w:t>
            </w:r>
          </w:p>
        </w:tc>
      </w:tr>
      <w:tr w:rsidR="00F43C9B" w:rsidRPr="00E15D20" w:rsidTr="00F43C9B">
        <w:trPr>
          <w:trHeight w:val="270"/>
        </w:trPr>
        <w:tc>
          <w:tcPr>
            <w:tcW w:w="6111"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 en buitenverlichting</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9-14</w:t>
            </w:r>
          </w:p>
        </w:tc>
      </w:tr>
      <w:tr w:rsidR="00F43C9B" w:rsidRPr="00E15D20" w:rsidTr="00F43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55"/>
        </w:trPr>
        <w:tc>
          <w:tcPr>
            <w:tcW w:w="6111" w:type="dxa"/>
            <w:noWrap/>
            <w:vAlign w:val="bottom"/>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Activiteit</w:t>
            </w:r>
          </w:p>
        </w:tc>
        <w:tc>
          <w:tcPr>
            <w:tcW w:w="1417" w:type="dxa"/>
            <w:noWrap/>
            <w:vAlign w:val="bottom"/>
          </w:tcPr>
          <w:p w:rsidR="00F43C9B" w:rsidRDefault="00F43C9B" w:rsidP="00F43C9B">
            <w:pPr>
              <w:shd w:val="clear" w:color="auto" w:fill="D9D9D9" w:themeFill="background1" w:themeFillShade="D9"/>
              <w:rPr>
                <w:rFonts w:cstheme="minorHAnsi"/>
                <w:b/>
                <w:bCs/>
                <w:sz w:val="18"/>
                <w:szCs w:val="18"/>
              </w:rPr>
            </w:pPr>
          </w:p>
        </w:tc>
      </w:tr>
      <w:tr w:rsidR="00F43C9B" w:rsidRPr="00E15D20" w:rsidTr="00F43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50"/>
        </w:trPr>
        <w:tc>
          <w:tcPr>
            <w:tcW w:w="6111" w:type="dxa"/>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In werking hebben van een stookinstallatie (emissies naar de lucht)</w:t>
            </w:r>
          </w:p>
        </w:tc>
        <w:tc>
          <w:tcPr>
            <w:tcW w:w="1417" w:type="dxa"/>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5, 6, 8, 15</w:t>
            </w:r>
          </w:p>
        </w:tc>
      </w:tr>
    </w:tbl>
    <w:p w:rsidR="00F43C9B"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Type maatregel</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Gebouwschil</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1</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lang w:eastAsia="en-US"/>
              </w:rPr>
            </w:pPr>
            <w:r w:rsidRPr="00E15D20">
              <w:rPr>
                <w:rFonts w:cstheme="minorHAnsi"/>
                <w:b/>
                <w:bCs/>
                <w:sz w:val="18"/>
                <w:szCs w:val="18"/>
              </w:rPr>
              <w:t>Omschrijving maatregel</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Warmte- en koudeverlies via buitenmuur beperken.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Mogelijke technieken ten opzichte van </w:t>
            </w:r>
            <w:r>
              <w:rPr>
                <w:rFonts w:cstheme="minorHAnsi"/>
                <w:b/>
                <w:bCs/>
                <w:sz w:val="18"/>
                <w:szCs w:val="18"/>
              </w:rPr>
              <w:t>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Spouwmuur isoleren.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Isolatie in spouwmuur ontbreekt.</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Gebouw wordt verwarmd, of verwarmd en gekoeld.</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tabs>
                <w:tab w:val="left" w:pos="0"/>
              </w:tabs>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Aardgasverbruik is minder dan 170.000 m</w:t>
            </w:r>
            <w:r w:rsidRPr="00D0146C">
              <w:rPr>
                <w:rFonts w:cstheme="minorHAnsi"/>
                <w:sz w:val="18"/>
                <w:szCs w:val="18"/>
                <w:vertAlign w:val="superscript"/>
              </w:rPr>
              <w:t>3</w:t>
            </w:r>
            <w:r w:rsidRPr="00D0146C">
              <w:rPr>
                <w:rFonts w:cstheme="minorHAnsi"/>
                <w:sz w:val="18"/>
                <w:szCs w:val="18"/>
              </w:rPr>
              <w:t xml:space="preserve"> per jaar.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 indien bruto vloeroppervlakte minder is dan 600 m</w:t>
            </w:r>
            <w:r w:rsidRPr="00D0146C">
              <w:rPr>
                <w:rFonts w:cstheme="minorHAnsi"/>
                <w:sz w:val="18"/>
                <w:szCs w:val="18"/>
                <w:vertAlign w:val="superscript"/>
              </w:rPr>
              <w:t>2</w:t>
            </w:r>
            <w:r w:rsidRPr="00D0146C">
              <w:rPr>
                <w:rFonts w:cstheme="minorHAnsi"/>
                <w:sz w:val="18"/>
                <w:szCs w:val="18"/>
              </w:rPr>
              <w:t>.</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1"/>
        <w:gridCol w:w="6709"/>
      </w:tblGrid>
      <w:tr w:rsidR="00F43C9B" w:rsidRPr="00E15D20" w:rsidTr="00F43C9B">
        <w:tc>
          <w:tcPr>
            <w:tcW w:w="4091"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70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Ruimteventilatie</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70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Omschrijving maatregel</w:t>
            </w:r>
          </w:p>
        </w:tc>
        <w:tc>
          <w:tcPr>
            <w:tcW w:w="670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Onnodig aanstaan van ventilatie buiten bedrijfstijd voorkomen.</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70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Tijdschakelaar of tijdschakelaar met weekendschakeling (met of zonder overwerktimer) toepassen.</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w:t>
            </w:r>
            <w:r>
              <w:rPr>
                <w:rFonts w:cstheme="minorHAnsi"/>
                <w:b/>
                <w:bCs/>
                <w:sz w:val="18"/>
                <w:szCs w:val="18"/>
              </w:rPr>
              <w:t>op basis van een referentietechniek</w:t>
            </w:r>
          </w:p>
        </w:tc>
        <w:tc>
          <w:tcPr>
            <w:tcW w:w="6709"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lang w:eastAsia="nl-NL"/>
              </w:rPr>
            </w:pPr>
            <w:r w:rsidRPr="00D0146C">
              <w:rPr>
                <w:rFonts w:asciiTheme="minorHAnsi" w:hAnsiTheme="minorHAnsi" w:cstheme="minorHAnsi"/>
                <w:sz w:val="18"/>
                <w:szCs w:val="18"/>
                <w:lang w:eastAsia="nl-NL"/>
              </w:rPr>
              <w:t>Automatische aan- en uitschakeling ontbreekt.</w:t>
            </w:r>
          </w:p>
        </w:tc>
      </w:tr>
      <w:tr w:rsidR="00F43C9B" w:rsidRPr="00E15D20" w:rsidTr="00F43C9B">
        <w:trPr>
          <w:trHeight w:val="305"/>
        </w:trPr>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70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55"/>
        </w:trPr>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70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709"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Natuurlijk moment: Ja.</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70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709" w:type="dxa"/>
            <w:vAlign w:val="center"/>
          </w:tcPr>
          <w:p w:rsidR="00F43C9B" w:rsidRDefault="00F43C9B" w:rsidP="00F43C9B">
            <w:pPr>
              <w:shd w:val="clear" w:color="auto" w:fill="D9D9D9" w:themeFill="background1" w:themeFillShade="D9"/>
              <w:rPr>
                <w:rFonts w:cstheme="minorHAnsi"/>
                <w:i/>
                <w:iCs/>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sidRPr="00D0146C">
              <w:rPr>
                <w:rFonts w:cstheme="minorHAnsi"/>
                <w:sz w:val="18"/>
                <w:szCs w:val="18"/>
              </w:rPr>
              <w:br w:type="column"/>
            </w:r>
            <w:r>
              <w:rPr>
                <w:rFonts w:cstheme="minorHAnsi"/>
                <w:b/>
                <w:bCs/>
                <w:sz w:val="18"/>
                <w:szCs w:val="18"/>
              </w:rPr>
              <w:t>Type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Ruimteventilatie</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p w:rsidR="00F43C9B" w:rsidRDefault="00F43C9B" w:rsidP="00F43C9B">
            <w:pPr>
              <w:shd w:val="clear" w:color="auto" w:fill="D9D9D9" w:themeFill="background1" w:themeFillShade="D9"/>
              <w:rPr>
                <w:rFonts w:cstheme="minorHAnsi"/>
                <w:sz w:val="18"/>
                <w:szCs w:val="18"/>
              </w:rPr>
            </w:pP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Vollasturen ventilatoren beperken door afschakelen van ventilatoren bij lager ventilatiedebiet.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Cascaderegeling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Cascaderegeling ontbreekt.</w:t>
            </w:r>
          </w:p>
        </w:tc>
      </w:tr>
      <w:tr w:rsidR="00F43C9B" w:rsidRPr="00E15D20" w:rsidTr="00F43C9B">
        <w:trPr>
          <w:trHeight w:val="305"/>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p w:rsidR="00F43C9B" w:rsidRDefault="00F43C9B" w:rsidP="00F43C9B">
            <w:pPr>
              <w:shd w:val="clear" w:color="auto" w:fill="D9D9D9" w:themeFill="background1" w:themeFillShade="D9"/>
              <w:rPr>
                <w:rFonts w:cstheme="minorHAnsi"/>
                <w:b/>
                <w:bCs/>
                <w:sz w:val="18"/>
                <w:szCs w:val="18"/>
              </w:rPr>
            </w:pP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55"/>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Bruto vloeroppervlak is meer dan 600 m</w:t>
            </w:r>
            <w:r w:rsidRPr="00D0146C">
              <w:rPr>
                <w:rFonts w:cstheme="minorHAnsi"/>
                <w:sz w:val="18"/>
                <w:szCs w:val="18"/>
                <w:vertAlign w:val="superscript"/>
              </w:rPr>
              <w:t>2</w:t>
            </w:r>
            <w:r w:rsidRPr="00D0146C">
              <w:rPr>
                <w:rFonts w:cstheme="minorHAnsi"/>
                <w:sz w:val="18"/>
                <w:szCs w:val="18"/>
              </w:rPr>
              <w: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Nee.</w:t>
            </w:r>
          </w:p>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b/>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sidRPr="00D0146C">
              <w:rPr>
                <w:rFonts w:cstheme="minorHAnsi"/>
                <w:sz w:val="18"/>
                <w:szCs w:val="18"/>
              </w:rPr>
              <w:br w:type="column"/>
            </w:r>
            <w:r>
              <w:rPr>
                <w:rFonts w:cstheme="minorHAnsi"/>
                <w:b/>
                <w:bCs/>
                <w:sz w:val="18"/>
                <w:szCs w:val="18"/>
              </w:rPr>
              <w:t>Type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Ruimteventilatie</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4</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Omschrijving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Warmte uit uitgaande ventilatielucht gebruiken voor voorverwarmen ingaande ventilatielucht bij gebalanceerd ventilatiesysteem.</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Twincoilsysteem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w:t>
            </w:r>
            <w:r>
              <w:rPr>
                <w:rFonts w:cstheme="minorHAnsi"/>
                <w:b/>
                <w:bCs/>
                <w:sz w:val="18"/>
                <w:szCs w:val="18"/>
              </w:rPr>
              <w:t>basis van een referentietechniek</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Warmteterugwinsysteem ontbreekt in luchtbehandelingskast.</w:t>
            </w:r>
          </w:p>
        </w:tc>
      </w:tr>
      <w:tr w:rsidR="00F43C9B" w:rsidRPr="00E15D20" w:rsidTr="00F43C9B">
        <w:trPr>
          <w:trHeight w:val="1125"/>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Luchttoevoer en luchtafvoer liggen nabij elkaar en worden niet door bouwkundige elementen gescheiden.</w:t>
            </w:r>
          </w:p>
        </w:tc>
      </w:tr>
      <w:tr w:rsidR="00F43C9B" w:rsidRPr="00E15D20" w:rsidTr="00F43C9B">
        <w:trPr>
          <w:trHeight w:val="1445"/>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Conventioneelrendements- (CR-) of verbeterdrendements- (VR-) ketel is aanwezig voor ruimteverwarming.</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Beperkte isolatie is aanwezig (ter indicatie: minder dan 40 mm isolatie of bouwjaar van 1975 of eerder).</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Bruto vloeroppervlakte is meer dan 600 m</w:t>
            </w:r>
            <w:r w:rsidRPr="00D0146C">
              <w:rPr>
                <w:rFonts w:cstheme="minorHAnsi"/>
                <w:sz w:val="18"/>
                <w:szCs w:val="18"/>
                <w:vertAlign w:val="superscript"/>
              </w:rPr>
              <w:t>2</w:t>
            </w:r>
            <w:r w:rsidRPr="00D0146C">
              <w:rPr>
                <w:rFonts w:cstheme="minorHAnsi"/>
                <w:sz w:val="18"/>
                <w:szCs w:val="18"/>
              </w:rPr>
              <w:t>.</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Aardgasverbruik is minder dan 170.000 m</w:t>
            </w:r>
            <w:r w:rsidRPr="00D0146C">
              <w:rPr>
                <w:rFonts w:cstheme="minorHAnsi"/>
                <w:sz w:val="18"/>
                <w:szCs w:val="18"/>
                <w:vertAlign w:val="superscript"/>
              </w:rPr>
              <w:t>3</w:t>
            </w:r>
            <w:r w:rsidRPr="00D0146C">
              <w:rPr>
                <w:rFonts w:cstheme="minorHAnsi"/>
                <w:sz w:val="18"/>
                <w:szCs w:val="18"/>
              </w:rPr>
              <w:t xml:space="preserve"> per jaar.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[8] Energiezuinige warmteopwekking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b/>
          <w:sz w:val="18"/>
          <w:szCs w:val="18"/>
          <w:lang w:eastAsia="en-US"/>
        </w:rPr>
      </w:pPr>
    </w:p>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b/>
          <w:sz w:val="18"/>
          <w:szCs w:val="18"/>
          <w:lang w:eastAsia="en-US"/>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D0146C">
              <w:rPr>
                <w:rFonts w:cstheme="minorHAnsi"/>
                <w:b/>
                <w:sz w:val="18"/>
                <w:szCs w:val="18"/>
                <w:lang w:eastAsia="en-US"/>
              </w:rPr>
              <w:br w:type="column"/>
            </w:r>
            <w:r>
              <w:rPr>
                <w:rFonts w:cstheme="minorHAnsi"/>
                <w:b/>
                <w:bCs/>
                <w:sz w:val="18"/>
                <w:szCs w:val="18"/>
              </w:rPr>
              <w:t>Activiteit</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5</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Omschrijving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 xml:space="preserve">Aanvoertemperatuur CV-water </w:t>
            </w:r>
            <w:r w:rsidRPr="00D0146C">
              <w:rPr>
                <w:rFonts w:cstheme="minorHAnsi"/>
                <w:bCs/>
                <w:sz w:val="18"/>
                <w:szCs w:val="18"/>
              </w:rPr>
              <w:t>automatisch regelen op basis van</w:t>
            </w:r>
            <w:r w:rsidRPr="00D0146C">
              <w:rPr>
                <w:rFonts w:cstheme="minorHAnsi"/>
                <w:sz w:val="18"/>
                <w:szCs w:val="18"/>
              </w:rPr>
              <w:t xml:space="preserve"> buitentemperatuur.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pStyle w:val="Lijstalinea1"/>
              <w:shd w:val="clear" w:color="auto" w:fill="D9D9D9" w:themeFill="background1" w:themeFillShade="D9"/>
              <w:tabs>
                <w:tab w:val="left" w:pos="0"/>
              </w:tabs>
              <w:rPr>
                <w:rFonts w:asciiTheme="minorHAnsi" w:hAnsiTheme="minorHAnsi" w:cstheme="minorHAnsi"/>
                <w:sz w:val="18"/>
                <w:szCs w:val="18"/>
              </w:rPr>
            </w:pPr>
            <w:r w:rsidRPr="00D0146C">
              <w:rPr>
                <w:rFonts w:asciiTheme="minorHAnsi" w:hAnsiTheme="minorHAnsi" w:cstheme="minorHAnsi"/>
                <w:sz w:val="18"/>
                <w:szCs w:val="18"/>
              </w:rPr>
              <w:t>Weersafhankelijke regeling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bCs/>
                <w:sz w:val="18"/>
                <w:szCs w:val="18"/>
              </w:rPr>
              <w:t>Weersafhankelijke regeling ontbreekt op een cv-groep met hogetemperatuurverwarming.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Weersafhankelijke regeling toepassen op groep indien dit op ketel onmogelijk is i.v.m. warmtapwatervoorziening.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66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b/>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sidRPr="00D0146C">
              <w:rPr>
                <w:rFonts w:cstheme="minorHAnsi"/>
                <w:b/>
                <w:sz w:val="18"/>
                <w:szCs w:val="18"/>
                <w:lang w:eastAsia="en-US"/>
              </w:rPr>
              <w:br w:type="column"/>
            </w:r>
            <w:r>
              <w:rPr>
                <w:rFonts w:cstheme="minorHAnsi"/>
                <w:b/>
                <w:bCs/>
                <w:sz w:val="18"/>
                <w:szCs w:val="18"/>
              </w:rPr>
              <w:t>Activiteit</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6</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Omschrijving maatregel</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Opstarttijd cv-installatie regelen op basis van buitentemperatuur en interne warmtelast.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Optimaliserende regeling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Optimaliserende regeling ontbreekt.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w:t>
            </w:r>
            <w:r>
              <w:rPr>
                <w:rFonts w:cstheme="minorHAnsi"/>
                <w:b/>
                <w:bCs/>
                <w:sz w:val="18"/>
                <w:szCs w:val="18"/>
              </w:rPr>
              <w:t xml:space="preserv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Aardgasverbruik is minder dan 170.000 m</w:t>
            </w:r>
            <w:r w:rsidRPr="00D0146C">
              <w:rPr>
                <w:rFonts w:cstheme="minorHAnsi"/>
                <w:sz w:val="18"/>
                <w:szCs w:val="18"/>
                <w:vertAlign w:val="superscript"/>
              </w:rPr>
              <w:t>3</w:t>
            </w:r>
            <w:r w:rsidRPr="00D0146C">
              <w:rPr>
                <w:rFonts w:cstheme="minorHAnsi"/>
                <w:sz w:val="18"/>
                <w:szCs w:val="18"/>
              </w:rPr>
              <w:t xml:space="preserve"> per jaar.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66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w:t>
            </w:r>
            <w:r>
              <w:rPr>
                <w:rFonts w:cstheme="minorHAnsi"/>
                <w:b/>
                <w:bCs/>
                <w:sz w:val="18"/>
                <w:szCs w:val="18"/>
              </w:rPr>
              <w:t xml:space="preserv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7</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Warmteverlies via warmwaterleidingen en -appendages beperken in onverwarmde ruimten.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Isolatie aanbrengen om leidingen en appendages.</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Isolatie om leidingen en appendages ontbreekt.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Als fabrikant voorschrijft dat vocht en warmte weg moet kunnen i.v.m. garantie, dan hier rekening mee houden bij keuze isolatiemateriaal.</w:t>
            </w:r>
          </w:p>
        </w:tc>
      </w:tr>
      <w:tr w:rsidR="00F43C9B" w:rsidRPr="00E15D20" w:rsidTr="00F43C9B">
        <w:trPr>
          <w:trHeight w:val="3128"/>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Aardgasverbruik is minder dan 170.000 m</w:t>
            </w:r>
            <w:r w:rsidRPr="00D0146C">
              <w:rPr>
                <w:rFonts w:cstheme="minorHAnsi"/>
                <w:bCs/>
                <w:sz w:val="18"/>
                <w:szCs w:val="18"/>
                <w:vertAlign w:val="superscript"/>
              </w:rPr>
              <w:t>3</w:t>
            </w:r>
            <w:r w:rsidRPr="00D0146C">
              <w:rPr>
                <w:rFonts w:cstheme="minorHAnsi"/>
                <w:bCs/>
                <w:sz w:val="18"/>
                <w:szCs w:val="18"/>
              </w:rPr>
              <w:t xml:space="preserve"> per jaar.</w:t>
            </w:r>
          </w:p>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Bedrijfstijd van installatie behorende bij leidingen en appendages is minimaal 1.250 uur per jaar (ter indicatie: een standaard stookseizoen).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b/>
          <w:sz w:val="18"/>
          <w:szCs w:val="18"/>
          <w:lang w:eastAsia="en-US"/>
        </w:rPr>
      </w:pPr>
    </w:p>
    <w:p w:rsidR="00F43C9B" w:rsidRDefault="00F43C9B" w:rsidP="00F43C9B">
      <w:pPr>
        <w:shd w:val="clear" w:color="auto" w:fill="D9D9D9" w:themeFill="background1" w:themeFillShade="D9"/>
        <w:rPr>
          <w:rFonts w:cstheme="minorHAnsi"/>
          <w:b/>
          <w:sz w:val="18"/>
          <w:szCs w:val="18"/>
          <w:lang w:eastAsia="en-US"/>
        </w:rPr>
      </w:pPr>
    </w:p>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b/>
          <w:sz w:val="18"/>
          <w:szCs w:val="18"/>
          <w:lang w:eastAsia="en-US"/>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3300"/>
        <w:gridCol w:w="33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D0146C">
              <w:rPr>
                <w:rFonts w:cstheme="minorHAnsi"/>
                <w:b/>
                <w:sz w:val="18"/>
                <w:szCs w:val="18"/>
                <w:lang w:eastAsia="en-US"/>
              </w:rPr>
              <w:br w:type="page"/>
            </w:r>
            <w:r w:rsidRPr="00D0146C">
              <w:rPr>
                <w:rFonts w:cstheme="minorHAnsi"/>
                <w:b/>
                <w:sz w:val="18"/>
                <w:szCs w:val="18"/>
                <w:lang w:eastAsia="en-US"/>
              </w:rPr>
              <w:br w:type="page"/>
            </w:r>
            <w:r>
              <w:rPr>
                <w:rFonts w:cstheme="minorHAnsi"/>
                <w:b/>
                <w:bCs/>
                <w:sz w:val="18"/>
                <w:szCs w:val="18"/>
              </w:rPr>
              <w:t>Activiteit</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8</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Omschrijving maatregel</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Energiezuinige warmteopwekking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Hoogrendementsketel HR107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Uitgangssituatie op basis van een </w:t>
            </w:r>
            <w:r>
              <w:rPr>
                <w:rFonts w:cstheme="minorHAnsi"/>
                <w:b/>
                <w:bCs/>
                <w:sz w:val="18"/>
                <w:szCs w:val="18"/>
              </w:rPr>
              <w:t>referentietechniek</w:t>
            </w:r>
          </w:p>
        </w:tc>
        <w:tc>
          <w:tcPr>
            <w:tcW w:w="33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Conventioneelrendements- (CR-) of verbeterdrendements- (VR-) ketel is aanwezig voor basislast (bedrijfstijd is meer dan 500 uur per jaar).</w:t>
            </w:r>
          </w:p>
        </w:tc>
        <w:tc>
          <w:tcPr>
            <w:tcW w:w="3300" w:type="dxa"/>
            <w:vAlign w:val="center"/>
          </w:tcPr>
          <w:p w:rsidR="00F43C9B" w:rsidRDefault="00F43C9B" w:rsidP="00F43C9B">
            <w:pPr>
              <w:shd w:val="clear" w:color="auto" w:fill="D9D9D9" w:themeFill="background1" w:themeFillShade="D9"/>
              <w:tabs>
                <w:tab w:val="left" w:pos="129"/>
              </w:tabs>
              <w:contextualSpacing/>
              <w:rPr>
                <w:rFonts w:cstheme="minorHAnsi"/>
                <w:sz w:val="18"/>
                <w:szCs w:val="18"/>
              </w:rPr>
            </w:pPr>
            <w:r w:rsidRPr="00D0146C">
              <w:rPr>
                <w:rFonts w:cstheme="minorHAnsi"/>
                <w:sz w:val="18"/>
                <w:szCs w:val="18"/>
              </w:rPr>
              <w:t>b) Hoogrendementsketel HR100 is aanwezig voor basislast (bedrijfstijd is meer dan 500 uur per jaar).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Retourtemperatuur van ketel kan lager zijn dan 55°C. Hogetemperatuursystemen (zoals warmtapwatersysteem of hogetemperatuurstralingspanelen) verhinderen dat soms.</w:t>
            </w:r>
          </w:p>
          <w:p w:rsidR="00F43C9B" w:rsidRDefault="00F43C9B" w:rsidP="00F43C9B">
            <w:pPr>
              <w:shd w:val="clear" w:color="auto" w:fill="D9D9D9" w:themeFill="background1" w:themeFillShade="D9"/>
              <w:tabs>
                <w:tab w:val="left" w:pos="129"/>
              </w:tabs>
              <w:contextualSpacing/>
              <w:rPr>
                <w:rFonts w:cstheme="minorHAnsi"/>
                <w:sz w:val="18"/>
                <w:szCs w:val="18"/>
              </w:rPr>
            </w:pPr>
            <w:r w:rsidRPr="00D0146C">
              <w:rPr>
                <w:rFonts w:cstheme="minorHAnsi"/>
                <w:sz w:val="18"/>
                <w:szCs w:val="18"/>
              </w:rPr>
              <w:t>Condensafvoer is mogelijk.</w:t>
            </w:r>
          </w:p>
        </w:tc>
      </w:tr>
      <w:tr w:rsidR="00F43C9B" w:rsidRPr="00E15D20" w:rsidTr="00F43C9B">
        <w:trPr>
          <w:trHeight w:val="3590"/>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Beperkte isolatie is aanwezig (ter indicatie: minder dan 40 mm isolatie of bouwjaar van 1975 of eerder).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3300" w:type="dxa"/>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a) Zelfstandig moment: Ja, indien bruto vloeroppervlakte minder is dan 600 m</w:t>
            </w:r>
            <w:r w:rsidRPr="00D0146C">
              <w:rPr>
                <w:rFonts w:cstheme="minorHAnsi"/>
                <w:sz w:val="18"/>
                <w:szCs w:val="18"/>
                <w:vertAlign w:val="superscript"/>
              </w:rPr>
              <w:t>2</w:t>
            </w:r>
            <w:r w:rsidRPr="00D0146C">
              <w:rPr>
                <w:rFonts w:cstheme="minorHAnsi"/>
                <w:sz w:val="18"/>
                <w:szCs w:val="18"/>
              </w:rPr>
              <w:t>.</w:t>
            </w:r>
          </w:p>
          <w:p w:rsidR="00F43C9B" w:rsidRDefault="00F43C9B" w:rsidP="00F43C9B">
            <w:pPr>
              <w:shd w:val="clear" w:color="auto" w:fill="D9D9D9" w:themeFill="background1" w:themeFillShade="D9"/>
              <w:tabs>
                <w:tab w:val="left" w:pos="252"/>
              </w:tabs>
              <w:rPr>
                <w:rFonts w:cstheme="minorHAnsi"/>
                <w:sz w:val="18"/>
                <w:szCs w:val="18"/>
                <w:lang w:eastAsia="en-US"/>
              </w:rPr>
            </w:pPr>
          </w:p>
          <w:p w:rsidR="00F43C9B" w:rsidRDefault="00F43C9B" w:rsidP="00F43C9B">
            <w:pPr>
              <w:shd w:val="clear" w:color="auto" w:fill="D9D9D9" w:themeFill="background1" w:themeFillShade="D9"/>
              <w:tabs>
                <w:tab w:val="left" w:pos="252"/>
              </w:tabs>
              <w:rPr>
                <w:rFonts w:cstheme="minorHAnsi"/>
                <w:sz w:val="18"/>
                <w:szCs w:val="18"/>
                <w:lang w:eastAsia="en-US"/>
              </w:rPr>
            </w:pPr>
            <w:r w:rsidRPr="00D0146C">
              <w:rPr>
                <w:rFonts w:cstheme="minorHAnsi"/>
                <w:sz w:val="18"/>
                <w:szCs w:val="18"/>
                <w:lang w:eastAsia="en-US"/>
              </w:rPr>
              <w:t>Natuurlijk moment: ja.</w:t>
            </w:r>
          </w:p>
        </w:tc>
        <w:tc>
          <w:tcPr>
            <w:tcW w:w="3300" w:type="dxa"/>
            <w:vAlign w:val="center"/>
          </w:tcPr>
          <w:p w:rsidR="00F43C9B" w:rsidRPr="00E15D20" w:rsidRDefault="00F43C9B" w:rsidP="00F43C9B">
            <w:pPr>
              <w:shd w:val="clear" w:color="auto" w:fill="D9D9D9" w:themeFill="background1" w:themeFillShade="D9"/>
              <w:ind w:left="360"/>
              <w:rPr>
                <w:rFonts w:cstheme="minorHAnsi"/>
                <w:bCs/>
                <w:sz w:val="18"/>
                <w:szCs w:val="18"/>
              </w:rPr>
            </w:pPr>
            <w:r w:rsidRPr="00D0146C">
              <w:rPr>
                <w:rFonts w:cstheme="minorHAnsi"/>
                <w:bCs/>
                <w:sz w:val="18"/>
                <w:szCs w:val="18"/>
              </w:rPr>
              <w:t>b) Zelfstandig moment: Nee.</w:t>
            </w:r>
          </w:p>
          <w:p w:rsidR="00F43C9B" w:rsidRDefault="00F43C9B" w:rsidP="00F43C9B">
            <w:pPr>
              <w:shd w:val="clear" w:color="auto" w:fill="D9D9D9" w:themeFill="background1" w:themeFillShade="D9"/>
              <w:tabs>
                <w:tab w:val="left" w:pos="252"/>
              </w:tabs>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[4] Warmte uit uitgaande ventilatielucht gebruiken voor voorverwarmen ingaande ventilatielucht bij gebalanceerd ventilatiesysteem.</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6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b/>
          <w:sz w:val="18"/>
          <w:szCs w:val="18"/>
          <w:lang w:eastAsia="en-US"/>
        </w:rPr>
      </w:pP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br w:type="page"/>
      </w:r>
    </w:p>
    <w:p w:rsidR="00F43C9B" w:rsidRDefault="00F43C9B" w:rsidP="00F43C9B">
      <w:pPr>
        <w:shd w:val="clear" w:color="auto" w:fill="D9D9D9" w:themeFill="background1" w:themeFillShade="D9"/>
        <w:rPr>
          <w:rFonts w:cstheme="minorHAnsi"/>
          <w:sz w:val="18"/>
          <w:szCs w:val="18"/>
          <w:lang w:eastAsia="en-US"/>
        </w:rPr>
      </w:pPr>
    </w:p>
    <w:tbl>
      <w:tblPr>
        <w:tblpPr w:leftFromText="141" w:rightFromText="141" w:vertAnchor="text" w:horzAnchor="margin" w:tblpX="-792" w:tblpY="37"/>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8"/>
        <w:gridCol w:w="6600"/>
      </w:tblGrid>
      <w:tr w:rsidR="00F43C9B" w:rsidRPr="00E15D20" w:rsidTr="00F43C9B">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Type maatregel</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Ruimte- en buitenverlichting</w:t>
            </w:r>
          </w:p>
        </w:tc>
      </w:tr>
      <w:tr w:rsidR="00F43C9B" w:rsidRPr="00E15D20" w:rsidTr="00F43C9B">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Nummer </w:t>
            </w:r>
            <w:r>
              <w:rPr>
                <w:rFonts w:cstheme="minorHAnsi"/>
                <w:b/>
                <w:bCs/>
                <w:sz w:val="18"/>
                <w:szCs w:val="18"/>
              </w:rPr>
              <w:t>maatregel</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9</w:t>
            </w:r>
          </w:p>
        </w:tc>
      </w:tr>
      <w:tr w:rsidR="00F43C9B" w:rsidRPr="00E15D20" w:rsidTr="00F43C9B">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p w:rsidR="00F43C9B" w:rsidRDefault="00F43C9B" w:rsidP="00F43C9B">
            <w:pPr>
              <w:shd w:val="clear" w:color="auto" w:fill="D9D9D9" w:themeFill="background1" w:themeFillShade="D9"/>
              <w:rPr>
                <w:rFonts w:cstheme="minorHAnsi"/>
                <w:sz w:val="18"/>
                <w:szCs w:val="18"/>
                <w:lang w:eastAsia="en-US"/>
              </w:rPr>
            </w:pP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Onnodig branden van ruimteverlichting in pauzes en buiten bedrijfstijd voorkomen.</w:t>
            </w:r>
          </w:p>
        </w:tc>
      </w:tr>
      <w:tr w:rsidR="00F43C9B" w:rsidRPr="00E15D20" w:rsidTr="00F43C9B">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Veegschakeling toepassen.</w:t>
            </w:r>
          </w:p>
        </w:tc>
      </w:tr>
      <w:tr w:rsidR="00F43C9B" w:rsidRPr="00E15D20" w:rsidTr="00F43C9B">
        <w:trPr>
          <w:trHeight w:val="549"/>
        </w:trPr>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Verlichting wordt handmatig geschakeld per ruimte.</w:t>
            </w:r>
          </w:p>
        </w:tc>
      </w:tr>
      <w:tr w:rsidR="00F43C9B" w:rsidRPr="00E15D20" w:rsidTr="00F43C9B">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66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2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lang w:eastAsia="en-US"/>
        </w:rPr>
      </w:pP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00"/>
        <w:gridCol w:w="6600"/>
      </w:tblGrid>
      <w:tr w:rsidR="00F43C9B" w:rsidRPr="00E15D20" w:rsidTr="00F43C9B">
        <w:tc>
          <w:tcPr>
            <w:tcW w:w="4200" w:type="dxa"/>
            <w:shd w:val="clear" w:color="auto" w:fill="B3B3B3"/>
          </w:tcPr>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b/>
                <w:sz w:val="18"/>
                <w:szCs w:val="18"/>
              </w:rPr>
              <w:t>Type maatregel</w:t>
            </w:r>
          </w:p>
        </w:tc>
        <w:tc>
          <w:tcPr>
            <w:tcW w:w="6600" w:type="dxa"/>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Ruimte- en buitenverlichting</w:t>
            </w:r>
          </w:p>
        </w:tc>
      </w:tr>
      <w:tr w:rsidR="00F43C9B" w:rsidRPr="00E15D20" w:rsidTr="00F43C9B">
        <w:tc>
          <w:tcPr>
            <w:tcW w:w="42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Nummer maatregel</w:t>
            </w:r>
          </w:p>
        </w:tc>
        <w:tc>
          <w:tcPr>
            <w:tcW w:w="6600" w:type="dxa"/>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10</w:t>
            </w:r>
          </w:p>
        </w:tc>
      </w:tr>
      <w:tr w:rsidR="00F43C9B" w:rsidRPr="00E15D20" w:rsidTr="00F43C9B">
        <w:tc>
          <w:tcPr>
            <w:tcW w:w="42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Omschrijving maatregel</w:t>
            </w:r>
          </w:p>
        </w:tc>
        <w:tc>
          <w:tcPr>
            <w:tcW w:w="6600" w:type="dxa"/>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Geïnstalleerd vermogen binnenverlichting beperken.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lang w:eastAsia="en-US"/>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L</w:t>
            </w:r>
            <w:r>
              <w:rPr>
                <w:rStyle w:val="description"/>
                <w:rFonts w:cstheme="minorHAnsi"/>
                <w:sz w:val="18"/>
                <w:szCs w:val="18"/>
              </w:rPr>
              <w:t xml:space="preserve">angwerpige </w:t>
            </w:r>
            <w:r>
              <w:rPr>
                <w:rStyle w:val="Zwaar"/>
                <w:rFonts w:cstheme="minorHAnsi"/>
                <w:sz w:val="18"/>
                <w:szCs w:val="18"/>
              </w:rPr>
              <w:t>fluorescentielamp (</w:t>
            </w:r>
            <w:r w:rsidRPr="00D0146C">
              <w:rPr>
                <w:rFonts w:cstheme="minorHAnsi"/>
                <w:sz w:val="18"/>
                <w:szCs w:val="18"/>
              </w:rPr>
              <w:t>TL5) en adapter toepassen in bestaande armatuur.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 xml:space="preserve">Conventionele armaturen met </w:t>
            </w:r>
            <w:r>
              <w:rPr>
                <w:rStyle w:val="description"/>
                <w:rFonts w:asciiTheme="minorHAnsi" w:hAnsiTheme="minorHAnsi" w:cstheme="minorHAnsi"/>
                <w:sz w:val="18"/>
                <w:szCs w:val="18"/>
              </w:rPr>
              <w:t xml:space="preserve">langwerpige </w:t>
            </w:r>
            <w:r>
              <w:rPr>
                <w:rStyle w:val="Zwaar"/>
                <w:rFonts w:asciiTheme="minorHAnsi" w:hAnsiTheme="minorHAnsi" w:cstheme="minorHAnsi"/>
                <w:sz w:val="18"/>
                <w:szCs w:val="18"/>
              </w:rPr>
              <w:t>fluorescentielampen</w:t>
            </w:r>
            <w:r w:rsidRPr="00D0146C">
              <w:rPr>
                <w:rFonts w:asciiTheme="minorHAnsi" w:hAnsiTheme="minorHAnsi" w:cstheme="minorHAnsi"/>
                <w:sz w:val="18"/>
                <w:szCs w:val="18"/>
              </w:rPr>
              <w:t xml:space="preserve"> (TL) zijn aanwezig.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lang w:eastAsia="en-US"/>
              </w:rPr>
            </w:pPr>
            <w:r w:rsidRPr="00E15D20">
              <w:rPr>
                <w:rFonts w:cstheme="minorHAnsi"/>
                <w:b/>
                <w:bCs/>
                <w:sz w:val="18"/>
                <w:szCs w:val="18"/>
              </w:rPr>
              <w:t xml:space="preserve">Toepasbaar op een zelfstandig of natuurlijk </w:t>
            </w:r>
            <w:r>
              <w:rPr>
                <w:rFonts w:cstheme="minorHAnsi"/>
                <w:b/>
                <w:bCs/>
                <w:sz w:val="18"/>
                <w:szCs w:val="18"/>
              </w:rPr>
              <w:t>moment?</w:t>
            </w:r>
          </w:p>
        </w:tc>
        <w:tc>
          <w:tcPr>
            <w:tcW w:w="66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1"/>
        <w:gridCol w:w="6709"/>
      </w:tblGrid>
      <w:tr w:rsidR="00F43C9B" w:rsidRPr="00E15D20" w:rsidTr="00F43C9B">
        <w:tc>
          <w:tcPr>
            <w:tcW w:w="4091"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Type maatregel</w:t>
            </w:r>
          </w:p>
        </w:tc>
        <w:tc>
          <w:tcPr>
            <w:tcW w:w="6709"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Ruimte- en buitenverlichting</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709"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11</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Omschrijving maatregel</w:t>
            </w:r>
          </w:p>
        </w:tc>
        <w:tc>
          <w:tcPr>
            <w:tcW w:w="6709"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Geïnstalleerd vermogen accentverlichting beperken.</w:t>
            </w:r>
          </w:p>
        </w:tc>
      </w:tr>
      <w:tr w:rsidR="00F43C9B" w:rsidRPr="00E15D20" w:rsidTr="00F43C9B">
        <w:trPr>
          <w:trHeight w:val="333"/>
        </w:trPr>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Mogelijke technieken ten opzichte van </w:t>
            </w:r>
            <w:r>
              <w:rPr>
                <w:rFonts w:cstheme="minorHAnsi"/>
                <w:b/>
                <w:bCs/>
                <w:sz w:val="18"/>
                <w:szCs w:val="18"/>
              </w:rPr>
              <w:t>uitgangssituatie</w:t>
            </w:r>
          </w:p>
        </w:tc>
        <w:tc>
          <w:tcPr>
            <w:tcW w:w="670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PL-lamp (traditionele spaarlamp) of halogeenlamp toepassen in bestaande armatuur.</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6709"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Gloeilamp is aanwezig.</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709" w:type="dxa"/>
            <w:vAlign w:val="center"/>
          </w:tcPr>
          <w:p w:rsidR="00F43C9B" w:rsidRDefault="00F43C9B" w:rsidP="00F43C9B">
            <w:pPr>
              <w:shd w:val="clear" w:color="auto" w:fill="D9D9D9" w:themeFill="background1" w:themeFillShade="D9"/>
              <w:rPr>
                <w:rFonts w:cstheme="minorHAnsi"/>
                <w:bCs/>
                <w:sz w:val="18"/>
                <w:szCs w:val="18"/>
                <w:lang w:eastAsia="en-US"/>
              </w:rPr>
            </w:pPr>
            <w:r w:rsidRPr="00D0146C">
              <w:rPr>
                <w:rFonts w:cstheme="minorHAnsi"/>
                <w:bCs/>
                <w:sz w:val="18"/>
                <w:szCs w:val="18"/>
              </w:rPr>
              <w:t>N.v.t.</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709"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6709"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709"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09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709"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1"/>
        <w:gridCol w:w="2428"/>
        <w:gridCol w:w="2198"/>
        <w:gridCol w:w="3202"/>
      </w:tblGrid>
      <w:tr w:rsidR="00F43C9B" w:rsidRPr="00E15D20" w:rsidTr="00F43C9B">
        <w:tc>
          <w:tcPr>
            <w:tcW w:w="0" w:type="auto"/>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D0146C">
              <w:rPr>
                <w:rFonts w:cstheme="minorHAnsi"/>
                <w:sz w:val="18"/>
                <w:szCs w:val="18"/>
                <w:lang w:eastAsia="en-US"/>
              </w:rPr>
              <w:br w:type="page"/>
            </w:r>
            <w:r>
              <w:rPr>
                <w:rFonts w:cstheme="minorHAnsi"/>
                <w:b/>
                <w:bCs/>
                <w:sz w:val="18"/>
                <w:szCs w:val="18"/>
              </w:rPr>
              <w:t>Type maatregel</w:t>
            </w:r>
          </w:p>
        </w:tc>
        <w:tc>
          <w:tcPr>
            <w:tcW w:w="0" w:type="auto"/>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Buitenverlichting</w:t>
            </w:r>
          </w:p>
        </w:tc>
      </w:tr>
      <w:tr w:rsidR="00F43C9B" w:rsidRPr="00E15D20" w:rsidTr="00F43C9B">
        <w:tc>
          <w:tcPr>
            <w:tcW w:w="0" w:type="auto"/>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0" w:type="auto"/>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12</w:t>
            </w:r>
          </w:p>
        </w:tc>
      </w:tr>
      <w:tr w:rsidR="00F43C9B" w:rsidRPr="00E15D20" w:rsidTr="00F43C9B">
        <w:tc>
          <w:tcPr>
            <w:tcW w:w="0" w:type="auto"/>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0" w:type="auto"/>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Onnodig branden van buitenverlichting voorkomen zodat verlichting alleen brandt als het donker is, en per nacht minimaal 6 uur uit is of alleen bij beweging brandt.</w:t>
            </w:r>
          </w:p>
        </w:tc>
      </w:tr>
      <w:tr w:rsidR="00F43C9B" w:rsidRPr="00E15D20" w:rsidTr="00F43C9B">
        <w:trPr>
          <w:trHeight w:val="333"/>
        </w:trPr>
        <w:tc>
          <w:tcPr>
            <w:tcW w:w="0" w:type="auto"/>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0" w:type="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Bewegingsensor en schemerschakelaar en tijdschakelklok toepassen.</w:t>
            </w:r>
          </w:p>
        </w:tc>
        <w:tc>
          <w:tcPr>
            <w:tcW w:w="0" w:type="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Schemerschakelaar en tijdschakelaar toepassen.</w:t>
            </w:r>
          </w:p>
        </w:tc>
        <w:tc>
          <w:tcPr>
            <w:tcW w:w="0" w:type="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Schemerschakelaar en tijdschakelaar toepassen.</w:t>
            </w:r>
          </w:p>
        </w:tc>
      </w:tr>
      <w:tr w:rsidR="00F43C9B" w:rsidRPr="00E15D20" w:rsidTr="00F43C9B">
        <w:tc>
          <w:tcPr>
            <w:tcW w:w="0" w:type="auto"/>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0" w:type="auto"/>
            <w:gridSpan w:val="2"/>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a en b) Schemerschakelaar of tijdschakelklok ontbreekt bij overige buitenverlichting.</w:t>
            </w:r>
          </w:p>
        </w:tc>
        <w:tc>
          <w:tcPr>
            <w:tcW w:w="0" w:type="auto"/>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c) Automatische aan- en uitschakeling ontbreekt bij reclameverlichting (verlichting is ’s nachts aan).</w:t>
            </w:r>
          </w:p>
        </w:tc>
      </w:tr>
      <w:tr w:rsidR="00F43C9B" w:rsidRPr="00E15D20" w:rsidTr="00F43C9B">
        <w:trPr>
          <w:trHeight w:val="127"/>
        </w:trPr>
        <w:tc>
          <w:tcPr>
            <w:tcW w:w="0" w:type="auto"/>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0" w:type="auto"/>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Snelstartende lampen.</w:t>
            </w:r>
          </w:p>
        </w:tc>
        <w:tc>
          <w:tcPr>
            <w:tcW w:w="0" w:type="auto"/>
            <w:gridSpan w:val="2"/>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en c) N.v.t.</w:t>
            </w:r>
          </w:p>
        </w:tc>
      </w:tr>
      <w:tr w:rsidR="00F43C9B" w:rsidRPr="00E15D20" w:rsidTr="00F43C9B">
        <w:trPr>
          <w:trHeight w:val="257"/>
        </w:trPr>
        <w:tc>
          <w:tcPr>
            <w:tcW w:w="0" w:type="auto"/>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0" w:type="auto"/>
            <w:gridSpan w:val="2"/>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en b) Minimaal 20 armaturen zijn aanwezig.</w:t>
            </w:r>
          </w:p>
        </w:tc>
        <w:tc>
          <w:tcPr>
            <w:tcW w:w="0" w:type="auto"/>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N.v.t.</w:t>
            </w:r>
          </w:p>
        </w:tc>
      </w:tr>
      <w:tr w:rsidR="00F43C9B" w:rsidRPr="00E15D20" w:rsidTr="00F43C9B">
        <w:tc>
          <w:tcPr>
            <w:tcW w:w="0" w:type="auto"/>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0" w:type="auto"/>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a) Zelfstandig moment: Ja, indien minimaal 50 armaturen aanwezig zijn.</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c>
          <w:tcPr>
            <w:tcW w:w="0" w:type="auto"/>
            <w:gridSpan w:val="2"/>
            <w:vAlign w:val="center"/>
          </w:tcPr>
          <w:p w:rsidR="00F43C9B" w:rsidRDefault="00F43C9B" w:rsidP="00F43C9B">
            <w:pPr>
              <w:shd w:val="clear" w:color="auto" w:fill="D9D9D9" w:themeFill="background1" w:themeFillShade="D9"/>
              <w:tabs>
                <w:tab w:val="left" w:pos="252"/>
              </w:tabs>
              <w:rPr>
                <w:rFonts w:cstheme="minorHAnsi"/>
                <w:bCs/>
                <w:sz w:val="18"/>
                <w:szCs w:val="18"/>
              </w:rPr>
            </w:pPr>
            <w:r w:rsidRPr="00D0146C">
              <w:rPr>
                <w:rFonts w:cstheme="minorHAnsi"/>
                <w:bCs/>
                <w:sz w:val="18"/>
                <w:szCs w:val="18"/>
              </w:rPr>
              <w:t>b en c) 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0" w:type="auto"/>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0" w:type="auto"/>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0" w:type="auto"/>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0" w:type="auto"/>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00"/>
        <w:gridCol w:w="1600"/>
        <w:gridCol w:w="1660"/>
        <w:gridCol w:w="1801"/>
        <w:gridCol w:w="1539"/>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 en buitenverlichting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13</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Geïnstalleerd vermogen buitenverlichting beperken.</w:t>
            </w:r>
          </w:p>
        </w:tc>
      </w:tr>
      <w:tr w:rsidR="00F43C9B" w:rsidRPr="00E15D20" w:rsidTr="00F43C9B">
        <w:trPr>
          <w:trHeight w:val="333"/>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1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Led-lamp toepassen in bestaande armatuur.</w:t>
            </w:r>
          </w:p>
        </w:tc>
        <w:tc>
          <w:tcPr>
            <w:tcW w:w="166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Natriumlamp toepassen in bestaande armatuur.</w:t>
            </w:r>
          </w:p>
        </w:tc>
        <w:tc>
          <w:tcPr>
            <w:tcW w:w="180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Metaalhalogenidelamp toepassen in bestaande armatuur.</w:t>
            </w:r>
          </w:p>
        </w:tc>
        <w:tc>
          <w:tcPr>
            <w:tcW w:w="153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d) Natriumlamp toepassen in bestaande armatuur.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3260"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 en b) Halogeenlamp is aanwezig.</w:t>
            </w:r>
          </w:p>
        </w:tc>
        <w:tc>
          <w:tcPr>
            <w:tcW w:w="3340"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c en d) Hoge druk kwiklamp is aanwezig.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gridSpan w:val="4"/>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gridSpan w:val="4"/>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00" w:type="dxa"/>
            <w:gridSpan w:val="4"/>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w:t>
            </w:r>
            <w:r>
              <w:rPr>
                <w:rFonts w:cstheme="minorHAnsi"/>
                <w:b/>
                <w:bCs/>
                <w:sz w:val="18"/>
                <w:szCs w:val="18"/>
              </w:rPr>
              <w:t>erkende maatregelen</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6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00"/>
        <w:gridCol w:w="2444"/>
        <w:gridCol w:w="2012"/>
        <w:gridCol w:w="2144"/>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 en buitenverlichting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14</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Geïnstalleerd vermogen reclameverlichting beperken.</w:t>
            </w:r>
          </w:p>
        </w:tc>
      </w:tr>
      <w:tr w:rsidR="00F43C9B" w:rsidRPr="00E15D20" w:rsidTr="00F43C9B">
        <w:trPr>
          <w:trHeight w:val="333"/>
        </w:trPr>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technieken ten opzichte van </w:t>
            </w:r>
            <w:r>
              <w:rPr>
                <w:rFonts w:cstheme="minorHAnsi"/>
                <w:b/>
                <w:bCs/>
                <w:sz w:val="18"/>
                <w:szCs w:val="18"/>
              </w:rPr>
              <w:t>uitgangssituatie</w:t>
            </w:r>
          </w:p>
        </w:tc>
        <w:tc>
          <w:tcPr>
            <w:tcW w:w="2444"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Led-lamp in bestaande armatuur toepassen.</w:t>
            </w:r>
          </w:p>
        </w:tc>
        <w:tc>
          <w:tcPr>
            <w:tcW w:w="2012"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 xml:space="preserve">b) Armatuur met </w:t>
            </w:r>
            <w:r>
              <w:rPr>
                <w:rStyle w:val="description"/>
                <w:rFonts w:cstheme="minorHAnsi"/>
                <w:sz w:val="18"/>
                <w:szCs w:val="18"/>
              </w:rPr>
              <w:t xml:space="preserve">langwerpige </w:t>
            </w:r>
            <w:r>
              <w:rPr>
                <w:rStyle w:val="Zwaar"/>
                <w:rFonts w:cstheme="minorHAnsi"/>
                <w:sz w:val="18"/>
                <w:szCs w:val="18"/>
              </w:rPr>
              <w:t>fluorescentielamp</w:t>
            </w:r>
            <w:r w:rsidRPr="00D0146C">
              <w:rPr>
                <w:rFonts w:cstheme="minorHAnsi"/>
                <w:sz w:val="18"/>
                <w:szCs w:val="18"/>
              </w:rPr>
              <w:t xml:space="preserve"> (TL5) toepassen.</w:t>
            </w:r>
          </w:p>
        </w:tc>
        <w:tc>
          <w:tcPr>
            <w:tcW w:w="2144"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Led-lamp toepassen in bestaande armatuur.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4456"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a en b) Gloeilamp is aanwezig.</w:t>
            </w:r>
          </w:p>
        </w:tc>
        <w:tc>
          <w:tcPr>
            <w:tcW w:w="2144"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c) Halogeenlamp is aanwezig.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600" w:type="dxa"/>
            <w:gridSpan w:val="3"/>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Bijzondere </w:t>
            </w:r>
            <w:r>
              <w:rPr>
                <w:rFonts w:cstheme="minorHAnsi"/>
                <w:b/>
                <w:bCs/>
                <w:sz w:val="18"/>
                <w:szCs w:val="18"/>
              </w:rPr>
              <w:t>omstandigheden</w:t>
            </w:r>
          </w:p>
        </w:tc>
        <w:tc>
          <w:tcPr>
            <w:tcW w:w="66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Activiteit</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15</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p w:rsidR="00F43C9B" w:rsidRDefault="00F43C9B" w:rsidP="00F43C9B">
            <w:pPr>
              <w:shd w:val="clear" w:color="auto" w:fill="D9D9D9" w:themeFill="background1" w:themeFillShade="D9"/>
              <w:rPr>
                <w:rFonts w:cstheme="minorHAnsi"/>
                <w:sz w:val="18"/>
                <w:szCs w:val="18"/>
                <w:lang w:eastAsia="en-US"/>
              </w:rPr>
            </w:pP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Energiezuinige warmteopwekking van tapwater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Mogelijke technieken ten opzichte van </w:t>
            </w:r>
            <w:r>
              <w:rPr>
                <w:rFonts w:cstheme="minorHAnsi"/>
                <w:b/>
                <w:bCs/>
                <w:sz w:val="18"/>
                <w:szCs w:val="18"/>
              </w:rPr>
              <w:t>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Gasgestookte hoogrendements- (HR-) boiler toepassen.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Conventionele gasgestookte boiler is aanwezig.</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Condensafvoer is mogelijk.</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 indien bruto vloeroppervlakte minder is dan 600 m</w:t>
            </w:r>
            <w:r w:rsidRPr="00D0146C">
              <w:rPr>
                <w:rFonts w:cstheme="minorHAnsi"/>
                <w:sz w:val="18"/>
                <w:szCs w:val="18"/>
                <w:vertAlign w:val="superscript"/>
              </w:rPr>
              <w:t>2</w:t>
            </w:r>
            <w:r w:rsidRPr="00D0146C">
              <w:rPr>
                <w:rFonts w:cstheme="minorHAnsi"/>
                <w:sz w:val="18"/>
                <w:szCs w:val="18"/>
              </w:rPr>
              <w:t>.</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autoSpaceDE w:val="0"/>
        <w:autoSpaceDN w:val="0"/>
        <w:rPr>
          <w:rFonts w:cstheme="minorHAnsi"/>
          <w:bCs/>
          <w:sz w:val="18"/>
          <w:szCs w:val="18"/>
          <w:u w:val="single"/>
        </w:rPr>
      </w:pPr>
    </w:p>
    <w:p w:rsidR="00F43C9B" w:rsidRPr="00E15D20" w:rsidRDefault="00F43C9B" w:rsidP="00F43C9B">
      <w:pPr>
        <w:shd w:val="clear" w:color="auto" w:fill="D9D9D9" w:themeFill="background1" w:themeFillShade="D9"/>
        <w:rPr>
          <w:rFonts w:cstheme="minorHAnsi"/>
          <w:bCs/>
          <w:sz w:val="18"/>
          <w:szCs w:val="18"/>
          <w:u w:val="single"/>
        </w:rPr>
      </w:pPr>
      <w:r w:rsidRPr="00E15D20">
        <w:rPr>
          <w:rFonts w:cstheme="minorHAnsi"/>
          <w:bCs/>
          <w:sz w:val="18"/>
          <w:szCs w:val="18"/>
          <w:u w:val="single"/>
        </w:rPr>
        <w:br w:type="page"/>
      </w:r>
    </w:p>
    <w:p w:rsidR="00F43C9B" w:rsidRPr="00E15D20" w:rsidRDefault="00F43C9B" w:rsidP="00F43C9B">
      <w:pPr>
        <w:shd w:val="clear" w:color="auto" w:fill="D9D9D9" w:themeFill="background1" w:themeFillShade="D9"/>
        <w:autoSpaceDE w:val="0"/>
        <w:autoSpaceDN w:val="0"/>
        <w:rPr>
          <w:rFonts w:cstheme="minorHAnsi"/>
          <w:bCs/>
          <w:sz w:val="18"/>
          <w:szCs w:val="18"/>
          <w:u w:val="single"/>
        </w:rPr>
      </w:pPr>
      <w:r w:rsidRPr="00D0146C">
        <w:rPr>
          <w:rFonts w:cstheme="minorHAnsi"/>
          <w:bCs/>
          <w:sz w:val="18"/>
          <w:szCs w:val="18"/>
          <w:u w:val="single"/>
        </w:rPr>
        <w:t>Onderwijs</w:t>
      </w:r>
    </w:p>
    <w:p w:rsidR="00F43C9B" w:rsidRDefault="00F43C9B" w:rsidP="00F43C9B">
      <w:pPr>
        <w:shd w:val="clear" w:color="auto" w:fill="D9D9D9" w:themeFill="background1" w:themeFillShade="D9"/>
        <w:autoSpaceDE w:val="0"/>
        <w:autoSpaceDN w:val="0"/>
        <w:rPr>
          <w:rFonts w:cstheme="minorHAnsi"/>
          <w:sz w:val="18"/>
          <w:szCs w:val="18"/>
        </w:rPr>
      </w:pPr>
      <w:r w:rsidRPr="00D0146C">
        <w:rPr>
          <w:rFonts w:cstheme="minorHAnsi"/>
          <w:sz w:val="18"/>
          <w:szCs w:val="18"/>
        </w:rPr>
        <w:t>Instellingen waar onderwijs, opleidingen en cursussen worden aangeboden met of zonder praktijkonderwijs. De inrichting heeft overwegend een onderwijsfunctie zoals aangehaald in het Bouwbesluit 2012. Denk aan basis-, voortgezet- en hoger onderwijs en universiteiten. Ter indicatie de SBI-code die voor de indeling van instellingen veelal wordt gebruikt: 85.In deze bedrijfstak zijn erkende maatregelen aangemerkt voor de in tabel 5.5 genoemde activiteiten en typen maatregelen. Voor faciliteiten (zoals ICT, productkoeling en grootkeuken/kantine) en processen zijn nog geen erkende maatregelen opgenomen. Voor deze ‘typen maatregelen’ en ‘activiteiten’ blijft artikel 2.15 van het Activiteitenbesluit gelden. In een later stadium worden hiervoor alsnog erkende maatregelen opgenomen.</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u w:val="single"/>
        </w:rPr>
        <w:t>Maatregelen</w:t>
      </w:r>
    </w:p>
    <w:p w:rsidR="00F43C9B" w:rsidRDefault="00F43C9B" w:rsidP="00F43C9B">
      <w:pPr>
        <w:shd w:val="clear" w:color="auto" w:fill="D9D9D9" w:themeFill="background1" w:themeFillShade="D9"/>
        <w:rPr>
          <w:rFonts w:cstheme="minorHAnsi"/>
          <w:i/>
          <w:sz w:val="18"/>
          <w:szCs w:val="18"/>
        </w:rPr>
      </w:pPr>
      <w:r w:rsidRPr="00D0146C">
        <w:rPr>
          <w:rFonts w:cstheme="minorHAnsi"/>
          <w:i/>
          <w:sz w:val="18"/>
          <w:szCs w:val="18"/>
        </w:rPr>
        <w:t>Tabel 5.5 Aangewezen erkende maatregelen voor energiebesparing voor onderwijs</w:t>
      </w:r>
    </w:p>
    <w:tbl>
      <w:tblPr>
        <w:tblW w:w="7528" w:type="dxa"/>
        <w:tblInd w:w="55" w:type="dxa"/>
        <w:tblCellMar>
          <w:left w:w="0" w:type="dxa"/>
          <w:right w:w="0" w:type="dxa"/>
        </w:tblCellMar>
        <w:tblLook w:val="00A0" w:firstRow="1" w:lastRow="0" w:firstColumn="1" w:lastColumn="0" w:noHBand="0" w:noVBand="0"/>
      </w:tblPr>
      <w:tblGrid>
        <w:gridCol w:w="6111"/>
        <w:gridCol w:w="1417"/>
      </w:tblGrid>
      <w:tr w:rsidR="00F43C9B" w:rsidRPr="00E15D20" w:rsidTr="00F43C9B">
        <w:trPr>
          <w:trHeight w:val="615"/>
        </w:trPr>
        <w:tc>
          <w:tcPr>
            <w:tcW w:w="611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maatregelen</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nummers</w:t>
            </w:r>
          </w:p>
        </w:tc>
      </w:tr>
      <w:tr w:rsidR="00F43C9B" w:rsidRPr="00E15D20" w:rsidTr="00F43C9B">
        <w:tblPrEx>
          <w:tblCellMar>
            <w:left w:w="70" w:type="dxa"/>
            <w:right w:w="70" w:type="dxa"/>
          </w:tblCellMar>
        </w:tblPrEx>
        <w:trPr>
          <w:trHeight w:val="450"/>
        </w:trPr>
        <w:tc>
          <w:tcPr>
            <w:tcW w:w="6111"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Gebouwschil</w:t>
            </w:r>
          </w:p>
        </w:tc>
        <w:tc>
          <w:tcPr>
            <w:tcW w:w="1417"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w:t>
            </w:r>
          </w:p>
        </w:tc>
      </w:tr>
      <w:tr w:rsidR="00F43C9B" w:rsidRPr="00E15D20" w:rsidTr="00F43C9B">
        <w:trPr>
          <w:trHeight w:val="270"/>
        </w:trPr>
        <w:tc>
          <w:tcPr>
            <w:tcW w:w="6111"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Ruimteventilatie</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2-4</w:t>
            </w:r>
          </w:p>
        </w:tc>
      </w:tr>
      <w:tr w:rsidR="00F43C9B" w:rsidRPr="00E15D20" w:rsidTr="00F43C9B">
        <w:trPr>
          <w:trHeight w:val="270"/>
        </w:trPr>
        <w:tc>
          <w:tcPr>
            <w:tcW w:w="6111"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Ruimteverwarming</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7</w:t>
            </w:r>
          </w:p>
        </w:tc>
      </w:tr>
      <w:tr w:rsidR="00F43C9B" w:rsidRPr="00E15D20" w:rsidTr="00F43C9B">
        <w:trPr>
          <w:trHeight w:val="270"/>
        </w:trPr>
        <w:tc>
          <w:tcPr>
            <w:tcW w:w="6111"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 en buitenverlichting</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9-14</w:t>
            </w:r>
          </w:p>
        </w:tc>
      </w:tr>
      <w:tr w:rsidR="00F43C9B" w:rsidRPr="00E15D20" w:rsidTr="00F43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55"/>
        </w:trPr>
        <w:tc>
          <w:tcPr>
            <w:tcW w:w="6111" w:type="dxa"/>
            <w:noWrap/>
            <w:vAlign w:val="bottom"/>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Activiteit</w:t>
            </w:r>
          </w:p>
        </w:tc>
        <w:tc>
          <w:tcPr>
            <w:tcW w:w="1417" w:type="dxa"/>
            <w:noWrap/>
            <w:vAlign w:val="bottom"/>
          </w:tcPr>
          <w:p w:rsidR="00F43C9B" w:rsidRDefault="00F43C9B" w:rsidP="00F43C9B">
            <w:pPr>
              <w:shd w:val="clear" w:color="auto" w:fill="D9D9D9" w:themeFill="background1" w:themeFillShade="D9"/>
              <w:rPr>
                <w:rFonts w:cstheme="minorHAnsi"/>
                <w:b/>
                <w:bCs/>
                <w:sz w:val="18"/>
                <w:szCs w:val="18"/>
              </w:rPr>
            </w:pPr>
          </w:p>
        </w:tc>
      </w:tr>
      <w:tr w:rsidR="00F43C9B" w:rsidRPr="00E15D20" w:rsidTr="00F43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50"/>
        </w:trPr>
        <w:tc>
          <w:tcPr>
            <w:tcW w:w="6111" w:type="dxa"/>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In werking hebben van een stookinstallatie (emissies naar</w:t>
            </w:r>
            <w:r w:rsidRPr="00D0146C">
              <w:rPr>
                <w:rFonts w:cstheme="minorHAnsi"/>
                <w:sz w:val="18"/>
                <w:szCs w:val="18"/>
              </w:rPr>
              <w:t xml:space="preserve"> de lucht)</w:t>
            </w:r>
          </w:p>
        </w:tc>
        <w:tc>
          <w:tcPr>
            <w:tcW w:w="1417" w:type="dxa"/>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5, 6, 8, 15</w:t>
            </w:r>
          </w:p>
        </w:tc>
      </w:tr>
    </w:tbl>
    <w:p w:rsidR="00F43C9B" w:rsidRPr="00E15D20"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0"/>
        <w:gridCol w:w="6600"/>
      </w:tblGrid>
      <w:tr w:rsidR="00F43C9B" w:rsidRPr="00E15D20" w:rsidTr="00F43C9B">
        <w:tc>
          <w:tcPr>
            <w:tcW w:w="4200"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Type maatregel</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Gebouwschil</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1</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p w:rsidR="00F43C9B" w:rsidRDefault="00F43C9B" w:rsidP="00F43C9B">
            <w:pPr>
              <w:shd w:val="clear" w:color="auto" w:fill="D9D9D9" w:themeFill="background1" w:themeFillShade="D9"/>
              <w:rPr>
                <w:rFonts w:cstheme="minorHAnsi"/>
                <w:sz w:val="18"/>
                <w:szCs w:val="18"/>
                <w:lang w:eastAsia="en-US"/>
              </w:rPr>
            </w:pP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Warmte- en koudeverlies via buitenmuur beperken.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Spouwmuur isoleren.</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w:t>
            </w:r>
            <w:r>
              <w:rPr>
                <w:rFonts w:cstheme="minorHAnsi"/>
                <w:b/>
                <w:bCs/>
                <w:sz w:val="18"/>
                <w:szCs w:val="18"/>
              </w:rPr>
              <w:t xml:space="preserve"> referentietechniek</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Isolatie in spouwmuur ontbreekt.</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Gebouw wordt verwarmd, of verwarmd en gekoeld.</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600" w:type="dxa"/>
            <w:vAlign w:val="center"/>
          </w:tcPr>
          <w:p w:rsidR="00F43C9B" w:rsidRDefault="00F43C9B" w:rsidP="00F43C9B">
            <w:pPr>
              <w:shd w:val="clear" w:color="auto" w:fill="D9D9D9" w:themeFill="background1" w:themeFillShade="D9"/>
              <w:tabs>
                <w:tab w:val="left" w:pos="0"/>
              </w:tabs>
              <w:rPr>
                <w:rFonts w:cstheme="minorHAnsi"/>
                <w:sz w:val="18"/>
                <w:szCs w:val="18"/>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Aardgasverbruik is minder dan 170.000 m</w:t>
            </w:r>
            <w:r w:rsidRPr="00D0146C">
              <w:rPr>
                <w:rFonts w:cstheme="minorHAnsi"/>
                <w:sz w:val="18"/>
                <w:szCs w:val="18"/>
                <w:vertAlign w:val="superscript"/>
              </w:rPr>
              <w:t>3</w:t>
            </w:r>
            <w:r w:rsidRPr="00D0146C">
              <w:rPr>
                <w:rFonts w:cstheme="minorHAnsi"/>
                <w:sz w:val="18"/>
                <w:szCs w:val="18"/>
              </w:rPr>
              <w:t xml:space="preserve"> per jaar.</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Toepasbaar op een zelfstandig of </w:t>
            </w:r>
            <w:r>
              <w:rPr>
                <w:rFonts w:cstheme="minorHAnsi"/>
                <w:b/>
                <w:bCs/>
                <w:sz w:val="18"/>
                <w:szCs w:val="18"/>
              </w:rPr>
              <w:t>natuurlijk moment?</w:t>
            </w:r>
          </w:p>
        </w:tc>
        <w:tc>
          <w:tcPr>
            <w:tcW w:w="66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Natuurlijk moment: Ja.</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6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6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b/>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0"/>
        <w:gridCol w:w="6800"/>
      </w:tblGrid>
      <w:tr w:rsidR="00F43C9B" w:rsidRPr="00E15D20" w:rsidTr="00F43C9B">
        <w:tc>
          <w:tcPr>
            <w:tcW w:w="40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Ruimteventilatie</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Omschrijving maatregel</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Onnodig aanstaan van ventilatie buiten bedrijfstijd voorkomen.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technieken ten </w:t>
            </w:r>
            <w:r>
              <w:rPr>
                <w:rFonts w:cstheme="minorHAnsi"/>
                <w:b/>
                <w:bCs/>
                <w:sz w:val="18"/>
                <w:szCs w:val="18"/>
              </w:rPr>
              <w:t>opzichte van uitgangssituatie</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Tijdschakelaar of tijdschakelaar met weekendschakeling (met of zonder overwerktimer) toepassen.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8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lang w:eastAsia="nl-NL"/>
              </w:rPr>
            </w:pPr>
            <w:r w:rsidRPr="00D0146C">
              <w:rPr>
                <w:rFonts w:asciiTheme="minorHAnsi" w:hAnsiTheme="minorHAnsi" w:cstheme="minorHAnsi"/>
                <w:sz w:val="18"/>
                <w:szCs w:val="18"/>
                <w:lang w:eastAsia="nl-NL"/>
              </w:rPr>
              <w:t>Automatische aan- en uitschakeling ontbreekt.</w:t>
            </w:r>
          </w:p>
        </w:tc>
      </w:tr>
      <w:tr w:rsidR="00F43C9B" w:rsidRPr="00E15D20" w:rsidTr="00F43C9B">
        <w:trPr>
          <w:trHeight w:val="305"/>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55"/>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8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800" w:type="dxa"/>
            <w:vAlign w:val="center"/>
          </w:tcPr>
          <w:p w:rsidR="00F43C9B" w:rsidRDefault="00F43C9B" w:rsidP="00F43C9B">
            <w:pPr>
              <w:shd w:val="clear" w:color="auto" w:fill="D9D9D9" w:themeFill="background1" w:themeFillShade="D9"/>
              <w:rPr>
                <w:rFonts w:cstheme="minorHAnsi"/>
                <w:i/>
                <w:iCs/>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0"/>
        <w:gridCol w:w="6800"/>
      </w:tblGrid>
      <w:tr w:rsidR="00F43C9B" w:rsidRPr="00E15D20" w:rsidTr="00F43C9B">
        <w:tc>
          <w:tcPr>
            <w:tcW w:w="40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Ruimteventilatie</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Omschrijving maatregel</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Vollasturen ventilatoren beperken door afschakelen van ventilatoren bij lager ventilatiedebiet.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Cascaderegeling toepassen.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w:t>
            </w:r>
            <w:r>
              <w:rPr>
                <w:rFonts w:cstheme="minorHAnsi"/>
                <w:b/>
                <w:bCs/>
                <w:sz w:val="18"/>
                <w:szCs w:val="18"/>
              </w:rPr>
              <w:t xml:space="preserve"> referentietechniek</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Cascaderegeling ontbreekt.</w:t>
            </w:r>
          </w:p>
        </w:tc>
      </w:tr>
      <w:tr w:rsidR="00F43C9B" w:rsidRPr="00E15D20" w:rsidTr="00F43C9B">
        <w:trPr>
          <w:trHeight w:val="305"/>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55"/>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b/>
          <w:sz w:val="18"/>
          <w:szCs w:val="18"/>
        </w:rPr>
      </w:pPr>
    </w:p>
    <w:tbl>
      <w:tblPr>
        <w:tblpPr w:leftFromText="141" w:rightFromText="141" w:vertAnchor="text" w:horzAnchor="margin" w:tblpX="-792" w:tblpYSpec="inside"/>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8"/>
        <w:gridCol w:w="6800"/>
      </w:tblGrid>
      <w:tr w:rsidR="00F43C9B" w:rsidRPr="00E15D20" w:rsidTr="00F43C9B">
        <w:tc>
          <w:tcPr>
            <w:tcW w:w="40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Type maatregel</w:t>
            </w:r>
          </w:p>
        </w:tc>
        <w:tc>
          <w:tcPr>
            <w:tcW w:w="68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Ruimteventilatie</w:t>
            </w:r>
          </w:p>
        </w:tc>
      </w:tr>
      <w:tr w:rsidR="00F43C9B" w:rsidRPr="00E15D20" w:rsidTr="00F43C9B">
        <w:tc>
          <w:tcPr>
            <w:tcW w:w="40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8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4</w:t>
            </w:r>
          </w:p>
        </w:tc>
      </w:tr>
      <w:tr w:rsidR="00F43C9B" w:rsidRPr="00E15D20" w:rsidTr="00F43C9B">
        <w:trPr>
          <w:trHeight w:val="228"/>
        </w:trPr>
        <w:tc>
          <w:tcPr>
            <w:tcW w:w="4008"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8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Warmte uit uitgaande ventilatielucht gebruiken voor voorverwarmen ingaande ventilatielucht bij gebalanceerd ventilatiesysteem.</w:t>
            </w:r>
          </w:p>
        </w:tc>
      </w:tr>
      <w:tr w:rsidR="00F43C9B" w:rsidRPr="00E15D20" w:rsidTr="00F43C9B">
        <w:tc>
          <w:tcPr>
            <w:tcW w:w="40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6800" w:type="dxa"/>
            <w:vAlign w:val="center"/>
          </w:tcPr>
          <w:p w:rsidR="00F43C9B" w:rsidRDefault="00F43C9B" w:rsidP="00F43C9B">
            <w:pPr>
              <w:pStyle w:val="Lijstalinea1"/>
              <w:shd w:val="clear" w:color="auto" w:fill="D9D9D9" w:themeFill="background1" w:themeFillShade="D9"/>
              <w:tabs>
                <w:tab w:val="left" w:pos="0"/>
              </w:tabs>
              <w:rPr>
                <w:rFonts w:asciiTheme="minorHAnsi" w:hAnsiTheme="minorHAnsi" w:cstheme="minorHAnsi"/>
                <w:sz w:val="18"/>
                <w:szCs w:val="18"/>
              </w:rPr>
            </w:pPr>
            <w:r w:rsidRPr="00D0146C">
              <w:rPr>
                <w:rFonts w:asciiTheme="minorHAnsi" w:hAnsiTheme="minorHAnsi" w:cstheme="minorHAnsi"/>
                <w:sz w:val="18"/>
                <w:szCs w:val="18"/>
              </w:rPr>
              <w:t>Twincoilsysteem toepassen.</w:t>
            </w:r>
          </w:p>
        </w:tc>
      </w:tr>
      <w:tr w:rsidR="00F43C9B" w:rsidRPr="00E15D20" w:rsidTr="00F43C9B">
        <w:tc>
          <w:tcPr>
            <w:tcW w:w="40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68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Warmteterugwinsysteem ontbreekt in luchtbehandelingskast.</w:t>
            </w:r>
          </w:p>
        </w:tc>
      </w:tr>
      <w:tr w:rsidR="00F43C9B" w:rsidRPr="00E15D20" w:rsidTr="00F43C9B">
        <w:trPr>
          <w:trHeight w:val="212"/>
        </w:trPr>
        <w:tc>
          <w:tcPr>
            <w:tcW w:w="40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800" w:type="dxa"/>
            <w:vAlign w:val="center"/>
          </w:tcPr>
          <w:p w:rsidR="00F43C9B" w:rsidRDefault="00F43C9B" w:rsidP="00F43C9B">
            <w:pPr>
              <w:shd w:val="clear" w:color="auto" w:fill="D9D9D9" w:themeFill="background1" w:themeFillShade="D9"/>
              <w:tabs>
                <w:tab w:val="left" w:pos="0"/>
              </w:tabs>
              <w:rPr>
                <w:rFonts w:cstheme="minorHAnsi"/>
                <w:sz w:val="18"/>
                <w:szCs w:val="18"/>
              </w:rPr>
            </w:pPr>
            <w:r w:rsidRPr="00D0146C">
              <w:rPr>
                <w:rFonts w:cstheme="minorHAnsi"/>
                <w:bCs/>
                <w:sz w:val="18"/>
                <w:szCs w:val="18"/>
              </w:rPr>
              <w:t>Luchttoevoer en luchtafvoer liggen nabij elkaar en worden niet door bouwkundige elementen gescheiden.</w:t>
            </w:r>
          </w:p>
        </w:tc>
      </w:tr>
      <w:tr w:rsidR="00F43C9B" w:rsidRPr="00E15D20" w:rsidTr="00F43C9B">
        <w:trPr>
          <w:trHeight w:val="706"/>
        </w:trPr>
        <w:tc>
          <w:tcPr>
            <w:tcW w:w="40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Beperkte isolatie aanwezig (ter indicatie: minder dan 40 mm isolatie of bouwjaar van 1975 of eerder).</w:t>
            </w:r>
          </w:p>
          <w:p w:rsidR="00F43C9B" w:rsidRDefault="00F43C9B" w:rsidP="00F43C9B">
            <w:pPr>
              <w:shd w:val="clear" w:color="auto" w:fill="D9D9D9" w:themeFill="background1" w:themeFillShade="D9"/>
              <w:rPr>
                <w:rFonts w:cstheme="minorHAnsi"/>
                <w:sz w:val="18"/>
                <w:szCs w:val="18"/>
              </w:rPr>
            </w:pPr>
          </w:p>
        </w:tc>
      </w:tr>
      <w:tr w:rsidR="00F43C9B" w:rsidRPr="00E15D20" w:rsidTr="00F43C9B">
        <w:trPr>
          <w:trHeight w:val="64"/>
        </w:trPr>
        <w:tc>
          <w:tcPr>
            <w:tcW w:w="40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68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 indien conventioneelrendements- (CR) of verbeterdrendements- (VR) ketel aanwezig is.</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r w:rsidRPr="00D0146C">
              <w:rPr>
                <w:rFonts w:cstheme="minorHAnsi"/>
                <w:sz w:val="18"/>
                <w:szCs w:val="18"/>
              </w:rPr>
              <w:t xml:space="preserve"> indien hoogrendementsketel HR100 of HR104-ketel aanwezig is.</w:t>
            </w:r>
          </w:p>
        </w:tc>
      </w:tr>
      <w:tr w:rsidR="00F43C9B" w:rsidRPr="00E15D20" w:rsidTr="00F43C9B">
        <w:tc>
          <w:tcPr>
            <w:tcW w:w="40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8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[8] Energiezuinige warmteopwekking toepassen</w:t>
            </w:r>
          </w:p>
        </w:tc>
      </w:tr>
      <w:tr w:rsidR="00F43C9B" w:rsidRPr="00E15D20" w:rsidTr="00F43C9B">
        <w:tc>
          <w:tcPr>
            <w:tcW w:w="40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8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0"/>
        <w:gridCol w:w="6800"/>
      </w:tblGrid>
      <w:tr w:rsidR="00F43C9B" w:rsidRPr="00E15D20" w:rsidTr="00F43C9B">
        <w:tc>
          <w:tcPr>
            <w:tcW w:w="4000" w:type="dxa"/>
            <w:shd w:val="clear" w:color="auto" w:fill="B3B3B3"/>
            <w:vAlign w:val="center"/>
          </w:tcPr>
          <w:p w:rsidR="00F43C9B" w:rsidRDefault="00F43C9B" w:rsidP="00F43C9B">
            <w:pPr>
              <w:shd w:val="clear" w:color="auto" w:fill="D9D9D9" w:themeFill="background1" w:themeFillShade="D9"/>
              <w:ind w:right="301"/>
              <w:rPr>
                <w:rFonts w:cstheme="minorHAnsi"/>
                <w:b/>
                <w:bCs/>
                <w:sz w:val="18"/>
                <w:szCs w:val="18"/>
                <w:lang w:eastAsia="en-US"/>
              </w:rPr>
            </w:pPr>
            <w:r>
              <w:rPr>
                <w:rFonts w:cstheme="minorHAnsi"/>
                <w:b/>
                <w:bCs/>
                <w:sz w:val="18"/>
                <w:szCs w:val="18"/>
              </w:rPr>
              <w:t>Activiteit</w:t>
            </w:r>
          </w:p>
        </w:tc>
        <w:tc>
          <w:tcPr>
            <w:tcW w:w="6800" w:type="dxa"/>
            <w:vAlign w:val="center"/>
          </w:tcPr>
          <w:p w:rsidR="00F43C9B" w:rsidRDefault="00F43C9B" w:rsidP="00F43C9B">
            <w:pPr>
              <w:shd w:val="clear" w:color="auto" w:fill="D9D9D9" w:themeFill="background1" w:themeFillShade="D9"/>
              <w:ind w:right="301"/>
              <w:rPr>
                <w:rFonts w:cstheme="minorHAnsi"/>
                <w:sz w:val="18"/>
                <w:szCs w:val="18"/>
                <w:lang w:eastAsia="en-US"/>
              </w:rPr>
            </w:pPr>
            <w:r w:rsidRPr="00D0146C">
              <w:rPr>
                <w:rFonts w:cstheme="minorHAnsi"/>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ind w:right="301"/>
              <w:rPr>
                <w:rFonts w:cstheme="minorHAnsi"/>
                <w:b/>
                <w:bCs/>
                <w:sz w:val="18"/>
                <w:szCs w:val="18"/>
                <w:lang w:eastAsia="en-US"/>
              </w:rPr>
            </w:pPr>
            <w:r w:rsidRPr="00E15D20">
              <w:rPr>
                <w:rFonts w:cstheme="minorHAnsi"/>
                <w:b/>
                <w:bCs/>
                <w:sz w:val="18"/>
                <w:szCs w:val="18"/>
              </w:rPr>
              <w:t>Nummer maatregel</w:t>
            </w:r>
          </w:p>
        </w:tc>
        <w:tc>
          <w:tcPr>
            <w:tcW w:w="6800" w:type="dxa"/>
            <w:vAlign w:val="center"/>
          </w:tcPr>
          <w:p w:rsidR="00F43C9B" w:rsidRDefault="00F43C9B" w:rsidP="00F43C9B">
            <w:pPr>
              <w:shd w:val="clear" w:color="auto" w:fill="D9D9D9" w:themeFill="background1" w:themeFillShade="D9"/>
              <w:ind w:right="301"/>
              <w:rPr>
                <w:rFonts w:cstheme="minorHAnsi"/>
                <w:sz w:val="18"/>
                <w:szCs w:val="18"/>
                <w:lang w:eastAsia="en-US"/>
              </w:rPr>
            </w:pPr>
            <w:r w:rsidRPr="00D0146C">
              <w:rPr>
                <w:rFonts w:cstheme="minorHAnsi"/>
                <w:sz w:val="18"/>
                <w:szCs w:val="18"/>
              </w:rPr>
              <w:t>5</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ind w:right="301"/>
              <w:rPr>
                <w:rFonts w:cstheme="minorHAnsi"/>
                <w:b/>
                <w:bCs/>
                <w:sz w:val="18"/>
                <w:szCs w:val="18"/>
                <w:lang w:eastAsia="en-US"/>
              </w:rPr>
            </w:pPr>
            <w:r w:rsidRPr="00E15D20">
              <w:rPr>
                <w:rFonts w:cstheme="minorHAnsi"/>
                <w:b/>
                <w:bCs/>
                <w:sz w:val="18"/>
                <w:szCs w:val="18"/>
              </w:rPr>
              <w:t>Omschrijving maatregel</w:t>
            </w:r>
          </w:p>
        </w:tc>
        <w:tc>
          <w:tcPr>
            <w:tcW w:w="6800" w:type="dxa"/>
            <w:vAlign w:val="center"/>
          </w:tcPr>
          <w:p w:rsidR="00F43C9B" w:rsidRDefault="00F43C9B" w:rsidP="00F43C9B">
            <w:pPr>
              <w:shd w:val="clear" w:color="auto" w:fill="D9D9D9" w:themeFill="background1" w:themeFillShade="D9"/>
              <w:ind w:right="301"/>
              <w:rPr>
                <w:rFonts w:cstheme="minorHAnsi"/>
                <w:sz w:val="18"/>
                <w:szCs w:val="18"/>
              </w:rPr>
            </w:pPr>
            <w:r w:rsidRPr="00D0146C">
              <w:rPr>
                <w:rFonts w:cstheme="minorHAnsi"/>
                <w:bCs/>
                <w:sz w:val="18"/>
                <w:szCs w:val="18"/>
              </w:rPr>
              <w:t>Aanvoertemperatuur cv-water automatisch regelen op basis van buitentemperatuur.</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ind w:right="301"/>
              <w:rPr>
                <w:rFonts w:cstheme="minorHAnsi"/>
                <w:b/>
                <w:bCs/>
                <w:sz w:val="18"/>
                <w:szCs w:val="18"/>
              </w:rPr>
            </w:pPr>
            <w:r w:rsidRPr="00E15D20">
              <w:rPr>
                <w:rFonts w:cstheme="minorHAnsi"/>
                <w:b/>
                <w:bCs/>
                <w:sz w:val="18"/>
                <w:szCs w:val="18"/>
              </w:rPr>
              <w:t>Mogelijke technieken ten opzichte van uitgangssituatie</w:t>
            </w:r>
          </w:p>
        </w:tc>
        <w:tc>
          <w:tcPr>
            <w:tcW w:w="6800" w:type="dxa"/>
            <w:vAlign w:val="center"/>
          </w:tcPr>
          <w:p w:rsidR="00F43C9B" w:rsidRDefault="00F43C9B" w:rsidP="00F43C9B">
            <w:pPr>
              <w:shd w:val="clear" w:color="auto" w:fill="D9D9D9" w:themeFill="background1" w:themeFillShade="D9"/>
              <w:ind w:right="301"/>
              <w:rPr>
                <w:rFonts w:cstheme="minorHAnsi"/>
                <w:sz w:val="18"/>
                <w:szCs w:val="18"/>
              </w:rPr>
            </w:pPr>
            <w:r w:rsidRPr="00D0146C">
              <w:rPr>
                <w:rFonts w:cstheme="minorHAnsi"/>
                <w:bCs/>
                <w:sz w:val="18"/>
                <w:szCs w:val="18"/>
              </w:rPr>
              <w:t>Weersafhankelijke regeling toepassen.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ind w:right="301"/>
              <w:rPr>
                <w:rFonts w:cstheme="minorHAnsi"/>
                <w:b/>
                <w:bCs/>
                <w:sz w:val="18"/>
                <w:szCs w:val="18"/>
                <w:lang w:eastAsia="en-US"/>
              </w:rPr>
            </w:pPr>
            <w:r w:rsidRPr="00E15D20">
              <w:rPr>
                <w:rFonts w:cstheme="minorHAnsi"/>
                <w:b/>
                <w:bCs/>
                <w:sz w:val="18"/>
                <w:szCs w:val="18"/>
              </w:rPr>
              <w:t>Uitgangssituatie op basis van een referentietechniek</w:t>
            </w:r>
          </w:p>
        </w:tc>
        <w:tc>
          <w:tcPr>
            <w:tcW w:w="6800" w:type="dxa"/>
            <w:vAlign w:val="center"/>
          </w:tcPr>
          <w:p w:rsidR="00F43C9B" w:rsidRDefault="00F43C9B" w:rsidP="00F43C9B">
            <w:pPr>
              <w:pStyle w:val="Lijstalinea1"/>
              <w:shd w:val="clear" w:color="auto" w:fill="D9D9D9" w:themeFill="background1" w:themeFillShade="D9"/>
              <w:tabs>
                <w:tab w:val="left" w:pos="129"/>
              </w:tabs>
              <w:ind w:right="301"/>
              <w:rPr>
                <w:rFonts w:asciiTheme="minorHAnsi" w:hAnsiTheme="minorHAnsi" w:cstheme="minorHAnsi"/>
                <w:sz w:val="18"/>
                <w:szCs w:val="18"/>
              </w:rPr>
            </w:pPr>
            <w:r w:rsidRPr="00D0146C">
              <w:rPr>
                <w:rFonts w:asciiTheme="minorHAnsi" w:hAnsiTheme="minorHAnsi" w:cstheme="minorHAnsi"/>
                <w:bCs/>
                <w:sz w:val="18"/>
                <w:szCs w:val="18"/>
              </w:rPr>
              <w:t>Weersafhankelijke regeling ontbreekt op een cv-groep met hogetemperatuurverwarming.</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ind w:right="301"/>
              <w:rPr>
                <w:rFonts w:cstheme="minorHAnsi"/>
                <w:b/>
                <w:bCs/>
                <w:sz w:val="18"/>
                <w:szCs w:val="18"/>
                <w:lang w:eastAsia="en-US"/>
              </w:rPr>
            </w:pPr>
            <w:r w:rsidRPr="00E15D20">
              <w:rPr>
                <w:rFonts w:cstheme="minorHAnsi"/>
                <w:b/>
                <w:bCs/>
                <w:sz w:val="18"/>
                <w:szCs w:val="18"/>
              </w:rPr>
              <w:t>Technische randvoorwaarden</w:t>
            </w:r>
          </w:p>
        </w:tc>
        <w:tc>
          <w:tcPr>
            <w:tcW w:w="6800" w:type="dxa"/>
            <w:vAlign w:val="center"/>
          </w:tcPr>
          <w:p w:rsidR="00F43C9B" w:rsidRDefault="00F43C9B" w:rsidP="00F43C9B">
            <w:pPr>
              <w:shd w:val="clear" w:color="auto" w:fill="D9D9D9" w:themeFill="background1" w:themeFillShade="D9"/>
              <w:ind w:right="301"/>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ind w:right="301"/>
              <w:rPr>
                <w:rFonts w:cstheme="minorHAnsi"/>
                <w:b/>
                <w:bCs/>
                <w:sz w:val="18"/>
                <w:szCs w:val="18"/>
                <w:lang w:eastAsia="en-US"/>
              </w:rPr>
            </w:pPr>
            <w:r w:rsidRPr="00E15D20">
              <w:rPr>
                <w:rFonts w:cstheme="minorHAnsi"/>
                <w:b/>
                <w:bCs/>
                <w:sz w:val="18"/>
                <w:szCs w:val="18"/>
              </w:rPr>
              <w:t>Economische randvoorwaarden</w:t>
            </w:r>
          </w:p>
        </w:tc>
        <w:tc>
          <w:tcPr>
            <w:tcW w:w="6800" w:type="dxa"/>
            <w:vAlign w:val="center"/>
          </w:tcPr>
          <w:p w:rsidR="00F43C9B" w:rsidRDefault="00F43C9B" w:rsidP="00F43C9B">
            <w:pPr>
              <w:shd w:val="clear" w:color="auto" w:fill="D9D9D9" w:themeFill="background1" w:themeFillShade="D9"/>
              <w:ind w:right="301"/>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ind w:right="301"/>
              <w:rPr>
                <w:rFonts w:cstheme="minorHAnsi"/>
                <w:b/>
                <w:bCs/>
                <w:sz w:val="18"/>
                <w:szCs w:val="18"/>
                <w:lang w:eastAsia="en-US"/>
              </w:rPr>
            </w:pPr>
            <w:r w:rsidRPr="00E15D20">
              <w:rPr>
                <w:rFonts w:cstheme="minorHAnsi"/>
                <w:b/>
                <w:bCs/>
                <w:sz w:val="18"/>
                <w:szCs w:val="18"/>
              </w:rPr>
              <w:t xml:space="preserve">Toepasbaar op een zelfstandig of natuurlijk </w:t>
            </w:r>
            <w:r>
              <w:rPr>
                <w:rFonts w:cstheme="minorHAnsi"/>
                <w:b/>
                <w:bCs/>
                <w:sz w:val="18"/>
                <w:szCs w:val="18"/>
              </w:rPr>
              <w:t>moment?</w:t>
            </w:r>
          </w:p>
        </w:tc>
        <w:tc>
          <w:tcPr>
            <w:tcW w:w="68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ind w:right="301"/>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ind w:right="301"/>
              <w:rPr>
                <w:rFonts w:cstheme="minorHAnsi"/>
                <w:b/>
                <w:bCs/>
                <w:sz w:val="18"/>
                <w:szCs w:val="18"/>
                <w:lang w:eastAsia="en-US"/>
              </w:rPr>
            </w:pPr>
            <w:r w:rsidRPr="00E15D20">
              <w:rPr>
                <w:rFonts w:cstheme="minorHAnsi"/>
                <w:b/>
                <w:bCs/>
                <w:sz w:val="18"/>
                <w:szCs w:val="18"/>
              </w:rPr>
              <w:t>Alternatieve erkende maatregelen</w:t>
            </w:r>
          </w:p>
        </w:tc>
        <w:tc>
          <w:tcPr>
            <w:tcW w:w="6800" w:type="dxa"/>
            <w:vAlign w:val="center"/>
          </w:tcPr>
          <w:p w:rsidR="00F43C9B" w:rsidRDefault="00F43C9B" w:rsidP="00F43C9B">
            <w:pPr>
              <w:shd w:val="clear" w:color="auto" w:fill="D9D9D9" w:themeFill="background1" w:themeFillShade="D9"/>
              <w:ind w:right="301"/>
              <w:rPr>
                <w:rFonts w:cstheme="minorHAnsi"/>
                <w:sz w:val="18"/>
                <w:szCs w:val="18"/>
                <w:lang w:eastAsia="en-US"/>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ind w:right="301"/>
              <w:rPr>
                <w:rFonts w:cstheme="minorHAnsi"/>
                <w:b/>
                <w:bCs/>
                <w:sz w:val="18"/>
                <w:szCs w:val="18"/>
                <w:lang w:eastAsia="en-US"/>
              </w:rPr>
            </w:pPr>
            <w:r w:rsidRPr="00E15D20">
              <w:rPr>
                <w:rFonts w:cstheme="minorHAnsi"/>
                <w:b/>
                <w:bCs/>
                <w:sz w:val="18"/>
                <w:szCs w:val="18"/>
              </w:rPr>
              <w:t>Bijzondere omstandigheden</w:t>
            </w:r>
          </w:p>
        </w:tc>
        <w:tc>
          <w:tcPr>
            <w:tcW w:w="6800" w:type="dxa"/>
            <w:vAlign w:val="center"/>
          </w:tcPr>
          <w:p w:rsidR="00F43C9B" w:rsidRDefault="00F43C9B" w:rsidP="00F43C9B">
            <w:pPr>
              <w:shd w:val="clear" w:color="auto" w:fill="D9D9D9" w:themeFill="background1" w:themeFillShade="D9"/>
              <w:ind w:right="301"/>
              <w:rPr>
                <w:rFonts w:cstheme="minorHAnsi"/>
                <w:i/>
                <w:iCs/>
                <w:sz w:val="18"/>
                <w:szCs w:val="18"/>
                <w:lang w:eastAsia="en-US"/>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p w:rsidR="00F43C9B" w:rsidRDefault="00F43C9B" w:rsidP="00F43C9B">
      <w:pPr>
        <w:shd w:val="clear" w:color="auto" w:fill="D9D9D9" w:themeFill="background1" w:themeFillShade="D9"/>
        <w:rPr>
          <w:rFonts w:cstheme="minorHAnsi"/>
          <w:sz w:val="18"/>
          <w:szCs w:val="18"/>
          <w:lang w:eastAsia="en-US"/>
        </w:rPr>
      </w:pP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0"/>
        <w:gridCol w:w="6800"/>
      </w:tblGrid>
      <w:tr w:rsidR="00F43C9B" w:rsidRPr="00E15D20" w:rsidTr="00F43C9B">
        <w:tc>
          <w:tcPr>
            <w:tcW w:w="4000"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D0146C">
              <w:rPr>
                <w:rFonts w:cstheme="minorHAnsi"/>
                <w:b/>
                <w:sz w:val="18"/>
                <w:szCs w:val="18"/>
                <w:lang w:eastAsia="en-US"/>
              </w:rPr>
              <w:br w:type="column"/>
            </w:r>
            <w:r>
              <w:rPr>
                <w:rFonts w:cstheme="minorHAnsi"/>
                <w:b/>
                <w:bCs/>
                <w:sz w:val="18"/>
                <w:szCs w:val="18"/>
              </w:rPr>
              <w:t>Activiteit</w:t>
            </w:r>
          </w:p>
        </w:tc>
        <w:tc>
          <w:tcPr>
            <w:tcW w:w="68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8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6</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Omschrijving </w:t>
            </w:r>
            <w:r>
              <w:rPr>
                <w:rFonts w:cstheme="minorHAnsi"/>
                <w:b/>
                <w:bCs/>
                <w:sz w:val="18"/>
                <w:szCs w:val="18"/>
              </w:rPr>
              <w:t>maatregel</w:t>
            </w:r>
          </w:p>
        </w:tc>
        <w:tc>
          <w:tcPr>
            <w:tcW w:w="68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Opstarttijd cv-installatie regelen op basis van buitentemperatuur en interne warmtelast.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6800" w:type="dxa"/>
            <w:vAlign w:val="center"/>
          </w:tcPr>
          <w:p w:rsidR="00F43C9B" w:rsidRDefault="00F43C9B" w:rsidP="00F43C9B">
            <w:pPr>
              <w:pStyle w:val="Lijstalinea1"/>
              <w:shd w:val="clear" w:color="auto" w:fill="D9D9D9" w:themeFill="background1" w:themeFillShade="D9"/>
              <w:tabs>
                <w:tab w:val="left" w:pos="0"/>
              </w:tabs>
              <w:rPr>
                <w:rFonts w:asciiTheme="minorHAnsi" w:hAnsiTheme="minorHAnsi" w:cstheme="minorHAnsi"/>
                <w:sz w:val="18"/>
                <w:szCs w:val="18"/>
              </w:rPr>
            </w:pPr>
            <w:r w:rsidRPr="00D0146C">
              <w:rPr>
                <w:rFonts w:asciiTheme="minorHAnsi" w:hAnsiTheme="minorHAnsi" w:cstheme="minorHAnsi"/>
                <w:sz w:val="18"/>
                <w:szCs w:val="18"/>
              </w:rPr>
              <w:t>Optimaliserende regeling toepassen.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6800" w:type="dxa"/>
            <w:vAlign w:val="center"/>
          </w:tcPr>
          <w:p w:rsidR="00F43C9B" w:rsidRDefault="00F43C9B" w:rsidP="00F43C9B">
            <w:pPr>
              <w:pStyle w:val="Lijstalinea1"/>
              <w:shd w:val="clear" w:color="auto" w:fill="D9D9D9" w:themeFill="background1" w:themeFillShade="D9"/>
              <w:tabs>
                <w:tab w:val="left" w:pos="0"/>
              </w:tabs>
              <w:rPr>
                <w:rFonts w:asciiTheme="minorHAnsi" w:hAnsiTheme="minorHAnsi" w:cstheme="minorHAnsi"/>
                <w:sz w:val="18"/>
                <w:szCs w:val="18"/>
              </w:rPr>
            </w:pPr>
            <w:r w:rsidRPr="00D0146C">
              <w:rPr>
                <w:rFonts w:asciiTheme="minorHAnsi" w:hAnsiTheme="minorHAnsi" w:cstheme="minorHAnsi"/>
                <w:sz w:val="18"/>
                <w:szCs w:val="18"/>
              </w:rPr>
              <w:t>Optimaliserende regeling ontbreekt.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8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Aardgasverbruik is minder dan 170.000 m</w:t>
            </w:r>
            <w:r w:rsidRPr="00D0146C">
              <w:rPr>
                <w:rFonts w:cstheme="minorHAnsi"/>
                <w:sz w:val="18"/>
                <w:szCs w:val="18"/>
                <w:vertAlign w:val="superscript"/>
              </w:rPr>
              <w:t>3</w:t>
            </w:r>
            <w:r w:rsidRPr="00D0146C">
              <w:rPr>
                <w:rFonts w:cstheme="minorHAnsi"/>
                <w:sz w:val="18"/>
                <w:szCs w:val="18"/>
              </w:rPr>
              <w:t xml:space="preserve"> per jaar.</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68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8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8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b/>
          <w:sz w:val="18"/>
          <w:szCs w:val="18"/>
          <w:lang w:eastAsia="en-US"/>
        </w:rPr>
      </w:pPr>
    </w:p>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b/>
          <w:sz w:val="18"/>
          <w:szCs w:val="18"/>
          <w:lang w:eastAsia="en-US"/>
        </w:rPr>
        <w:br w:type="page"/>
      </w:r>
    </w:p>
    <w:p w:rsidR="00F43C9B" w:rsidRPr="00E15D20" w:rsidRDefault="00F43C9B" w:rsidP="00F43C9B">
      <w:pPr>
        <w:shd w:val="clear" w:color="auto" w:fill="D9D9D9" w:themeFill="background1" w:themeFillShade="D9"/>
        <w:rPr>
          <w:rFonts w:cstheme="minorHAnsi"/>
          <w:b/>
          <w:sz w:val="18"/>
          <w:szCs w:val="18"/>
          <w:lang w:eastAsia="en-US"/>
        </w:rPr>
      </w:pPr>
    </w:p>
    <w:tbl>
      <w:tblPr>
        <w:tblW w:w="107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6507"/>
      </w:tblGrid>
      <w:tr w:rsidR="00F43C9B" w:rsidRPr="00E15D20" w:rsidTr="00F43C9B">
        <w:tc>
          <w:tcPr>
            <w:tcW w:w="4193"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50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7</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Warmteverlies via warmwaterleidingen en -appendages beperken in onverwarmde ruimten.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w:t>
            </w:r>
            <w:r>
              <w:rPr>
                <w:rFonts w:cstheme="minorHAnsi"/>
                <w:b/>
                <w:bCs/>
                <w:sz w:val="18"/>
                <w:szCs w:val="18"/>
              </w:rPr>
              <w:t>technieken ten opzichte van uitgangssituatie</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Isolatie aanbrengen om leidingen en appendages.</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Isolatie om leidingen en appendages ontbreekt.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Als fabrikant voorschrijft dat vocht en warmte weg moet kunnen i.v.m. garantie, dan hier rekening mee houden bij keuze isolatiemateriaal.</w:t>
            </w:r>
          </w:p>
        </w:tc>
      </w:tr>
      <w:tr w:rsidR="00F43C9B" w:rsidRPr="00E15D20" w:rsidTr="00F43C9B">
        <w:trPr>
          <w:trHeight w:val="3128"/>
        </w:trPr>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Aardgasverbruik is minder dan 170.000 m</w:t>
            </w:r>
            <w:r w:rsidRPr="00D0146C">
              <w:rPr>
                <w:rFonts w:cstheme="minorHAnsi"/>
                <w:bCs/>
                <w:sz w:val="18"/>
                <w:szCs w:val="18"/>
                <w:vertAlign w:val="superscript"/>
              </w:rPr>
              <w:t>3</w:t>
            </w:r>
            <w:r w:rsidRPr="00D0146C">
              <w:rPr>
                <w:rFonts w:cstheme="minorHAnsi"/>
                <w:bCs/>
                <w:sz w:val="18"/>
                <w:szCs w:val="18"/>
              </w:rPr>
              <w:t xml:space="preserve"> per jaar.</w:t>
            </w:r>
          </w:p>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Bedrijfstijd van installatie behorende bij leidingen en appendages is minimaal 1.250 uur per jaar (ter indicatie: een standaard stookseizoen).</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Natuurlijk moment: Ja.</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N.v.t.</w:t>
            </w:r>
          </w:p>
        </w:tc>
      </w:tr>
      <w:tr w:rsidR="00F43C9B" w:rsidRPr="00E15D20" w:rsidTr="00F43C9B">
        <w:tc>
          <w:tcPr>
            <w:tcW w:w="419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50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b/>
          <w:sz w:val="18"/>
          <w:szCs w:val="18"/>
          <w:lang w:eastAsia="en-US"/>
        </w:rPr>
      </w:pPr>
    </w:p>
    <w:p w:rsidR="00F43C9B" w:rsidRDefault="00F43C9B" w:rsidP="00F43C9B">
      <w:pPr>
        <w:shd w:val="clear" w:color="auto" w:fill="D9D9D9" w:themeFill="background1" w:themeFillShade="D9"/>
        <w:rPr>
          <w:rFonts w:cstheme="minorHAnsi"/>
          <w:b/>
          <w:sz w:val="18"/>
          <w:szCs w:val="18"/>
          <w:lang w:eastAsia="en-US"/>
        </w:rPr>
      </w:pPr>
    </w:p>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b/>
          <w:sz w:val="18"/>
          <w:szCs w:val="18"/>
          <w:lang w:eastAsia="en-US"/>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0"/>
        <w:gridCol w:w="3400"/>
        <w:gridCol w:w="3400"/>
      </w:tblGrid>
      <w:tr w:rsidR="00F43C9B" w:rsidRPr="00E15D20" w:rsidTr="00F43C9B">
        <w:tc>
          <w:tcPr>
            <w:tcW w:w="4000"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Activiteit</w:t>
            </w:r>
          </w:p>
        </w:tc>
        <w:tc>
          <w:tcPr>
            <w:tcW w:w="68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8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8</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Omschrijving maatregel</w:t>
            </w:r>
          </w:p>
        </w:tc>
        <w:tc>
          <w:tcPr>
            <w:tcW w:w="68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Energiezuinige warmteopwekking toepassen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68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Hoogrendementsketel HR107 toepassen.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34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a) Conventioneelrendements- (CR-) of verbeterdrendements- (VR-) ketel is aanwezig voor basislast (bedrijfstijd is meer dan 500 uur per jaar).</w:t>
            </w:r>
          </w:p>
        </w:tc>
        <w:tc>
          <w:tcPr>
            <w:tcW w:w="3400" w:type="dxa"/>
            <w:vAlign w:val="center"/>
          </w:tcPr>
          <w:p w:rsidR="00F43C9B" w:rsidRPr="00E15D20" w:rsidRDefault="00F43C9B" w:rsidP="00F43C9B">
            <w:pPr>
              <w:shd w:val="clear" w:color="auto" w:fill="D9D9D9" w:themeFill="background1" w:themeFillShade="D9"/>
              <w:tabs>
                <w:tab w:val="left" w:pos="129"/>
              </w:tabs>
              <w:contextualSpacing/>
              <w:rPr>
                <w:rFonts w:cstheme="minorHAnsi"/>
                <w:sz w:val="18"/>
                <w:szCs w:val="18"/>
              </w:rPr>
            </w:pPr>
            <w:r w:rsidRPr="00D0146C">
              <w:rPr>
                <w:rFonts w:cstheme="minorHAnsi"/>
                <w:sz w:val="18"/>
                <w:szCs w:val="18"/>
              </w:rPr>
              <w:t>b) Hoogrendementsketel HR100 is aanwezig voor basislast (bedrijfstijd is meer dan 500 uur per jaar).</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8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Retourtemperatuur van ketel kan lager zijn dan 55°C. Hogetemperatuursystemen (zoals warmtapwatersysteem of hogetemperatuurstralingspanelen) verhinderen dat soms.</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Condensafvoer is mogelijk.</w:t>
            </w:r>
          </w:p>
        </w:tc>
      </w:tr>
      <w:tr w:rsidR="00F43C9B" w:rsidRPr="00E15D20" w:rsidTr="00F43C9B">
        <w:trPr>
          <w:trHeight w:val="1765"/>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8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Beperkte isolatie is aanwezig (ter indicatie: minder dan 40 mm isolatie of bouwjaar van 1975 of eerder).</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3400" w:type="dxa"/>
            <w:vAlign w:val="center"/>
          </w:tcPr>
          <w:p w:rsidR="00F43C9B" w:rsidRDefault="00F43C9B" w:rsidP="00F43C9B">
            <w:pPr>
              <w:shd w:val="clear" w:color="auto" w:fill="D9D9D9" w:themeFill="background1" w:themeFillShade="D9"/>
              <w:tabs>
                <w:tab w:val="left" w:pos="180"/>
              </w:tabs>
              <w:rPr>
                <w:rFonts w:cstheme="minorHAnsi"/>
                <w:sz w:val="18"/>
                <w:szCs w:val="18"/>
              </w:rPr>
            </w:pPr>
            <w:r w:rsidRPr="00D0146C">
              <w:rPr>
                <w:rFonts w:cstheme="minorHAnsi"/>
                <w:sz w:val="18"/>
                <w:szCs w:val="18"/>
              </w:rPr>
              <w:t xml:space="preserve">a) </w:t>
            </w:r>
            <w:r w:rsidRPr="00D0146C">
              <w:rPr>
                <w:rFonts w:cstheme="minorHAnsi"/>
                <w:bCs/>
                <w:sz w:val="18"/>
                <w:szCs w:val="18"/>
              </w:rPr>
              <w:t xml:space="preserve">Zelfstandig moment: </w:t>
            </w:r>
            <w:r w:rsidRPr="00D0146C">
              <w:rPr>
                <w:rFonts w:cstheme="minorHAnsi"/>
                <w:sz w:val="18"/>
                <w:szCs w:val="18"/>
              </w:rPr>
              <w:t>Ja, indien bruto vloeroppervlakte meer is dan 10.000 m</w:t>
            </w:r>
            <w:r w:rsidRPr="00D0146C">
              <w:rPr>
                <w:rFonts w:cstheme="minorHAnsi"/>
                <w:sz w:val="18"/>
                <w:szCs w:val="18"/>
                <w:vertAlign w:val="superscript"/>
              </w:rPr>
              <w:t>2</w:t>
            </w:r>
            <w:r w:rsidRPr="00D0146C">
              <w:rPr>
                <w:rFonts w:cstheme="minorHAnsi"/>
                <w:sz w:val="18"/>
                <w:szCs w:val="18"/>
              </w:rPr>
              <w:t>.</w:t>
            </w:r>
          </w:p>
          <w:p w:rsidR="00F43C9B" w:rsidRDefault="00F43C9B" w:rsidP="00F43C9B">
            <w:pPr>
              <w:shd w:val="clear" w:color="auto" w:fill="D9D9D9" w:themeFill="background1" w:themeFillShade="D9"/>
              <w:tabs>
                <w:tab w:val="left" w:pos="252"/>
              </w:tabs>
              <w:ind w:left="360"/>
              <w:rPr>
                <w:rFonts w:cstheme="minorHAnsi"/>
                <w:sz w:val="18"/>
                <w:szCs w:val="18"/>
                <w:lang w:eastAsia="en-US"/>
              </w:rPr>
            </w:pPr>
            <w:r w:rsidRPr="00D0146C">
              <w:rPr>
                <w:rFonts w:cstheme="minorHAnsi"/>
                <w:sz w:val="18"/>
                <w:szCs w:val="18"/>
              </w:rPr>
              <w:t>Natuurlijk moment: Ja.</w:t>
            </w:r>
          </w:p>
        </w:tc>
        <w:tc>
          <w:tcPr>
            <w:tcW w:w="3400" w:type="dxa"/>
            <w:vAlign w:val="center"/>
          </w:tcPr>
          <w:p w:rsidR="00F43C9B" w:rsidRPr="00E15D20" w:rsidRDefault="00F43C9B" w:rsidP="00F43C9B">
            <w:pPr>
              <w:shd w:val="clear" w:color="auto" w:fill="D9D9D9" w:themeFill="background1" w:themeFillShade="D9"/>
              <w:rPr>
                <w:rFonts w:cstheme="minorHAnsi"/>
                <w:bCs/>
                <w:sz w:val="18"/>
                <w:szCs w:val="18"/>
              </w:rPr>
            </w:pPr>
            <w:r w:rsidRPr="00D0146C">
              <w:rPr>
                <w:rFonts w:cstheme="minorHAnsi"/>
                <w:sz w:val="18"/>
                <w:szCs w:val="18"/>
              </w:rPr>
              <w:t xml:space="preserve">b) </w:t>
            </w:r>
            <w:r w:rsidRPr="00D0146C">
              <w:rPr>
                <w:rFonts w:cstheme="minorHAnsi"/>
                <w:bCs/>
                <w:sz w:val="18"/>
                <w:szCs w:val="18"/>
              </w:rPr>
              <w:t>Zelfstandig moment: Nee.</w:t>
            </w:r>
          </w:p>
          <w:p w:rsidR="00F43C9B" w:rsidRDefault="00F43C9B" w:rsidP="00F43C9B">
            <w:pPr>
              <w:shd w:val="clear" w:color="auto" w:fill="D9D9D9" w:themeFill="background1" w:themeFillShade="D9"/>
              <w:tabs>
                <w:tab w:val="left" w:pos="252"/>
              </w:tabs>
              <w:ind w:left="360"/>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34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a) N.v.t.</w:t>
            </w:r>
          </w:p>
        </w:tc>
        <w:tc>
          <w:tcPr>
            <w:tcW w:w="34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b) [4] Warmte uit uitgaande ventilatielucht gebruiken voor voorverwarmen ingaande ventilatielucht bij gebalanceerd ventilatiesysteem.</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8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lang w:eastAsia="en-US"/>
        </w:rPr>
      </w:pPr>
    </w:p>
    <w:p w:rsidR="00F43C9B" w:rsidRDefault="00F43C9B" w:rsidP="00F43C9B">
      <w:pPr>
        <w:shd w:val="clear" w:color="auto" w:fill="D9D9D9" w:themeFill="background1" w:themeFillShade="D9"/>
        <w:rPr>
          <w:rFonts w:cstheme="minorHAnsi"/>
          <w:sz w:val="18"/>
          <w:szCs w:val="18"/>
          <w:lang w:eastAsia="en-US"/>
        </w:rPr>
      </w:pPr>
    </w:p>
    <w:p w:rsidR="00F43C9B" w:rsidRPr="00E15D20"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br w:type="page"/>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0"/>
        <w:gridCol w:w="6800"/>
      </w:tblGrid>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Type maatregel</w:t>
            </w:r>
          </w:p>
        </w:tc>
        <w:tc>
          <w:tcPr>
            <w:tcW w:w="6800" w:type="dxa"/>
            <w:vAlign w:val="center"/>
          </w:tcPr>
          <w:p w:rsidR="00F43C9B" w:rsidRDefault="00F43C9B" w:rsidP="00F43C9B">
            <w:pPr>
              <w:shd w:val="clear" w:color="auto" w:fill="D9D9D9" w:themeFill="background1" w:themeFillShade="D9"/>
              <w:rPr>
                <w:rFonts w:cstheme="minorHAnsi"/>
                <w:sz w:val="18"/>
                <w:szCs w:val="18"/>
                <w:lang w:eastAsia="en-US"/>
              </w:rPr>
            </w:pPr>
            <w:r>
              <w:rPr>
                <w:rFonts w:cstheme="minorHAnsi"/>
                <w:b/>
                <w:bCs/>
                <w:sz w:val="18"/>
                <w:szCs w:val="18"/>
              </w:rPr>
              <w:t>Ruimte- en buitenverlichting</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8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9</w:t>
            </w:r>
          </w:p>
        </w:tc>
      </w:tr>
      <w:tr w:rsidR="00F43C9B" w:rsidRPr="00E15D20" w:rsidTr="00F43C9B">
        <w:trPr>
          <w:trHeight w:val="64"/>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8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Onnodig branden van binnenverlichting in pauzes en buiten bedrijfstijd voorkomen.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6800" w:type="dxa"/>
            <w:vAlign w:val="center"/>
          </w:tcPr>
          <w:p w:rsidR="00F43C9B" w:rsidRDefault="00F43C9B" w:rsidP="00F43C9B">
            <w:pPr>
              <w:pStyle w:val="Lijstalinea1"/>
              <w:shd w:val="clear" w:color="auto" w:fill="D9D9D9" w:themeFill="background1" w:themeFillShade="D9"/>
              <w:tabs>
                <w:tab w:val="left" w:pos="0"/>
              </w:tabs>
              <w:rPr>
                <w:rFonts w:asciiTheme="minorHAnsi" w:hAnsiTheme="minorHAnsi" w:cstheme="minorHAnsi"/>
                <w:sz w:val="18"/>
                <w:szCs w:val="18"/>
              </w:rPr>
            </w:pPr>
            <w:r w:rsidRPr="00D0146C">
              <w:rPr>
                <w:rFonts w:asciiTheme="minorHAnsi" w:hAnsiTheme="minorHAnsi" w:cstheme="minorHAnsi"/>
                <w:sz w:val="18"/>
                <w:szCs w:val="18"/>
              </w:rPr>
              <w:t>Veegschakeling toepassen.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68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bCs/>
                <w:sz w:val="18"/>
                <w:szCs w:val="18"/>
              </w:rPr>
              <w:t>Verlichting wordt handmatig geschakeld per ruimte.</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68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8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8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0"/>
        <w:gridCol w:w="6800"/>
      </w:tblGrid>
      <w:tr w:rsidR="00F43C9B" w:rsidRPr="00E15D20" w:rsidTr="00F43C9B">
        <w:tc>
          <w:tcPr>
            <w:tcW w:w="4000" w:type="dxa"/>
            <w:shd w:val="clear" w:color="auto" w:fill="B3B3B3"/>
          </w:tcPr>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b/>
                <w:sz w:val="18"/>
                <w:szCs w:val="18"/>
              </w:rPr>
              <w:t>Type maatregel</w:t>
            </w:r>
          </w:p>
        </w:tc>
        <w:tc>
          <w:tcPr>
            <w:tcW w:w="6800" w:type="dxa"/>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Ruimte- en buitenverlichting</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Nummer maatregel</w:t>
            </w:r>
          </w:p>
        </w:tc>
        <w:tc>
          <w:tcPr>
            <w:tcW w:w="6800" w:type="dxa"/>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10</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Omschrijving maatregel</w:t>
            </w:r>
          </w:p>
        </w:tc>
        <w:tc>
          <w:tcPr>
            <w:tcW w:w="6800" w:type="dxa"/>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Geïnstalleerd vermogen binnenverlichting beperken.</w:t>
            </w:r>
          </w:p>
        </w:tc>
      </w:tr>
      <w:tr w:rsidR="00F43C9B" w:rsidRPr="00E15D20" w:rsidTr="00F43C9B">
        <w:trPr>
          <w:trHeight w:val="270"/>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technieken ten opzichte van </w:t>
            </w:r>
            <w:r>
              <w:rPr>
                <w:rFonts w:cstheme="minorHAnsi"/>
                <w:b/>
                <w:bCs/>
                <w:sz w:val="18"/>
                <w:szCs w:val="18"/>
              </w:rPr>
              <w:t>uitgangssituatie</w:t>
            </w:r>
          </w:p>
        </w:tc>
        <w:tc>
          <w:tcPr>
            <w:tcW w:w="68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L</w:t>
            </w:r>
            <w:r>
              <w:rPr>
                <w:rStyle w:val="description"/>
                <w:rFonts w:cstheme="minorHAnsi"/>
                <w:sz w:val="18"/>
                <w:szCs w:val="18"/>
              </w:rPr>
              <w:t xml:space="preserve">angwerpige </w:t>
            </w:r>
            <w:r>
              <w:rPr>
                <w:rStyle w:val="Zwaar"/>
                <w:rFonts w:cstheme="minorHAnsi"/>
                <w:sz w:val="18"/>
                <w:szCs w:val="18"/>
              </w:rPr>
              <w:t>fluorescentielamp (</w:t>
            </w:r>
            <w:r w:rsidRPr="00D0146C">
              <w:rPr>
                <w:rFonts w:cstheme="minorHAnsi"/>
                <w:sz w:val="18"/>
                <w:szCs w:val="18"/>
              </w:rPr>
              <w:t>TL5) en adapter toepassen in bestaande armatuur.</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Uitgangssituatie op basis van een referentietechniek</w:t>
            </w:r>
          </w:p>
        </w:tc>
        <w:tc>
          <w:tcPr>
            <w:tcW w:w="68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 xml:space="preserve">Conventionele armaturen met </w:t>
            </w:r>
            <w:r>
              <w:rPr>
                <w:rStyle w:val="description"/>
                <w:rFonts w:asciiTheme="minorHAnsi" w:hAnsiTheme="minorHAnsi" w:cstheme="minorHAnsi"/>
                <w:sz w:val="18"/>
                <w:szCs w:val="18"/>
              </w:rPr>
              <w:t xml:space="preserve">langwerpige </w:t>
            </w:r>
            <w:r>
              <w:rPr>
                <w:rStyle w:val="Zwaar"/>
                <w:rFonts w:asciiTheme="minorHAnsi" w:hAnsiTheme="minorHAnsi" w:cstheme="minorHAnsi"/>
                <w:sz w:val="18"/>
                <w:szCs w:val="18"/>
              </w:rPr>
              <w:t>fluorescentielampen</w:t>
            </w:r>
            <w:r w:rsidRPr="00D0146C">
              <w:rPr>
                <w:rFonts w:asciiTheme="minorHAnsi" w:hAnsiTheme="minorHAnsi" w:cstheme="minorHAnsi"/>
                <w:sz w:val="18"/>
                <w:szCs w:val="18"/>
              </w:rPr>
              <w:t xml:space="preserve"> (TL) zijn aanwezig.</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 xml:space="preserve">Technische </w:t>
            </w:r>
            <w:r>
              <w:rPr>
                <w:rFonts w:cstheme="minorHAnsi"/>
                <w:b/>
                <w:bCs/>
                <w:sz w:val="18"/>
                <w:szCs w:val="18"/>
              </w:rPr>
              <w:t>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Economische 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lang w:eastAsia="en-US"/>
              </w:rPr>
            </w:pPr>
            <w:r w:rsidRPr="00E15D20">
              <w:rPr>
                <w:rFonts w:cstheme="minorHAnsi"/>
                <w:b/>
                <w:bCs/>
                <w:sz w:val="18"/>
                <w:szCs w:val="18"/>
              </w:rPr>
              <w:t>Toepasbaar op een zelfstandig of natuurlijk moment?</w:t>
            </w:r>
          </w:p>
        </w:tc>
        <w:tc>
          <w:tcPr>
            <w:tcW w:w="68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Alternatieve erkende maatregelen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8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0"/>
        <w:gridCol w:w="2266"/>
        <w:gridCol w:w="21"/>
        <w:gridCol w:w="2246"/>
        <w:gridCol w:w="2267"/>
      </w:tblGrid>
      <w:tr w:rsidR="00F43C9B" w:rsidRPr="00E15D20" w:rsidTr="00F43C9B">
        <w:tc>
          <w:tcPr>
            <w:tcW w:w="40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 en buitenverlichting</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11</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Geïnstalleerd vermogen accentverlichting beperken.</w:t>
            </w:r>
          </w:p>
        </w:tc>
      </w:tr>
      <w:tr w:rsidR="00F43C9B" w:rsidRPr="00E15D20" w:rsidTr="00F43C9B">
        <w:trPr>
          <w:trHeight w:val="333"/>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2266"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Led-lamp toepassen in bestaande armatuur.</w:t>
            </w:r>
          </w:p>
        </w:tc>
        <w:tc>
          <w:tcPr>
            <w:tcW w:w="2267"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PL-lamp (traditionele spaarlamp) toepassen in bestaande armatuur.</w:t>
            </w:r>
          </w:p>
        </w:tc>
        <w:tc>
          <w:tcPr>
            <w:tcW w:w="2267"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Led-lamp toepassen in bestaande armatuur.</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2287"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Halogeenlamp is aanwezig.</w:t>
            </w:r>
          </w:p>
        </w:tc>
        <w:tc>
          <w:tcPr>
            <w:tcW w:w="4513"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Gloeilamp is aanwezig.</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800" w:type="dxa"/>
            <w:gridSpan w:val="4"/>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0"/>
        <w:gridCol w:w="2266"/>
        <w:gridCol w:w="21"/>
        <w:gridCol w:w="2246"/>
        <w:gridCol w:w="22"/>
        <w:gridCol w:w="2245"/>
      </w:tblGrid>
      <w:tr w:rsidR="00F43C9B" w:rsidRPr="00E15D20" w:rsidTr="00F43C9B">
        <w:tc>
          <w:tcPr>
            <w:tcW w:w="40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Buitenverlichting</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12</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Onnodig branden van buitenverlichting voorkomen zodat verlichting alleen brandt als het donker is, en per nacht minimaal 6 uur uit is of alleen bij beweging brandt.</w:t>
            </w:r>
          </w:p>
        </w:tc>
      </w:tr>
      <w:tr w:rsidR="00F43C9B" w:rsidRPr="00E15D20" w:rsidTr="00F43C9B">
        <w:trPr>
          <w:trHeight w:val="333"/>
        </w:trPr>
        <w:tc>
          <w:tcPr>
            <w:tcW w:w="40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2266" w:type="dxa"/>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Bewegingsensor en schemerschakelaar en tijdschakelklok toepassen.</w:t>
            </w:r>
          </w:p>
        </w:tc>
        <w:tc>
          <w:tcPr>
            <w:tcW w:w="2267" w:type="dxa"/>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Schemerschakelaar en tijdschakelaar toepassen.</w:t>
            </w:r>
          </w:p>
        </w:tc>
        <w:tc>
          <w:tcPr>
            <w:tcW w:w="2267" w:type="dxa"/>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Schemerschakelaar en tijdschakelaar toepassen.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4555" w:type="dxa"/>
            <w:gridSpan w:val="4"/>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a en b) Schemerschakelaar of tijdschakelklok ontbreekt bij overige buitenverlichting.</w:t>
            </w:r>
          </w:p>
        </w:tc>
        <w:tc>
          <w:tcPr>
            <w:tcW w:w="2245"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c) Automatische aan- en uitschakeling ontbreekt bij reclameverlichting (verlichting is ’s nachts aan).</w:t>
            </w:r>
          </w:p>
        </w:tc>
      </w:tr>
      <w:tr w:rsidR="00F43C9B" w:rsidRPr="00E15D20" w:rsidTr="00F43C9B">
        <w:trPr>
          <w:trHeight w:val="127"/>
        </w:trPr>
        <w:tc>
          <w:tcPr>
            <w:tcW w:w="40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2287" w:type="dxa"/>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Snelstartende lampen.</w:t>
            </w:r>
          </w:p>
        </w:tc>
        <w:tc>
          <w:tcPr>
            <w:tcW w:w="4513" w:type="dxa"/>
            <w:gridSpan w:val="3"/>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en c) N.v.t.</w:t>
            </w:r>
          </w:p>
        </w:tc>
      </w:tr>
      <w:tr w:rsidR="00F43C9B" w:rsidRPr="00E15D20" w:rsidTr="00F43C9B">
        <w:trPr>
          <w:trHeight w:val="257"/>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Toepasbaar op een zelfstandig of natuurlijk </w:t>
            </w:r>
            <w:r>
              <w:rPr>
                <w:rFonts w:cstheme="minorHAnsi"/>
                <w:b/>
                <w:bCs/>
                <w:sz w:val="18"/>
                <w:szCs w:val="18"/>
              </w:rPr>
              <w:t>moment?</w:t>
            </w:r>
          </w:p>
        </w:tc>
        <w:tc>
          <w:tcPr>
            <w:tcW w:w="4555" w:type="dxa"/>
            <w:gridSpan w:val="4"/>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a en b) Zelfstandig moment: Ja, indien minimaal 50 armaturen aanwezig zijn.</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c>
          <w:tcPr>
            <w:tcW w:w="2245" w:type="dxa"/>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c</w:t>
            </w:r>
            <w:r w:rsidRPr="00D0146C">
              <w:rPr>
                <w:rFonts w:cstheme="minorHAnsi"/>
                <w:sz w:val="18"/>
                <w:szCs w:val="18"/>
              </w:rPr>
              <w:t xml:space="preserve"> 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0"/>
        <w:gridCol w:w="1700"/>
        <w:gridCol w:w="1700"/>
        <w:gridCol w:w="21"/>
        <w:gridCol w:w="1679"/>
        <w:gridCol w:w="1700"/>
      </w:tblGrid>
      <w:tr w:rsidR="00F43C9B" w:rsidRPr="00E15D20" w:rsidTr="00F43C9B">
        <w:tc>
          <w:tcPr>
            <w:tcW w:w="40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 en buitenverlichting</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13</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Geïnstalleerd vermogen buitenverlichting beperken.</w:t>
            </w:r>
          </w:p>
        </w:tc>
      </w:tr>
      <w:tr w:rsidR="00F43C9B" w:rsidRPr="00E15D20" w:rsidTr="00F43C9B">
        <w:trPr>
          <w:trHeight w:val="333"/>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17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Led-lamp toepassen in bestaande armatuur.</w:t>
            </w:r>
          </w:p>
        </w:tc>
        <w:tc>
          <w:tcPr>
            <w:tcW w:w="17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Natriumlamp toepassen in bestaande armatuur.</w:t>
            </w:r>
          </w:p>
        </w:tc>
        <w:tc>
          <w:tcPr>
            <w:tcW w:w="17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Metaalhalogenidelamp toepassen in bestaande armatuur.</w:t>
            </w:r>
          </w:p>
        </w:tc>
        <w:tc>
          <w:tcPr>
            <w:tcW w:w="17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d) Natriumlamp toepassen in bestaande armatuur.</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3421" w:type="dxa"/>
            <w:gridSpan w:val="3"/>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 en b) Halogeenlamp is aanwezig.</w:t>
            </w:r>
          </w:p>
        </w:tc>
        <w:tc>
          <w:tcPr>
            <w:tcW w:w="3379"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c en d) Hoge druk kwiklamp is aanwezig.</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800" w:type="dxa"/>
            <w:gridSpan w:val="5"/>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800" w:type="dxa"/>
            <w:gridSpan w:val="5"/>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800" w:type="dxa"/>
            <w:gridSpan w:val="5"/>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800"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0"/>
        <w:gridCol w:w="2266"/>
        <w:gridCol w:w="2267"/>
        <w:gridCol w:w="22"/>
        <w:gridCol w:w="2245"/>
      </w:tblGrid>
      <w:tr w:rsidR="00F43C9B" w:rsidRPr="00E15D20" w:rsidTr="00F43C9B">
        <w:tc>
          <w:tcPr>
            <w:tcW w:w="40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Ruimte- en buitenverlichting</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14</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Geïnstalleerd vermogen reclameverlichting beperken.</w:t>
            </w:r>
          </w:p>
        </w:tc>
      </w:tr>
      <w:tr w:rsidR="00F43C9B" w:rsidRPr="00E15D20" w:rsidTr="00F43C9B">
        <w:trPr>
          <w:trHeight w:val="333"/>
        </w:trPr>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2266"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Led-lamp in bestaaande armatuur toepassen.</w:t>
            </w:r>
          </w:p>
        </w:tc>
        <w:tc>
          <w:tcPr>
            <w:tcW w:w="2267"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 xml:space="preserve">b) Armatuur met </w:t>
            </w:r>
            <w:r>
              <w:rPr>
                <w:rStyle w:val="description"/>
                <w:rFonts w:cstheme="minorHAnsi"/>
                <w:sz w:val="18"/>
                <w:szCs w:val="18"/>
              </w:rPr>
              <w:t xml:space="preserve">langwerpige </w:t>
            </w:r>
            <w:r>
              <w:rPr>
                <w:rStyle w:val="Zwaar"/>
                <w:rFonts w:cstheme="minorHAnsi"/>
                <w:sz w:val="18"/>
                <w:szCs w:val="18"/>
              </w:rPr>
              <w:t>fluorescentielamp</w:t>
            </w:r>
            <w:r w:rsidRPr="00D0146C">
              <w:rPr>
                <w:rFonts w:cstheme="minorHAnsi"/>
                <w:sz w:val="18"/>
                <w:szCs w:val="18"/>
              </w:rPr>
              <w:t xml:space="preserve"> (TL5) toepassen.</w:t>
            </w:r>
          </w:p>
        </w:tc>
        <w:tc>
          <w:tcPr>
            <w:tcW w:w="2267"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Led-lamp in bestaande armatuur toepassen.</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4555"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en b) Gloeilamp is aanwezig.</w:t>
            </w:r>
          </w:p>
        </w:tc>
        <w:tc>
          <w:tcPr>
            <w:tcW w:w="2245"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c) Halogeenlamp is aanwezig.</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800" w:type="dxa"/>
            <w:gridSpan w:val="4"/>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8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0"/>
        <w:gridCol w:w="6800"/>
      </w:tblGrid>
      <w:tr w:rsidR="00F43C9B" w:rsidRPr="00E15D20" w:rsidTr="00F43C9B">
        <w:tc>
          <w:tcPr>
            <w:tcW w:w="4000" w:type="dxa"/>
            <w:shd w:val="clear" w:color="auto" w:fill="B3B3B3"/>
          </w:tcPr>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sz w:val="18"/>
                <w:szCs w:val="18"/>
                <w:lang w:eastAsia="en-US"/>
              </w:rPr>
              <w:br w:type="column"/>
            </w:r>
            <w:r w:rsidRPr="00D0146C">
              <w:rPr>
                <w:rFonts w:cstheme="minorHAnsi"/>
                <w:b/>
                <w:sz w:val="18"/>
                <w:szCs w:val="18"/>
              </w:rPr>
              <w:t>Activiteit</w:t>
            </w:r>
          </w:p>
        </w:tc>
        <w:tc>
          <w:tcPr>
            <w:tcW w:w="6800" w:type="dxa"/>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Nummer maatregel</w:t>
            </w:r>
          </w:p>
        </w:tc>
        <w:tc>
          <w:tcPr>
            <w:tcW w:w="6800" w:type="dxa"/>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15</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8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Energiezuinige warmteopwekking van tapwater toepassen.</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Mogelijke technieken ten opzichte van uitgangssituatie</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Gasgestookte hoogrendements- (HR-) boiler toepassen.</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 xml:space="preserve">Uitgangssituatie op </w:t>
            </w:r>
            <w:r w:rsidRPr="00D0146C">
              <w:rPr>
                <w:rFonts w:cstheme="minorHAnsi"/>
                <w:b/>
                <w:sz w:val="18"/>
                <w:szCs w:val="18"/>
              </w:rPr>
              <w:t>basis van een referentietechniek</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Conventionele gasgestookte boiler is aanwezig.</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Technische randvoorwaarden</w:t>
            </w:r>
          </w:p>
        </w:tc>
        <w:tc>
          <w:tcPr>
            <w:tcW w:w="68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Condensafvoer is mogelijk.</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Economische randvoorwaarden</w:t>
            </w:r>
          </w:p>
        </w:tc>
        <w:tc>
          <w:tcPr>
            <w:tcW w:w="6800" w:type="dxa"/>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bCs/>
                <w:sz w:val="18"/>
                <w:szCs w:val="18"/>
              </w:rPr>
              <w:t>Toepasbaar op een zelfstandig of natuurlijk moment?</w:t>
            </w:r>
          </w:p>
        </w:tc>
        <w:tc>
          <w:tcPr>
            <w:tcW w:w="6800" w:type="dxa"/>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 xml:space="preserve">Zelfstandig moment: </w:t>
            </w:r>
            <w:r w:rsidRPr="00D0146C">
              <w:rPr>
                <w:rFonts w:cstheme="minorHAnsi"/>
                <w:sz w:val="18"/>
                <w:szCs w:val="18"/>
              </w:rPr>
              <w:t>Ja, indien bruto vloeroppervlakte meer is dan 10.000 m</w:t>
            </w:r>
            <w:r w:rsidRPr="00D0146C">
              <w:rPr>
                <w:rFonts w:cstheme="minorHAnsi"/>
                <w:sz w:val="18"/>
                <w:szCs w:val="18"/>
                <w:vertAlign w:val="superscript"/>
              </w:rPr>
              <w:t>2</w:t>
            </w:r>
            <w:r w:rsidRPr="00D0146C">
              <w:rPr>
                <w:rFonts w:cstheme="minorHAnsi"/>
                <w:sz w:val="18"/>
                <w:szCs w:val="18"/>
              </w:rPr>
              <w:t>.</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Alternatieve erkende maatregelen</w:t>
            </w:r>
          </w:p>
        </w:tc>
        <w:tc>
          <w:tcPr>
            <w:tcW w:w="6800" w:type="dxa"/>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4000"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Bijzondere omstandigheden</w:t>
            </w:r>
          </w:p>
        </w:tc>
        <w:tc>
          <w:tcPr>
            <w:tcW w:w="6800" w:type="dxa"/>
            <w:vAlign w:val="center"/>
          </w:tcPr>
          <w:p w:rsidR="00F43C9B" w:rsidRDefault="00F43C9B" w:rsidP="00F43C9B">
            <w:pPr>
              <w:shd w:val="clear" w:color="auto" w:fill="D9D9D9" w:themeFill="background1" w:themeFillShade="D9"/>
              <w:rPr>
                <w:rFonts w:cstheme="minorHAnsi"/>
                <w:i/>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Default="00F43C9B" w:rsidP="00F43C9B">
      <w:pPr>
        <w:shd w:val="clear" w:color="auto" w:fill="D9D9D9" w:themeFill="background1" w:themeFillShade="D9"/>
        <w:rPr>
          <w:rFonts w:cstheme="minorHAnsi"/>
          <w:bCs/>
          <w:sz w:val="18"/>
          <w:szCs w:val="18"/>
          <w:u w:val="single"/>
        </w:rPr>
      </w:pPr>
    </w:p>
    <w:p w:rsidR="00F43C9B" w:rsidRPr="00E15D20" w:rsidRDefault="00F43C9B" w:rsidP="00F43C9B">
      <w:pPr>
        <w:shd w:val="clear" w:color="auto" w:fill="D9D9D9" w:themeFill="background1" w:themeFillShade="D9"/>
        <w:rPr>
          <w:rFonts w:cstheme="minorHAnsi"/>
          <w:bCs/>
          <w:sz w:val="18"/>
          <w:szCs w:val="18"/>
          <w:u w:val="single"/>
        </w:rPr>
      </w:pPr>
      <w:r w:rsidRPr="00D0146C">
        <w:rPr>
          <w:rFonts w:cstheme="minorHAnsi"/>
          <w:bCs/>
          <w:sz w:val="18"/>
          <w:szCs w:val="18"/>
          <w:u w:val="single"/>
        </w:rPr>
        <w:br w:type="page"/>
      </w:r>
    </w:p>
    <w:p w:rsidR="00F43C9B" w:rsidRPr="00E15D20" w:rsidRDefault="00F43C9B" w:rsidP="00F43C9B">
      <w:pPr>
        <w:shd w:val="clear" w:color="auto" w:fill="D9D9D9" w:themeFill="background1" w:themeFillShade="D9"/>
        <w:rPr>
          <w:rFonts w:cstheme="minorHAnsi"/>
          <w:bCs/>
          <w:sz w:val="18"/>
          <w:szCs w:val="18"/>
          <w:u w:val="single"/>
        </w:rPr>
      </w:pPr>
      <w:r w:rsidRPr="00D0146C">
        <w:rPr>
          <w:rFonts w:cstheme="minorHAnsi"/>
          <w:bCs/>
          <w:sz w:val="18"/>
          <w:szCs w:val="18"/>
          <w:u w:val="single"/>
        </w:rPr>
        <w:t>Commerciële datacenters</w:t>
      </w: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Bedrijven met activiteiten voor transport, bewerking en opslag van data door het extern beschikbaar stellen van serverruimten en ICT-apparatuur. Ter indicatie de SBI-codes die voor de indeling van deze bedrijven veelal worden gebruikt: 61, 62, 63.</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In deze bedrijfstak zijn erkende maatregelen aangemerkt voor de in tabel 5.6 genoemde activiteiten en typen maatregelen. Dit zijn erkende maatregelen die betrekking hebben op het energieverbruik van het proces (servers en koeling/ventilatie daarvan).</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Voor eventuele kantoren die behoren bij de datacenters gelden nog geen erkende maatregelen. Bij de aanstaande aanvulling van de bijlage bij de Activiteitenregeling zal worden bezien in hoeverre de in deze bijlage gepubliceerde kantorenlijst ook van toepassing kan worden verklaard op datacenters die tevens enkele kantoorruimten hebben. Tevens zal dan bezien worden of de voorziene aanvulling van de kantorenlijst die op dat moment gepubliceerd wordt ook van toepassing is voor de kantoren die als bijgebouw behoren bij datacenters.</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u w:val="single"/>
        </w:rPr>
        <w:t>Maatregelen</w:t>
      </w:r>
    </w:p>
    <w:p w:rsidR="00F43C9B" w:rsidRDefault="00F43C9B" w:rsidP="00F43C9B">
      <w:pPr>
        <w:shd w:val="clear" w:color="auto" w:fill="D9D9D9" w:themeFill="background1" w:themeFillShade="D9"/>
        <w:rPr>
          <w:rFonts w:cstheme="minorHAnsi"/>
          <w:i/>
          <w:sz w:val="18"/>
          <w:szCs w:val="18"/>
        </w:rPr>
      </w:pPr>
      <w:r w:rsidRPr="00D0146C">
        <w:rPr>
          <w:rFonts w:cstheme="minorHAnsi"/>
          <w:i/>
          <w:sz w:val="18"/>
          <w:szCs w:val="18"/>
        </w:rPr>
        <w:t>Tabel 5.6 Aangewezen erkende maatregelen voor energiebesparing voor commerciële datacenters</w:t>
      </w:r>
    </w:p>
    <w:p w:rsidR="00F43C9B" w:rsidRDefault="00F43C9B" w:rsidP="00F43C9B">
      <w:pPr>
        <w:shd w:val="clear" w:color="auto" w:fill="D9D9D9" w:themeFill="background1" w:themeFillShade="D9"/>
        <w:rPr>
          <w:rFonts w:cstheme="minorHAnsi"/>
          <w:i/>
          <w:sz w:val="18"/>
          <w:szCs w:val="18"/>
        </w:rPr>
      </w:pPr>
    </w:p>
    <w:tbl>
      <w:tblPr>
        <w:tblW w:w="8379" w:type="dxa"/>
        <w:tblInd w:w="55" w:type="dxa"/>
        <w:tblCellMar>
          <w:left w:w="70" w:type="dxa"/>
          <w:right w:w="70" w:type="dxa"/>
        </w:tblCellMar>
        <w:tblLook w:val="00A0" w:firstRow="1" w:lastRow="0" w:firstColumn="1" w:lastColumn="0" w:noHBand="0" w:noVBand="0"/>
      </w:tblPr>
      <w:tblGrid>
        <w:gridCol w:w="6111"/>
        <w:gridCol w:w="2268"/>
      </w:tblGrid>
      <w:tr w:rsidR="00F43C9B" w:rsidRPr="00E15D20" w:rsidTr="00F43C9B">
        <w:trPr>
          <w:trHeight w:val="330"/>
        </w:trPr>
        <w:tc>
          <w:tcPr>
            <w:tcW w:w="6111" w:type="dxa"/>
            <w:tcBorders>
              <w:top w:val="single" w:sz="4" w:space="0" w:color="auto"/>
              <w:left w:val="single" w:sz="4" w:space="0" w:color="auto"/>
              <w:bottom w:val="single" w:sz="4" w:space="0" w:color="auto"/>
              <w:right w:val="nil"/>
            </w:tcBorders>
          </w:tcPr>
          <w:p w:rsidR="00F43C9B" w:rsidRDefault="00F43C9B" w:rsidP="00F43C9B">
            <w:pPr>
              <w:shd w:val="clear" w:color="auto" w:fill="D9D9D9" w:themeFill="background1" w:themeFillShade="D9"/>
              <w:rPr>
                <w:rFonts w:cstheme="minorHAnsi"/>
                <w:sz w:val="18"/>
                <w:szCs w:val="18"/>
              </w:rPr>
            </w:pPr>
            <w:r>
              <w:rPr>
                <w:rFonts w:cstheme="minorHAnsi"/>
                <w:b/>
                <w:bCs/>
                <w:sz w:val="18"/>
                <w:szCs w:val="18"/>
              </w:rPr>
              <w:t>Type maatregelen</w:t>
            </w:r>
          </w:p>
        </w:tc>
        <w:tc>
          <w:tcPr>
            <w:tcW w:w="2268"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nummers</w:t>
            </w:r>
          </w:p>
        </w:tc>
      </w:tr>
      <w:tr w:rsidR="00F43C9B" w:rsidRPr="00E15D20" w:rsidTr="00F43C9B">
        <w:trPr>
          <w:trHeight w:val="300"/>
        </w:trPr>
        <w:tc>
          <w:tcPr>
            <w:tcW w:w="6111" w:type="dxa"/>
            <w:tcBorders>
              <w:top w:val="nil"/>
              <w:left w:val="single" w:sz="4" w:space="0" w:color="auto"/>
              <w:bottom w:val="single" w:sz="4" w:space="0" w:color="auto"/>
              <w:right w:val="nil"/>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Faciliteiten</w:t>
            </w:r>
          </w:p>
        </w:tc>
        <w:tc>
          <w:tcPr>
            <w:tcW w:w="2268"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4</w:t>
            </w:r>
          </w:p>
        </w:tc>
      </w:tr>
      <w:tr w:rsidR="00F43C9B" w:rsidRPr="00E15D20" w:rsidTr="00F43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111" w:type="dxa"/>
            <w:noWrap/>
            <w:vAlign w:val="bottom"/>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Activiteit</w:t>
            </w:r>
          </w:p>
        </w:tc>
        <w:tc>
          <w:tcPr>
            <w:tcW w:w="2268" w:type="dxa"/>
            <w:noWrap/>
            <w:vAlign w:val="bottom"/>
          </w:tcPr>
          <w:p w:rsidR="00F43C9B" w:rsidRDefault="00F43C9B" w:rsidP="00F43C9B">
            <w:pPr>
              <w:shd w:val="clear" w:color="auto" w:fill="D9D9D9" w:themeFill="background1" w:themeFillShade="D9"/>
              <w:rPr>
                <w:rFonts w:cstheme="minorHAnsi"/>
                <w:b/>
                <w:bCs/>
                <w:sz w:val="18"/>
                <w:szCs w:val="18"/>
              </w:rPr>
            </w:pPr>
          </w:p>
        </w:tc>
      </w:tr>
      <w:tr w:rsidR="00F43C9B" w:rsidRPr="00E15D20" w:rsidTr="00F43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6111" w:type="dxa"/>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In werking hebben van een koelinstallatie</w:t>
            </w:r>
          </w:p>
        </w:tc>
        <w:tc>
          <w:tcPr>
            <w:tcW w:w="2268" w:type="dxa"/>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1-3, 5,6</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tabs>
          <w:tab w:val="left" w:pos="2694"/>
        </w:tabs>
        <w:rPr>
          <w:rFonts w:cstheme="minorHAnsi"/>
          <w:b/>
          <w:sz w:val="18"/>
          <w:szCs w:val="18"/>
        </w:rPr>
      </w:pPr>
    </w:p>
    <w:p w:rsidR="00F43C9B" w:rsidRDefault="00F43C9B" w:rsidP="00F43C9B">
      <w:pPr>
        <w:shd w:val="clear" w:color="auto" w:fill="D9D9D9" w:themeFill="background1" w:themeFillShade="D9"/>
        <w:tabs>
          <w:tab w:val="left" w:pos="2694"/>
        </w:tabs>
        <w:rPr>
          <w:rFonts w:cstheme="minorHAnsi"/>
          <w:b/>
          <w:sz w:val="18"/>
          <w:szCs w:val="18"/>
        </w:rPr>
      </w:pPr>
    </w:p>
    <w:p w:rsidR="00F43C9B" w:rsidRDefault="00F43C9B" w:rsidP="00F43C9B">
      <w:pPr>
        <w:shd w:val="clear" w:color="auto" w:fill="D9D9D9" w:themeFill="background1" w:themeFillShade="D9"/>
        <w:tabs>
          <w:tab w:val="left" w:pos="2694"/>
        </w:tabs>
        <w:rPr>
          <w:rFonts w:cstheme="minorHAnsi"/>
          <w:b/>
          <w:sz w:val="18"/>
          <w:szCs w:val="18"/>
        </w:rPr>
      </w:pPr>
      <w:r w:rsidRPr="00D0146C">
        <w:rPr>
          <w:rFonts w:cstheme="minorHAnsi"/>
          <w:b/>
          <w:sz w:val="18"/>
          <w:szCs w:val="18"/>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440"/>
        <w:gridCol w:w="5847"/>
      </w:tblGrid>
      <w:tr w:rsidR="00F43C9B" w:rsidRPr="00E15D20" w:rsidTr="00F43C9B">
        <w:trPr>
          <w:trHeight w:val="219"/>
        </w:trPr>
        <w:tc>
          <w:tcPr>
            <w:tcW w:w="1852" w:type="pct"/>
            <w:shd w:val="clear" w:color="auto" w:fill="A6A6A6"/>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Activiteit</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In werking hebben van een koelinstallatie</w:t>
            </w:r>
          </w:p>
        </w:tc>
      </w:tr>
      <w:tr w:rsidR="00F43C9B" w:rsidRPr="00E15D20" w:rsidTr="00F43C9B">
        <w:trPr>
          <w:trHeight w:val="109"/>
        </w:trPr>
        <w:tc>
          <w:tcPr>
            <w:tcW w:w="1852" w:type="pct"/>
            <w:shd w:val="clear" w:color="auto" w:fill="A6A6A6"/>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Nummer maatregel</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Omschrijving maatregel</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Met hogere koeltemperatuur werken door</w:t>
            </w:r>
            <w:r w:rsidRPr="00D0146C">
              <w:rPr>
                <w:rFonts w:cstheme="minorHAnsi"/>
                <w:sz w:val="18"/>
                <w:szCs w:val="18"/>
              </w:rPr>
              <w:t xml:space="preserve"> warme en koude lucht in zaal te </w:t>
            </w:r>
            <w:r w:rsidRPr="00D0146C">
              <w:rPr>
                <w:rFonts w:cstheme="minorHAnsi"/>
                <w:bCs/>
                <w:sz w:val="18"/>
                <w:szCs w:val="18"/>
              </w:rPr>
              <w:t>scheiden.</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Mogelijke technieken ten opzichte van uitgangssituatie</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 xml:space="preserve">Volledig gescheiden </w:t>
            </w:r>
            <w:r w:rsidRPr="00D0146C">
              <w:rPr>
                <w:rFonts w:cstheme="minorHAnsi"/>
                <w:sz w:val="18"/>
                <w:szCs w:val="18"/>
              </w:rPr>
              <w:t xml:space="preserve">koude- en warme gangen </w:t>
            </w:r>
            <w:r w:rsidRPr="00D0146C">
              <w:rPr>
                <w:rFonts w:cstheme="minorHAnsi"/>
                <w:bCs/>
                <w:sz w:val="18"/>
                <w:szCs w:val="18"/>
              </w:rPr>
              <w:t>toepassen (compartimenteren).</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Uitgangssituatie op basis van een referentietechniek</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Warme</w:t>
            </w:r>
            <w:r w:rsidRPr="00D0146C">
              <w:rPr>
                <w:rFonts w:cstheme="minorHAnsi"/>
                <w:sz w:val="18"/>
                <w:szCs w:val="18"/>
              </w:rPr>
              <w:t xml:space="preserve"> en koude gangen </w:t>
            </w:r>
            <w:r w:rsidRPr="00D0146C">
              <w:rPr>
                <w:rFonts w:cstheme="minorHAnsi"/>
                <w:bCs/>
                <w:sz w:val="18"/>
                <w:szCs w:val="18"/>
              </w:rPr>
              <w:t>zijn afwezig.</w:t>
            </w:r>
          </w:p>
        </w:tc>
      </w:tr>
      <w:tr w:rsidR="00F43C9B" w:rsidRPr="00E15D20" w:rsidTr="00F43C9B">
        <w:trPr>
          <w:trHeight w:val="611"/>
        </w:trPr>
        <w:tc>
          <w:tcPr>
            <w:tcW w:w="1852" w:type="pct"/>
            <w:shd w:val="clear" w:color="auto" w:fill="A6A6A6"/>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Technische randvoorwaarden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Er moet ruimte zijn om racks met servers zodanig op te stellen dat warme en koude gangen zijn te realiseren</w:t>
            </w:r>
            <w:r w:rsidRPr="00D0146C">
              <w:rPr>
                <w:rFonts w:cstheme="minorHAnsi"/>
                <w:sz w:val="18"/>
                <w:szCs w:val="18"/>
              </w:rPr>
              <w:t>.</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 xml:space="preserve">ICT-apparatuur in racks moet aan </w:t>
            </w:r>
            <w:r w:rsidRPr="00D0146C">
              <w:rPr>
                <w:rFonts w:cstheme="minorHAnsi"/>
                <w:bCs/>
                <w:sz w:val="18"/>
                <w:szCs w:val="18"/>
              </w:rPr>
              <w:t>één</w:t>
            </w:r>
            <w:r w:rsidRPr="00D0146C">
              <w:rPr>
                <w:rFonts w:cstheme="minorHAnsi"/>
                <w:sz w:val="18"/>
                <w:szCs w:val="18"/>
              </w:rPr>
              <w:t xml:space="preserve"> zijde van apparatuur</w:t>
            </w:r>
            <w:r w:rsidRPr="00D0146C">
              <w:rPr>
                <w:rFonts w:cstheme="minorHAnsi"/>
                <w:bCs/>
                <w:sz w:val="18"/>
                <w:szCs w:val="18"/>
              </w:rPr>
              <w:t xml:space="preserve"> lucht aanzuigen.</w:t>
            </w:r>
          </w:p>
        </w:tc>
      </w:tr>
      <w:tr w:rsidR="00F43C9B" w:rsidRPr="00E15D20" w:rsidTr="00F43C9B">
        <w:trPr>
          <w:trHeight w:val="308"/>
        </w:trPr>
        <w:tc>
          <w:tcPr>
            <w:tcW w:w="1852" w:type="pct"/>
            <w:shd w:val="clear" w:color="auto" w:fill="A6A6A6"/>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Economische randvoorwaarden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N.v.t.</w:t>
            </w:r>
          </w:p>
        </w:tc>
      </w:tr>
      <w:tr w:rsidR="00F43C9B" w:rsidRPr="00E15D20" w:rsidTr="00F43C9B">
        <w:trPr>
          <w:trHeight w:val="368"/>
        </w:trPr>
        <w:tc>
          <w:tcPr>
            <w:tcW w:w="1852" w:type="pct"/>
            <w:shd w:val="clear" w:color="auto" w:fill="A6A6A6"/>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 xml:space="preserve">Toepasbaar op een zelfstandig </w:t>
            </w:r>
            <w:r w:rsidRPr="00E15D20">
              <w:rPr>
                <w:rFonts w:cstheme="minorHAnsi"/>
                <w:b/>
                <w:bCs/>
                <w:sz w:val="18"/>
                <w:szCs w:val="18"/>
              </w:rPr>
              <w:t xml:space="preserve">of natuurlijk </w:t>
            </w:r>
            <w:r w:rsidRPr="00D0146C">
              <w:rPr>
                <w:rFonts w:cstheme="minorHAnsi"/>
                <w:b/>
                <w:sz w:val="18"/>
                <w:szCs w:val="18"/>
              </w:rPr>
              <w:t>moment?</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r>
      <w:tr w:rsidR="00F43C9B" w:rsidRPr="00E15D20" w:rsidTr="00F43C9B">
        <w:trPr>
          <w:trHeight w:val="240"/>
        </w:trPr>
        <w:tc>
          <w:tcPr>
            <w:tcW w:w="1852" w:type="pct"/>
            <w:shd w:val="clear" w:color="auto" w:fill="A6A6A6"/>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Alternatieve erkende maatregelen.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80"/>
        </w:trPr>
        <w:tc>
          <w:tcPr>
            <w:tcW w:w="1852" w:type="pct"/>
            <w:shd w:val="clear" w:color="auto" w:fill="A6A6A6"/>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Bijzondere omstandigheden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440"/>
        <w:gridCol w:w="5847"/>
      </w:tblGrid>
      <w:tr w:rsidR="00F43C9B" w:rsidRPr="00E15D20" w:rsidTr="00F43C9B">
        <w:trPr>
          <w:trHeight w:val="219"/>
        </w:trPr>
        <w:tc>
          <w:tcPr>
            <w:tcW w:w="1852" w:type="pct"/>
            <w:shd w:val="clear" w:color="auto" w:fill="A6A6A6"/>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
                <w:sz w:val="18"/>
                <w:szCs w:val="18"/>
              </w:rPr>
              <w:t>Activiteit</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In werking hebben van een koelinstallatie</w:t>
            </w:r>
          </w:p>
        </w:tc>
      </w:tr>
      <w:tr w:rsidR="00F43C9B" w:rsidRPr="00E15D20" w:rsidTr="00F43C9B">
        <w:trPr>
          <w:trHeight w:val="109"/>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Nummer maatregel</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Omschrijving maatregel</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Met hogere koeltemperatuur werken door menging van warme en koude lucht bij ongebruikte posities in racks te voorkomen.</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Mogelijke technieken ten opzichte van uitgangssituatie</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Blindplaten toepassen.</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Uitgangssituatie op basis van een referentietechniek</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Blindplaten zijn afwezig.</w:t>
            </w:r>
          </w:p>
        </w:tc>
      </w:tr>
      <w:tr w:rsidR="00F43C9B" w:rsidRPr="00E15D20" w:rsidTr="00F43C9B">
        <w:trPr>
          <w:trHeight w:val="209"/>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Technische randvoorwaarden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08"/>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Economische randvoorwaarden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68"/>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 xml:space="preserve">Toepasbaar op een zelfstandig </w:t>
            </w:r>
            <w:r w:rsidRPr="00E15D20">
              <w:rPr>
                <w:rFonts w:cstheme="minorHAnsi"/>
                <w:b/>
                <w:bCs/>
                <w:sz w:val="18"/>
                <w:szCs w:val="18"/>
              </w:rPr>
              <w:t xml:space="preserve">of natuurlijk </w:t>
            </w:r>
            <w:r w:rsidRPr="00D0146C">
              <w:rPr>
                <w:rFonts w:cstheme="minorHAnsi"/>
                <w:b/>
                <w:sz w:val="18"/>
                <w:szCs w:val="18"/>
              </w:rPr>
              <w:t>moment?</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r>
      <w:tr w:rsidR="00F43C9B" w:rsidRPr="00E15D20" w:rsidTr="00F43C9B">
        <w:trPr>
          <w:trHeight w:val="240"/>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Alternatieve erkende maatregelen</w:t>
            </w:r>
            <w:r w:rsidRPr="00E15D20">
              <w:rPr>
                <w:rFonts w:cstheme="minorHAnsi"/>
                <w:sz w:val="18"/>
                <w:szCs w:val="18"/>
              </w:rPr>
              <w:t>.</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240"/>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Bijzondere omstandigheden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439"/>
        <w:gridCol w:w="2924"/>
        <w:gridCol w:w="2924"/>
      </w:tblGrid>
      <w:tr w:rsidR="00F43C9B" w:rsidRPr="00E15D20" w:rsidTr="00F43C9B">
        <w:trPr>
          <w:trHeight w:val="219"/>
        </w:trPr>
        <w:tc>
          <w:tcPr>
            <w:tcW w:w="1852" w:type="pct"/>
            <w:shd w:val="clear" w:color="auto" w:fill="A6A6A6"/>
          </w:tcPr>
          <w:p w:rsidR="00F43C9B" w:rsidRDefault="00F43C9B" w:rsidP="00F43C9B">
            <w:pPr>
              <w:shd w:val="clear" w:color="auto" w:fill="D9D9D9" w:themeFill="background1" w:themeFillShade="D9"/>
              <w:autoSpaceDE w:val="0"/>
              <w:autoSpaceDN w:val="0"/>
              <w:adjustRightInd w:val="0"/>
              <w:rPr>
                <w:rFonts w:cstheme="minorHAnsi"/>
                <w:sz w:val="18"/>
                <w:szCs w:val="18"/>
              </w:rPr>
            </w:pPr>
            <w:r>
              <w:rPr>
                <w:rFonts w:cstheme="minorHAnsi"/>
                <w:b/>
                <w:sz w:val="18"/>
                <w:szCs w:val="18"/>
              </w:rPr>
              <w:t>A</w:t>
            </w:r>
            <w:r w:rsidRPr="00D0146C">
              <w:rPr>
                <w:rFonts w:cstheme="minorHAnsi"/>
                <w:b/>
                <w:sz w:val="18"/>
                <w:szCs w:val="18"/>
              </w:rPr>
              <w:t>ctiviteit</w:t>
            </w:r>
          </w:p>
        </w:tc>
        <w:tc>
          <w:tcPr>
            <w:tcW w:w="3148" w:type="pct"/>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In werking hebben van een koelinstallatie</w:t>
            </w:r>
          </w:p>
        </w:tc>
      </w:tr>
      <w:tr w:rsidR="00F43C9B" w:rsidRPr="00E15D20" w:rsidTr="00F43C9B">
        <w:trPr>
          <w:trHeight w:val="109"/>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Nummer maatregel</w:t>
            </w:r>
          </w:p>
        </w:tc>
        <w:tc>
          <w:tcPr>
            <w:tcW w:w="3148" w:type="pct"/>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Omschrijving maatregel</w:t>
            </w:r>
          </w:p>
        </w:tc>
        <w:tc>
          <w:tcPr>
            <w:tcW w:w="3148" w:type="pct"/>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Toerental van ventilatoren in zaalkoelers (CRAH’s) beperken.</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Mogelijke technieken ten opzichte van uitgangssituatie</w:t>
            </w:r>
          </w:p>
        </w:tc>
        <w:tc>
          <w:tcPr>
            <w:tcW w:w="1574"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Toerenregeling (sensoren en actuatoren) toepassen op bestaande ventilatoren.</w:t>
            </w:r>
          </w:p>
        </w:tc>
        <w:tc>
          <w:tcPr>
            <w:tcW w:w="1574"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In nieuwe zaalkoelers (CRAH’s) ventilatoren met toerenregeling toepassen.</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Uitgangssituatie op basis van een referentietechniek</w:t>
            </w:r>
          </w:p>
        </w:tc>
        <w:tc>
          <w:tcPr>
            <w:tcW w:w="3148" w:type="pct"/>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Toerentalgeregelde ventilatoren zijn afwezig.</w:t>
            </w:r>
          </w:p>
        </w:tc>
      </w:tr>
      <w:tr w:rsidR="00F43C9B" w:rsidRPr="00E15D20" w:rsidTr="00F43C9B">
        <w:trPr>
          <w:trHeight w:val="209"/>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Technische randvoorwaarden</w:t>
            </w:r>
          </w:p>
        </w:tc>
        <w:tc>
          <w:tcPr>
            <w:tcW w:w="3148" w:type="pct"/>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08"/>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Economische randvoorwaarden</w:t>
            </w:r>
          </w:p>
        </w:tc>
        <w:tc>
          <w:tcPr>
            <w:tcW w:w="3148" w:type="pct"/>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68"/>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 xml:space="preserve">Toepasbaar op een zelfstandig </w:t>
            </w:r>
            <w:r w:rsidRPr="00E15D20">
              <w:rPr>
                <w:rFonts w:cstheme="minorHAnsi"/>
                <w:b/>
                <w:bCs/>
                <w:sz w:val="18"/>
                <w:szCs w:val="18"/>
              </w:rPr>
              <w:t xml:space="preserve">of natuurlijk </w:t>
            </w:r>
            <w:r w:rsidRPr="00D0146C">
              <w:rPr>
                <w:rFonts w:cstheme="minorHAnsi"/>
                <w:b/>
                <w:sz w:val="18"/>
                <w:szCs w:val="18"/>
              </w:rPr>
              <w:t>moment?</w:t>
            </w:r>
          </w:p>
        </w:tc>
        <w:tc>
          <w:tcPr>
            <w:tcW w:w="1574"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Zelfstandig moment: Ja.</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c>
          <w:tcPr>
            <w:tcW w:w="1574" w:type="pct"/>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Zelfstandig moment: Nee.</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r>
      <w:tr w:rsidR="00F43C9B" w:rsidRPr="00E15D20" w:rsidTr="00F43C9B">
        <w:trPr>
          <w:trHeight w:val="240"/>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Alternatieve erkende maatregelen</w:t>
            </w:r>
            <w:r w:rsidRPr="00D0146C">
              <w:rPr>
                <w:rFonts w:cstheme="minorHAnsi"/>
                <w:sz w:val="18"/>
                <w:szCs w:val="18"/>
              </w:rPr>
              <w:t>.</w:t>
            </w:r>
          </w:p>
        </w:tc>
        <w:tc>
          <w:tcPr>
            <w:tcW w:w="3148" w:type="pct"/>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169"/>
        </w:trPr>
        <w:tc>
          <w:tcPr>
            <w:tcW w:w="1852" w:type="pct"/>
            <w:shd w:val="clear" w:color="auto" w:fill="A6A6A6"/>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sz w:val="18"/>
                <w:szCs w:val="18"/>
              </w:rPr>
              <w:t>Bijzondere omstandigheden</w:t>
            </w:r>
          </w:p>
        </w:tc>
        <w:tc>
          <w:tcPr>
            <w:tcW w:w="3148" w:type="pct"/>
            <w:gridSpan w:val="2"/>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440"/>
        <w:gridCol w:w="5847"/>
      </w:tblGrid>
      <w:tr w:rsidR="00F43C9B" w:rsidRPr="00E15D20" w:rsidTr="00F43C9B">
        <w:trPr>
          <w:trHeight w:val="219"/>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
                <w:sz w:val="18"/>
                <w:szCs w:val="18"/>
              </w:rPr>
              <w:t>Type maatregel</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Faciliteiten</w:t>
            </w:r>
          </w:p>
        </w:tc>
      </w:tr>
      <w:tr w:rsidR="00F43C9B" w:rsidRPr="00E15D20" w:rsidTr="00F43C9B">
        <w:trPr>
          <w:trHeight w:val="109"/>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Nummer maatregel</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4</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Omschrijving maatregel</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Energiezuinige UPS toepassen.</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Mogelijke technieken ten opzichte van uitgangssituatie</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Efficiënt UPS-systeem (efficiëntie, bij dubbele conversie, is 96% of hoger) toepassen.</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Uitgangssituatie op basis van een referentietechniek</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Inefficiënte UPS (efficiëntie in deellast is maximaal 91%) is aanwezig.</w:t>
            </w:r>
          </w:p>
        </w:tc>
      </w:tr>
      <w:tr w:rsidR="00F43C9B" w:rsidRPr="00E15D20" w:rsidTr="00F43C9B">
        <w:trPr>
          <w:trHeight w:val="209"/>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Technische randvoorwaarden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08"/>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Economische randvoorwaarden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68"/>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 xml:space="preserve">Toepasbaar op een zelfstandig </w:t>
            </w:r>
            <w:r w:rsidRPr="00E15D20">
              <w:rPr>
                <w:rFonts w:cstheme="minorHAnsi"/>
                <w:b/>
                <w:bCs/>
                <w:sz w:val="18"/>
                <w:szCs w:val="18"/>
              </w:rPr>
              <w:t xml:space="preserve">of natuurlijk </w:t>
            </w:r>
            <w:r w:rsidRPr="00D0146C">
              <w:rPr>
                <w:rFonts w:cstheme="minorHAnsi"/>
                <w:b/>
                <w:sz w:val="18"/>
                <w:szCs w:val="18"/>
              </w:rPr>
              <w:t>moment?</w:t>
            </w:r>
          </w:p>
        </w:tc>
        <w:tc>
          <w:tcPr>
            <w:tcW w:w="3148" w:type="pct"/>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Nee.</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r>
      <w:tr w:rsidR="00F43C9B" w:rsidRPr="00E15D20" w:rsidTr="00F43C9B">
        <w:trPr>
          <w:trHeight w:val="240"/>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Alternatieve erkende maatregelen</w:t>
            </w:r>
            <w:r w:rsidRPr="00E15D20">
              <w:rPr>
                <w:rFonts w:cstheme="minorHAnsi"/>
                <w:sz w:val="18"/>
                <w:szCs w:val="18"/>
              </w:rPr>
              <w:t>.</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153"/>
        </w:trPr>
        <w:tc>
          <w:tcPr>
            <w:tcW w:w="1852" w:type="pct"/>
            <w:shd w:val="clear" w:color="auto" w:fill="A6A6A6"/>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sz w:val="18"/>
                <w:szCs w:val="18"/>
              </w:rPr>
              <w:t>Bijzondere omstandigheden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440"/>
        <w:gridCol w:w="5847"/>
      </w:tblGrid>
      <w:tr w:rsidR="00F43C9B" w:rsidRPr="00E15D20" w:rsidTr="00F43C9B">
        <w:trPr>
          <w:trHeight w:val="219"/>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
                <w:sz w:val="18"/>
                <w:szCs w:val="18"/>
              </w:rPr>
              <w:t>Activiteit</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In werking hebben van een koelinstallatie</w:t>
            </w:r>
          </w:p>
        </w:tc>
      </w:tr>
      <w:tr w:rsidR="00F43C9B" w:rsidRPr="00E15D20" w:rsidTr="00F43C9B">
        <w:trPr>
          <w:trHeight w:val="109"/>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 xml:space="preserve">Nummer </w:t>
            </w:r>
            <w:r w:rsidRPr="00D0146C">
              <w:rPr>
                <w:rFonts w:cstheme="minorHAnsi"/>
                <w:b/>
                <w:sz w:val="18"/>
                <w:szCs w:val="18"/>
              </w:rPr>
              <w:t>maatregel</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5</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Omschrijving maatregel</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Hogere koeltemperaturen realiseren om efficiëntie van compressiekoelmachine te verhogen en om meer gebruik te maken van vrije koeling (beneden 12/13°C buitenluchttemperatuur).</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 xml:space="preserve">Mogelijke technieken ten opzichte van </w:t>
            </w:r>
            <w:r w:rsidRPr="00D0146C">
              <w:rPr>
                <w:rFonts w:cstheme="minorHAnsi"/>
                <w:b/>
                <w:sz w:val="18"/>
                <w:szCs w:val="18"/>
              </w:rPr>
              <w:t>uitgangssituatie</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Zaalkoelers met hogetemperatuurkoeling (ter indicatie: koelwater is minimaal 18°C).</w:t>
            </w:r>
          </w:p>
        </w:tc>
      </w:tr>
      <w:tr w:rsidR="00F43C9B" w:rsidRPr="00E15D20" w:rsidTr="00F43C9B">
        <w:trPr>
          <w:trHeight w:val="262"/>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Uitgangssituatie op basis van een referentietechniek</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Zaalkoelers met lagetemperatuurkoeling (ter indicatie: koelwater is maximaal 12°C).</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Seizoensgemiddelde COP van bestaande compressiekoelmachine is maximaal 3,5 bij groot datacenter en maximaal 5,0 bij klein datacenter.</w:t>
            </w:r>
          </w:p>
        </w:tc>
      </w:tr>
      <w:tr w:rsidR="00F43C9B" w:rsidRPr="00E15D20" w:rsidTr="00F43C9B">
        <w:trPr>
          <w:trHeight w:val="209"/>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Technische randvoorwaarden</w:t>
            </w:r>
          </w:p>
        </w:tc>
        <w:tc>
          <w:tcPr>
            <w:tcW w:w="3148" w:type="pct"/>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Gescheiden koude en warme gangen met vrije koeling zijn aanwezig.</w:t>
            </w:r>
          </w:p>
        </w:tc>
      </w:tr>
      <w:tr w:rsidR="00F43C9B" w:rsidRPr="00E15D20" w:rsidTr="00F43C9B">
        <w:trPr>
          <w:trHeight w:val="308"/>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Economische randvoorwaarden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68"/>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 xml:space="preserve">Toepasbaar op een zelfstandig </w:t>
            </w:r>
            <w:r>
              <w:rPr>
                <w:rFonts w:cstheme="minorHAnsi"/>
                <w:b/>
                <w:bCs/>
                <w:sz w:val="18"/>
                <w:szCs w:val="18"/>
              </w:rPr>
              <w:t xml:space="preserve">of natuurlijk </w:t>
            </w:r>
            <w:r w:rsidRPr="00D0146C">
              <w:rPr>
                <w:rFonts w:cstheme="minorHAnsi"/>
                <w:b/>
                <w:sz w:val="18"/>
                <w:szCs w:val="18"/>
              </w:rPr>
              <w:t>moment?</w:t>
            </w:r>
          </w:p>
        </w:tc>
        <w:tc>
          <w:tcPr>
            <w:tcW w:w="3148" w:type="pct"/>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Nee.</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r>
      <w:tr w:rsidR="00F43C9B" w:rsidRPr="00E15D20" w:rsidTr="00F43C9B">
        <w:trPr>
          <w:trHeight w:val="240"/>
        </w:trPr>
        <w:tc>
          <w:tcPr>
            <w:tcW w:w="1852"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Alternatieve erkende maatregelen</w:t>
            </w:r>
            <w:r w:rsidRPr="00D0146C">
              <w:rPr>
                <w:rFonts w:cstheme="minorHAnsi"/>
                <w:sz w:val="18"/>
                <w:szCs w:val="18"/>
              </w:rPr>
              <w:t>.</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171"/>
        </w:trPr>
        <w:tc>
          <w:tcPr>
            <w:tcW w:w="1852" w:type="pct"/>
            <w:shd w:val="clear" w:color="auto" w:fill="A6A6A6"/>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sz w:val="18"/>
                <w:szCs w:val="18"/>
              </w:rPr>
              <w:t>Bijzondere omstandigheden</w:t>
            </w:r>
          </w:p>
        </w:tc>
        <w:tc>
          <w:tcPr>
            <w:tcW w:w="3148" w:type="pct"/>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r w:rsidRPr="00D0146C">
        <w:rPr>
          <w:rFonts w:cstheme="minorHAnsi"/>
          <w:sz w:val="18"/>
          <w:szCs w:val="18"/>
        </w:rPr>
        <w:br w:type="page"/>
      </w:r>
    </w:p>
    <w:p w:rsidR="00F43C9B" w:rsidRDefault="00F43C9B" w:rsidP="00F43C9B">
      <w:pPr>
        <w:shd w:val="clear" w:color="auto" w:fill="D9D9D9" w:themeFill="background1" w:themeFillShade="D9"/>
        <w:rPr>
          <w:rFonts w:cstheme="minorHAnsi"/>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2A0" w:firstRow="1" w:lastRow="0" w:firstColumn="1" w:lastColumn="0" w:noHBand="1" w:noVBand="0"/>
      </w:tblPr>
      <w:tblGrid>
        <w:gridCol w:w="1739"/>
        <w:gridCol w:w="1770"/>
        <w:gridCol w:w="39"/>
        <w:gridCol w:w="1735"/>
        <w:gridCol w:w="74"/>
        <w:gridCol w:w="1965"/>
        <w:gridCol w:w="1965"/>
      </w:tblGrid>
      <w:tr w:rsidR="00F43C9B" w:rsidRPr="00E15D20" w:rsidTr="00F43C9B">
        <w:trPr>
          <w:trHeight w:val="341"/>
        </w:trPr>
        <w:tc>
          <w:tcPr>
            <w:tcW w:w="936"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
                <w:sz w:val="18"/>
                <w:szCs w:val="18"/>
              </w:rPr>
              <w:t>Activiteit</w:t>
            </w:r>
          </w:p>
        </w:tc>
        <w:tc>
          <w:tcPr>
            <w:tcW w:w="4064" w:type="pct"/>
            <w:gridSpan w:val="6"/>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In werking hebben van een koelinstallatie</w:t>
            </w:r>
          </w:p>
        </w:tc>
      </w:tr>
      <w:tr w:rsidR="00F43C9B" w:rsidRPr="00E15D20" w:rsidTr="00F43C9B">
        <w:trPr>
          <w:trHeight w:val="55"/>
        </w:trPr>
        <w:tc>
          <w:tcPr>
            <w:tcW w:w="936"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Nummer maatregel</w:t>
            </w:r>
          </w:p>
        </w:tc>
        <w:tc>
          <w:tcPr>
            <w:tcW w:w="4064" w:type="pct"/>
            <w:gridSpan w:val="6"/>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6</w:t>
            </w:r>
          </w:p>
        </w:tc>
      </w:tr>
      <w:tr w:rsidR="00F43C9B" w:rsidRPr="00E15D20" w:rsidTr="00F43C9B">
        <w:trPr>
          <w:trHeight w:val="131"/>
        </w:trPr>
        <w:tc>
          <w:tcPr>
            <w:tcW w:w="936"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Omschrijving maatregel</w:t>
            </w:r>
          </w:p>
        </w:tc>
        <w:tc>
          <w:tcPr>
            <w:tcW w:w="4064" w:type="pct"/>
            <w:gridSpan w:val="6"/>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Vrije koeling toepassen om bedrijfstijd van compressiekoelmachine te beperken.</w:t>
            </w:r>
          </w:p>
        </w:tc>
      </w:tr>
      <w:tr w:rsidR="00F43C9B" w:rsidRPr="00E15D20" w:rsidTr="00F43C9B">
        <w:trPr>
          <w:trHeight w:val="838"/>
        </w:trPr>
        <w:tc>
          <w:tcPr>
            <w:tcW w:w="936" w:type="pct"/>
            <w:vMerge w:val="restar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Mogelijke technieken ten opzichte van uitgangssituatie</w:t>
            </w:r>
          </w:p>
        </w:tc>
        <w:tc>
          <w:tcPr>
            <w:tcW w:w="953" w:type="pct"/>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Droge koeler(s) via bypass toepassen.</w:t>
            </w:r>
          </w:p>
        </w:tc>
        <w:tc>
          <w:tcPr>
            <w:tcW w:w="995" w:type="pct"/>
            <w:gridSpan w:val="3"/>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Verdampingskoeler(s) via bypass toepassen.</w:t>
            </w:r>
          </w:p>
        </w:tc>
        <w:tc>
          <w:tcPr>
            <w:tcW w:w="1058" w:type="pct"/>
            <w:vMerge w:val="restart"/>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Kunststof kruisstroomwarmtewisselaar en verdampingskoeler aan buitenzijde toepassen (indirecte lucht/luchtkoeling).</w:t>
            </w:r>
          </w:p>
        </w:tc>
        <w:tc>
          <w:tcPr>
            <w:tcW w:w="1058" w:type="pct"/>
            <w:vMerge w:val="restart"/>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d) Open koelsysteem (directe vrije luchtkoeling) met additionele indirecte adiabatische koeler toepassen.</w:t>
            </w:r>
          </w:p>
        </w:tc>
      </w:tr>
      <w:tr w:rsidR="00F43C9B" w:rsidRPr="00E15D20" w:rsidTr="00F43C9B">
        <w:trPr>
          <w:trHeight w:val="838"/>
        </w:trPr>
        <w:tc>
          <w:tcPr>
            <w:tcW w:w="936" w:type="pct"/>
            <w:vMerge/>
            <w:shd w:val="clear" w:color="auto" w:fill="A6A6A6"/>
          </w:tcPr>
          <w:p w:rsidR="00F43C9B" w:rsidRDefault="00F43C9B" w:rsidP="00F43C9B">
            <w:pPr>
              <w:shd w:val="clear" w:color="auto" w:fill="D9D9D9" w:themeFill="background1" w:themeFillShade="D9"/>
              <w:autoSpaceDE w:val="0"/>
              <w:autoSpaceDN w:val="0"/>
              <w:adjustRightInd w:val="0"/>
              <w:rPr>
                <w:rFonts w:cstheme="minorHAnsi"/>
                <w:b/>
                <w:sz w:val="18"/>
                <w:szCs w:val="18"/>
              </w:rPr>
            </w:pPr>
          </w:p>
        </w:tc>
        <w:tc>
          <w:tcPr>
            <w:tcW w:w="1948" w:type="pct"/>
            <w:gridSpan w:val="4"/>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en b) Als zaalkoelers met water of een ander niet-vorstbestendig koelmiddel werken, dan vrije koeling in een gescheiden vorstbestendig circuit opnemen en platenwarmtewisselaar en pomp opnemen zodat koelers vorstbestendig kunnen opereren.</w:t>
            </w:r>
          </w:p>
        </w:tc>
        <w:tc>
          <w:tcPr>
            <w:tcW w:w="1058" w:type="pct"/>
            <w:vMerge/>
            <w:shd w:val="clear" w:color="auto" w:fill="auto"/>
          </w:tcPr>
          <w:p w:rsidR="00F43C9B" w:rsidRDefault="00F43C9B" w:rsidP="00F43C9B">
            <w:pPr>
              <w:shd w:val="clear" w:color="auto" w:fill="D9D9D9" w:themeFill="background1" w:themeFillShade="D9"/>
              <w:rPr>
                <w:rFonts w:cstheme="minorHAnsi"/>
                <w:sz w:val="18"/>
                <w:szCs w:val="18"/>
              </w:rPr>
            </w:pPr>
          </w:p>
        </w:tc>
        <w:tc>
          <w:tcPr>
            <w:tcW w:w="1058" w:type="pct"/>
            <w:vMerge/>
            <w:shd w:val="clear" w:color="auto" w:fill="auto"/>
          </w:tcPr>
          <w:p w:rsidR="00F43C9B" w:rsidRDefault="00F43C9B" w:rsidP="00F43C9B">
            <w:pPr>
              <w:shd w:val="clear" w:color="auto" w:fill="D9D9D9" w:themeFill="background1" w:themeFillShade="D9"/>
              <w:rPr>
                <w:rFonts w:cstheme="minorHAnsi"/>
                <w:sz w:val="18"/>
                <w:szCs w:val="18"/>
              </w:rPr>
            </w:pPr>
          </w:p>
        </w:tc>
      </w:tr>
      <w:tr w:rsidR="00F43C9B" w:rsidRPr="00E15D20" w:rsidTr="00F43C9B">
        <w:trPr>
          <w:trHeight w:val="283"/>
        </w:trPr>
        <w:tc>
          <w:tcPr>
            <w:tcW w:w="936" w:type="pct"/>
            <w:vMerge w:val="restar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sz w:val="18"/>
                <w:szCs w:val="18"/>
              </w:rPr>
            </w:pPr>
            <w:r w:rsidRPr="00E15D20">
              <w:rPr>
                <w:rFonts w:cstheme="minorHAnsi"/>
                <w:b/>
                <w:sz w:val="18"/>
                <w:szCs w:val="18"/>
              </w:rPr>
              <w:t>Uitgangssituatie op basis van een referentietechniek</w:t>
            </w:r>
          </w:p>
        </w:tc>
        <w:tc>
          <w:tcPr>
            <w:tcW w:w="4064" w:type="pct"/>
            <w:gridSpan w:val="6"/>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Compressiekoelmachine verzorgt de volledige koeling.</w:t>
            </w:r>
          </w:p>
        </w:tc>
      </w:tr>
      <w:tr w:rsidR="00F43C9B" w:rsidRPr="00E15D20" w:rsidTr="00F43C9B">
        <w:trPr>
          <w:trHeight w:val="282"/>
        </w:trPr>
        <w:tc>
          <w:tcPr>
            <w:tcW w:w="936" w:type="pct"/>
            <w:vMerge/>
            <w:shd w:val="clear" w:color="auto" w:fill="A6A6A6"/>
          </w:tcPr>
          <w:p w:rsidR="00F43C9B" w:rsidRDefault="00F43C9B" w:rsidP="00F43C9B">
            <w:pPr>
              <w:shd w:val="clear" w:color="auto" w:fill="D9D9D9" w:themeFill="background1" w:themeFillShade="D9"/>
              <w:autoSpaceDE w:val="0"/>
              <w:autoSpaceDN w:val="0"/>
              <w:adjustRightInd w:val="0"/>
              <w:rPr>
                <w:rFonts w:cstheme="minorHAnsi"/>
                <w:b/>
                <w:sz w:val="18"/>
                <w:szCs w:val="18"/>
              </w:rPr>
            </w:pPr>
          </w:p>
        </w:tc>
        <w:tc>
          <w:tcPr>
            <w:tcW w:w="974" w:type="pct"/>
            <w:gridSpan w:val="2"/>
            <w:shd w:val="clear" w:color="auto" w:fill="auto"/>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 Klein datacenter met compressiekoelmachine met seizoensgemiddelde COP van maximaal 2,0.</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Temperatuur in koelsysteem en buitenklimaat moeten minimaal 40% vrije koeling mogelijk maken. Bijvoorbeeld in De Bilt kan bij gekoeldwatertemperatuur naar de zaalkoelers van minimaal 13°C bij buitenlucht-temperaturen lager dan 8°C 40% van het jaar vrij gekoeld worden.</w:t>
            </w:r>
          </w:p>
        </w:tc>
        <w:tc>
          <w:tcPr>
            <w:tcW w:w="974" w:type="pct"/>
            <w:gridSpan w:val="2"/>
            <w:shd w:val="clear" w:color="auto" w:fill="auto"/>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b) Compressiekoelmachine met seizoensgemiddelde COP van maximaal 2,5.</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Temperatuur in koelsysteem en buitenklimaat moeten minimaal 80% vrije koeling mogelijk maken. Bijvoorbeeld in De Bilt kan bij gekoeldwatertemperatuur naar de zaalkoelers van minimaal 18°C bij buitenlucht-natteboltemperaturen van maximaal 13°C 80% van het jaar vrij gekoeld worden.</w:t>
            </w:r>
          </w:p>
        </w:tc>
        <w:tc>
          <w:tcPr>
            <w:tcW w:w="2116" w:type="pct"/>
            <w:gridSpan w:val="2"/>
            <w:shd w:val="clear" w:color="auto" w:fill="auto"/>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c en d) C</w:t>
            </w:r>
            <w:r w:rsidRPr="00D0146C">
              <w:rPr>
                <w:rFonts w:cstheme="minorHAnsi"/>
                <w:bCs/>
                <w:sz w:val="18"/>
                <w:szCs w:val="18"/>
              </w:rPr>
              <w:t>ompressiekoelmachine met seizoensgemiddelde COP van maximaal 3,0.</w:t>
            </w:r>
          </w:p>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sz w:val="18"/>
                <w:szCs w:val="18"/>
              </w:rPr>
              <w:t>Temperatuur in koude gang moet nagenoeg altijd vrije koeling mogelijk maken.</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Flexibele operatie van temperatuur en vochtigheid is mogelijk binnen de grenzen van ASHRAE recommended envelope en SLA’s.</w:t>
            </w:r>
          </w:p>
        </w:tc>
      </w:tr>
      <w:tr w:rsidR="00F43C9B" w:rsidRPr="00E15D20" w:rsidTr="00F43C9B">
        <w:trPr>
          <w:trHeight w:val="2013"/>
        </w:trPr>
        <w:tc>
          <w:tcPr>
            <w:tcW w:w="936"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bCs/>
                <w:sz w:val="18"/>
                <w:szCs w:val="18"/>
              </w:rPr>
              <w:t>Technische randvoorwaarden</w:t>
            </w:r>
          </w:p>
        </w:tc>
        <w:tc>
          <w:tcPr>
            <w:tcW w:w="4064" w:type="pct"/>
            <w:gridSpan w:val="6"/>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Gescheiden koude en warme gangen.</w:t>
            </w:r>
          </w:p>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sz w:val="18"/>
                <w:szCs w:val="18"/>
              </w:rPr>
              <w:t>Bouwkundig moet het mogelijk zijn, bijvoorbeeld het dak moet het gewicht van het systeem voor vrije koeling kunnen dragen, en er moet ruimte zijn voor luchtkanalen en overige installaties.</w:t>
            </w:r>
          </w:p>
        </w:tc>
      </w:tr>
      <w:tr w:rsidR="00F43C9B" w:rsidRPr="00E15D20" w:rsidTr="00F43C9B">
        <w:trPr>
          <w:trHeight w:val="760"/>
        </w:trPr>
        <w:tc>
          <w:tcPr>
            <w:tcW w:w="936"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b/>
                <w:bCs/>
                <w:sz w:val="18"/>
                <w:szCs w:val="18"/>
              </w:rPr>
            </w:pPr>
            <w:r w:rsidRPr="00E15D20">
              <w:rPr>
                <w:rFonts w:cstheme="minorHAnsi"/>
                <w:b/>
                <w:bCs/>
                <w:sz w:val="18"/>
                <w:szCs w:val="18"/>
              </w:rPr>
              <w:t>Economische randvoorwaarden</w:t>
            </w:r>
          </w:p>
        </w:tc>
        <w:tc>
          <w:tcPr>
            <w:tcW w:w="4064" w:type="pct"/>
            <w:gridSpan w:val="6"/>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467"/>
        </w:trPr>
        <w:tc>
          <w:tcPr>
            <w:tcW w:w="936"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 xml:space="preserve">Toepasbaar op een zelfstandig </w:t>
            </w:r>
            <w:r>
              <w:rPr>
                <w:rFonts w:cstheme="minorHAnsi"/>
                <w:b/>
                <w:bCs/>
                <w:sz w:val="18"/>
                <w:szCs w:val="18"/>
              </w:rPr>
              <w:t xml:space="preserve">of natuurlijk </w:t>
            </w:r>
            <w:r w:rsidRPr="00D0146C">
              <w:rPr>
                <w:rFonts w:cstheme="minorHAnsi"/>
                <w:b/>
                <w:sz w:val="18"/>
                <w:szCs w:val="18"/>
              </w:rPr>
              <w:t>moment?</w:t>
            </w:r>
          </w:p>
        </w:tc>
        <w:tc>
          <w:tcPr>
            <w:tcW w:w="1908" w:type="pct"/>
            <w:gridSpan w:val="3"/>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en b) Zelfstandig moment: Ja.</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c>
          <w:tcPr>
            <w:tcW w:w="2156" w:type="pct"/>
            <w:gridSpan w:val="3"/>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en d) Zelfstandig moment: Nee.</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Natuurlijk moment: Ja.</w:t>
            </w:r>
          </w:p>
        </w:tc>
      </w:tr>
      <w:tr w:rsidR="00F43C9B" w:rsidRPr="00E15D20" w:rsidTr="00F43C9B">
        <w:trPr>
          <w:trHeight w:val="120"/>
        </w:trPr>
        <w:tc>
          <w:tcPr>
            <w:tcW w:w="936" w:type="pct"/>
            <w:shd w:val="clear" w:color="auto" w:fill="A6A6A6"/>
          </w:tcPr>
          <w:p w:rsidR="00F43C9B" w:rsidRPr="00E15D20" w:rsidRDefault="00F43C9B" w:rsidP="00F43C9B">
            <w:pPr>
              <w:shd w:val="clear" w:color="auto" w:fill="D9D9D9" w:themeFill="background1" w:themeFillShade="D9"/>
              <w:autoSpaceDE w:val="0"/>
              <w:autoSpaceDN w:val="0"/>
              <w:adjustRightInd w:val="0"/>
              <w:rPr>
                <w:rFonts w:cstheme="minorHAnsi"/>
                <w:sz w:val="18"/>
                <w:szCs w:val="18"/>
              </w:rPr>
            </w:pPr>
            <w:r w:rsidRPr="00E15D20">
              <w:rPr>
                <w:rFonts w:cstheme="minorHAnsi"/>
                <w:b/>
                <w:sz w:val="18"/>
                <w:szCs w:val="18"/>
              </w:rPr>
              <w:t>Alternatieve erkende maatregelen</w:t>
            </w:r>
            <w:r w:rsidRPr="00D0146C">
              <w:rPr>
                <w:rFonts w:cstheme="minorHAnsi"/>
                <w:sz w:val="18"/>
                <w:szCs w:val="18"/>
              </w:rPr>
              <w:t>.</w:t>
            </w:r>
          </w:p>
        </w:tc>
        <w:tc>
          <w:tcPr>
            <w:tcW w:w="4064" w:type="pct"/>
            <w:gridSpan w:val="6"/>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433"/>
        </w:trPr>
        <w:tc>
          <w:tcPr>
            <w:tcW w:w="936" w:type="pct"/>
            <w:shd w:val="clear" w:color="auto" w:fill="A6A6A6"/>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sz w:val="18"/>
                <w:szCs w:val="18"/>
              </w:rPr>
              <w:t>Bijzondere omstandigheden</w:t>
            </w:r>
          </w:p>
        </w:tc>
        <w:tc>
          <w:tcPr>
            <w:tcW w:w="4064" w:type="pct"/>
            <w:gridSpan w:val="6"/>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bCs/>
          <w:sz w:val="18"/>
          <w:szCs w:val="18"/>
          <w:u w:val="single"/>
        </w:rPr>
      </w:pPr>
      <w:r w:rsidRPr="00D0146C">
        <w:rPr>
          <w:rFonts w:cstheme="minorHAnsi"/>
          <w:b/>
          <w:sz w:val="18"/>
          <w:szCs w:val="18"/>
        </w:rPr>
        <w:br w:type="column"/>
      </w:r>
      <w:r w:rsidRPr="00D0146C">
        <w:rPr>
          <w:rFonts w:cstheme="minorHAnsi"/>
          <w:bCs/>
          <w:sz w:val="18"/>
          <w:szCs w:val="18"/>
          <w:u w:val="single"/>
        </w:rPr>
        <w:t>Rubber- en kunststofindustrie</w:t>
      </w:r>
    </w:p>
    <w:p w:rsidR="00F43C9B" w:rsidRDefault="00F43C9B" w:rsidP="00F43C9B">
      <w:pPr>
        <w:shd w:val="clear" w:color="auto" w:fill="D9D9D9" w:themeFill="background1" w:themeFillShade="D9"/>
        <w:rPr>
          <w:rFonts w:cstheme="minorHAnsi"/>
          <w:bCs/>
          <w:sz w:val="18"/>
          <w:szCs w:val="18"/>
          <w:u w:val="single"/>
        </w:rPr>
      </w:pP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Bedrijven waar overwegend producten van kunststof- en/of rubber worden verwerkt en/of vervaardigd. Het gaat om het bewerken en/of verwerken van polyesterhars, thermoplasten, schuimen/expanderen van kunststof en/of rubberverwerking inclusief de recycling van rubber en kunststof. Activiteiten met betrekking tot het mengen, malen, blazen, kalanderen, extruderen en vulkaniseren zijn ook kenmerkend. Ter indicatie de SBI-code die voor de indeling van deze bedrijven veelal wordt gebruikt: 22.</w:t>
      </w:r>
    </w:p>
    <w:p w:rsidR="00F43C9B" w:rsidRDefault="00F43C9B" w:rsidP="00F43C9B">
      <w:pPr>
        <w:shd w:val="clear" w:color="auto" w:fill="D9D9D9" w:themeFill="background1" w:themeFillShade="D9"/>
        <w:autoSpaceDE w:val="0"/>
        <w:autoSpaceDN w:val="0"/>
        <w:rPr>
          <w:rFonts w:cstheme="minorHAnsi"/>
          <w:sz w:val="18"/>
          <w:szCs w:val="18"/>
        </w:rPr>
      </w:pPr>
      <w:r w:rsidRPr="00D0146C">
        <w:rPr>
          <w:rFonts w:cstheme="minorHAnsi"/>
          <w:sz w:val="18"/>
          <w:szCs w:val="18"/>
        </w:rPr>
        <w:t>In deze bedrijfstak zijn erkende maatregelen aangemerkt voor de in tabel 5.7 genoemde activiteiten en typen maatregelen. Voor faciliteiten (zoals ICT, productkoeling en grootkeuken/kantine) die met name in kantoorgebouwen plaatsvinden zijn nog geen erkende maatregelen opgenomen. Voor deze ‘typen maatregelen’ en ‘activiteiten’ blijft artikel 2.15 van het Activiteitenbesluit gelden. In een later stadium kunnen hiervoor alsnog erkende maatregelen worden opgenomen.</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u w:val="single"/>
        </w:rPr>
        <w:t>Maatregelen</w:t>
      </w:r>
    </w:p>
    <w:p w:rsidR="00F43C9B" w:rsidRDefault="00F43C9B" w:rsidP="00F43C9B">
      <w:pPr>
        <w:shd w:val="clear" w:color="auto" w:fill="D9D9D9" w:themeFill="background1" w:themeFillShade="D9"/>
        <w:rPr>
          <w:rFonts w:cstheme="minorHAnsi"/>
          <w:bCs/>
          <w:i/>
          <w:sz w:val="18"/>
          <w:szCs w:val="18"/>
        </w:rPr>
      </w:pPr>
      <w:r w:rsidRPr="00D0146C">
        <w:rPr>
          <w:rFonts w:cstheme="minorHAnsi"/>
          <w:i/>
          <w:sz w:val="18"/>
          <w:szCs w:val="18"/>
        </w:rPr>
        <w:t xml:space="preserve">Tabel 5.7 Aangewezen erkende maatregelen voor energiebesparing in de </w:t>
      </w:r>
      <w:r w:rsidRPr="00D0146C">
        <w:rPr>
          <w:rFonts w:cstheme="minorHAnsi"/>
          <w:bCs/>
          <w:i/>
          <w:sz w:val="18"/>
          <w:szCs w:val="18"/>
        </w:rPr>
        <w:t>rubber- en kunststofindustrie</w:t>
      </w:r>
    </w:p>
    <w:p w:rsidR="00F43C9B" w:rsidRDefault="00F43C9B" w:rsidP="00F43C9B">
      <w:pPr>
        <w:shd w:val="clear" w:color="auto" w:fill="D9D9D9" w:themeFill="background1" w:themeFillShade="D9"/>
        <w:rPr>
          <w:rFonts w:cstheme="minorHAnsi"/>
          <w:i/>
          <w:sz w:val="18"/>
          <w:szCs w:val="18"/>
        </w:rPr>
      </w:pPr>
    </w:p>
    <w:tbl>
      <w:tblPr>
        <w:tblW w:w="8980" w:type="dxa"/>
        <w:tblInd w:w="55" w:type="dxa"/>
        <w:tblCellMar>
          <w:left w:w="70" w:type="dxa"/>
          <w:right w:w="70" w:type="dxa"/>
        </w:tblCellMar>
        <w:tblLook w:val="00A0" w:firstRow="1" w:lastRow="0" w:firstColumn="1" w:lastColumn="0" w:noHBand="0" w:noVBand="0"/>
      </w:tblPr>
      <w:tblGrid>
        <w:gridCol w:w="6900"/>
        <w:gridCol w:w="2080"/>
      </w:tblGrid>
      <w:tr w:rsidR="00F43C9B" w:rsidRPr="00E15D20" w:rsidTr="00F43C9B">
        <w:trPr>
          <w:trHeight w:val="330"/>
        </w:trPr>
        <w:tc>
          <w:tcPr>
            <w:tcW w:w="6900" w:type="dxa"/>
            <w:tcBorders>
              <w:top w:val="single" w:sz="4" w:space="0" w:color="auto"/>
              <w:left w:val="single" w:sz="4" w:space="0" w:color="auto"/>
              <w:bottom w:val="single" w:sz="4" w:space="0" w:color="auto"/>
              <w:right w:val="nil"/>
            </w:tcBorders>
          </w:tcPr>
          <w:p w:rsidR="00F43C9B" w:rsidRDefault="00F43C9B" w:rsidP="00F43C9B">
            <w:pPr>
              <w:shd w:val="clear" w:color="auto" w:fill="D9D9D9" w:themeFill="background1" w:themeFillShade="D9"/>
              <w:rPr>
                <w:rFonts w:cstheme="minorHAnsi"/>
                <w:sz w:val="18"/>
                <w:szCs w:val="18"/>
              </w:rPr>
            </w:pPr>
            <w:r>
              <w:rPr>
                <w:rFonts w:cstheme="minorHAnsi"/>
                <w:b/>
                <w:bCs/>
                <w:sz w:val="18"/>
                <w:szCs w:val="18"/>
              </w:rPr>
              <w:t>Type maatregelen</w:t>
            </w:r>
          </w:p>
        </w:tc>
        <w:tc>
          <w:tcPr>
            <w:tcW w:w="2080"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Nummers</w:t>
            </w:r>
          </w:p>
        </w:tc>
      </w:tr>
      <w:tr w:rsidR="00F43C9B" w:rsidRPr="00E15D20" w:rsidTr="00F43C9B">
        <w:trPr>
          <w:trHeight w:val="300"/>
        </w:trPr>
        <w:tc>
          <w:tcPr>
            <w:tcW w:w="6900" w:type="dxa"/>
            <w:tcBorders>
              <w:top w:val="nil"/>
              <w:left w:val="single" w:sz="4" w:space="0" w:color="auto"/>
              <w:bottom w:val="single" w:sz="4" w:space="0" w:color="auto"/>
              <w:right w:val="nil"/>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Gebouwschil</w:t>
            </w:r>
          </w:p>
        </w:tc>
        <w:tc>
          <w:tcPr>
            <w:tcW w:w="2080" w:type="dxa"/>
            <w:tcBorders>
              <w:top w:val="nil"/>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w:t>
            </w:r>
          </w:p>
        </w:tc>
      </w:tr>
      <w:tr w:rsidR="00F43C9B" w:rsidRPr="00E15D20" w:rsidTr="00F43C9B">
        <w:trPr>
          <w:trHeight w:val="300"/>
        </w:trPr>
        <w:tc>
          <w:tcPr>
            <w:tcW w:w="6900" w:type="dxa"/>
            <w:tcBorders>
              <w:top w:val="nil"/>
              <w:left w:val="single" w:sz="4" w:space="0" w:color="auto"/>
              <w:bottom w:val="single" w:sz="4" w:space="0" w:color="auto"/>
              <w:right w:val="nil"/>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Ruimteventilatie</w:t>
            </w:r>
          </w:p>
        </w:tc>
        <w:tc>
          <w:tcPr>
            <w:tcW w:w="2080" w:type="dxa"/>
            <w:tcBorders>
              <w:top w:val="nil"/>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w:t>
            </w:r>
          </w:p>
        </w:tc>
      </w:tr>
      <w:tr w:rsidR="00F43C9B" w:rsidRPr="00E15D20" w:rsidTr="00F43C9B">
        <w:trPr>
          <w:trHeight w:val="330"/>
        </w:trPr>
        <w:tc>
          <w:tcPr>
            <w:tcW w:w="6900" w:type="dxa"/>
            <w:tcBorders>
              <w:top w:val="single" w:sz="4" w:space="0" w:color="auto"/>
              <w:left w:val="single" w:sz="4" w:space="0" w:color="auto"/>
              <w:bottom w:val="single" w:sz="4" w:space="0" w:color="auto"/>
              <w:right w:val="nil"/>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Ruimteverwarming</w:t>
            </w:r>
          </w:p>
        </w:tc>
        <w:tc>
          <w:tcPr>
            <w:tcW w:w="2080"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4,6,7,27</w:t>
            </w:r>
          </w:p>
        </w:tc>
      </w:tr>
      <w:tr w:rsidR="00F43C9B" w:rsidRPr="00E15D20" w:rsidTr="00F43C9B">
        <w:trPr>
          <w:trHeight w:val="300"/>
        </w:trPr>
        <w:tc>
          <w:tcPr>
            <w:tcW w:w="6900" w:type="dxa"/>
            <w:tcBorders>
              <w:top w:val="nil"/>
              <w:left w:val="single" w:sz="4" w:space="0" w:color="auto"/>
              <w:bottom w:val="single" w:sz="4" w:space="0" w:color="auto"/>
              <w:right w:val="nil"/>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Ruimte- en buitenverlichting</w:t>
            </w:r>
          </w:p>
        </w:tc>
        <w:tc>
          <w:tcPr>
            <w:tcW w:w="2080" w:type="dxa"/>
            <w:tcBorders>
              <w:top w:val="nil"/>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9-18</w:t>
            </w:r>
          </w:p>
        </w:tc>
      </w:tr>
      <w:tr w:rsidR="00F43C9B" w:rsidRPr="00E15D20" w:rsidTr="00F43C9B">
        <w:trPr>
          <w:trHeight w:val="300"/>
        </w:trPr>
        <w:tc>
          <w:tcPr>
            <w:tcW w:w="6900" w:type="dxa"/>
            <w:tcBorders>
              <w:top w:val="nil"/>
              <w:left w:val="single" w:sz="4" w:space="0" w:color="auto"/>
              <w:bottom w:val="single" w:sz="4" w:space="0" w:color="auto"/>
              <w:right w:val="nil"/>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Faciliteiten</w:t>
            </w:r>
          </w:p>
        </w:tc>
        <w:tc>
          <w:tcPr>
            <w:tcW w:w="2080"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20-25,28,30,36</w:t>
            </w:r>
          </w:p>
        </w:tc>
      </w:tr>
      <w:tr w:rsidR="00F43C9B" w:rsidRPr="00E15D20" w:rsidTr="00F43C9B">
        <w:trPr>
          <w:trHeight w:val="300"/>
        </w:trPr>
        <w:tc>
          <w:tcPr>
            <w:tcW w:w="6900" w:type="dxa"/>
            <w:tcBorders>
              <w:top w:val="nil"/>
              <w:left w:val="single" w:sz="4" w:space="0" w:color="auto"/>
              <w:bottom w:val="single" w:sz="4" w:space="0" w:color="auto"/>
              <w:right w:val="nil"/>
            </w:tcBorders>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Activiteiten</w:t>
            </w:r>
          </w:p>
        </w:tc>
        <w:tc>
          <w:tcPr>
            <w:tcW w:w="2080" w:type="dxa"/>
            <w:tcBorders>
              <w:top w:val="nil"/>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p>
        </w:tc>
      </w:tr>
      <w:tr w:rsidR="00F43C9B" w:rsidRPr="00E15D20" w:rsidTr="00F43C9B">
        <w:trPr>
          <w:trHeight w:val="438"/>
        </w:trPr>
        <w:tc>
          <w:tcPr>
            <w:tcW w:w="6900" w:type="dxa"/>
            <w:tcBorders>
              <w:top w:val="nil"/>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 xml:space="preserve">In werking hebben van een stookinstallatie </w:t>
            </w:r>
            <w:r w:rsidRPr="00D0146C">
              <w:rPr>
                <w:rFonts w:cstheme="minorHAnsi"/>
                <w:sz w:val="18"/>
                <w:szCs w:val="18"/>
              </w:rPr>
              <w:t>(emissies naar de lucht)</w:t>
            </w:r>
          </w:p>
        </w:tc>
        <w:tc>
          <w:tcPr>
            <w:tcW w:w="2080" w:type="dxa"/>
            <w:tcBorders>
              <w:top w:val="nil"/>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iCs/>
                <w:sz w:val="18"/>
                <w:szCs w:val="18"/>
              </w:rPr>
            </w:pPr>
            <w:r w:rsidRPr="00D0146C">
              <w:rPr>
                <w:rFonts w:cstheme="minorHAnsi"/>
                <w:iCs/>
                <w:sz w:val="18"/>
                <w:szCs w:val="18"/>
              </w:rPr>
              <w:t>3,5,8,19,26,29,31-34</w:t>
            </w:r>
          </w:p>
        </w:tc>
      </w:tr>
      <w:tr w:rsidR="00F43C9B" w:rsidRPr="00E15D20" w:rsidTr="00F43C9B">
        <w:trPr>
          <w:trHeight w:val="438"/>
        </w:trPr>
        <w:tc>
          <w:tcPr>
            <w:tcW w:w="6900" w:type="dxa"/>
            <w:tcBorders>
              <w:top w:val="nil"/>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In werking hebben van een koelinstallatie</w:t>
            </w:r>
          </w:p>
        </w:tc>
        <w:tc>
          <w:tcPr>
            <w:tcW w:w="2080" w:type="dxa"/>
            <w:tcBorders>
              <w:top w:val="nil"/>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iCs/>
                <w:sz w:val="18"/>
                <w:szCs w:val="18"/>
              </w:rPr>
            </w:pPr>
            <w:r w:rsidRPr="00D0146C">
              <w:rPr>
                <w:rFonts w:cstheme="minorHAnsi"/>
                <w:iCs/>
                <w:sz w:val="18"/>
                <w:szCs w:val="18"/>
              </w:rPr>
              <w:t>37,38</w:t>
            </w:r>
          </w:p>
        </w:tc>
      </w:tr>
      <w:tr w:rsidR="00F43C9B" w:rsidRPr="00E15D20" w:rsidTr="00F43C9B">
        <w:trPr>
          <w:trHeight w:val="438"/>
        </w:trPr>
        <w:tc>
          <w:tcPr>
            <w:tcW w:w="6900" w:type="dxa"/>
            <w:tcBorders>
              <w:top w:val="nil"/>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Verwerken van rubber of thermoplastisch kunststof</w:t>
            </w:r>
          </w:p>
        </w:tc>
        <w:tc>
          <w:tcPr>
            <w:tcW w:w="2080" w:type="dxa"/>
            <w:tcBorders>
              <w:top w:val="nil"/>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iCs/>
                <w:sz w:val="18"/>
                <w:szCs w:val="18"/>
              </w:rPr>
            </w:pPr>
            <w:r w:rsidRPr="00D0146C">
              <w:rPr>
                <w:rFonts w:cstheme="minorHAnsi"/>
                <w:iCs/>
                <w:sz w:val="18"/>
                <w:szCs w:val="18"/>
              </w:rPr>
              <w:t>35,39,42</w:t>
            </w:r>
          </w:p>
        </w:tc>
      </w:tr>
      <w:tr w:rsidR="00F43C9B" w:rsidRPr="00E15D20" w:rsidTr="00F43C9B">
        <w:trPr>
          <w:trHeight w:val="438"/>
        </w:trPr>
        <w:tc>
          <w:tcPr>
            <w:tcW w:w="6900" w:type="dxa"/>
            <w:tcBorders>
              <w:top w:val="single" w:sz="4" w:space="0" w:color="808080"/>
              <w:left w:val="single" w:sz="4" w:space="0" w:color="808080"/>
              <w:bottom w:val="single" w:sz="4" w:space="0" w:color="808080"/>
              <w:right w:val="single" w:sz="4" w:space="0" w:color="808080"/>
            </w:tcBorders>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sz w:val="18"/>
                <w:szCs w:val="18"/>
              </w:rPr>
              <w:t>Wegen of mengen van rubbercompounds of verwerken van rubber</w:t>
            </w:r>
          </w:p>
        </w:tc>
        <w:tc>
          <w:tcPr>
            <w:tcW w:w="2080" w:type="dxa"/>
            <w:tcBorders>
              <w:top w:val="nil"/>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iCs/>
                <w:sz w:val="18"/>
                <w:szCs w:val="18"/>
              </w:rPr>
            </w:pPr>
            <w:r w:rsidRPr="00D0146C">
              <w:rPr>
                <w:rFonts w:cstheme="minorHAnsi"/>
                <w:iCs/>
                <w:sz w:val="18"/>
                <w:szCs w:val="18"/>
              </w:rPr>
              <w:t>41,42</w:t>
            </w:r>
          </w:p>
        </w:tc>
      </w:tr>
    </w:tbl>
    <w:p w:rsidR="00F43C9B" w:rsidRPr="00E15D20" w:rsidRDefault="00F43C9B" w:rsidP="00F43C9B">
      <w:pPr>
        <w:shd w:val="clear" w:color="auto" w:fill="D9D9D9" w:themeFill="background1" w:themeFillShade="D9"/>
        <w:tabs>
          <w:tab w:val="left" w:pos="2694"/>
        </w:tabs>
        <w:rPr>
          <w:rFonts w:cstheme="minorHAnsi"/>
          <w:b/>
          <w:sz w:val="18"/>
          <w:szCs w:val="18"/>
        </w:rPr>
      </w:pPr>
    </w:p>
    <w:p w:rsidR="00F43C9B" w:rsidRDefault="00F43C9B" w:rsidP="00F43C9B">
      <w:pPr>
        <w:shd w:val="clear" w:color="auto" w:fill="D9D9D9" w:themeFill="background1" w:themeFillShade="D9"/>
        <w:tabs>
          <w:tab w:val="left" w:pos="2694"/>
        </w:tabs>
        <w:rPr>
          <w:rFonts w:cstheme="minorHAnsi"/>
          <w:b/>
          <w:sz w:val="18"/>
          <w:szCs w:val="18"/>
        </w:rPr>
      </w:pPr>
    </w:p>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br w:type="page"/>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2"/>
        <w:gridCol w:w="5225"/>
      </w:tblGrid>
      <w:tr w:rsidR="00F43C9B" w:rsidRPr="00E15D20" w:rsidTr="00F43C9B">
        <w:tc>
          <w:tcPr>
            <w:tcW w:w="3322"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Type maatregel</w:t>
            </w:r>
          </w:p>
        </w:tc>
        <w:tc>
          <w:tcPr>
            <w:tcW w:w="5225" w:type="dxa"/>
            <w:vAlign w:val="center"/>
          </w:tcPr>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b/>
                <w:sz w:val="18"/>
                <w:szCs w:val="18"/>
              </w:rPr>
              <w:t>Gebouwschil</w:t>
            </w:r>
          </w:p>
        </w:tc>
      </w:tr>
      <w:tr w:rsidR="00F43C9B" w:rsidRPr="00E15D20" w:rsidTr="00F43C9B">
        <w:tc>
          <w:tcPr>
            <w:tcW w:w="33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5225"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t>1</w:t>
            </w:r>
          </w:p>
        </w:tc>
      </w:tr>
      <w:tr w:rsidR="00F43C9B" w:rsidRPr="00E15D20" w:rsidTr="00F43C9B">
        <w:trPr>
          <w:trHeight w:val="128"/>
        </w:trPr>
        <w:tc>
          <w:tcPr>
            <w:tcW w:w="33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5225"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Warmte- en koudeverlies via buitenmuur beperken.</w:t>
            </w:r>
          </w:p>
        </w:tc>
      </w:tr>
      <w:tr w:rsidR="00F43C9B" w:rsidRPr="00E15D20" w:rsidTr="00F43C9B">
        <w:tc>
          <w:tcPr>
            <w:tcW w:w="33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5225" w:type="dxa"/>
            <w:vAlign w:val="center"/>
          </w:tcPr>
          <w:p w:rsidR="00F43C9B" w:rsidRDefault="00F43C9B" w:rsidP="00F43C9B">
            <w:pPr>
              <w:pStyle w:val="Lijstalinea21"/>
              <w:shd w:val="clear" w:color="auto" w:fill="D9D9D9" w:themeFill="background1" w:themeFillShade="D9"/>
              <w:tabs>
                <w:tab w:val="left" w:pos="0"/>
              </w:tabs>
              <w:spacing w:after="0"/>
              <w:ind w:left="0"/>
              <w:rPr>
                <w:rFonts w:asciiTheme="minorHAnsi" w:hAnsiTheme="minorHAnsi" w:cstheme="minorHAnsi"/>
                <w:sz w:val="18"/>
                <w:szCs w:val="18"/>
              </w:rPr>
            </w:pPr>
            <w:r w:rsidRPr="00D0146C">
              <w:rPr>
                <w:rFonts w:asciiTheme="minorHAnsi" w:hAnsiTheme="minorHAnsi" w:cstheme="minorHAnsi"/>
                <w:sz w:val="18"/>
                <w:szCs w:val="18"/>
              </w:rPr>
              <w:t>Spouwmuur isoleren.</w:t>
            </w:r>
          </w:p>
        </w:tc>
      </w:tr>
      <w:tr w:rsidR="00F43C9B" w:rsidRPr="00E15D20" w:rsidTr="00F43C9B">
        <w:tc>
          <w:tcPr>
            <w:tcW w:w="33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5225"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Isolatie in spouwmuur ontbreekt.</w:t>
            </w:r>
          </w:p>
          <w:p w:rsidR="00F43C9B" w:rsidRDefault="00F43C9B" w:rsidP="00F43C9B">
            <w:pPr>
              <w:pStyle w:val="Lijstalinea21"/>
              <w:shd w:val="clear" w:color="auto" w:fill="D9D9D9" w:themeFill="background1" w:themeFillShade="D9"/>
              <w:tabs>
                <w:tab w:val="left" w:pos="129"/>
              </w:tabs>
              <w:spacing w:after="0"/>
              <w:ind w:left="0"/>
              <w:rPr>
                <w:rFonts w:asciiTheme="minorHAnsi" w:hAnsiTheme="minorHAnsi" w:cstheme="minorHAnsi"/>
                <w:sz w:val="18"/>
                <w:szCs w:val="18"/>
              </w:rPr>
            </w:pPr>
            <w:r w:rsidRPr="00D0146C">
              <w:rPr>
                <w:rFonts w:asciiTheme="minorHAnsi" w:hAnsiTheme="minorHAnsi" w:cstheme="minorHAnsi"/>
                <w:sz w:val="18"/>
                <w:szCs w:val="18"/>
              </w:rPr>
              <w:t>Gebouw wordt verwarmd, of verwarmd en gekoeld.</w:t>
            </w:r>
          </w:p>
        </w:tc>
      </w:tr>
      <w:tr w:rsidR="00F43C9B" w:rsidRPr="00E15D20" w:rsidTr="00F43C9B">
        <w:tc>
          <w:tcPr>
            <w:tcW w:w="33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5225" w:type="dxa"/>
            <w:vAlign w:val="center"/>
          </w:tcPr>
          <w:p w:rsidR="00F43C9B" w:rsidRDefault="00F43C9B" w:rsidP="00F43C9B">
            <w:pPr>
              <w:shd w:val="clear" w:color="auto" w:fill="D9D9D9" w:themeFill="background1" w:themeFillShade="D9"/>
              <w:tabs>
                <w:tab w:val="left" w:pos="0"/>
              </w:tabs>
              <w:rPr>
                <w:rFonts w:cstheme="minorHAnsi"/>
                <w:sz w:val="18"/>
                <w:szCs w:val="18"/>
              </w:rPr>
            </w:pPr>
            <w:r w:rsidRPr="00D0146C">
              <w:rPr>
                <w:rFonts w:cstheme="minorHAnsi"/>
                <w:bCs/>
                <w:sz w:val="18"/>
                <w:szCs w:val="18"/>
              </w:rPr>
              <w:t>N.v.t.</w:t>
            </w:r>
          </w:p>
        </w:tc>
      </w:tr>
      <w:tr w:rsidR="00F43C9B" w:rsidRPr="00E15D20" w:rsidTr="00F43C9B">
        <w:tc>
          <w:tcPr>
            <w:tcW w:w="33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5225"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Aardgasverbruik is minder dan 170.000 m</w:t>
            </w:r>
            <w:r w:rsidRPr="00D0146C">
              <w:rPr>
                <w:rFonts w:cstheme="minorHAnsi"/>
                <w:sz w:val="18"/>
                <w:szCs w:val="18"/>
                <w:vertAlign w:val="superscript"/>
              </w:rPr>
              <w:t>3</w:t>
            </w:r>
            <w:r w:rsidRPr="00D0146C">
              <w:rPr>
                <w:rFonts w:cstheme="minorHAnsi"/>
                <w:sz w:val="18"/>
                <w:szCs w:val="18"/>
              </w:rPr>
              <w:t xml:space="preserve"> per jaar.</w:t>
            </w:r>
          </w:p>
        </w:tc>
      </w:tr>
      <w:tr w:rsidR="00F43C9B" w:rsidRPr="00E15D20" w:rsidTr="00F43C9B">
        <w:tc>
          <w:tcPr>
            <w:tcW w:w="33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5225"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Natuurlijk moment: Ja.</w:t>
            </w:r>
          </w:p>
        </w:tc>
      </w:tr>
      <w:tr w:rsidR="00F43C9B" w:rsidRPr="00E15D20" w:rsidTr="00F43C9B">
        <w:tc>
          <w:tcPr>
            <w:tcW w:w="33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5225"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3322"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5225"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tabs>
          <w:tab w:val="left" w:pos="2694"/>
        </w:tabs>
        <w:rPr>
          <w:rFonts w:cstheme="minorHAnsi"/>
          <w:b/>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8"/>
        <w:gridCol w:w="3436"/>
        <w:gridCol w:w="3436"/>
      </w:tblGrid>
      <w:tr w:rsidR="00F43C9B" w:rsidRPr="00E15D20" w:rsidTr="00F43C9B">
        <w:tc>
          <w:tcPr>
            <w:tcW w:w="3928"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sidRPr="00D0146C">
              <w:rPr>
                <w:rFonts w:cstheme="minorHAnsi"/>
                <w:sz w:val="18"/>
                <w:szCs w:val="18"/>
              </w:rPr>
              <w:br w:type="column"/>
            </w:r>
            <w:r>
              <w:rPr>
                <w:rFonts w:cstheme="minorHAnsi"/>
                <w:b/>
                <w:bCs/>
                <w:sz w:val="18"/>
                <w:szCs w:val="18"/>
              </w:rPr>
              <w:t>Type maatregel</w:t>
            </w:r>
          </w:p>
        </w:tc>
        <w:tc>
          <w:tcPr>
            <w:tcW w:w="6872" w:type="dxa"/>
            <w:gridSpan w:val="2"/>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Ruimteventilatie</w:t>
            </w:r>
          </w:p>
        </w:tc>
      </w:tr>
      <w:tr w:rsidR="00F43C9B" w:rsidRPr="00E15D20" w:rsidTr="00F43C9B">
        <w:tc>
          <w:tcPr>
            <w:tcW w:w="392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872"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w:t>
            </w:r>
          </w:p>
        </w:tc>
      </w:tr>
      <w:tr w:rsidR="00F43C9B" w:rsidRPr="00E15D20" w:rsidTr="00F43C9B">
        <w:tc>
          <w:tcPr>
            <w:tcW w:w="392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872"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Onnodig aanstaan van ventilatie buiten bedrijfstijd voorkomen.</w:t>
            </w:r>
          </w:p>
        </w:tc>
      </w:tr>
      <w:tr w:rsidR="00F43C9B" w:rsidRPr="00E15D20" w:rsidTr="00F43C9B">
        <w:tc>
          <w:tcPr>
            <w:tcW w:w="392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436"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Tijdschakelaar (met of zonder overwerktimer) toepassen.</w:t>
            </w:r>
          </w:p>
        </w:tc>
        <w:tc>
          <w:tcPr>
            <w:tcW w:w="3436"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Tijdschakelaar met weekendschakeling (met of zonder overwerktimer) toepassen.</w:t>
            </w:r>
          </w:p>
        </w:tc>
      </w:tr>
      <w:tr w:rsidR="00F43C9B" w:rsidRPr="00E15D20" w:rsidTr="00F43C9B">
        <w:tc>
          <w:tcPr>
            <w:tcW w:w="392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872" w:type="dxa"/>
            <w:gridSpan w:val="2"/>
            <w:vAlign w:val="center"/>
          </w:tcPr>
          <w:p w:rsidR="00F43C9B" w:rsidRDefault="00F43C9B" w:rsidP="00F43C9B">
            <w:pPr>
              <w:pStyle w:val="Lijstalinea21"/>
              <w:shd w:val="clear" w:color="auto" w:fill="D9D9D9" w:themeFill="background1" w:themeFillShade="D9"/>
              <w:tabs>
                <w:tab w:val="left" w:pos="129"/>
              </w:tabs>
              <w:spacing w:after="0"/>
              <w:ind w:left="0"/>
              <w:rPr>
                <w:rFonts w:asciiTheme="minorHAnsi" w:hAnsiTheme="minorHAnsi" w:cstheme="minorHAnsi"/>
                <w:sz w:val="18"/>
                <w:szCs w:val="18"/>
                <w:lang w:eastAsia="nl-NL"/>
              </w:rPr>
            </w:pPr>
            <w:r w:rsidRPr="00D0146C">
              <w:rPr>
                <w:rFonts w:asciiTheme="minorHAnsi" w:hAnsiTheme="minorHAnsi" w:cstheme="minorHAnsi"/>
                <w:sz w:val="18"/>
                <w:szCs w:val="18"/>
                <w:lang w:eastAsia="nl-NL"/>
              </w:rPr>
              <w:t>Automatische aan- en uitschakeling ontbreekt.</w:t>
            </w:r>
          </w:p>
        </w:tc>
      </w:tr>
      <w:tr w:rsidR="00F43C9B" w:rsidRPr="00E15D20" w:rsidTr="00F43C9B">
        <w:trPr>
          <w:trHeight w:val="305"/>
        </w:trPr>
        <w:tc>
          <w:tcPr>
            <w:tcW w:w="392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872"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55"/>
        </w:trPr>
        <w:tc>
          <w:tcPr>
            <w:tcW w:w="392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872"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2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3436"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Nee.</w:t>
            </w:r>
          </w:p>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Natuurlijk moment: Ja.</w:t>
            </w:r>
          </w:p>
        </w:tc>
        <w:tc>
          <w:tcPr>
            <w:tcW w:w="3436"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Natuurlijk moment: Ja.</w:t>
            </w:r>
          </w:p>
        </w:tc>
      </w:tr>
      <w:tr w:rsidR="00F43C9B" w:rsidRPr="00E15D20" w:rsidTr="00F43C9B">
        <w:tc>
          <w:tcPr>
            <w:tcW w:w="392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872"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2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872" w:type="dxa"/>
            <w:gridSpan w:val="2"/>
            <w:vAlign w:val="center"/>
          </w:tcPr>
          <w:p w:rsidR="00F43C9B" w:rsidRDefault="00F43C9B" w:rsidP="00F43C9B">
            <w:pPr>
              <w:shd w:val="clear" w:color="auto" w:fill="D9D9D9" w:themeFill="background1" w:themeFillShade="D9"/>
              <w:rPr>
                <w:rFonts w:cstheme="minorHAnsi"/>
                <w:i/>
                <w:iCs/>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tabs>
          <w:tab w:val="left" w:pos="2694"/>
        </w:tabs>
        <w:rPr>
          <w:rFonts w:cstheme="minorHAnsi"/>
          <w:b/>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69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sidRPr="00D0146C">
              <w:rPr>
                <w:rFonts w:cstheme="minorHAnsi"/>
                <w:b/>
                <w:sz w:val="18"/>
                <w:szCs w:val="18"/>
                <w:lang w:eastAsia="en-US"/>
              </w:rPr>
              <w:br w:type="column"/>
            </w:r>
            <w:r>
              <w:rPr>
                <w:rFonts w:cstheme="minorHAnsi"/>
                <w:b/>
                <w:bCs/>
                <w:sz w:val="18"/>
                <w:szCs w:val="18"/>
              </w:rPr>
              <w:t>Activiteit</w:t>
            </w:r>
          </w:p>
        </w:tc>
        <w:tc>
          <w:tcPr>
            <w:tcW w:w="6900" w:type="dxa"/>
            <w:vAlign w:val="center"/>
          </w:tcPr>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b/>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69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t>3</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Omschrijving maatregel</w:t>
            </w:r>
          </w:p>
        </w:tc>
        <w:tc>
          <w:tcPr>
            <w:tcW w:w="69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Kantoor: Opstarttijd cv-installatie regelen op basis van buitentemperatuur en interne warmtelast.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Mogelijke technieken ten opzichte </w:t>
            </w:r>
            <w:r>
              <w:rPr>
                <w:rFonts w:cstheme="minorHAnsi"/>
                <w:b/>
                <w:bCs/>
                <w:sz w:val="18"/>
                <w:szCs w:val="18"/>
              </w:rPr>
              <w:t>van uitgangssituatie</w:t>
            </w:r>
          </w:p>
        </w:tc>
        <w:tc>
          <w:tcPr>
            <w:tcW w:w="6900" w:type="dxa"/>
            <w:vAlign w:val="center"/>
          </w:tcPr>
          <w:p w:rsidR="00F43C9B" w:rsidRDefault="00F43C9B" w:rsidP="00F43C9B">
            <w:pPr>
              <w:pStyle w:val="Lijstalinea21"/>
              <w:shd w:val="clear" w:color="auto" w:fill="D9D9D9" w:themeFill="background1" w:themeFillShade="D9"/>
              <w:tabs>
                <w:tab w:val="left" w:pos="0"/>
              </w:tabs>
              <w:spacing w:after="0"/>
              <w:ind w:left="0"/>
              <w:rPr>
                <w:rFonts w:asciiTheme="minorHAnsi" w:hAnsiTheme="minorHAnsi" w:cstheme="minorHAnsi"/>
                <w:sz w:val="18"/>
                <w:szCs w:val="18"/>
              </w:rPr>
            </w:pPr>
            <w:r w:rsidRPr="00D0146C">
              <w:rPr>
                <w:rFonts w:asciiTheme="minorHAnsi" w:hAnsiTheme="minorHAnsi" w:cstheme="minorHAnsi"/>
                <w:sz w:val="18"/>
                <w:szCs w:val="18"/>
              </w:rPr>
              <w:t>Optimaliserende regeling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6900" w:type="dxa"/>
            <w:vAlign w:val="center"/>
          </w:tcPr>
          <w:p w:rsidR="00F43C9B" w:rsidRDefault="00F43C9B" w:rsidP="00F43C9B">
            <w:pPr>
              <w:pStyle w:val="Lijstalinea21"/>
              <w:shd w:val="clear" w:color="auto" w:fill="D9D9D9" w:themeFill="background1" w:themeFillShade="D9"/>
              <w:tabs>
                <w:tab w:val="left" w:pos="0"/>
              </w:tabs>
              <w:spacing w:after="0"/>
              <w:ind w:left="0"/>
              <w:rPr>
                <w:rFonts w:asciiTheme="minorHAnsi" w:hAnsiTheme="minorHAnsi" w:cstheme="minorHAnsi"/>
                <w:sz w:val="18"/>
                <w:szCs w:val="18"/>
              </w:rPr>
            </w:pPr>
            <w:r w:rsidRPr="00D0146C">
              <w:rPr>
                <w:rFonts w:asciiTheme="minorHAnsi" w:hAnsiTheme="minorHAnsi" w:cstheme="minorHAnsi"/>
                <w:sz w:val="18"/>
                <w:szCs w:val="18"/>
              </w:rPr>
              <w:t>Optimaliserende regeling ontbreekt.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6900" w:type="dxa"/>
            <w:vAlign w:val="center"/>
          </w:tcPr>
          <w:p w:rsidR="00F43C9B" w:rsidRDefault="00F43C9B" w:rsidP="00F43C9B">
            <w:pPr>
              <w:pStyle w:val="Lijstalinea21"/>
              <w:shd w:val="clear" w:color="auto" w:fill="D9D9D9" w:themeFill="background1" w:themeFillShade="D9"/>
              <w:tabs>
                <w:tab w:val="left" w:pos="129"/>
              </w:tabs>
              <w:spacing w:after="0"/>
              <w:ind w:left="0"/>
              <w:rPr>
                <w:rFonts w:asciiTheme="minorHAnsi" w:hAnsiTheme="minorHAnsi" w:cstheme="minorHAnsi"/>
                <w:sz w:val="18"/>
                <w:szCs w:val="18"/>
              </w:rPr>
            </w:pPr>
            <w:r w:rsidRPr="00D0146C">
              <w:rPr>
                <w:rFonts w:asciiTheme="minorHAnsi" w:hAnsiTheme="minorHAnsi"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69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Toepasbaar op een zelfstandig of </w:t>
            </w:r>
            <w:r>
              <w:rPr>
                <w:rFonts w:cstheme="minorHAnsi"/>
                <w:b/>
                <w:bCs/>
                <w:sz w:val="18"/>
                <w:szCs w:val="18"/>
              </w:rPr>
              <w:t>natuurlijk moment?</w:t>
            </w:r>
          </w:p>
        </w:tc>
        <w:tc>
          <w:tcPr>
            <w:tcW w:w="69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69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6900"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N.v.t.</w:t>
            </w:r>
          </w:p>
        </w:tc>
      </w:tr>
    </w:tbl>
    <w:p w:rsidR="00F43C9B" w:rsidRPr="00E15D20" w:rsidRDefault="00F43C9B" w:rsidP="00F43C9B">
      <w:pPr>
        <w:shd w:val="clear" w:color="auto" w:fill="D9D9D9" w:themeFill="background1" w:themeFillShade="D9"/>
        <w:tabs>
          <w:tab w:val="left" w:pos="2694"/>
        </w:tabs>
        <w:rPr>
          <w:rFonts w:cstheme="minorHAnsi"/>
          <w:b/>
          <w:sz w:val="18"/>
          <w:szCs w:val="18"/>
        </w:rPr>
      </w:pPr>
    </w:p>
    <w:tbl>
      <w:tblPr>
        <w:tblW w:w="1089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6991"/>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991" w:type="dxa"/>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lang w:eastAsia="en-US"/>
              </w:rPr>
              <w:t>In werking hebben van een stookinstallatie</w:t>
            </w:r>
            <w:r w:rsidRPr="00D0146C">
              <w:rPr>
                <w:rFonts w:cstheme="minorHAnsi"/>
                <w:sz w:val="18"/>
                <w:szCs w:val="18"/>
              </w:rPr>
              <w:t xml:space="preserve"> (emissies naar de lucht)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99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4</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991"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Aanvoertemperatuur cv-water automatisch regelen op basis van buitentemperatuur.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991"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sz w:val="18"/>
                <w:szCs w:val="18"/>
                <w:lang w:eastAsia="en-US"/>
              </w:rPr>
              <w:t>Weersafhankelijke regeling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991"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bCs/>
                <w:sz w:val="18"/>
                <w:szCs w:val="18"/>
              </w:rPr>
              <w:t>Weersafhankelijke regeling ontbreekt op een cv-groep met hogetemperatuurverwarming.</w:t>
            </w:r>
          </w:p>
        </w:tc>
      </w:tr>
      <w:tr w:rsidR="00F43C9B" w:rsidRPr="00E15D20" w:rsidTr="00F43C9B">
        <w:trPr>
          <w:trHeight w:val="490"/>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991"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Weersafhankelijke regeling toepassen op groep indien dit op ketel onmogelijk is i.v.m. warmtapwatervoorziening.</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
        </w:trPr>
        <w:tc>
          <w:tcPr>
            <w:tcW w:w="3900" w:type="dxa"/>
            <w:tcBorders>
              <w:top w:val="single" w:sz="4" w:space="0" w:color="auto"/>
              <w:left w:val="single" w:sz="4" w:space="0" w:color="auto"/>
              <w:bottom w:val="single" w:sz="4" w:space="0" w:color="auto"/>
              <w:right w:val="single" w:sz="4" w:space="0" w:color="auto"/>
            </w:tcBorders>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991"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lang w:eastAsia="en-US"/>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991"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99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99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tabs>
          <w:tab w:val="left" w:pos="2694"/>
        </w:tabs>
        <w:rPr>
          <w:rFonts w:cstheme="minorHAnsi"/>
          <w:b/>
          <w:sz w:val="18"/>
          <w:szCs w:val="1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1"/>
        <w:gridCol w:w="2872"/>
        <w:gridCol w:w="2744"/>
      </w:tblGrid>
      <w:tr w:rsidR="00F43C9B" w:rsidRPr="00E15D20" w:rsidTr="00F43C9B">
        <w:tc>
          <w:tcPr>
            <w:tcW w:w="2931"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Activiteit</w:t>
            </w:r>
          </w:p>
        </w:tc>
        <w:tc>
          <w:tcPr>
            <w:tcW w:w="5616" w:type="dxa"/>
            <w:gridSpan w:val="2"/>
            <w:vAlign w:val="center"/>
          </w:tcPr>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b/>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293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5616"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t>5</w:t>
            </w:r>
          </w:p>
        </w:tc>
      </w:tr>
      <w:tr w:rsidR="00F43C9B" w:rsidRPr="00E15D20" w:rsidTr="00F43C9B">
        <w:tc>
          <w:tcPr>
            <w:tcW w:w="293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Omschrijving maatregel</w:t>
            </w:r>
          </w:p>
        </w:tc>
        <w:tc>
          <w:tcPr>
            <w:tcW w:w="5616"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Kantoor: Energiezuinige warmteopwekking toepassen.</w:t>
            </w:r>
          </w:p>
        </w:tc>
      </w:tr>
      <w:tr w:rsidR="00F43C9B" w:rsidRPr="00E15D20" w:rsidTr="00F43C9B">
        <w:tc>
          <w:tcPr>
            <w:tcW w:w="293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5616"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Hoogrendementsketel HR107 toepassen.</w:t>
            </w:r>
          </w:p>
        </w:tc>
      </w:tr>
      <w:tr w:rsidR="00F43C9B" w:rsidRPr="00E15D20" w:rsidTr="00F43C9B">
        <w:tc>
          <w:tcPr>
            <w:tcW w:w="293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Uitgangssituatie op basis van een </w:t>
            </w:r>
            <w:r>
              <w:rPr>
                <w:rFonts w:cstheme="minorHAnsi"/>
                <w:b/>
                <w:bCs/>
                <w:sz w:val="18"/>
                <w:szCs w:val="18"/>
              </w:rPr>
              <w:t>referentietechniek</w:t>
            </w:r>
          </w:p>
        </w:tc>
        <w:tc>
          <w:tcPr>
            <w:tcW w:w="2872" w:type="dxa"/>
            <w:vAlign w:val="center"/>
          </w:tcPr>
          <w:p w:rsidR="00F43C9B" w:rsidRDefault="00F43C9B" w:rsidP="00F43C9B">
            <w:pPr>
              <w:pStyle w:val="Lijstalinea21"/>
              <w:shd w:val="clear" w:color="auto" w:fill="D9D9D9" w:themeFill="background1" w:themeFillShade="D9"/>
              <w:tabs>
                <w:tab w:val="left" w:pos="129"/>
              </w:tabs>
              <w:spacing w:after="0"/>
              <w:ind w:left="0"/>
              <w:rPr>
                <w:rFonts w:asciiTheme="minorHAnsi" w:hAnsiTheme="minorHAnsi" w:cstheme="minorHAnsi"/>
                <w:sz w:val="18"/>
                <w:szCs w:val="18"/>
              </w:rPr>
            </w:pPr>
            <w:r w:rsidRPr="00D0146C">
              <w:rPr>
                <w:rFonts w:asciiTheme="minorHAnsi" w:hAnsiTheme="minorHAnsi" w:cstheme="minorHAnsi"/>
                <w:sz w:val="18"/>
                <w:szCs w:val="18"/>
              </w:rPr>
              <w:t>a) Conventioneelrendements- (CR-) of verbeterdrendements- (VR-) ketel is aanwezig voor basislast (bedrijfstijd is meer dan 500 uur per jaar).</w:t>
            </w:r>
          </w:p>
        </w:tc>
        <w:tc>
          <w:tcPr>
            <w:tcW w:w="2744" w:type="dxa"/>
            <w:vAlign w:val="center"/>
          </w:tcPr>
          <w:p w:rsidR="00F43C9B" w:rsidRPr="00E15D20" w:rsidRDefault="00F43C9B" w:rsidP="00F43C9B">
            <w:pPr>
              <w:shd w:val="clear" w:color="auto" w:fill="D9D9D9" w:themeFill="background1" w:themeFillShade="D9"/>
              <w:tabs>
                <w:tab w:val="left" w:pos="129"/>
              </w:tabs>
              <w:rPr>
                <w:rFonts w:cstheme="minorHAnsi"/>
                <w:sz w:val="18"/>
                <w:szCs w:val="18"/>
              </w:rPr>
            </w:pPr>
            <w:r w:rsidRPr="00D0146C">
              <w:rPr>
                <w:rFonts w:cstheme="minorHAnsi"/>
                <w:sz w:val="18"/>
                <w:szCs w:val="18"/>
              </w:rPr>
              <w:t>b) Hoogrendementsketel HR100 is aanwezig voor basislast (bedrijfstijd is meer dan 500 uur per jaar).</w:t>
            </w:r>
          </w:p>
        </w:tc>
      </w:tr>
      <w:tr w:rsidR="00F43C9B" w:rsidRPr="00E15D20" w:rsidTr="00F43C9B">
        <w:tc>
          <w:tcPr>
            <w:tcW w:w="293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5616"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Retourtemperatuur van ketel kan lager zijn dan 55°C. Hogetemperatuursystemen (zoals warmtapwatersysteem of hogetemperatuurstralingspanelen) verhinderen dat soms.</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Condensafvoer is mogelijk.</w:t>
            </w:r>
          </w:p>
        </w:tc>
      </w:tr>
      <w:tr w:rsidR="00F43C9B" w:rsidRPr="00E15D20" w:rsidTr="00F43C9B">
        <w:trPr>
          <w:trHeight w:val="878"/>
        </w:trPr>
        <w:tc>
          <w:tcPr>
            <w:tcW w:w="2931"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5616"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Beperkte isolatie is aanwezig (ter indicatie: minder dan 40 mm isolatie of bouwjaar van 1975 of eerder).</w:t>
            </w:r>
          </w:p>
        </w:tc>
      </w:tr>
      <w:tr w:rsidR="00F43C9B" w:rsidRPr="00E15D20" w:rsidTr="00F43C9B">
        <w:trPr>
          <w:trHeight w:val="877"/>
        </w:trPr>
        <w:tc>
          <w:tcPr>
            <w:tcW w:w="2931" w:type="dxa"/>
            <w:vMerge/>
            <w:vAlign w:val="center"/>
          </w:tcPr>
          <w:p w:rsidR="00F43C9B" w:rsidRDefault="00F43C9B" w:rsidP="00F43C9B">
            <w:pPr>
              <w:shd w:val="clear" w:color="auto" w:fill="D9D9D9" w:themeFill="background1" w:themeFillShade="D9"/>
              <w:rPr>
                <w:rFonts w:cstheme="minorHAnsi"/>
                <w:b/>
                <w:bCs/>
                <w:sz w:val="18"/>
                <w:szCs w:val="18"/>
                <w:lang w:eastAsia="en-US"/>
              </w:rPr>
            </w:pPr>
          </w:p>
        </w:tc>
        <w:tc>
          <w:tcPr>
            <w:tcW w:w="2872" w:type="dxa"/>
            <w:vAlign w:val="center"/>
          </w:tcPr>
          <w:p w:rsidR="00F43C9B" w:rsidRDefault="00F43C9B" w:rsidP="00F43C9B">
            <w:pPr>
              <w:shd w:val="clear" w:color="auto" w:fill="D9D9D9" w:themeFill="background1" w:themeFillShade="D9"/>
              <w:rPr>
                <w:rFonts w:cstheme="minorHAnsi"/>
                <w:sz w:val="18"/>
                <w:szCs w:val="18"/>
              </w:rPr>
            </w:pPr>
          </w:p>
        </w:tc>
        <w:tc>
          <w:tcPr>
            <w:tcW w:w="2744"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Aardgasverbruik is minder dan 170.000 m</w:t>
            </w:r>
            <w:r w:rsidRPr="00D0146C">
              <w:rPr>
                <w:rFonts w:cstheme="minorHAnsi"/>
                <w:sz w:val="18"/>
                <w:szCs w:val="18"/>
                <w:vertAlign w:val="superscript"/>
              </w:rPr>
              <w:t>3</w:t>
            </w:r>
            <w:r w:rsidRPr="00D0146C">
              <w:rPr>
                <w:rFonts w:cstheme="minorHAnsi"/>
                <w:sz w:val="18"/>
                <w:szCs w:val="18"/>
              </w:rPr>
              <w:t xml:space="preserve"> per jaar.</w:t>
            </w:r>
          </w:p>
        </w:tc>
      </w:tr>
      <w:tr w:rsidR="00F43C9B" w:rsidRPr="00E15D20" w:rsidTr="00F43C9B">
        <w:tc>
          <w:tcPr>
            <w:tcW w:w="293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2872" w:type="dxa"/>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lang w:eastAsia="en-US"/>
              </w:rPr>
              <w:t xml:space="preserve">a) </w:t>
            </w:r>
            <w:r w:rsidRPr="00D0146C">
              <w:rPr>
                <w:rFonts w:cstheme="minorHAnsi"/>
                <w:sz w:val="18"/>
                <w:szCs w:val="18"/>
              </w:rPr>
              <w:t xml:space="preserve">Zelfstandig moment: </w:t>
            </w:r>
            <w:r w:rsidRPr="00D0146C">
              <w:rPr>
                <w:rFonts w:cstheme="minorHAnsi"/>
                <w:sz w:val="18"/>
                <w:szCs w:val="18"/>
                <w:lang w:eastAsia="en-US"/>
              </w:rPr>
              <w:t>Ja, indien aard</w:t>
            </w:r>
            <w:r w:rsidRPr="00D0146C">
              <w:rPr>
                <w:rFonts w:cstheme="minorHAnsi"/>
                <w:sz w:val="18"/>
                <w:szCs w:val="18"/>
              </w:rPr>
              <w:t>gasverbruik minder is dan 170.000 m</w:t>
            </w:r>
            <w:r w:rsidRPr="00D0146C">
              <w:rPr>
                <w:rFonts w:cstheme="minorHAnsi"/>
                <w:sz w:val="18"/>
                <w:szCs w:val="18"/>
                <w:vertAlign w:val="superscript"/>
              </w:rPr>
              <w:t xml:space="preserve">3 </w:t>
            </w:r>
            <w:r w:rsidRPr="00D0146C">
              <w:rPr>
                <w:rFonts w:cstheme="minorHAnsi"/>
                <w:sz w:val="18"/>
                <w:szCs w:val="18"/>
              </w:rPr>
              <w:t>per jaar.</w:t>
            </w:r>
          </w:p>
          <w:p w:rsidR="00F43C9B" w:rsidRDefault="00F43C9B" w:rsidP="00F43C9B">
            <w:pPr>
              <w:shd w:val="clear" w:color="auto" w:fill="D9D9D9" w:themeFill="background1" w:themeFillShade="D9"/>
              <w:tabs>
                <w:tab w:val="left" w:pos="252"/>
              </w:tabs>
              <w:rPr>
                <w:rFonts w:cstheme="minorHAnsi"/>
                <w:sz w:val="18"/>
                <w:szCs w:val="18"/>
                <w:lang w:eastAsia="en-US"/>
              </w:rPr>
            </w:pPr>
            <w:r w:rsidRPr="00D0146C">
              <w:rPr>
                <w:rFonts w:cstheme="minorHAnsi"/>
                <w:sz w:val="18"/>
                <w:szCs w:val="18"/>
              </w:rPr>
              <w:t>Natuurlijk moment: Ja.</w:t>
            </w:r>
          </w:p>
        </w:tc>
        <w:tc>
          <w:tcPr>
            <w:tcW w:w="2744" w:type="dxa"/>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b) Zelfstandig moment: Nee.</w:t>
            </w:r>
          </w:p>
          <w:p w:rsidR="00F43C9B" w:rsidRDefault="00F43C9B" w:rsidP="00F43C9B">
            <w:pPr>
              <w:shd w:val="clear" w:color="auto" w:fill="D9D9D9" w:themeFill="background1" w:themeFillShade="D9"/>
              <w:tabs>
                <w:tab w:val="left" w:pos="252"/>
              </w:tabs>
              <w:rPr>
                <w:rFonts w:cstheme="minorHAnsi"/>
                <w:sz w:val="18"/>
                <w:szCs w:val="18"/>
                <w:lang w:eastAsia="en-US"/>
              </w:rPr>
            </w:pPr>
            <w:r w:rsidRPr="00D0146C">
              <w:rPr>
                <w:rFonts w:cstheme="minorHAnsi"/>
                <w:sz w:val="18"/>
                <w:szCs w:val="18"/>
              </w:rPr>
              <w:t>Natuurlijk moment: Ja.</w:t>
            </w:r>
          </w:p>
        </w:tc>
      </w:tr>
      <w:tr w:rsidR="00F43C9B" w:rsidRPr="00E15D20" w:rsidTr="00F43C9B">
        <w:tc>
          <w:tcPr>
            <w:tcW w:w="293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5616"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293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5616"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tabs>
          <w:tab w:val="left" w:pos="2694"/>
        </w:tabs>
        <w:rPr>
          <w:rFonts w:cstheme="minorHAnsi"/>
          <w:b/>
          <w:sz w:val="18"/>
          <w:szCs w:val="18"/>
        </w:rPr>
      </w:pPr>
    </w:p>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br w:type="page"/>
      </w: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000"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Ruimteverwarming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6</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Bedrijfshal: Warmte in hoge hal actief verdelen naar werkplekken met warmtevraag om verwarming met aardgas te beperken.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Ondersteuningsventilator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w:t>
            </w:r>
            <w:r>
              <w:rPr>
                <w:rFonts w:cstheme="minorHAnsi"/>
                <w:b/>
                <w:bCs/>
                <w:sz w:val="18"/>
                <w:szCs w:val="18"/>
              </w:rPr>
              <w:t>basis van een referentietechniek</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Voorziening voor luchtcirculatie ontbreekt.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Geen vervuilende gassen (zoals las- en lijmdampen) aanwezig.</w:t>
            </w:r>
          </w:p>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Kraanbaan en ondersteuningsventilator hinderen elkaar niet.</w:t>
            </w:r>
          </w:p>
        </w:tc>
      </w:tr>
      <w:tr w:rsidR="00F43C9B" w:rsidRPr="00E15D20" w:rsidTr="00F43C9B">
        <w:trPr>
          <w:trHeight w:val="456"/>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Aardgasverbruik is minder dan 170.000 m</w:t>
            </w:r>
            <w:r w:rsidRPr="00D0146C">
              <w:rPr>
                <w:rFonts w:cstheme="minorHAnsi"/>
                <w:bCs/>
                <w:sz w:val="18"/>
                <w:szCs w:val="18"/>
                <w:vertAlign w:val="superscript"/>
              </w:rPr>
              <w:t>3</w:t>
            </w:r>
            <w:r w:rsidRPr="00D0146C">
              <w:rPr>
                <w:rFonts w:cstheme="minorHAnsi"/>
                <w:bCs/>
                <w:sz w:val="18"/>
                <w:szCs w:val="18"/>
              </w:rPr>
              <w:t xml:space="preserve"> per jaar.</w:t>
            </w:r>
          </w:p>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Temperatuur boven in hal is minimaal 4°C hoger dan temperatuur op werkniveau.</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erkende </w:t>
            </w:r>
            <w:r>
              <w:rPr>
                <w:rFonts w:cstheme="minorHAnsi"/>
                <w:b/>
                <w:bCs/>
                <w:sz w:val="18"/>
                <w:szCs w:val="18"/>
              </w:rPr>
              <w:t>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[8] Bedrijfshal: Energiezuinige warmteopwekking toepassen in slecht geïsoleerde of half open hal.</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b/>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Pr>
                <w:rFonts w:cstheme="minorHAnsi"/>
                <w:b/>
                <w:bCs/>
                <w:sz w:val="18"/>
                <w:szCs w:val="18"/>
                <w:lang w:val="en-US" w:eastAsia="en-US"/>
              </w:rPr>
              <w:t>Ruimteverwarming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7</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Bedrijfshal: Temperatuur per ruimte naregelen.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Thermostatische radiatorkranen of ruimtethermostaten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Individuele naregeling per ruimte ontbreekt.</w:t>
            </w:r>
          </w:p>
        </w:tc>
      </w:tr>
      <w:tr w:rsidR="00F43C9B" w:rsidRPr="00E15D20" w:rsidTr="00F43C9B">
        <w:trPr>
          <w:trHeight w:val="490"/>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w:t>
            </w:r>
            <w:r>
              <w:rPr>
                <w:rFonts w:cstheme="minorHAnsi"/>
                <w:b/>
                <w:bCs/>
                <w:sz w:val="18"/>
                <w:szCs w:val="18"/>
              </w:rPr>
              <w:t>rwaarden</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N.v.t.</w:t>
            </w:r>
          </w:p>
        </w:tc>
      </w:tr>
      <w:tr w:rsidR="00F43C9B" w:rsidRPr="00E15D20" w:rsidTr="00F43C9B">
        <w:trPr>
          <w:trHeight w:val="201"/>
        </w:trPr>
        <w:tc>
          <w:tcPr>
            <w:tcW w:w="39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Aardgasverbruik is minder dan 170.000 m</w:t>
            </w:r>
            <w:r w:rsidRPr="00D0146C">
              <w:rPr>
                <w:rFonts w:cstheme="minorHAnsi"/>
                <w:bCs/>
                <w:sz w:val="18"/>
                <w:szCs w:val="18"/>
                <w:vertAlign w:val="superscript"/>
              </w:rPr>
              <w:t>3</w:t>
            </w:r>
            <w:r w:rsidRPr="00D0146C">
              <w:rPr>
                <w:rFonts w:cstheme="minorHAnsi"/>
                <w:bCs/>
                <w:sz w:val="18"/>
                <w:szCs w:val="18"/>
              </w:rPr>
              <w:t xml:space="preserve"> per jaar.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lang w:val="en-US" w:eastAsia="en-US"/>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Bijzondere </w:t>
            </w:r>
            <w:r>
              <w:rPr>
                <w:rFonts w:cstheme="minorHAnsi"/>
                <w:b/>
                <w:bCs/>
                <w:sz w:val="18"/>
                <w:szCs w:val="18"/>
              </w:rPr>
              <w:t>omstandigheden</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sz w:val="18"/>
                <w:szCs w:val="18"/>
                <w:lang w:val="en-US" w:eastAsia="en-US"/>
              </w:rPr>
              <w:t>N.v.t.</w:t>
            </w:r>
          </w:p>
        </w:tc>
      </w:tr>
    </w:tbl>
    <w:p w:rsidR="00F43C9B" w:rsidRPr="00E15D20" w:rsidRDefault="00F43C9B" w:rsidP="00F43C9B">
      <w:pPr>
        <w:shd w:val="clear" w:color="auto" w:fill="D9D9D9" w:themeFill="background1" w:themeFillShade="D9"/>
        <w:tabs>
          <w:tab w:val="left" w:pos="2694"/>
        </w:tabs>
        <w:rPr>
          <w:rFonts w:cstheme="minorHAnsi"/>
          <w:b/>
          <w:sz w:val="18"/>
          <w:szCs w:val="1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0"/>
        <w:gridCol w:w="5347"/>
      </w:tblGrid>
      <w:tr w:rsidR="00F43C9B" w:rsidRPr="00E15D20" w:rsidTr="00F43C9B">
        <w:tc>
          <w:tcPr>
            <w:tcW w:w="32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5347" w:type="dxa"/>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3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534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8</w:t>
            </w:r>
          </w:p>
        </w:tc>
      </w:tr>
      <w:tr w:rsidR="00F43C9B" w:rsidRPr="00E15D20" w:rsidTr="00F43C9B">
        <w:tc>
          <w:tcPr>
            <w:tcW w:w="3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534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Bedrijfshal: Energiezuinige warmteopwekking toepassen in slecht geïsoleerde of half open hal.</w:t>
            </w:r>
          </w:p>
        </w:tc>
      </w:tr>
      <w:tr w:rsidR="00F43C9B" w:rsidRPr="00E15D20" w:rsidTr="00F43C9B">
        <w:tc>
          <w:tcPr>
            <w:tcW w:w="3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w:t>
            </w:r>
            <w:r>
              <w:rPr>
                <w:rFonts w:cstheme="minorHAnsi"/>
                <w:b/>
                <w:bCs/>
                <w:sz w:val="18"/>
                <w:szCs w:val="18"/>
              </w:rPr>
              <w:t>technieken ten opzichte van uitgangssituatie</w:t>
            </w:r>
          </w:p>
        </w:tc>
        <w:tc>
          <w:tcPr>
            <w:tcW w:w="534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Gasgestookte donkere stralers toepassen.</w:t>
            </w:r>
          </w:p>
        </w:tc>
      </w:tr>
      <w:tr w:rsidR="00F43C9B" w:rsidRPr="00E15D20" w:rsidTr="00F43C9B">
        <w:tc>
          <w:tcPr>
            <w:tcW w:w="3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534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Conventionele luchtverhitter is aanwezig.</w:t>
            </w:r>
          </w:p>
        </w:tc>
      </w:tr>
      <w:tr w:rsidR="00F43C9B" w:rsidRPr="00E15D20" w:rsidTr="00F43C9B">
        <w:tc>
          <w:tcPr>
            <w:tcW w:w="3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534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Rookgasafvoer is mogelijk.</w:t>
            </w:r>
          </w:p>
        </w:tc>
      </w:tr>
      <w:tr w:rsidR="00F43C9B" w:rsidRPr="00E15D20" w:rsidTr="00F43C9B">
        <w:trPr>
          <w:trHeight w:val="244"/>
        </w:trPr>
        <w:tc>
          <w:tcPr>
            <w:tcW w:w="3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Economische </w:t>
            </w:r>
            <w:r>
              <w:rPr>
                <w:rFonts w:cstheme="minorHAnsi"/>
                <w:b/>
                <w:bCs/>
                <w:sz w:val="18"/>
                <w:szCs w:val="18"/>
              </w:rPr>
              <w:t>randvoorwaarden</w:t>
            </w:r>
          </w:p>
        </w:tc>
        <w:tc>
          <w:tcPr>
            <w:tcW w:w="534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Aardgasverbruik is minder dan 170.000 m</w:t>
            </w:r>
            <w:r w:rsidRPr="00D0146C">
              <w:rPr>
                <w:rFonts w:cstheme="minorHAnsi"/>
                <w:bCs/>
                <w:sz w:val="18"/>
                <w:szCs w:val="18"/>
                <w:vertAlign w:val="superscript"/>
              </w:rPr>
              <w:t>3</w:t>
            </w:r>
            <w:r w:rsidRPr="00D0146C">
              <w:rPr>
                <w:rFonts w:cstheme="minorHAnsi"/>
                <w:bCs/>
                <w:sz w:val="18"/>
                <w:szCs w:val="18"/>
              </w:rPr>
              <w:t xml:space="preserve"> per jaar.</w:t>
            </w:r>
          </w:p>
        </w:tc>
      </w:tr>
      <w:tr w:rsidR="00F43C9B" w:rsidRPr="00E15D20" w:rsidTr="00F43C9B">
        <w:tc>
          <w:tcPr>
            <w:tcW w:w="3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534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Natuurlijk moment: Ja.</w:t>
            </w:r>
          </w:p>
        </w:tc>
      </w:tr>
      <w:tr w:rsidR="00F43C9B" w:rsidRPr="00E15D20" w:rsidTr="00F43C9B">
        <w:tc>
          <w:tcPr>
            <w:tcW w:w="3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534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N.v.t.</w:t>
            </w:r>
          </w:p>
        </w:tc>
      </w:tr>
      <w:tr w:rsidR="00F43C9B" w:rsidRPr="00E15D20" w:rsidTr="00F43C9B">
        <w:tc>
          <w:tcPr>
            <w:tcW w:w="32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5347"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tabs>
          <w:tab w:val="left" w:pos="2694"/>
        </w:tabs>
        <w:rPr>
          <w:rFonts w:cstheme="minorHAnsi"/>
          <w:b/>
          <w:sz w:val="18"/>
          <w:szCs w:val="1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3"/>
        <w:gridCol w:w="5344"/>
      </w:tblGrid>
      <w:tr w:rsidR="00F43C9B" w:rsidRPr="00E15D20" w:rsidTr="00F43C9B">
        <w:tc>
          <w:tcPr>
            <w:tcW w:w="3203" w:type="dxa"/>
            <w:shd w:val="clear" w:color="auto" w:fill="B3B3B3"/>
          </w:tcPr>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b/>
                <w:sz w:val="18"/>
                <w:szCs w:val="18"/>
              </w:rPr>
              <w:br w:type="page"/>
              <w:t>Type maatregel</w:t>
            </w:r>
          </w:p>
        </w:tc>
        <w:tc>
          <w:tcPr>
            <w:tcW w:w="5344" w:type="dxa"/>
          </w:tcPr>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sz w:val="18"/>
                <w:szCs w:val="18"/>
              </w:rPr>
              <w:t>Ruimte- en buitenverlichting</w:t>
            </w:r>
          </w:p>
        </w:tc>
      </w:tr>
      <w:tr w:rsidR="00F43C9B" w:rsidRPr="00E15D20" w:rsidTr="00F43C9B">
        <w:tc>
          <w:tcPr>
            <w:tcW w:w="3203" w:type="dxa"/>
            <w:shd w:val="clear" w:color="auto" w:fill="B3B3B3"/>
          </w:tcPr>
          <w:p w:rsidR="00F43C9B" w:rsidRPr="00E15D20" w:rsidRDefault="00F43C9B" w:rsidP="00F43C9B">
            <w:pPr>
              <w:shd w:val="clear" w:color="auto" w:fill="D9D9D9" w:themeFill="background1" w:themeFillShade="D9"/>
              <w:rPr>
                <w:rFonts w:cstheme="minorHAnsi"/>
                <w:b/>
                <w:sz w:val="18"/>
                <w:szCs w:val="18"/>
                <w:lang w:eastAsia="en-US"/>
              </w:rPr>
            </w:pPr>
            <w:r w:rsidRPr="00E15D20">
              <w:rPr>
                <w:rFonts w:cstheme="minorHAnsi"/>
                <w:b/>
                <w:sz w:val="18"/>
                <w:szCs w:val="18"/>
              </w:rPr>
              <w:t>Nummer maatregel</w:t>
            </w:r>
          </w:p>
        </w:tc>
        <w:tc>
          <w:tcPr>
            <w:tcW w:w="5344" w:type="dxa"/>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t>9</w:t>
            </w:r>
          </w:p>
        </w:tc>
      </w:tr>
      <w:tr w:rsidR="00F43C9B" w:rsidRPr="00E15D20" w:rsidTr="00F43C9B">
        <w:tc>
          <w:tcPr>
            <w:tcW w:w="3203" w:type="dxa"/>
            <w:shd w:val="clear" w:color="auto" w:fill="B3B3B3"/>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Omschrijving maatregel</w:t>
            </w:r>
          </w:p>
        </w:tc>
        <w:tc>
          <w:tcPr>
            <w:tcW w:w="5344" w:type="dxa"/>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Kantoor: Geïnstalleerd vermogen binnenverlichting beperken.</w:t>
            </w:r>
          </w:p>
        </w:tc>
      </w:tr>
      <w:tr w:rsidR="00F43C9B" w:rsidRPr="00E15D20" w:rsidTr="00F43C9B">
        <w:trPr>
          <w:trHeight w:val="268"/>
        </w:trPr>
        <w:tc>
          <w:tcPr>
            <w:tcW w:w="3203" w:type="dxa"/>
            <w:shd w:val="clear" w:color="auto" w:fill="B3B3B3"/>
            <w:vAlign w:val="center"/>
          </w:tcPr>
          <w:p w:rsidR="00F43C9B" w:rsidRPr="00E15D20" w:rsidRDefault="00F43C9B" w:rsidP="00F43C9B">
            <w:pPr>
              <w:shd w:val="clear" w:color="auto" w:fill="D9D9D9" w:themeFill="background1" w:themeFillShade="D9"/>
              <w:rPr>
                <w:rFonts w:cstheme="minorHAnsi"/>
                <w:b/>
                <w:sz w:val="18"/>
                <w:szCs w:val="18"/>
              </w:rPr>
            </w:pPr>
            <w:r w:rsidRPr="00E15D20">
              <w:rPr>
                <w:rFonts w:cstheme="minorHAnsi"/>
                <w:b/>
                <w:sz w:val="18"/>
                <w:szCs w:val="18"/>
              </w:rPr>
              <w:t>Mogelijke technieken ten opzichte van uitgangssituatie</w:t>
            </w:r>
          </w:p>
        </w:tc>
        <w:tc>
          <w:tcPr>
            <w:tcW w:w="5344"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L</w:t>
            </w:r>
            <w:r>
              <w:rPr>
                <w:rStyle w:val="description"/>
                <w:rFonts w:cstheme="minorHAnsi"/>
                <w:sz w:val="18"/>
                <w:szCs w:val="18"/>
              </w:rPr>
              <w:t xml:space="preserve">angwerpige </w:t>
            </w:r>
            <w:r>
              <w:rPr>
                <w:rStyle w:val="Zwaar"/>
                <w:rFonts w:cstheme="minorHAnsi"/>
                <w:sz w:val="18"/>
                <w:szCs w:val="18"/>
              </w:rPr>
              <w:t>fluorescentielamp (</w:t>
            </w:r>
            <w:r w:rsidRPr="00D0146C">
              <w:rPr>
                <w:rFonts w:cstheme="minorHAnsi"/>
                <w:sz w:val="18"/>
                <w:szCs w:val="18"/>
              </w:rPr>
              <w:t>TL5) en adapter toepassen in bestaande armatuur.</w:t>
            </w:r>
          </w:p>
        </w:tc>
      </w:tr>
      <w:tr w:rsidR="00F43C9B" w:rsidRPr="00E15D20" w:rsidTr="00F43C9B">
        <w:tc>
          <w:tcPr>
            <w:tcW w:w="3203"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Uitgangssituatie op basis van een referentietechniek</w:t>
            </w:r>
          </w:p>
        </w:tc>
        <w:tc>
          <w:tcPr>
            <w:tcW w:w="5344" w:type="dxa"/>
            <w:vAlign w:val="center"/>
          </w:tcPr>
          <w:p w:rsidR="00F43C9B" w:rsidRDefault="00F43C9B" w:rsidP="00F43C9B">
            <w:pPr>
              <w:pStyle w:val="Lijstalinea21"/>
              <w:shd w:val="clear" w:color="auto" w:fill="D9D9D9" w:themeFill="background1" w:themeFillShade="D9"/>
              <w:tabs>
                <w:tab w:val="left" w:pos="129"/>
              </w:tabs>
              <w:spacing w:after="0"/>
              <w:ind w:left="0"/>
              <w:rPr>
                <w:rFonts w:asciiTheme="minorHAnsi" w:hAnsiTheme="minorHAnsi" w:cstheme="minorHAnsi"/>
                <w:sz w:val="18"/>
                <w:szCs w:val="18"/>
              </w:rPr>
            </w:pPr>
            <w:r w:rsidRPr="00D0146C">
              <w:rPr>
                <w:rFonts w:asciiTheme="minorHAnsi" w:hAnsiTheme="minorHAnsi" w:cstheme="minorHAnsi"/>
                <w:sz w:val="18"/>
                <w:szCs w:val="18"/>
              </w:rPr>
              <w:t xml:space="preserve">Conventionele armaturen met </w:t>
            </w:r>
            <w:r>
              <w:rPr>
                <w:rStyle w:val="description"/>
                <w:rFonts w:asciiTheme="minorHAnsi" w:hAnsiTheme="minorHAnsi" w:cstheme="minorHAnsi"/>
                <w:sz w:val="18"/>
                <w:szCs w:val="18"/>
              </w:rPr>
              <w:t xml:space="preserve">langwerpige </w:t>
            </w:r>
            <w:r>
              <w:rPr>
                <w:rStyle w:val="Zwaar"/>
                <w:rFonts w:asciiTheme="minorHAnsi" w:hAnsiTheme="minorHAnsi" w:cstheme="minorHAnsi"/>
                <w:sz w:val="18"/>
                <w:szCs w:val="18"/>
              </w:rPr>
              <w:t>fluorescentielampen</w:t>
            </w:r>
            <w:r w:rsidRPr="00D0146C">
              <w:rPr>
                <w:rFonts w:asciiTheme="minorHAnsi" w:hAnsiTheme="minorHAnsi" w:cstheme="minorHAnsi"/>
                <w:sz w:val="18"/>
                <w:szCs w:val="18"/>
              </w:rPr>
              <w:t xml:space="preserve"> (TL) zijn aanwezig.</w:t>
            </w:r>
          </w:p>
        </w:tc>
      </w:tr>
      <w:tr w:rsidR="00F43C9B" w:rsidRPr="00E15D20" w:rsidTr="00F43C9B">
        <w:tc>
          <w:tcPr>
            <w:tcW w:w="3203"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Technische randvoorwaarden</w:t>
            </w:r>
          </w:p>
        </w:tc>
        <w:tc>
          <w:tcPr>
            <w:tcW w:w="5344"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203"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Economische randvoorwaarden</w:t>
            </w:r>
          </w:p>
        </w:tc>
        <w:tc>
          <w:tcPr>
            <w:tcW w:w="5344"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203"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lang w:eastAsia="en-US"/>
              </w:rPr>
            </w:pPr>
            <w:r w:rsidRPr="00E15D20">
              <w:rPr>
                <w:rFonts w:cstheme="minorHAnsi"/>
                <w:b/>
                <w:bCs/>
                <w:sz w:val="18"/>
                <w:szCs w:val="18"/>
              </w:rPr>
              <w:t xml:space="preserve">Toepasbaar op een </w:t>
            </w:r>
            <w:r>
              <w:rPr>
                <w:rFonts w:cstheme="minorHAnsi"/>
                <w:b/>
                <w:bCs/>
                <w:sz w:val="18"/>
                <w:szCs w:val="18"/>
              </w:rPr>
              <w:t>zelfstandig of natuurlijk moment?</w:t>
            </w:r>
          </w:p>
        </w:tc>
        <w:tc>
          <w:tcPr>
            <w:tcW w:w="5344"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bCs/>
                <w:sz w:val="18"/>
                <w:szCs w:val="18"/>
              </w:rPr>
              <w:t>Natuurlijk moment: Ja.</w:t>
            </w:r>
          </w:p>
        </w:tc>
      </w:tr>
      <w:tr w:rsidR="00F43C9B" w:rsidRPr="00E15D20" w:rsidTr="00F43C9B">
        <w:tc>
          <w:tcPr>
            <w:tcW w:w="3203" w:type="dxa"/>
            <w:shd w:val="clear" w:color="auto" w:fill="B3B3B3"/>
            <w:vAlign w:val="center"/>
          </w:tcPr>
          <w:p w:rsidR="00F43C9B" w:rsidRPr="00E15D20" w:rsidRDefault="00F43C9B" w:rsidP="00F43C9B">
            <w:pPr>
              <w:shd w:val="clear" w:color="auto" w:fill="D9D9D9" w:themeFill="background1" w:themeFillShade="D9"/>
              <w:rPr>
                <w:rFonts w:cstheme="minorHAnsi"/>
                <w:sz w:val="18"/>
                <w:szCs w:val="18"/>
              </w:rPr>
            </w:pPr>
            <w:r w:rsidRPr="00E15D20">
              <w:rPr>
                <w:rFonts w:cstheme="minorHAnsi"/>
                <w:b/>
                <w:bCs/>
                <w:sz w:val="18"/>
                <w:szCs w:val="18"/>
              </w:rPr>
              <w:t>Alternatieve erkende maatregelen</w:t>
            </w:r>
          </w:p>
        </w:tc>
        <w:tc>
          <w:tcPr>
            <w:tcW w:w="5344"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203"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5344"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Default="00F43C9B" w:rsidP="00F43C9B">
      <w:pPr>
        <w:shd w:val="clear" w:color="auto" w:fill="D9D9D9" w:themeFill="background1" w:themeFillShade="D9"/>
        <w:rPr>
          <w:rFonts w:cstheme="minorHAnsi"/>
          <w:b/>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3500"/>
        <w:gridCol w:w="3500"/>
      </w:tblGrid>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Type maatregel</w:t>
            </w:r>
          </w:p>
        </w:tc>
        <w:tc>
          <w:tcPr>
            <w:tcW w:w="7000" w:type="dxa"/>
            <w:gridSpan w:val="2"/>
            <w:vAlign w:val="center"/>
          </w:tcPr>
          <w:p w:rsidR="00F43C9B" w:rsidRDefault="00F43C9B" w:rsidP="00F43C9B">
            <w:pPr>
              <w:shd w:val="clear" w:color="auto" w:fill="D9D9D9" w:themeFill="background1" w:themeFillShade="D9"/>
              <w:rPr>
                <w:rFonts w:cstheme="minorHAnsi"/>
                <w:b/>
                <w:sz w:val="18"/>
                <w:szCs w:val="18"/>
                <w:lang w:eastAsia="en-US"/>
              </w:rPr>
            </w:pPr>
            <w:r w:rsidRPr="00D0146C">
              <w:rPr>
                <w:rFonts w:cstheme="minorHAnsi"/>
                <w:sz w:val="18"/>
                <w:szCs w:val="18"/>
              </w:rPr>
              <w:t>Ruimte- en buitenverlichting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Nummer </w:t>
            </w:r>
            <w:r>
              <w:rPr>
                <w:rFonts w:cstheme="minorHAnsi"/>
                <w:b/>
                <w:bCs/>
                <w:sz w:val="18"/>
                <w:szCs w:val="18"/>
              </w:rPr>
              <w:t>maatregel</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t>10</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Omschrijving maatregel</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Kantoor: Geïnstalleerd vermogen accentverlichting beperken.</w:t>
            </w:r>
          </w:p>
        </w:tc>
      </w:tr>
      <w:tr w:rsidR="00F43C9B" w:rsidRPr="00E15D20" w:rsidTr="00F43C9B">
        <w:trPr>
          <w:trHeight w:val="333"/>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Mogelijke technieken ten opzichte van uitgangssituatie</w:t>
            </w:r>
          </w:p>
        </w:tc>
        <w:tc>
          <w:tcPr>
            <w:tcW w:w="3500"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a) PL-lamp (traditionele spaarlamp) toepassen in bestaande armatuur.</w:t>
            </w:r>
          </w:p>
        </w:tc>
        <w:tc>
          <w:tcPr>
            <w:tcW w:w="35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Halogeenlamp toepassen in bestaande armatuur.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a en b) Gloeilamp is aanwezig.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7000" w:type="dxa"/>
            <w:gridSpan w:val="2"/>
            <w:vAlign w:val="center"/>
          </w:tcPr>
          <w:p w:rsidR="00F43C9B" w:rsidRDefault="00F43C9B" w:rsidP="00F43C9B">
            <w:pPr>
              <w:shd w:val="clear" w:color="auto" w:fill="D9D9D9" w:themeFill="background1" w:themeFillShade="D9"/>
              <w:rPr>
                <w:rFonts w:cstheme="minorHAnsi"/>
                <w:bCs/>
                <w:sz w:val="18"/>
                <w:szCs w:val="18"/>
                <w:lang w:eastAsia="en-US"/>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35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Zelfstandig moment: Ja.</w:t>
            </w:r>
          </w:p>
          <w:p w:rsidR="00F43C9B" w:rsidRDefault="00F43C9B" w:rsidP="00F43C9B">
            <w:pPr>
              <w:shd w:val="clear" w:color="auto" w:fill="D9D9D9" w:themeFill="background1" w:themeFillShade="D9"/>
              <w:tabs>
                <w:tab w:val="left" w:pos="252"/>
              </w:tabs>
              <w:rPr>
                <w:rFonts w:cstheme="minorHAnsi"/>
                <w:sz w:val="18"/>
                <w:szCs w:val="18"/>
                <w:lang w:eastAsia="en-US"/>
              </w:rPr>
            </w:pPr>
            <w:r w:rsidRPr="00D0146C">
              <w:rPr>
                <w:rFonts w:cstheme="minorHAnsi"/>
                <w:sz w:val="18"/>
                <w:szCs w:val="18"/>
              </w:rPr>
              <w:t>Natuurlijk moment: Ja.</w:t>
            </w:r>
          </w:p>
        </w:tc>
        <w:tc>
          <w:tcPr>
            <w:tcW w:w="3500" w:type="dxa"/>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lang w:eastAsia="en-US"/>
              </w:rPr>
              <w:t xml:space="preserve">b) </w:t>
            </w:r>
            <w:r w:rsidRPr="00D0146C">
              <w:rPr>
                <w:rFonts w:cstheme="minorHAnsi"/>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lang w:eastAsia="en-US"/>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rPr>
          <w:trHeight w:val="70"/>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bl>
    <w:p w:rsidR="00F43C9B" w:rsidRPr="00E15D20" w:rsidRDefault="00F43C9B" w:rsidP="00F43C9B">
      <w:pPr>
        <w:shd w:val="clear" w:color="auto" w:fill="D9D9D9" w:themeFill="background1" w:themeFillShade="D9"/>
        <w:tabs>
          <w:tab w:val="left" w:pos="2694"/>
        </w:tabs>
        <w:rPr>
          <w:rFonts w:cstheme="minorHAnsi"/>
          <w:b/>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3500"/>
        <w:gridCol w:w="35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lang w:eastAsia="en-US"/>
              </w:rPr>
              <w:t>Type maatregel</w:t>
            </w:r>
          </w:p>
        </w:tc>
        <w:tc>
          <w:tcPr>
            <w:tcW w:w="7000" w:type="dxa"/>
            <w:gridSpan w:val="2"/>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Ruimte- en buitenverlichting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lang w:eastAsia="en-US"/>
              </w:rPr>
              <w:t>Nummer maatregel</w:t>
            </w:r>
          </w:p>
        </w:tc>
        <w:tc>
          <w:tcPr>
            <w:tcW w:w="7000" w:type="dxa"/>
            <w:gridSpan w:val="2"/>
            <w:vAlign w:val="center"/>
          </w:tcPr>
          <w:p w:rsidR="00F43C9B" w:rsidRDefault="00F43C9B" w:rsidP="00F43C9B">
            <w:pPr>
              <w:shd w:val="clear" w:color="auto" w:fill="D9D9D9" w:themeFill="background1" w:themeFillShade="D9"/>
              <w:rPr>
                <w:rFonts w:cstheme="minorHAnsi"/>
                <w:bCs/>
                <w:sz w:val="18"/>
                <w:szCs w:val="18"/>
                <w:lang w:eastAsia="en-US"/>
              </w:rPr>
            </w:pPr>
            <w:r w:rsidRPr="00D0146C">
              <w:rPr>
                <w:rFonts w:cstheme="minorHAnsi"/>
                <w:bCs/>
                <w:sz w:val="18"/>
                <w:szCs w:val="18"/>
                <w:lang w:eastAsia="en-US"/>
              </w:rPr>
              <w:t>11</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lang w:eastAsia="en-US"/>
              </w:rPr>
              <w:t>Omschrijving maatregel</w:t>
            </w:r>
          </w:p>
        </w:tc>
        <w:tc>
          <w:tcPr>
            <w:tcW w:w="7000" w:type="dxa"/>
            <w:gridSpan w:val="2"/>
            <w:vAlign w:val="center"/>
          </w:tcPr>
          <w:p w:rsidR="00F43C9B" w:rsidRDefault="00F43C9B" w:rsidP="00F43C9B">
            <w:pPr>
              <w:shd w:val="clear" w:color="auto" w:fill="D9D9D9" w:themeFill="background1" w:themeFillShade="D9"/>
              <w:rPr>
                <w:rFonts w:cstheme="minorHAnsi"/>
                <w:bCs/>
                <w:sz w:val="18"/>
                <w:szCs w:val="18"/>
                <w:lang w:eastAsia="en-US"/>
              </w:rPr>
            </w:pPr>
            <w:r w:rsidRPr="00D0146C">
              <w:rPr>
                <w:rFonts w:cstheme="minorHAnsi"/>
                <w:sz w:val="18"/>
                <w:szCs w:val="18"/>
              </w:rPr>
              <w:t>Kantoor: Geïnstalleerd vermogen binnenverlichting beperken.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lang w:eastAsia="en-US"/>
              </w:rPr>
              <w:t>Mogelijke technieken ten opzichte van uitgangssituatie</w:t>
            </w:r>
          </w:p>
        </w:tc>
        <w:tc>
          <w:tcPr>
            <w:tcW w:w="3500" w:type="dxa"/>
            <w:vAlign w:val="center"/>
          </w:tcPr>
          <w:p w:rsidR="00F43C9B" w:rsidRDefault="00F43C9B" w:rsidP="00F43C9B">
            <w:pPr>
              <w:shd w:val="clear" w:color="auto" w:fill="D9D9D9" w:themeFill="background1" w:themeFillShade="D9"/>
              <w:rPr>
                <w:rFonts w:cstheme="minorHAnsi"/>
                <w:bCs/>
                <w:sz w:val="18"/>
                <w:szCs w:val="18"/>
                <w:lang w:eastAsia="en-US"/>
              </w:rPr>
            </w:pPr>
            <w:r w:rsidRPr="00D0146C">
              <w:rPr>
                <w:rFonts w:cstheme="minorHAnsi"/>
                <w:bCs/>
                <w:sz w:val="18"/>
                <w:szCs w:val="18"/>
              </w:rPr>
              <w:t xml:space="preserve">a) Armaturen met </w:t>
            </w:r>
            <w:r w:rsidRPr="00D0146C">
              <w:rPr>
                <w:rFonts w:cstheme="minorHAnsi"/>
                <w:sz w:val="18"/>
                <w:szCs w:val="18"/>
              </w:rPr>
              <w:t xml:space="preserve">langwerpige </w:t>
            </w:r>
            <w:r w:rsidRPr="00D0146C">
              <w:rPr>
                <w:rFonts w:cstheme="minorHAnsi"/>
                <w:bCs/>
                <w:sz w:val="18"/>
                <w:szCs w:val="18"/>
              </w:rPr>
              <w:t>fluorescentielampen</w:t>
            </w:r>
            <w:r w:rsidRPr="00D0146C">
              <w:rPr>
                <w:rFonts w:cstheme="minorHAnsi"/>
                <w:sz w:val="18"/>
                <w:szCs w:val="18"/>
              </w:rPr>
              <w:t xml:space="preserve"> (</w:t>
            </w:r>
            <w:r w:rsidRPr="00D0146C">
              <w:rPr>
                <w:rFonts w:cstheme="minorHAnsi"/>
                <w:bCs/>
                <w:sz w:val="18"/>
                <w:szCs w:val="18"/>
              </w:rPr>
              <w:t>TL5) toepassen.</w:t>
            </w:r>
          </w:p>
        </w:tc>
        <w:tc>
          <w:tcPr>
            <w:tcW w:w="3500" w:type="dxa"/>
            <w:vAlign w:val="center"/>
          </w:tcPr>
          <w:p w:rsidR="00F43C9B" w:rsidRDefault="00F43C9B" w:rsidP="00F43C9B">
            <w:pPr>
              <w:shd w:val="clear" w:color="auto" w:fill="D9D9D9" w:themeFill="background1" w:themeFillShade="D9"/>
              <w:rPr>
                <w:rFonts w:cstheme="minorHAnsi"/>
                <w:bCs/>
                <w:sz w:val="18"/>
                <w:szCs w:val="18"/>
                <w:lang w:eastAsia="en-US"/>
              </w:rPr>
            </w:pPr>
            <w:r w:rsidRPr="00D0146C">
              <w:rPr>
                <w:rFonts w:cstheme="minorHAnsi"/>
                <w:bCs/>
                <w:sz w:val="18"/>
                <w:szCs w:val="18"/>
              </w:rPr>
              <w:t>b) Armaturen met led-lampen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lang w:eastAsia="en-US"/>
              </w:rPr>
              <w:t xml:space="preserve">Uitgangssituatie op basis van een </w:t>
            </w:r>
            <w:r>
              <w:rPr>
                <w:rFonts w:cstheme="minorHAnsi"/>
                <w:b/>
                <w:bCs/>
                <w:sz w:val="18"/>
                <w:szCs w:val="18"/>
                <w:lang w:eastAsia="en-US"/>
              </w:rPr>
              <w:t>referentietechniek</w:t>
            </w:r>
          </w:p>
        </w:tc>
        <w:tc>
          <w:tcPr>
            <w:tcW w:w="7000" w:type="dxa"/>
            <w:gridSpan w:val="2"/>
            <w:vAlign w:val="center"/>
          </w:tcPr>
          <w:p w:rsidR="00F43C9B" w:rsidRDefault="00F43C9B" w:rsidP="00F43C9B">
            <w:pPr>
              <w:shd w:val="clear" w:color="auto" w:fill="D9D9D9" w:themeFill="background1" w:themeFillShade="D9"/>
              <w:rPr>
                <w:rFonts w:cstheme="minorHAnsi"/>
                <w:bCs/>
                <w:sz w:val="18"/>
                <w:szCs w:val="18"/>
                <w:lang w:eastAsia="en-US"/>
              </w:rPr>
            </w:pPr>
            <w:r w:rsidRPr="00D0146C">
              <w:rPr>
                <w:rFonts w:cstheme="minorHAnsi"/>
                <w:bCs/>
                <w:sz w:val="18"/>
                <w:szCs w:val="18"/>
              </w:rPr>
              <w:t xml:space="preserve">Conventionele armaturen met </w:t>
            </w:r>
            <w:r w:rsidRPr="00D0146C">
              <w:rPr>
                <w:rFonts w:cstheme="minorHAnsi"/>
                <w:sz w:val="18"/>
                <w:szCs w:val="18"/>
              </w:rPr>
              <w:t xml:space="preserve">langwerpige </w:t>
            </w:r>
            <w:r w:rsidRPr="00D0146C">
              <w:rPr>
                <w:rFonts w:cstheme="minorHAnsi"/>
                <w:bCs/>
                <w:sz w:val="18"/>
                <w:szCs w:val="18"/>
              </w:rPr>
              <w:t>fluorescentielampen (TL) zijn aanwezig.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lang w:eastAsia="en-US"/>
              </w:rPr>
              <w:t>Technische randvoorwaarden</w:t>
            </w:r>
          </w:p>
        </w:tc>
        <w:tc>
          <w:tcPr>
            <w:tcW w:w="7000" w:type="dxa"/>
            <w:gridSpan w:val="2"/>
            <w:vAlign w:val="center"/>
          </w:tcPr>
          <w:p w:rsidR="00F43C9B" w:rsidRDefault="00F43C9B" w:rsidP="00F43C9B">
            <w:pPr>
              <w:shd w:val="clear" w:color="auto" w:fill="D9D9D9" w:themeFill="background1" w:themeFillShade="D9"/>
              <w:rPr>
                <w:rFonts w:cstheme="minorHAnsi"/>
                <w:bCs/>
                <w:sz w:val="18"/>
                <w:szCs w:val="18"/>
                <w:lang w:eastAsia="en-US"/>
              </w:rPr>
            </w:pPr>
            <w:r w:rsidRPr="00D0146C">
              <w:rPr>
                <w:rFonts w:cstheme="minorHAnsi"/>
                <w:bCs/>
                <w:sz w:val="18"/>
                <w:szCs w:val="18"/>
              </w:rPr>
              <w:t>N.v.t.</w:t>
            </w:r>
          </w:p>
        </w:tc>
      </w:tr>
      <w:tr w:rsidR="00F43C9B" w:rsidRPr="00E15D20" w:rsidTr="00F43C9B">
        <w:trPr>
          <w:trHeight w:val="540"/>
        </w:trPr>
        <w:tc>
          <w:tcPr>
            <w:tcW w:w="3900"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lang w:eastAsia="en-US"/>
              </w:rPr>
              <w:t>Economische randvoorwaarden</w:t>
            </w:r>
          </w:p>
        </w:tc>
        <w:tc>
          <w:tcPr>
            <w:tcW w:w="7000" w:type="dxa"/>
            <w:gridSpan w:val="2"/>
            <w:vAlign w:val="center"/>
          </w:tcPr>
          <w:p w:rsidR="00F43C9B" w:rsidRDefault="00F43C9B" w:rsidP="00F43C9B">
            <w:pPr>
              <w:shd w:val="clear" w:color="auto" w:fill="D9D9D9" w:themeFill="background1" w:themeFillShade="D9"/>
              <w:rPr>
                <w:rFonts w:cstheme="minorHAnsi"/>
                <w:bCs/>
                <w:sz w:val="18"/>
                <w:szCs w:val="18"/>
                <w:lang w:eastAsia="en-US"/>
              </w:rPr>
            </w:pPr>
            <w:r w:rsidRPr="00D0146C">
              <w:rPr>
                <w:rFonts w:cstheme="minorHAnsi"/>
                <w:bCs/>
                <w:sz w:val="18"/>
                <w:szCs w:val="18"/>
              </w:rPr>
              <w:t>Aantal branduren is minimaal 2.500 uur per jaar.</w:t>
            </w:r>
          </w:p>
        </w:tc>
      </w:tr>
      <w:tr w:rsidR="00F43C9B" w:rsidRPr="00E15D20" w:rsidTr="00F43C9B">
        <w:trPr>
          <w:trHeight w:val="540"/>
        </w:trPr>
        <w:tc>
          <w:tcPr>
            <w:tcW w:w="3900"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p>
        </w:tc>
        <w:tc>
          <w:tcPr>
            <w:tcW w:w="3500" w:type="dxa"/>
            <w:vAlign w:val="center"/>
          </w:tcPr>
          <w:p w:rsidR="00F43C9B" w:rsidRDefault="00F43C9B" w:rsidP="00F43C9B">
            <w:pPr>
              <w:shd w:val="clear" w:color="auto" w:fill="D9D9D9" w:themeFill="background1" w:themeFillShade="D9"/>
              <w:rPr>
                <w:rFonts w:cstheme="minorHAnsi"/>
                <w:bCs/>
                <w:sz w:val="18"/>
                <w:szCs w:val="18"/>
              </w:rPr>
            </w:pPr>
          </w:p>
        </w:tc>
        <w:tc>
          <w:tcPr>
            <w:tcW w:w="35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b) Geïnstalleerd vermogen van verlichting neemt door toepassen van led-lampen minimaal 50% af bij voldoende lichtopbrengst.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7000"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Nee.</w:t>
            </w:r>
          </w:p>
          <w:p w:rsidR="00F43C9B" w:rsidRDefault="00F43C9B" w:rsidP="00F43C9B">
            <w:pPr>
              <w:shd w:val="clear" w:color="auto" w:fill="D9D9D9" w:themeFill="background1" w:themeFillShade="D9"/>
              <w:rPr>
                <w:rFonts w:cstheme="minorHAnsi"/>
                <w:bCs/>
                <w:sz w:val="18"/>
                <w:szCs w:val="18"/>
                <w:lang w:eastAsia="en-US"/>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lang w:eastAsia="en-US"/>
              </w:rPr>
              <w:t xml:space="preserve">Alternatieve erkende </w:t>
            </w:r>
            <w:r>
              <w:rPr>
                <w:rFonts w:cstheme="minorHAnsi"/>
                <w:b/>
                <w:bCs/>
                <w:sz w:val="18"/>
                <w:szCs w:val="18"/>
                <w:lang w:eastAsia="en-US"/>
              </w:rPr>
              <w:t>maatregelen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lang w:eastAsia="en-US"/>
              </w:rPr>
              <w:t>Bijzondere omstandigheden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tabs>
          <w:tab w:val="left" w:pos="2694"/>
        </w:tabs>
        <w:rPr>
          <w:rFonts w:cstheme="minorHAnsi"/>
          <w:b/>
          <w:sz w:val="18"/>
          <w:szCs w:val="18"/>
        </w:rPr>
      </w:pPr>
    </w:p>
    <w:tbl>
      <w:tblPr>
        <w:tblW w:w="10900"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900"/>
        <w:gridCol w:w="3500"/>
        <w:gridCol w:w="3491"/>
        <w:gridCol w:w="9"/>
      </w:tblGrid>
      <w:tr w:rsidR="00F43C9B" w:rsidRPr="00E15D20" w:rsidTr="00F43C9B">
        <w:trPr>
          <w:trHeight w:val="397"/>
        </w:trPr>
        <w:tc>
          <w:tcPr>
            <w:tcW w:w="3900" w:type="dxa"/>
            <w:shd w:val="clear" w:color="auto" w:fill="B3B3B3"/>
            <w:vAlign w:val="center"/>
          </w:tcPr>
          <w:p w:rsidR="00F43C9B" w:rsidRDefault="00F43C9B" w:rsidP="00F43C9B">
            <w:pPr>
              <w:shd w:val="clear" w:color="auto" w:fill="D9D9D9" w:themeFill="background1" w:themeFillShade="D9"/>
              <w:ind w:left="100"/>
              <w:rPr>
                <w:rFonts w:cstheme="minorHAnsi"/>
                <w:b/>
                <w:bCs/>
                <w:sz w:val="18"/>
                <w:szCs w:val="18"/>
              </w:rPr>
            </w:pPr>
            <w:r>
              <w:rPr>
                <w:rFonts w:cstheme="minorHAnsi"/>
                <w:b/>
                <w:bCs/>
                <w:sz w:val="18"/>
                <w:szCs w:val="18"/>
              </w:rPr>
              <w:t>Type maatregel</w:t>
            </w:r>
          </w:p>
        </w:tc>
        <w:tc>
          <w:tcPr>
            <w:tcW w:w="7000" w:type="dxa"/>
            <w:gridSpan w:val="3"/>
            <w:vAlign w:val="center"/>
          </w:tcPr>
          <w:p w:rsidR="00F43C9B" w:rsidRDefault="00F43C9B" w:rsidP="00F43C9B">
            <w:pPr>
              <w:shd w:val="clear" w:color="auto" w:fill="D9D9D9" w:themeFill="background1" w:themeFillShade="D9"/>
              <w:ind w:left="100"/>
              <w:rPr>
                <w:rFonts w:cstheme="minorHAnsi"/>
                <w:b/>
                <w:bCs/>
                <w:sz w:val="18"/>
                <w:szCs w:val="18"/>
              </w:rPr>
            </w:pPr>
            <w:r>
              <w:rPr>
                <w:rFonts w:cstheme="minorHAnsi"/>
                <w:b/>
                <w:bCs/>
                <w:sz w:val="18"/>
                <w:szCs w:val="18"/>
              </w:rPr>
              <w:t>Ruimte- en buitenverlichting</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Nummer maatregel</w:t>
            </w:r>
          </w:p>
        </w:tc>
        <w:tc>
          <w:tcPr>
            <w:tcW w:w="7000" w:type="dxa"/>
            <w:gridSpan w:val="3"/>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12</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Omschrijving maatregel</w:t>
            </w:r>
          </w:p>
        </w:tc>
        <w:tc>
          <w:tcPr>
            <w:tcW w:w="7000" w:type="dxa"/>
            <w:gridSpan w:val="3"/>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Bedrijfshal: Binnenverlichting automatisch verminderen op basis van daglichttoetreding door ramen en daklichten.</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Mogelijke technieken ten opzichte van uitgangssituatie</w:t>
            </w:r>
          </w:p>
        </w:tc>
        <w:tc>
          <w:tcPr>
            <w:tcW w:w="3500" w:type="dxa"/>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a) Daglichtafhankelijke regeling voor dimmen van verlichting toepassen.</w:t>
            </w:r>
          </w:p>
        </w:tc>
        <w:tc>
          <w:tcPr>
            <w:tcW w:w="3500" w:type="dxa"/>
            <w:gridSpan w:val="2"/>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a) Daglichtafhankelijke regeling voor dimmen van verlichting toepassen.</w:t>
            </w:r>
          </w:p>
        </w:tc>
      </w:tr>
      <w:tr w:rsidR="00F43C9B" w:rsidRPr="00E15D20" w:rsidTr="00F43C9B">
        <w:trPr>
          <w:trHeight w:val="737"/>
        </w:trPr>
        <w:tc>
          <w:tcPr>
            <w:tcW w:w="3900" w:type="dxa"/>
            <w:vMerge w:val="restart"/>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Uitgangssituatie op basis van een referentietechniek</w:t>
            </w:r>
          </w:p>
        </w:tc>
        <w:tc>
          <w:tcPr>
            <w:tcW w:w="7000" w:type="dxa"/>
            <w:gridSpan w:val="3"/>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Daglichtafhankelijke schakeling of -regeling ontbreekt.</w:t>
            </w:r>
          </w:p>
        </w:tc>
      </w:tr>
      <w:tr w:rsidR="00F43C9B" w:rsidRPr="00E15D20" w:rsidTr="00F43C9B">
        <w:trPr>
          <w:trHeight w:val="736"/>
        </w:trPr>
        <w:tc>
          <w:tcPr>
            <w:tcW w:w="3900" w:type="dxa"/>
            <w:vMerge/>
            <w:shd w:val="clear" w:color="auto" w:fill="B3B3B3"/>
            <w:vAlign w:val="center"/>
          </w:tcPr>
          <w:p w:rsidR="00F43C9B" w:rsidRDefault="00F43C9B" w:rsidP="00F43C9B">
            <w:pPr>
              <w:shd w:val="clear" w:color="auto" w:fill="D9D9D9" w:themeFill="background1" w:themeFillShade="D9"/>
              <w:ind w:left="100"/>
              <w:rPr>
                <w:rFonts w:cstheme="minorHAnsi"/>
                <w:b/>
                <w:bCs/>
                <w:sz w:val="18"/>
                <w:szCs w:val="18"/>
              </w:rPr>
            </w:pPr>
          </w:p>
        </w:tc>
        <w:tc>
          <w:tcPr>
            <w:tcW w:w="3500" w:type="dxa"/>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 xml:space="preserve">a) Hoogfrequente (HF) armaturen met </w:t>
            </w:r>
            <w:r w:rsidRPr="00D0146C">
              <w:rPr>
                <w:rFonts w:cstheme="minorHAnsi"/>
                <w:sz w:val="18"/>
                <w:szCs w:val="18"/>
              </w:rPr>
              <w:t xml:space="preserve">langwerpige </w:t>
            </w:r>
            <w:r w:rsidRPr="00D0146C">
              <w:rPr>
                <w:rFonts w:cstheme="minorHAnsi"/>
                <w:bCs/>
                <w:sz w:val="18"/>
                <w:szCs w:val="18"/>
              </w:rPr>
              <w:t>fluorescentielampen (TL) (niet retrofit) zijn aanwezig.</w:t>
            </w:r>
          </w:p>
        </w:tc>
        <w:tc>
          <w:tcPr>
            <w:tcW w:w="3500" w:type="dxa"/>
            <w:gridSpan w:val="2"/>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 xml:space="preserve">b) Conventionele armaturen met </w:t>
            </w:r>
            <w:r w:rsidRPr="00D0146C">
              <w:rPr>
                <w:rFonts w:cstheme="minorHAnsi"/>
                <w:sz w:val="18"/>
                <w:szCs w:val="18"/>
              </w:rPr>
              <w:t xml:space="preserve">langwerpige </w:t>
            </w:r>
            <w:r w:rsidRPr="00D0146C">
              <w:rPr>
                <w:rFonts w:cstheme="minorHAnsi"/>
                <w:bCs/>
                <w:sz w:val="18"/>
                <w:szCs w:val="18"/>
              </w:rPr>
              <w:t>fluorescentielampen (TL) zijn aanwezig.</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Technische randvoorwaarden</w:t>
            </w:r>
          </w:p>
        </w:tc>
        <w:tc>
          <w:tcPr>
            <w:tcW w:w="7000" w:type="dxa"/>
            <w:gridSpan w:val="3"/>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Verlichting is apart schakelbaar langs ramen en/of onder daglichtopeningen.</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Economische randvoorwaarden</w:t>
            </w:r>
          </w:p>
        </w:tc>
        <w:tc>
          <w:tcPr>
            <w:tcW w:w="7000" w:type="dxa"/>
            <w:gridSpan w:val="3"/>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Geïnstalleerd vermogen per verlichtingsgroep is minimaal 0,7 kW.</w:t>
            </w:r>
          </w:p>
          <w:p w:rsidR="00F43C9B" w:rsidRDefault="00F43C9B" w:rsidP="00F43C9B">
            <w:pPr>
              <w:shd w:val="clear" w:color="auto" w:fill="D9D9D9" w:themeFill="background1" w:themeFillShade="D9"/>
              <w:ind w:left="100"/>
              <w:rPr>
                <w:rFonts w:cstheme="minorHAnsi"/>
                <w:bCs/>
                <w:sz w:val="18"/>
                <w:szCs w:val="18"/>
              </w:rPr>
            </w:pPr>
            <w:r w:rsidRPr="00D0146C">
              <w:rPr>
                <w:rFonts w:cstheme="minorHAnsi"/>
                <w:sz w:val="18"/>
                <w:szCs w:val="18"/>
              </w:rPr>
              <w:t>Daglichtoppervlak in dak is minimaal 10% van dakoppervlak of daglichtoppervlak in gevel is minimaal 30% van vloeroppervlak.</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Toepasbaar op een zelfstandig of natuurlijk moment?</w:t>
            </w:r>
          </w:p>
        </w:tc>
        <w:tc>
          <w:tcPr>
            <w:tcW w:w="7000" w:type="dxa"/>
            <w:gridSpan w:val="3"/>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Natuurlijk moment: Ja.</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Alternatieve erkende maatregelen</w:t>
            </w:r>
          </w:p>
        </w:tc>
        <w:tc>
          <w:tcPr>
            <w:tcW w:w="7000" w:type="dxa"/>
            <w:gridSpan w:val="3"/>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sz w:val="18"/>
                <w:szCs w:val="18"/>
              </w:rPr>
              <w:t>N.v.t.</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Bijzondere omstandigheden</w:t>
            </w:r>
          </w:p>
        </w:tc>
        <w:tc>
          <w:tcPr>
            <w:tcW w:w="7000" w:type="dxa"/>
            <w:gridSpan w:val="3"/>
            <w:vAlign w:val="center"/>
          </w:tcPr>
          <w:p w:rsidR="00F43C9B" w:rsidRDefault="00F43C9B" w:rsidP="00F43C9B">
            <w:pPr>
              <w:shd w:val="clear" w:color="auto" w:fill="D9D9D9" w:themeFill="background1" w:themeFillShade="D9"/>
              <w:ind w:left="100"/>
              <w:rPr>
                <w:rFonts w:cstheme="minorHAnsi"/>
                <w:b/>
                <w:bCs/>
                <w:sz w:val="18"/>
                <w:szCs w:val="18"/>
              </w:rPr>
            </w:pPr>
            <w:r w:rsidRPr="00D0146C">
              <w:rPr>
                <w:rFonts w:cstheme="minorHAnsi"/>
                <w:sz w:val="18"/>
                <w:szCs w:val="18"/>
              </w:rPr>
              <w:t>N.v.t.</w:t>
            </w:r>
          </w:p>
        </w:tc>
      </w:tr>
      <w:tr w:rsidR="00F43C9B" w:rsidRPr="00E15D20" w:rsidTr="00F43C9B">
        <w:tblPrEx>
          <w:tblCellMar>
            <w:left w:w="108" w:type="dxa"/>
            <w:right w:w="108" w:type="dxa"/>
          </w:tblCellMar>
        </w:tblPrEx>
        <w:trPr>
          <w:gridAfter w:val="1"/>
          <w:wAfter w:w="9" w:type="dxa"/>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D0146C">
              <w:rPr>
                <w:rFonts w:cstheme="minorHAnsi"/>
                <w:b/>
                <w:sz w:val="18"/>
                <w:szCs w:val="18"/>
              </w:rPr>
              <w:br w:type="page"/>
            </w:r>
            <w:r>
              <w:rPr>
                <w:rFonts w:cstheme="minorHAnsi"/>
                <w:b/>
                <w:sz w:val="18"/>
                <w:szCs w:val="18"/>
              </w:rPr>
              <w:t>T</w:t>
            </w:r>
            <w:r>
              <w:rPr>
                <w:rFonts w:cstheme="minorHAnsi"/>
                <w:b/>
                <w:bCs/>
                <w:sz w:val="18"/>
                <w:szCs w:val="18"/>
              </w:rPr>
              <w:t>ype maatregel</w:t>
            </w:r>
          </w:p>
        </w:tc>
        <w:tc>
          <w:tcPr>
            <w:tcW w:w="6991" w:type="dxa"/>
            <w:gridSpan w:val="2"/>
            <w:vAlign w:val="center"/>
          </w:tcPr>
          <w:p w:rsidR="00F43C9B" w:rsidRDefault="00F43C9B" w:rsidP="00F43C9B">
            <w:pPr>
              <w:shd w:val="clear" w:color="auto" w:fill="D9D9D9" w:themeFill="background1" w:themeFillShade="D9"/>
              <w:rPr>
                <w:rFonts w:cstheme="minorHAnsi"/>
                <w:sz w:val="18"/>
                <w:szCs w:val="18"/>
              </w:rPr>
            </w:pPr>
            <w:r>
              <w:rPr>
                <w:rFonts w:cstheme="minorHAnsi"/>
                <w:b/>
                <w:bCs/>
                <w:sz w:val="18"/>
                <w:szCs w:val="18"/>
              </w:rPr>
              <w:t>Ruimte- en buitenverlichting</w:t>
            </w:r>
          </w:p>
        </w:tc>
      </w:tr>
      <w:tr w:rsidR="00F43C9B" w:rsidRPr="00E15D20" w:rsidTr="00F43C9B">
        <w:tblPrEx>
          <w:tblCellMar>
            <w:left w:w="108" w:type="dxa"/>
            <w:right w:w="108" w:type="dxa"/>
          </w:tblCellMar>
        </w:tblPrEx>
        <w:trPr>
          <w:gridAfter w:val="1"/>
          <w:wAfter w:w="9" w:type="dxa"/>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991"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13</w:t>
            </w:r>
          </w:p>
        </w:tc>
      </w:tr>
      <w:tr w:rsidR="00F43C9B" w:rsidRPr="00E15D20" w:rsidTr="00F43C9B">
        <w:tblPrEx>
          <w:tblCellMar>
            <w:left w:w="108" w:type="dxa"/>
            <w:right w:w="108" w:type="dxa"/>
          </w:tblCellMar>
        </w:tblPrEx>
        <w:trPr>
          <w:gridAfter w:val="1"/>
          <w:wAfter w:w="9" w:type="dxa"/>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991" w:type="dxa"/>
            <w:gridSpan w:val="2"/>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Bedrijfshal: Onnodig branden van binnenverlichting in pauzes en buiten bedrijfstijd voorkomen.</w:t>
            </w:r>
          </w:p>
        </w:tc>
      </w:tr>
      <w:tr w:rsidR="00F43C9B" w:rsidRPr="00E15D20" w:rsidTr="00F43C9B">
        <w:tblPrEx>
          <w:tblCellMar>
            <w:left w:w="108" w:type="dxa"/>
            <w:right w:w="108" w:type="dxa"/>
          </w:tblCellMar>
        </w:tblPrEx>
        <w:trPr>
          <w:gridAfter w:val="1"/>
          <w:wAfter w:w="9" w:type="dxa"/>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991" w:type="dxa"/>
            <w:gridSpan w:val="2"/>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Veegschakeling toepassen.</w:t>
            </w:r>
          </w:p>
        </w:tc>
      </w:tr>
      <w:tr w:rsidR="00F43C9B" w:rsidRPr="00E15D20" w:rsidTr="00F43C9B">
        <w:tblPrEx>
          <w:tblCellMar>
            <w:left w:w="108" w:type="dxa"/>
            <w:right w:w="108" w:type="dxa"/>
          </w:tblCellMar>
        </w:tblPrEx>
        <w:trPr>
          <w:gridAfter w:val="1"/>
          <w:wAfter w:w="9" w:type="dxa"/>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991" w:type="dxa"/>
            <w:gridSpan w:val="2"/>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Verlichting wordt handmatig geschakeld per (deel van de) ruimte.</w:t>
            </w:r>
          </w:p>
        </w:tc>
      </w:tr>
      <w:tr w:rsidR="00F43C9B" w:rsidRPr="00E15D20" w:rsidTr="00F43C9B">
        <w:tblPrEx>
          <w:tblCellMar>
            <w:left w:w="108" w:type="dxa"/>
            <w:right w:w="108" w:type="dxa"/>
          </w:tblCellMar>
        </w:tblPrEx>
        <w:trPr>
          <w:gridAfter w:val="1"/>
          <w:wAfter w:w="9" w:type="dxa"/>
          <w:trHeight w:val="490"/>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991" w:type="dxa"/>
            <w:gridSpan w:val="2"/>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N.v.t.</w:t>
            </w:r>
          </w:p>
        </w:tc>
      </w:tr>
      <w:tr w:rsidR="00F43C9B" w:rsidRPr="00E15D20" w:rsidTr="00F43C9B">
        <w:tblPrEx>
          <w:tblCellMar>
            <w:left w:w="108" w:type="dxa"/>
            <w:right w:w="108" w:type="dxa"/>
          </w:tblCellMar>
        </w:tblPrEx>
        <w:trPr>
          <w:gridAfter w:val="1"/>
          <w:wAfter w:w="9" w:type="dxa"/>
          <w:trHeight w:val="945"/>
        </w:trPr>
        <w:tc>
          <w:tcPr>
            <w:tcW w:w="39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991" w:type="dxa"/>
            <w:gridSpan w:val="2"/>
            <w:vAlign w:val="center"/>
          </w:tcPr>
          <w:p w:rsidR="00F43C9B" w:rsidRDefault="00F43C9B" w:rsidP="00F43C9B">
            <w:pPr>
              <w:shd w:val="clear" w:color="auto" w:fill="D9D9D9" w:themeFill="background1" w:themeFillShade="D9"/>
              <w:ind w:left="100"/>
              <w:rPr>
                <w:rFonts w:cstheme="minorHAnsi"/>
                <w:sz w:val="18"/>
                <w:szCs w:val="18"/>
              </w:rPr>
            </w:pPr>
            <w:r w:rsidRPr="00D0146C">
              <w:rPr>
                <w:rFonts w:cstheme="minorHAnsi"/>
                <w:sz w:val="18"/>
                <w:szCs w:val="18"/>
              </w:rPr>
              <w:t>Geïnstalleerd vermogen per veegschakeling is minimaal 18 kW.</w:t>
            </w:r>
          </w:p>
          <w:p w:rsidR="00F43C9B" w:rsidRDefault="00F43C9B" w:rsidP="00F43C9B">
            <w:pPr>
              <w:shd w:val="clear" w:color="auto" w:fill="D9D9D9" w:themeFill="background1" w:themeFillShade="D9"/>
              <w:autoSpaceDE w:val="0"/>
              <w:autoSpaceDN w:val="0"/>
              <w:adjustRightInd w:val="0"/>
              <w:rPr>
                <w:rFonts w:cstheme="minorHAnsi"/>
                <w:bCs/>
                <w:sz w:val="18"/>
                <w:szCs w:val="18"/>
              </w:rPr>
            </w:pPr>
            <w:r w:rsidRPr="00D0146C">
              <w:rPr>
                <w:rFonts w:cstheme="minorHAnsi"/>
                <w:bCs/>
                <w:sz w:val="18"/>
                <w:szCs w:val="18"/>
              </w:rPr>
              <w:t>Per veegschakeling zijn maximaal 12 aanpassingen nodig om te voorkomen dat apparatuur onbedoeld wordt uitgeschakeld.</w:t>
            </w:r>
          </w:p>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Verlichting kan minimaal 1 uur per dag extra uitgeschakeld worden.</w:t>
            </w:r>
          </w:p>
        </w:tc>
      </w:tr>
      <w:tr w:rsidR="00F43C9B" w:rsidRPr="00E15D20" w:rsidTr="00F43C9B">
        <w:tblPrEx>
          <w:tblCellMar>
            <w:left w:w="108" w:type="dxa"/>
            <w:right w:w="108" w:type="dxa"/>
          </w:tblCellMar>
        </w:tblPrEx>
        <w:trPr>
          <w:gridAfter w:val="1"/>
          <w:wAfter w:w="9" w:type="dxa"/>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991"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blPrEx>
          <w:tblCellMar>
            <w:left w:w="108" w:type="dxa"/>
            <w:right w:w="108" w:type="dxa"/>
          </w:tblCellMar>
        </w:tblPrEx>
        <w:trPr>
          <w:gridAfter w:val="1"/>
          <w:wAfter w:w="9" w:type="dxa"/>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erkende </w:t>
            </w:r>
            <w:r>
              <w:rPr>
                <w:rFonts w:cstheme="minorHAnsi"/>
                <w:b/>
                <w:bCs/>
                <w:sz w:val="18"/>
                <w:szCs w:val="18"/>
              </w:rPr>
              <w:t>maatregelen</w:t>
            </w:r>
          </w:p>
        </w:tc>
        <w:tc>
          <w:tcPr>
            <w:tcW w:w="6991"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lang w:val="en-US" w:eastAsia="en-US"/>
              </w:rPr>
              <w:t>N.v.t.</w:t>
            </w:r>
          </w:p>
        </w:tc>
      </w:tr>
      <w:tr w:rsidR="00F43C9B" w:rsidRPr="00E15D20" w:rsidTr="00F43C9B">
        <w:tblPrEx>
          <w:tblCellMar>
            <w:left w:w="108" w:type="dxa"/>
            <w:right w:w="108" w:type="dxa"/>
          </w:tblCellMar>
        </w:tblPrEx>
        <w:trPr>
          <w:gridAfter w:val="1"/>
          <w:wAfter w:w="9" w:type="dxa"/>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991"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lang w:val="en-US" w:eastAsia="en-US"/>
              </w:rPr>
              <w:t>N.v.t.</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Pr>
                <w:rFonts w:cstheme="minorHAnsi"/>
                <w:b/>
                <w:bCs/>
                <w:sz w:val="18"/>
                <w:szCs w:val="18"/>
              </w:rPr>
              <w:t>Ruimte- en buitenverlichting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14</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 xml:space="preserve">Bedrijfshal: Vermogen </w:t>
            </w:r>
            <w:r w:rsidRPr="00D0146C">
              <w:rPr>
                <w:rFonts w:cstheme="minorHAnsi"/>
                <w:sz w:val="18"/>
                <w:szCs w:val="18"/>
              </w:rPr>
              <w:t xml:space="preserve">conventionele verlichting met langwerpige </w:t>
            </w:r>
            <w:r w:rsidRPr="00D0146C">
              <w:rPr>
                <w:rFonts w:cstheme="minorHAnsi"/>
                <w:bCs/>
                <w:sz w:val="18"/>
                <w:szCs w:val="18"/>
              </w:rPr>
              <w:t>fluorescentielampen</w:t>
            </w:r>
            <w:r w:rsidRPr="00D0146C">
              <w:rPr>
                <w:rFonts w:cstheme="minorHAnsi"/>
                <w:sz w:val="18"/>
                <w:szCs w:val="18"/>
              </w:rPr>
              <w:t xml:space="preserve"> (TL) verlagen door spanningsverlaging.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Spanningsverlagingstoestel toepassen dat spanning verlaagt naar 207 tot 210 Volt.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Spanningsverlagingstoestel ontbreekt.</w:t>
            </w:r>
          </w:p>
        </w:tc>
      </w:tr>
      <w:tr w:rsidR="00F43C9B" w:rsidRPr="00E15D20" w:rsidTr="00F43C9B">
        <w:trPr>
          <w:trHeight w:val="171"/>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w:t>
            </w:r>
            <w:r>
              <w:rPr>
                <w:rFonts w:cstheme="minorHAnsi"/>
                <w:b/>
                <w:bCs/>
                <w:sz w:val="18"/>
                <w:szCs w:val="18"/>
              </w:rPr>
              <w:t>ische randvoorwaarden</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Aparte verlichtingsgroep is aanwezig.</w:t>
            </w:r>
          </w:p>
        </w:tc>
      </w:tr>
      <w:tr w:rsidR="00F43C9B" w:rsidRPr="00E15D20" w:rsidTr="00F43C9B">
        <w:trPr>
          <w:trHeight w:val="296"/>
        </w:trPr>
        <w:tc>
          <w:tcPr>
            <w:tcW w:w="39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vAlign w:val="center"/>
          </w:tcPr>
          <w:p w:rsidR="00F43C9B" w:rsidRDefault="00F43C9B" w:rsidP="00F43C9B">
            <w:pPr>
              <w:shd w:val="clear" w:color="auto" w:fill="D9D9D9" w:themeFill="background1" w:themeFillShade="D9"/>
              <w:ind w:left="100" w:right="200"/>
              <w:rPr>
                <w:rFonts w:cstheme="minorHAnsi"/>
                <w:bCs/>
                <w:sz w:val="18"/>
                <w:szCs w:val="18"/>
              </w:rPr>
            </w:pPr>
            <w:r w:rsidRPr="00D0146C">
              <w:rPr>
                <w:rFonts w:cstheme="minorHAnsi"/>
                <w:sz w:val="18"/>
                <w:szCs w:val="18"/>
              </w:rPr>
              <w:t>Geïnstalleerd vermogen per verlichtingsgroep is minimaal 11,5 kW.</w:t>
            </w:r>
          </w:p>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Aantal branduren is minimaal 2.500 uur per jaar.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lang w:val="en-US" w:eastAsia="en-US"/>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lang w:val="en-US" w:eastAsia="en-US"/>
              </w:rPr>
              <w:t>N.v.t.</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8"/>
        <w:gridCol w:w="5349"/>
      </w:tblGrid>
      <w:tr w:rsidR="00F43C9B" w:rsidRPr="00E15D20" w:rsidTr="00F43C9B">
        <w:tc>
          <w:tcPr>
            <w:tcW w:w="3198"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5349" w:type="dxa"/>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Buitenverlichting</w:t>
            </w:r>
          </w:p>
        </w:tc>
      </w:tr>
      <w:tr w:rsidR="00F43C9B" w:rsidRPr="00E15D20" w:rsidTr="00F43C9B">
        <w:tc>
          <w:tcPr>
            <w:tcW w:w="319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534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15</w:t>
            </w:r>
          </w:p>
        </w:tc>
      </w:tr>
      <w:tr w:rsidR="00F43C9B" w:rsidRPr="00E15D20" w:rsidTr="00F43C9B">
        <w:tc>
          <w:tcPr>
            <w:tcW w:w="319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534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Onnodig branden van reclameverlichting voorkomen zodat verlichting alleen brandt als het donker is, en per nacht minimaal 6 uur uit is.</w:t>
            </w:r>
          </w:p>
        </w:tc>
      </w:tr>
      <w:tr w:rsidR="00F43C9B" w:rsidRPr="00E15D20" w:rsidTr="00F43C9B">
        <w:trPr>
          <w:trHeight w:val="333"/>
        </w:trPr>
        <w:tc>
          <w:tcPr>
            <w:tcW w:w="319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534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Schemerschakelaar en tijdschakelaar toepassen.</w:t>
            </w:r>
          </w:p>
        </w:tc>
      </w:tr>
      <w:tr w:rsidR="00F43C9B" w:rsidRPr="00E15D20" w:rsidTr="00F43C9B">
        <w:tc>
          <w:tcPr>
            <w:tcW w:w="319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5349" w:type="dxa"/>
            <w:vAlign w:val="center"/>
          </w:tcPr>
          <w:p w:rsidR="00F43C9B" w:rsidRDefault="00F43C9B" w:rsidP="00F43C9B">
            <w:pPr>
              <w:pStyle w:val="Lijstalinea21"/>
              <w:shd w:val="clear" w:color="auto" w:fill="D9D9D9" w:themeFill="background1" w:themeFillShade="D9"/>
              <w:tabs>
                <w:tab w:val="left" w:pos="129"/>
              </w:tabs>
              <w:spacing w:after="0"/>
              <w:ind w:left="0"/>
              <w:rPr>
                <w:rFonts w:asciiTheme="minorHAnsi" w:hAnsiTheme="minorHAnsi" w:cstheme="minorHAnsi"/>
                <w:sz w:val="18"/>
                <w:szCs w:val="18"/>
              </w:rPr>
            </w:pPr>
            <w:r w:rsidRPr="00D0146C">
              <w:rPr>
                <w:rFonts w:asciiTheme="minorHAnsi" w:hAnsiTheme="minorHAnsi" w:cstheme="minorHAnsi"/>
                <w:sz w:val="18"/>
                <w:szCs w:val="18"/>
              </w:rPr>
              <w:t>Automatische aan- en uitschakeling ontbreekt bij reclameverlichting (verlichting is ’s nachts aan).</w:t>
            </w:r>
          </w:p>
        </w:tc>
      </w:tr>
      <w:tr w:rsidR="00F43C9B" w:rsidRPr="00E15D20" w:rsidTr="00F43C9B">
        <w:trPr>
          <w:trHeight w:val="127"/>
        </w:trPr>
        <w:tc>
          <w:tcPr>
            <w:tcW w:w="319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534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257"/>
        </w:trPr>
        <w:tc>
          <w:tcPr>
            <w:tcW w:w="319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534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19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5349" w:type="dxa"/>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19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534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19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534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67"/>
        <w:gridCol w:w="1758"/>
        <w:gridCol w:w="1758"/>
        <w:gridCol w:w="38"/>
        <w:gridCol w:w="1720"/>
        <w:gridCol w:w="1759"/>
      </w:tblGrid>
      <w:tr w:rsidR="00F43C9B" w:rsidRPr="00E15D20" w:rsidTr="00F43C9B">
        <w:tc>
          <w:tcPr>
            <w:tcW w:w="3867"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033" w:type="dxa"/>
            <w:gridSpan w:val="5"/>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sz w:val="18"/>
                <w:szCs w:val="18"/>
              </w:rPr>
              <w:t>Ruimte- en buitenverlichting</w:t>
            </w:r>
          </w:p>
        </w:tc>
      </w:tr>
      <w:tr w:rsidR="00F43C9B" w:rsidRPr="00E15D20" w:rsidTr="00F43C9B">
        <w:tc>
          <w:tcPr>
            <w:tcW w:w="386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33"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16</w:t>
            </w:r>
          </w:p>
        </w:tc>
      </w:tr>
      <w:tr w:rsidR="00F43C9B" w:rsidRPr="00E15D20" w:rsidTr="00F43C9B">
        <w:tc>
          <w:tcPr>
            <w:tcW w:w="386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33"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Geïnstalleerd vermogen buitenverlichting beperken.</w:t>
            </w:r>
          </w:p>
        </w:tc>
      </w:tr>
      <w:tr w:rsidR="00F43C9B" w:rsidRPr="00E15D20" w:rsidTr="00F43C9B">
        <w:trPr>
          <w:trHeight w:val="333"/>
        </w:trPr>
        <w:tc>
          <w:tcPr>
            <w:tcW w:w="386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1758"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Led-lamp toepassen in bestaande armatuur.</w:t>
            </w:r>
          </w:p>
        </w:tc>
        <w:tc>
          <w:tcPr>
            <w:tcW w:w="1758"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Natriumlamp toepassen in bestaande armatuur.</w:t>
            </w:r>
          </w:p>
        </w:tc>
        <w:tc>
          <w:tcPr>
            <w:tcW w:w="1758"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Metaalhalogenidelamp toepassen in bestaande armatuur.</w:t>
            </w:r>
          </w:p>
        </w:tc>
        <w:tc>
          <w:tcPr>
            <w:tcW w:w="175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d) Natriumlamp toepassen in bestaande armatuur.</w:t>
            </w:r>
          </w:p>
        </w:tc>
      </w:tr>
      <w:tr w:rsidR="00F43C9B" w:rsidRPr="00E15D20" w:rsidTr="00F43C9B">
        <w:tc>
          <w:tcPr>
            <w:tcW w:w="386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basis van een </w:t>
            </w:r>
            <w:r>
              <w:rPr>
                <w:rFonts w:cstheme="minorHAnsi"/>
                <w:b/>
                <w:bCs/>
                <w:sz w:val="18"/>
                <w:szCs w:val="18"/>
              </w:rPr>
              <w:t>referentietechniek</w:t>
            </w:r>
          </w:p>
        </w:tc>
        <w:tc>
          <w:tcPr>
            <w:tcW w:w="3554" w:type="dxa"/>
            <w:gridSpan w:val="3"/>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 en b) Halogeenlamp is aanwezig.</w:t>
            </w:r>
          </w:p>
        </w:tc>
        <w:tc>
          <w:tcPr>
            <w:tcW w:w="3479"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c en d) Hoge druk kwiklamp is aanwezig.</w:t>
            </w:r>
          </w:p>
        </w:tc>
      </w:tr>
      <w:tr w:rsidR="00F43C9B" w:rsidRPr="00E15D20" w:rsidTr="00F43C9B">
        <w:tc>
          <w:tcPr>
            <w:tcW w:w="386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33" w:type="dxa"/>
            <w:gridSpan w:val="5"/>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N.v.t.</w:t>
            </w:r>
          </w:p>
        </w:tc>
      </w:tr>
      <w:tr w:rsidR="00F43C9B" w:rsidRPr="00E15D20" w:rsidTr="00F43C9B">
        <w:tc>
          <w:tcPr>
            <w:tcW w:w="386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33" w:type="dxa"/>
            <w:gridSpan w:val="5"/>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N.v.t.</w:t>
            </w:r>
          </w:p>
        </w:tc>
      </w:tr>
      <w:tr w:rsidR="00F43C9B" w:rsidRPr="00E15D20" w:rsidTr="00F43C9B">
        <w:tc>
          <w:tcPr>
            <w:tcW w:w="386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33" w:type="dxa"/>
            <w:gridSpan w:val="5"/>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386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33"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86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33" w:type="dxa"/>
            <w:gridSpan w:val="5"/>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lang w:eastAsia="en-US"/>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1"/>
        <w:gridCol w:w="2699"/>
        <w:gridCol w:w="2700"/>
        <w:gridCol w:w="2700"/>
      </w:tblGrid>
      <w:tr w:rsidR="00F43C9B" w:rsidRPr="00E15D20" w:rsidTr="00F43C9B">
        <w:tc>
          <w:tcPr>
            <w:tcW w:w="280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8099" w:type="dxa"/>
            <w:gridSpan w:val="3"/>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Buitenverlichting</w:t>
            </w:r>
          </w:p>
        </w:tc>
      </w:tr>
      <w:tr w:rsidR="00F43C9B" w:rsidRPr="00E15D20" w:rsidTr="00F43C9B">
        <w:tc>
          <w:tcPr>
            <w:tcW w:w="280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8099"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17</w:t>
            </w:r>
          </w:p>
        </w:tc>
      </w:tr>
      <w:tr w:rsidR="00F43C9B" w:rsidRPr="00E15D20" w:rsidTr="00F43C9B">
        <w:trPr>
          <w:trHeight w:val="268"/>
        </w:trPr>
        <w:tc>
          <w:tcPr>
            <w:tcW w:w="280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8099" w:type="dxa"/>
            <w:gridSpan w:val="3"/>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Geïnstalleerd vermogen reclameverlichting beperken.</w:t>
            </w:r>
          </w:p>
        </w:tc>
      </w:tr>
      <w:tr w:rsidR="00F43C9B" w:rsidRPr="00E15D20" w:rsidTr="00F43C9B">
        <w:trPr>
          <w:trHeight w:val="333"/>
        </w:trPr>
        <w:tc>
          <w:tcPr>
            <w:tcW w:w="280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technieken ten opzichte </w:t>
            </w:r>
            <w:r>
              <w:rPr>
                <w:rFonts w:cstheme="minorHAnsi"/>
                <w:b/>
                <w:bCs/>
                <w:sz w:val="18"/>
                <w:szCs w:val="18"/>
              </w:rPr>
              <w:t>van uitgangssituatie</w:t>
            </w:r>
          </w:p>
        </w:tc>
        <w:tc>
          <w:tcPr>
            <w:tcW w:w="269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Led-lamp in bestaande armatuur toepassen.</w:t>
            </w:r>
          </w:p>
        </w:tc>
        <w:tc>
          <w:tcPr>
            <w:tcW w:w="27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 xml:space="preserve">b) Armatuur met </w:t>
            </w:r>
            <w:r>
              <w:rPr>
                <w:rStyle w:val="description"/>
                <w:rFonts w:cstheme="minorHAnsi"/>
                <w:sz w:val="18"/>
                <w:szCs w:val="18"/>
              </w:rPr>
              <w:t xml:space="preserve">langwerpige </w:t>
            </w:r>
            <w:r>
              <w:rPr>
                <w:rStyle w:val="Zwaar"/>
                <w:rFonts w:cstheme="minorHAnsi"/>
                <w:sz w:val="18"/>
                <w:szCs w:val="18"/>
              </w:rPr>
              <w:t>fluorescentielamp</w:t>
            </w:r>
            <w:r w:rsidRPr="00D0146C">
              <w:rPr>
                <w:rFonts w:cstheme="minorHAnsi"/>
                <w:sz w:val="18"/>
                <w:szCs w:val="18"/>
              </w:rPr>
              <w:t xml:space="preserve"> (TL5) toepassen.</w:t>
            </w:r>
          </w:p>
        </w:tc>
        <w:tc>
          <w:tcPr>
            <w:tcW w:w="27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Led-lamp toepassen in bestaande armatuur.</w:t>
            </w:r>
          </w:p>
        </w:tc>
      </w:tr>
      <w:tr w:rsidR="00F43C9B" w:rsidRPr="00E15D20" w:rsidTr="00F43C9B">
        <w:tc>
          <w:tcPr>
            <w:tcW w:w="280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0" w:type="auto"/>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a en b) Gloeilamp is aanwezig.</w:t>
            </w:r>
          </w:p>
        </w:tc>
        <w:tc>
          <w:tcPr>
            <w:tcW w:w="27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c) Halogeenlamp is aanwezig.</w:t>
            </w:r>
          </w:p>
        </w:tc>
      </w:tr>
      <w:tr w:rsidR="00F43C9B" w:rsidRPr="00E15D20" w:rsidTr="00F43C9B">
        <w:tc>
          <w:tcPr>
            <w:tcW w:w="280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8099"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280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8099"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280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8099"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280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8099"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280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8099"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lang w:eastAsia="en-US"/>
        </w:rPr>
      </w:pPr>
    </w:p>
    <w:tbl>
      <w:tblPr>
        <w:tblW w:w="10900"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900"/>
        <w:gridCol w:w="7000"/>
      </w:tblGrid>
      <w:tr w:rsidR="00F43C9B" w:rsidRPr="00E15D20" w:rsidTr="00F43C9B">
        <w:trPr>
          <w:trHeight w:val="397"/>
          <w:tblHeader/>
        </w:trPr>
        <w:tc>
          <w:tcPr>
            <w:tcW w:w="3900" w:type="dxa"/>
            <w:shd w:val="clear" w:color="auto" w:fill="B3B3B3"/>
            <w:vAlign w:val="center"/>
          </w:tcPr>
          <w:p w:rsidR="00F43C9B" w:rsidRDefault="00F43C9B" w:rsidP="00F43C9B">
            <w:pPr>
              <w:shd w:val="clear" w:color="auto" w:fill="D9D9D9" w:themeFill="background1" w:themeFillShade="D9"/>
              <w:ind w:left="100"/>
              <w:rPr>
                <w:rFonts w:cstheme="minorHAnsi"/>
                <w:b/>
                <w:bCs/>
                <w:sz w:val="18"/>
                <w:szCs w:val="18"/>
              </w:rPr>
            </w:pPr>
            <w:r w:rsidRPr="00D0146C">
              <w:rPr>
                <w:rFonts w:cstheme="minorHAnsi"/>
                <w:sz w:val="18"/>
                <w:szCs w:val="18"/>
                <w:lang w:eastAsia="en-US"/>
              </w:rPr>
              <w:br w:type="page"/>
            </w:r>
            <w:r>
              <w:rPr>
                <w:rFonts w:cstheme="minorHAnsi"/>
                <w:b/>
                <w:bCs/>
                <w:sz w:val="18"/>
                <w:szCs w:val="18"/>
              </w:rPr>
              <w:t>Type maatregel</w:t>
            </w:r>
          </w:p>
        </w:tc>
        <w:tc>
          <w:tcPr>
            <w:tcW w:w="7000" w:type="dxa"/>
            <w:vAlign w:val="center"/>
          </w:tcPr>
          <w:p w:rsidR="00F43C9B" w:rsidRDefault="00F43C9B" w:rsidP="00F43C9B">
            <w:pPr>
              <w:shd w:val="clear" w:color="auto" w:fill="D9D9D9" w:themeFill="background1" w:themeFillShade="D9"/>
              <w:ind w:left="100"/>
              <w:rPr>
                <w:rFonts w:cstheme="minorHAnsi"/>
                <w:b/>
                <w:bCs/>
                <w:sz w:val="18"/>
                <w:szCs w:val="18"/>
              </w:rPr>
            </w:pPr>
            <w:r>
              <w:rPr>
                <w:rFonts w:cstheme="minorHAnsi"/>
                <w:b/>
                <w:bCs/>
                <w:sz w:val="18"/>
                <w:szCs w:val="18"/>
              </w:rPr>
              <w:t>Ruimte- en buitenverlichting</w:t>
            </w:r>
          </w:p>
        </w:tc>
      </w:tr>
      <w:tr w:rsidR="00F43C9B" w:rsidRPr="00E15D20" w:rsidTr="00F43C9B">
        <w:trPr>
          <w:trHeight w:val="11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18</w:t>
            </w:r>
          </w:p>
        </w:tc>
      </w:tr>
      <w:tr w:rsidR="00F43C9B" w:rsidRPr="00E15D20" w:rsidTr="00F43C9B">
        <w:trPr>
          <w:trHeight w:val="238"/>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Bedrijfshal: Onnodig branden van verlichting in magazijnen en opslagruimten voorkomen bij wisselend ruimtegebruik.</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 xml:space="preserve">Mogelijke </w:t>
            </w:r>
            <w:r>
              <w:rPr>
                <w:rFonts w:cstheme="minorHAnsi"/>
                <w:b/>
                <w:bCs/>
                <w:sz w:val="18"/>
                <w:szCs w:val="18"/>
              </w:rPr>
              <w:t>technieken ten opzichte van uitgangssituatie</w:t>
            </w:r>
          </w:p>
        </w:tc>
        <w:tc>
          <w:tcPr>
            <w:tcW w:w="7000" w:type="dxa"/>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Aanwezigheidschakeling toepassen</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Uitgangssituatie op basis van een referentietechniek</w:t>
            </w:r>
          </w:p>
        </w:tc>
        <w:tc>
          <w:tcPr>
            <w:tcW w:w="7000" w:type="dxa"/>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Aanwezigheidschakeling ontbreekt.</w:t>
            </w:r>
          </w:p>
        </w:tc>
      </w:tr>
      <w:tr w:rsidR="00F43C9B" w:rsidRPr="00E15D20" w:rsidTr="00F43C9B">
        <w:trPr>
          <w:trHeight w:val="70"/>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Technische randvoorwaarden</w:t>
            </w:r>
          </w:p>
        </w:tc>
        <w:tc>
          <w:tcPr>
            <w:tcW w:w="7000" w:type="dxa"/>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Verlichting is apart schakelbaar per (deel van de) ruimte.</w:t>
            </w:r>
          </w:p>
        </w:tc>
      </w:tr>
      <w:tr w:rsidR="00F43C9B" w:rsidRPr="00E15D20" w:rsidTr="00F43C9B">
        <w:trPr>
          <w:trHeight w:val="653"/>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Economische randvoorwaarden</w:t>
            </w:r>
          </w:p>
        </w:tc>
        <w:tc>
          <w:tcPr>
            <w:tcW w:w="7000" w:type="dxa"/>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Geïnstalleerd vermogen per verlichtingsgroep is minimaal 0,42 kW.</w:t>
            </w:r>
          </w:p>
        </w:tc>
      </w:tr>
      <w:tr w:rsidR="00F43C9B" w:rsidRPr="00E15D20" w:rsidTr="00F43C9B">
        <w:trPr>
          <w:trHeight w:val="240"/>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ind w:left="100"/>
              <w:rPr>
                <w:rFonts w:cstheme="minorHAnsi"/>
                <w:bCs/>
                <w:sz w:val="18"/>
                <w:szCs w:val="18"/>
              </w:rPr>
            </w:pPr>
            <w:r w:rsidRPr="00D0146C">
              <w:rPr>
                <w:rFonts w:cstheme="minorHAnsi"/>
                <w:bCs/>
                <w:sz w:val="18"/>
                <w:szCs w:val="18"/>
              </w:rPr>
              <w:t>Natuurlijk moment: Ja.</w:t>
            </w:r>
          </w:p>
        </w:tc>
      </w:tr>
      <w:tr w:rsidR="00F43C9B" w:rsidRPr="00E15D20" w:rsidTr="00F43C9B">
        <w:trPr>
          <w:trHeight w:val="138"/>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ind w:left="100"/>
              <w:rPr>
                <w:rFonts w:cstheme="minorHAnsi"/>
                <w:bCs/>
                <w:sz w:val="18"/>
                <w:szCs w:val="18"/>
              </w:rPr>
            </w:pPr>
            <w:r w:rsidRPr="00D0146C">
              <w:rPr>
                <w:rFonts w:cstheme="minorHAnsi"/>
                <w:sz w:val="18"/>
                <w:szCs w:val="18"/>
              </w:rPr>
              <w:t>N.v.t.</w:t>
            </w:r>
          </w:p>
        </w:tc>
      </w:tr>
      <w:tr w:rsidR="00F43C9B" w:rsidRPr="00E15D20" w:rsidTr="00F43C9B">
        <w:trPr>
          <w:trHeight w:val="80"/>
        </w:trPr>
        <w:tc>
          <w:tcPr>
            <w:tcW w:w="3900" w:type="dxa"/>
            <w:shd w:val="clear" w:color="auto" w:fill="B3B3B3"/>
            <w:vAlign w:val="center"/>
          </w:tcPr>
          <w:p w:rsidR="00F43C9B" w:rsidRPr="00E15D20" w:rsidRDefault="00F43C9B" w:rsidP="00F43C9B">
            <w:pPr>
              <w:shd w:val="clear" w:color="auto" w:fill="D9D9D9" w:themeFill="background1" w:themeFillShade="D9"/>
              <w:ind w:left="100"/>
              <w:rPr>
                <w:rFonts w:cstheme="minorHAnsi"/>
                <w:b/>
                <w:bCs/>
                <w:sz w:val="18"/>
                <w:szCs w:val="18"/>
              </w:rPr>
            </w:pPr>
            <w:r w:rsidRPr="00E15D20">
              <w:rPr>
                <w:rFonts w:cstheme="minorHAnsi"/>
                <w:b/>
                <w:bCs/>
                <w:sz w:val="18"/>
                <w:szCs w:val="18"/>
              </w:rPr>
              <w:t xml:space="preserve">Bijzondere </w:t>
            </w:r>
            <w:r>
              <w:rPr>
                <w:rFonts w:cstheme="minorHAnsi"/>
                <w:b/>
                <w:bCs/>
                <w:sz w:val="18"/>
                <w:szCs w:val="18"/>
              </w:rPr>
              <w:t>omstandigheden</w:t>
            </w:r>
          </w:p>
        </w:tc>
        <w:tc>
          <w:tcPr>
            <w:tcW w:w="7000" w:type="dxa"/>
            <w:vAlign w:val="center"/>
          </w:tcPr>
          <w:p w:rsidR="00F43C9B" w:rsidRDefault="00F43C9B" w:rsidP="00F43C9B">
            <w:pPr>
              <w:shd w:val="clear" w:color="auto" w:fill="D9D9D9" w:themeFill="background1" w:themeFillShade="D9"/>
              <w:ind w:left="100"/>
              <w:rPr>
                <w:rFonts w:cstheme="minorHAnsi"/>
                <w:b/>
                <w:bCs/>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lang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8"/>
        <w:gridCol w:w="5339"/>
      </w:tblGrid>
      <w:tr w:rsidR="00F43C9B" w:rsidRPr="00E15D20" w:rsidTr="00F43C9B">
        <w:tc>
          <w:tcPr>
            <w:tcW w:w="3208" w:type="dxa"/>
            <w:shd w:val="clear" w:color="auto" w:fill="B3B3B3"/>
            <w:vAlign w:val="center"/>
          </w:tcPr>
          <w:p w:rsidR="00F43C9B" w:rsidRDefault="00F43C9B" w:rsidP="00F43C9B">
            <w:pPr>
              <w:shd w:val="clear" w:color="auto" w:fill="D9D9D9" w:themeFill="background1" w:themeFillShade="D9"/>
              <w:rPr>
                <w:rFonts w:cstheme="minorHAnsi"/>
                <w:b/>
                <w:bCs/>
                <w:sz w:val="18"/>
                <w:szCs w:val="18"/>
                <w:lang w:eastAsia="en-US"/>
              </w:rPr>
            </w:pPr>
            <w:r>
              <w:rPr>
                <w:rFonts w:cstheme="minorHAnsi"/>
                <w:b/>
                <w:bCs/>
                <w:sz w:val="18"/>
                <w:szCs w:val="18"/>
              </w:rPr>
              <w:t>Activiteit</w:t>
            </w:r>
          </w:p>
        </w:tc>
        <w:tc>
          <w:tcPr>
            <w:tcW w:w="5339" w:type="dxa"/>
            <w:vAlign w:val="center"/>
          </w:tcPr>
          <w:p w:rsidR="00F43C9B" w:rsidRDefault="00F43C9B" w:rsidP="00F43C9B">
            <w:pPr>
              <w:shd w:val="clear" w:color="auto" w:fill="D9D9D9" w:themeFill="background1" w:themeFillShade="D9"/>
              <w:rPr>
                <w:rFonts w:cstheme="minorHAnsi"/>
                <w:b/>
                <w:sz w:val="18"/>
                <w:szCs w:val="18"/>
                <w:lang w:eastAsia="en-US"/>
              </w:rPr>
            </w:pPr>
            <w:r>
              <w:rPr>
                <w:rFonts w:cstheme="minorHAnsi"/>
                <w:b/>
                <w:bCs/>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3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Nummer maatregel</w:t>
            </w:r>
          </w:p>
        </w:tc>
        <w:tc>
          <w:tcPr>
            <w:tcW w:w="5339"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lang w:eastAsia="en-US"/>
              </w:rPr>
              <w:t>19</w:t>
            </w:r>
          </w:p>
        </w:tc>
      </w:tr>
      <w:tr w:rsidR="00F43C9B" w:rsidRPr="00E15D20" w:rsidTr="00F43C9B">
        <w:trPr>
          <w:trHeight w:val="171"/>
        </w:trPr>
        <w:tc>
          <w:tcPr>
            <w:tcW w:w="3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5339"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sz w:val="18"/>
                <w:szCs w:val="18"/>
              </w:rPr>
              <w:t>Energiezuinige warmteopwekking van tapwater toepassen.</w:t>
            </w:r>
          </w:p>
        </w:tc>
      </w:tr>
      <w:tr w:rsidR="00F43C9B" w:rsidRPr="00E15D20" w:rsidTr="00F43C9B">
        <w:tc>
          <w:tcPr>
            <w:tcW w:w="3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 xml:space="preserve">Mogelijke technieken ten opzichte van </w:t>
            </w:r>
            <w:r>
              <w:rPr>
                <w:rFonts w:cstheme="minorHAnsi"/>
                <w:b/>
                <w:bCs/>
                <w:sz w:val="18"/>
                <w:szCs w:val="18"/>
              </w:rPr>
              <w:t>uitgangssituatie</w:t>
            </w:r>
          </w:p>
        </w:tc>
        <w:tc>
          <w:tcPr>
            <w:tcW w:w="5339" w:type="dxa"/>
            <w:vAlign w:val="center"/>
          </w:tcPr>
          <w:p w:rsidR="00F43C9B" w:rsidRDefault="00F43C9B" w:rsidP="00F43C9B">
            <w:pPr>
              <w:pStyle w:val="Lijstalinea21"/>
              <w:shd w:val="clear" w:color="auto" w:fill="D9D9D9" w:themeFill="background1" w:themeFillShade="D9"/>
              <w:tabs>
                <w:tab w:val="left" w:pos="0"/>
              </w:tabs>
              <w:spacing w:after="0"/>
              <w:ind w:left="0"/>
              <w:rPr>
                <w:rFonts w:asciiTheme="minorHAnsi" w:hAnsiTheme="minorHAnsi" w:cstheme="minorHAnsi"/>
                <w:sz w:val="18"/>
                <w:szCs w:val="18"/>
              </w:rPr>
            </w:pPr>
            <w:r w:rsidRPr="00D0146C">
              <w:rPr>
                <w:rFonts w:asciiTheme="minorHAnsi" w:hAnsiTheme="minorHAnsi" w:cstheme="minorHAnsi"/>
                <w:sz w:val="18"/>
                <w:szCs w:val="18"/>
              </w:rPr>
              <w:t>Gasgestookte hoogrendements- (HR-) boiler toepassen.</w:t>
            </w:r>
          </w:p>
        </w:tc>
      </w:tr>
      <w:tr w:rsidR="00F43C9B" w:rsidRPr="00E15D20" w:rsidTr="00F43C9B">
        <w:tc>
          <w:tcPr>
            <w:tcW w:w="3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Uitgangssituatie op basis van een referentietechniek</w:t>
            </w:r>
          </w:p>
        </w:tc>
        <w:tc>
          <w:tcPr>
            <w:tcW w:w="5339" w:type="dxa"/>
            <w:vAlign w:val="center"/>
          </w:tcPr>
          <w:p w:rsidR="00F43C9B" w:rsidRDefault="00F43C9B" w:rsidP="00F43C9B">
            <w:pPr>
              <w:pStyle w:val="Lijstalinea21"/>
              <w:shd w:val="clear" w:color="auto" w:fill="D9D9D9" w:themeFill="background1" w:themeFillShade="D9"/>
              <w:tabs>
                <w:tab w:val="left" w:pos="129"/>
              </w:tabs>
              <w:spacing w:after="0"/>
              <w:ind w:left="0"/>
              <w:rPr>
                <w:rFonts w:asciiTheme="minorHAnsi" w:hAnsiTheme="minorHAnsi" w:cstheme="minorHAnsi"/>
                <w:sz w:val="18"/>
                <w:szCs w:val="18"/>
              </w:rPr>
            </w:pPr>
            <w:r w:rsidRPr="00D0146C">
              <w:rPr>
                <w:rFonts w:asciiTheme="minorHAnsi" w:hAnsiTheme="minorHAnsi" w:cstheme="minorHAnsi"/>
                <w:sz w:val="18"/>
                <w:szCs w:val="18"/>
              </w:rPr>
              <w:t>Conventionele gasgestookte boiler is aanwezig.</w:t>
            </w:r>
          </w:p>
        </w:tc>
      </w:tr>
      <w:tr w:rsidR="00F43C9B" w:rsidRPr="00E15D20" w:rsidTr="00F43C9B">
        <w:tc>
          <w:tcPr>
            <w:tcW w:w="3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Technische randvoorwaarden</w:t>
            </w:r>
          </w:p>
        </w:tc>
        <w:tc>
          <w:tcPr>
            <w:tcW w:w="533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Condensafvoer is mogelijk.</w:t>
            </w:r>
          </w:p>
        </w:tc>
      </w:tr>
      <w:tr w:rsidR="00F43C9B" w:rsidRPr="00E15D20" w:rsidTr="00F43C9B">
        <w:tc>
          <w:tcPr>
            <w:tcW w:w="3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Economische randvoorwaarden</w:t>
            </w:r>
          </w:p>
        </w:tc>
        <w:tc>
          <w:tcPr>
            <w:tcW w:w="533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Toepasbaar op een zelfstandig of natuurlijk moment?</w:t>
            </w:r>
          </w:p>
        </w:tc>
        <w:tc>
          <w:tcPr>
            <w:tcW w:w="533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 indien aardgasverbruik minder is dan 170.000 m3 per jaar.</w:t>
            </w:r>
          </w:p>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Natuurlijk moment: Ja.</w:t>
            </w:r>
          </w:p>
        </w:tc>
      </w:tr>
      <w:tr w:rsidR="00F43C9B" w:rsidRPr="00E15D20" w:rsidTr="00F43C9B">
        <w:tc>
          <w:tcPr>
            <w:tcW w:w="3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Alternatieve erkende maatregelen</w:t>
            </w:r>
          </w:p>
        </w:tc>
        <w:tc>
          <w:tcPr>
            <w:tcW w:w="5339" w:type="dxa"/>
            <w:vAlign w:val="center"/>
          </w:tcPr>
          <w:p w:rsidR="00F43C9B" w:rsidRDefault="00F43C9B" w:rsidP="00F43C9B">
            <w:pPr>
              <w:shd w:val="clear" w:color="auto" w:fill="D9D9D9" w:themeFill="background1" w:themeFillShade="D9"/>
              <w:rPr>
                <w:rFonts w:cstheme="minorHAnsi"/>
                <w:sz w:val="18"/>
                <w:szCs w:val="18"/>
                <w:lang w:eastAsia="en-US"/>
              </w:rPr>
            </w:pPr>
            <w:r w:rsidRPr="00D0146C">
              <w:rPr>
                <w:rFonts w:cstheme="minorHAnsi"/>
                <w:sz w:val="18"/>
                <w:szCs w:val="18"/>
              </w:rPr>
              <w:t>N.v.t.</w:t>
            </w:r>
          </w:p>
        </w:tc>
      </w:tr>
      <w:tr w:rsidR="00F43C9B" w:rsidRPr="00E15D20" w:rsidTr="00F43C9B">
        <w:tc>
          <w:tcPr>
            <w:tcW w:w="3208"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lang w:eastAsia="en-US"/>
              </w:rPr>
            </w:pPr>
            <w:r w:rsidRPr="00E15D20">
              <w:rPr>
                <w:rFonts w:cstheme="minorHAnsi"/>
                <w:b/>
                <w:bCs/>
                <w:sz w:val="18"/>
                <w:szCs w:val="18"/>
              </w:rPr>
              <w:t>Bijzondere omstandigheden</w:t>
            </w:r>
          </w:p>
        </w:tc>
        <w:tc>
          <w:tcPr>
            <w:tcW w:w="5339" w:type="dxa"/>
            <w:vAlign w:val="center"/>
          </w:tcPr>
          <w:p w:rsidR="00F43C9B" w:rsidRDefault="00F43C9B" w:rsidP="00F43C9B">
            <w:pPr>
              <w:shd w:val="clear" w:color="auto" w:fill="D9D9D9" w:themeFill="background1" w:themeFillShade="D9"/>
              <w:rPr>
                <w:rFonts w:cstheme="minorHAnsi"/>
                <w:i/>
                <w:iCs/>
                <w:sz w:val="18"/>
                <w:szCs w:val="18"/>
                <w:lang w:eastAsia="en-US"/>
              </w:rPr>
            </w:pPr>
            <w:r w:rsidRPr="00D0146C">
              <w:rPr>
                <w:rFonts w:cstheme="minorHAnsi"/>
                <w:sz w:val="18"/>
                <w:szCs w:val="18"/>
              </w:rPr>
              <w:t>In gebouwen met minimaal energielabel C dan wel in nieuwbouw met een bouwjaar van 2003 of daarna en die derhalve aan de EPC-eisen van 2003 voldoen, wordt geacht deze maatregel reeds te zijn genomen.</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000" w:type="dxa"/>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Faciliteiten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20</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sz w:val="18"/>
                <w:szCs w:val="18"/>
                <w:lang w:eastAsia="en-US"/>
              </w:rPr>
              <w:t>Energiezuinige motor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IE2-motor met frequentieregeling of IE3-motor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bCs/>
                <w:sz w:val="18"/>
                <w:szCs w:val="18"/>
              </w:rPr>
              <w:t>Motor met vermogen meer dan 7,5 kW en minder dan 375 kW en met rendementsklasse IE1, IE2 (zonder frequentieregeling) of lager is aanwezig.</w:t>
            </w:r>
          </w:p>
        </w:tc>
      </w:tr>
      <w:tr w:rsidR="00F43C9B" w:rsidRPr="00E15D20" w:rsidTr="00F43C9B">
        <w:trPr>
          <w:trHeight w:val="490"/>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vAlign w:val="center"/>
          </w:tcPr>
          <w:p w:rsidR="00F43C9B" w:rsidRDefault="00F43C9B" w:rsidP="00F43C9B">
            <w:pPr>
              <w:pStyle w:val="Lijstalinea2"/>
              <w:shd w:val="clear" w:color="auto" w:fill="D9D9D9" w:themeFill="background1" w:themeFillShade="D9"/>
              <w:autoSpaceDE w:val="0"/>
              <w:autoSpaceDN w:val="0"/>
              <w:adjustRightInd w:val="0"/>
              <w:ind w:left="0"/>
              <w:rPr>
                <w:rFonts w:asciiTheme="minorHAnsi" w:hAnsiTheme="minorHAnsi" w:cstheme="minorHAnsi"/>
                <w:sz w:val="18"/>
                <w:szCs w:val="18"/>
              </w:rPr>
            </w:pPr>
            <w:r w:rsidRPr="00D0146C">
              <w:rPr>
                <w:rFonts w:asciiTheme="minorHAnsi" w:hAnsiTheme="minorHAnsi" w:cstheme="minorHAnsi"/>
                <w:sz w:val="18"/>
                <w:szCs w:val="18"/>
              </w:rPr>
              <w:t>N.v.t.</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7"/>
        </w:trPr>
        <w:tc>
          <w:tcPr>
            <w:tcW w:w="3900" w:type="dxa"/>
            <w:tcBorders>
              <w:top w:val="single" w:sz="4" w:space="0" w:color="auto"/>
              <w:left w:val="single" w:sz="4" w:space="0" w:color="auto"/>
              <w:bottom w:val="single" w:sz="4" w:space="0" w:color="auto"/>
              <w:right w:val="single" w:sz="4" w:space="0" w:color="auto"/>
            </w:tcBorders>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lang w:eastAsia="en-US"/>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3500"/>
        <w:gridCol w:w="35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000" w:type="dxa"/>
            <w:gridSpan w:val="2"/>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Faciliteiten</w:t>
            </w:r>
          </w:p>
        </w:tc>
      </w:tr>
      <w:tr w:rsidR="00F43C9B" w:rsidRPr="00E15D20" w:rsidTr="00F43C9B">
        <w:trPr>
          <w:trHeight w:val="250"/>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21</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Vollasturen asynchrone elektromotor in productiemachine, -apparatuur of -pomp beperken door lager toerental.</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Frequentieregelaar toepassen.</w:t>
            </w:r>
          </w:p>
        </w:tc>
      </w:tr>
      <w:tr w:rsidR="00F43C9B" w:rsidRPr="00E15D20" w:rsidTr="00F43C9B">
        <w:trPr>
          <w:trHeight w:val="566"/>
        </w:trPr>
        <w:tc>
          <w:tcPr>
            <w:tcW w:w="3900"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Frequentie- of toerenregelaar ontbreekt.</w:t>
            </w:r>
          </w:p>
        </w:tc>
      </w:tr>
      <w:tr w:rsidR="00F43C9B" w:rsidRPr="00E15D20" w:rsidTr="00F43C9B">
        <w:trPr>
          <w:trHeight w:val="565"/>
        </w:trPr>
        <w:tc>
          <w:tcPr>
            <w:tcW w:w="3900"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35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a) Motor met een vermogen van maximaal 10 kW is aanwezig.</w:t>
            </w:r>
          </w:p>
        </w:tc>
        <w:tc>
          <w:tcPr>
            <w:tcW w:w="35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 Motor met een vermogen van meer dan 10 kW is aanwezig.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gridSpan w:val="2"/>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Variabel toerental is mogelijk.</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35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a) Aantal deellasturen motor is minimaal 1.250 uur per jaar.</w:t>
            </w:r>
          </w:p>
        </w:tc>
        <w:tc>
          <w:tcPr>
            <w:tcW w:w="35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 Aantal deellasturen motor is minimaal 750 uur per jaar.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gridSpan w:val="2"/>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Bijzondere </w:t>
            </w:r>
            <w:r>
              <w:rPr>
                <w:rFonts w:cstheme="minorHAnsi"/>
                <w:b/>
                <w:bCs/>
                <w:sz w:val="18"/>
                <w:szCs w:val="18"/>
              </w:rPr>
              <w:t>omstandigheden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9"/>
        <w:gridCol w:w="6981"/>
      </w:tblGrid>
      <w:tr w:rsidR="00F43C9B" w:rsidRPr="00E15D20" w:rsidTr="00F43C9B">
        <w:tc>
          <w:tcPr>
            <w:tcW w:w="3919"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6981" w:type="dxa"/>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Faciliteiten</w:t>
            </w:r>
          </w:p>
        </w:tc>
      </w:tr>
      <w:tr w:rsidR="00F43C9B" w:rsidRPr="00E15D20" w:rsidTr="00F43C9B">
        <w:tc>
          <w:tcPr>
            <w:tcW w:w="391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98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22</w:t>
            </w:r>
          </w:p>
        </w:tc>
      </w:tr>
      <w:tr w:rsidR="00F43C9B" w:rsidRPr="00E15D20" w:rsidTr="00F43C9B">
        <w:tc>
          <w:tcPr>
            <w:tcW w:w="391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98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Persluchtverlies verminderen.</w:t>
            </w:r>
          </w:p>
        </w:tc>
      </w:tr>
      <w:tr w:rsidR="00F43C9B" w:rsidRPr="00E15D20" w:rsidTr="00F43C9B">
        <w:tc>
          <w:tcPr>
            <w:tcW w:w="391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98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Persluchtuitblaasappendage met een laminaire luchtstroom of Vortexstroming toepassen.</w:t>
            </w:r>
          </w:p>
        </w:tc>
      </w:tr>
      <w:tr w:rsidR="00F43C9B" w:rsidRPr="00E15D20" w:rsidTr="00F43C9B">
        <w:tc>
          <w:tcPr>
            <w:tcW w:w="391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98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Appendage ontbreekt of nozzles en blaaspistolen zijn meer dan 10 jaar oud.</w:t>
            </w:r>
          </w:p>
        </w:tc>
      </w:tr>
      <w:tr w:rsidR="00F43C9B" w:rsidRPr="00E15D20" w:rsidTr="00F43C9B">
        <w:tc>
          <w:tcPr>
            <w:tcW w:w="391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98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110"/>
        </w:trPr>
        <w:tc>
          <w:tcPr>
            <w:tcW w:w="391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98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Niet toepasbaar voor mobiele installaties met bedrijfstijd minder dan 100 uur per jaar.</w:t>
            </w:r>
          </w:p>
        </w:tc>
      </w:tr>
      <w:tr w:rsidR="00F43C9B" w:rsidRPr="00E15D20" w:rsidTr="00F43C9B">
        <w:tc>
          <w:tcPr>
            <w:tcW w:w="391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98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1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698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19"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6981"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ind w:hanging="8"/>
              <w:rPr>
                <w:rFonts w:cstheme="minorHAnsi"/>
                <w:b/>
                <w:bCs/>
                <w:sz w:val="18"/>
                <w:szCs w:val="18"/>
              </w:rPr>
            </w:pPr>
            <w:r w:rsidRPr="00D0146C">
              <w:rPr>
                <w:rFonts w:cstheme="minorHAnsi"/>
                <w:sz w:val="18"/>
                <w:szCs w:val="18"/>
              </w:rPr>
              <w:br w:type="page"/>
            </w:r>
            <w:r>
              <w:rPr>
                <w:rFonts w:cstheme="minorHAnsi"/>
                <w:b/>
                <w:bCs/>
                <w:sz w:val="18"/>
                <w:szCs w:val="18"/>
              </w:rPr>
              <w:t>Type maatregel</w:t>
            </w:r>
          </w:p>
        </w:tc>
        <w:tc>
          <w:tcPr>
            <w:tcW w:w="7000" w:type="dxa"/>
            <w:vAlign w:val="center"/>
          </w:tcPr>
          <w:p w:rsidR="00F43C9B" w:rsidRDefault="00F43C9B" w:rsidP="00F43C9B">
            <w:pPr>
              <w:shd w:val="clear" w:color="auto" w:fill="D9D9D9" w:themeFill="background1" w:themeFillShade="D9"/>
              <w:rPr>
                <w:rFonts w:cstheme="minorHAnsi"/>
                <w:b/>
                <w:sz w:val="18"/>
                <w:szCs w:val="18"/>
              </w:rPr>
            </w:pPr>
            <w:r>
              <w:rPr>
                <w:rFonts w:cstheme="minorHAnsi"/>
                <w:b/>
                <w:bCs/>
                <w:sz w:val="18"/>
                <w:szCs w:val="18"/>
              </w:rPr>
              <w:t>Faciliteiten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23</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Nullasturen persluchtcompressor beperken.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Persluchtcompressor met frequentie- of toerenregeling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basis van een </w:t>
            </w:r>
            <w:r>
              <w:rPr>
                <w:rFonts w:cstheme="minorHAnsi"/>
                <w:b/>
                <w:bCs/>
                <w:sz w:val="18"/>
                <w:szCs w:val="18"/>
              </w:rPr>
              <w:t>referentietechniek</w:t>
            </w:r>
          </w:p>
        </w:tc>
        <w:tc>
          <w:tcPr>
            <w:tcW w:w="7000" w:type="dxa"/>
            <w:vAlign w:val="center"/>
          </w:tcPr>
          <w:p w:rsidR="00F43C9B" w:rsidRDefault="00F43C9B" w:rsidP="00F43C9B">
            <w:pPr>
              <w:pStyle w:val="Lijstalinea2"/>
              <w:shd w:val="clear" w:color="auto" w:fill="D9D9D9" w:themeFill="background1" w:themeFillShade="D9"/>
              <w:autoSpaceDE w:val="0"/>
              <w:autoSpaceDN w:val="0"/>
              <w:adjustRightInd w:val="0"/>
              <w:ind w:left="0"/>
              <w:rPr>
                <w:rFonts w:asciiTheme="minorHAnsi" w:hAnsiTheme="minorHAnsi" w:cstheme="minorHAnsi"/>
                <w:sz w:val="18"/>
                <w:szCs w:val="18"/>
              </w:rPr>
            </w:pPr>
            <w:r w:rsidRPr="00D0146C">
              <w:rPr>
                <w:rFonts w:asciiTheme="minorHAnsi" w:hAnsiTheme="minorHAnsi" w:cstheme="minorHAnsi"/>
                <w:bCs/>
                <w:sz w:val="18"/>
                <w:szCs w:val="18"/>
              </w:rPr>
              <w:t>Vollast/nullast- of vollast/nullast/uitschakeling is aanwezig.</w:t>
            </w:r>
          </w:p>
        </w:tc>
      </w:tr>
      <w:tr w:rsidR="00F43C9B" w:rsidRPr="00E15D20" w:rsidTr="00F43C9B">
        <w:trPr>
          <w:trHeight w:val="490"/>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Bij meerdere compressoren uitvoeren bij leidende compressor en rest op basis van aan/uitschakeling.</w:t>
            </w:r>
          </w:p>
        </w:tc>
      </w:tr>
      <w:tr w:rsidR="00F43C9B" w:rsidRPr="00E15D20" w:rsidTr="00F43C9B">
        <w:trPr>
          <w:trHeight w:val="484"/>
        </w:trPr>
        <w:tc>
          <w:tcPr>
            <w:tcW w:w="39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Aantal nullasturen is minimaal 1.100 uur per jaar (ter indicatie: 4 uur per werkdag).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00"/>
        <w:gridCol w:w="3500"/>
        <w:gridCol w:w="3500"/>
      </w:tblGrid>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Activiteiten</w:t>
            </w:r>
          </w:p>
        </w:tc>
        <w:tc>
          <w:tcPr>
            <w:tcW w:w="7000" w:type="dxa"/>
            <w:gridSpan w:val="2"/>
            <w:vAlign w:val="center"/>
          </w:tcPr>
          <w:p w:rsidR="00F43C9B" w:rsidRDefault="00F43C9B" w:rsidP="00F43C9B">
            <w:pPr>
              <w:shd w:val="clear" w:color="auto" w:fill="D9D9D9" w:themeFill="background1" w:themeFillShade="D9"/>
              <w:rPr>
                <w:rFonts w:cstheme="minorHAnsi"/>
                <w:b/>
                <w:sz w:val="18"/>
                <w:szCs w:val="18"/>
              </w:rPr>
            </w:pPr>
            <w:r>
              <w:rPr>
                <w:rFonts w:cstheme="minorHAnsi"/>
                <w:b/>
                <w:bCs/>
                <w:sz w:val="18"/>
                <w:szCs w:val="18"/>
              </w:rPr>
              <w:t>Faciliteiten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24</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gridSpan w:val="2"/>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sz w:val="18"/>
                <w:szCs w:val="18"/>
              </w:rPr>
              <w:t>Energiezuinig perslucht maken door koude lucht te gebruiken.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5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a) Koude buitenlucht gebruiken.</w:t>
            </w:r>
          </w:p>
        </w:tc>
        <w:tc>
          <w:tcPr>
            <w:tcW w:w="35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b) Binnenlucht uit onverwarmde ruimte gebruiken.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gridSpan w:val="2"/>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Compressor zuigt door zichzelf opgewarmde warme lucht of warme proceslucht aan.</w:t>
            </w:r>
          </w:p>
        </w:tc>
      </w:tr>
      <w:tr w:rsidR="00F43C9B" w:rsidRPr="00E15D20" w:rsidTr="00F43C9B">
        <w:trPr>
          <w:trHeight w:val="698"/>
        </w:trPr>
        <w:tc>
          <w:tcPr>
            <w:tcW w:w="3900"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gridSpan w:val="2"/>
            <w:vAlign w:val="center"/>
          </w:tcPr>
          <w:p w:rsidR="00F43C9B" w:rsidRDefault="00F43C9B" w:rsidP="00F43C9B">
            <w:pPr>
              <w:pStyle w:val="Lijstalinea2"/>
              <w:shd w:val="clear" w:color="auto" w:fill="D9D9D9" w:themeFill="background1" w:themeFillShade="D9"/>
              <w:autoSpaceDE w:val="0"/>
              <w:autoSpaceDN w:val="0"/>
              <w:adjustRightInd w:val="0"/>
              <w:ind w:left="0"/>
              <w:rPr>
                <w:rFonts w:asciiTheme="minorHAnsi" w:hAnsiTheme="minorHAnsi" w:cstheme="minorHAnsi"/>
                <w:sz w:val="18"/>
                <w:szCs w:val="18"/>
              </w:rPr>
            </w:pPr>
          </w:p>
        </w:tc>
      </w:tr>
      <w:tr w:rsidR="00F43C9B" w:rsidRPr="00E15D20" w:rsidTr="00F43C9B">
        <w:trPr>
          <w:trHeight w:val="698"/>
        </w:trPr>
        <w:tc>
          <w:tcPr>
            <w:tcW w:w="3900"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3500" w:type="dxa"/>
            <w:vAlign w:val="center"/>
          </w:tcPr>
          <w:p w:rsidR="00F43C9B" w:rsidRDefault="00F43C9B" w:rsidP="00F43C9B">
            <w:pPr>
              <w:pStyle w:val="Lijstalinea2"/>
              <w:shd w:val="clear" w:color="auto" w:fill="D9D9D9" w:themeFill="background1" w:themeFillShade="D9"/>
              <w:autoSpaceDE w:val="0"/>
              <w:autoSpaceDN w:val="0"/>
              <w:adjustRightInd w:val="0"/>
              <w:ind w:left="0"/>
              <w:rPr>
                <w:rFonts w:asciiTheme="minorHAnsi" w:hAnsiTheme="minorHAnsi" w:cstheme="minorHAnsi"/>
                <w:sz w:val="18"/>
                <w:szCs w:val="18"/>
              </w:rPr>
            </w:pPr>
            <w:r w:rsidRPr="00D0146C">
              <w:rPr>
                <w:rFonts w:asciiTheme="minorHAnsi" w:hAnsiTheme="minorHAnsi" w:cstheme="minorHAnsi"/>
                <w:bCs/>
                <w:sz w:val="18"/>
                <w:szCs w:val="18"/>
              </w:rPr>
              <w:t>a) Een opening in gevel is mogelijk binnen een afstand van 3 meter.</w:t>
            </w:r>
          </w:p>
        </w:tc>
        <w:tc>
          <w:tcPr>
            <w:tcW w:w="3500" w:type="dxa"/>
            <w:vAlign w:val="center"/>
          </w:tcPr>
          <w:p w:rsidR="00F43C9B" w:rsidRDefault="00F43C9B" w:rsidP="00F43C9B">
            <w:pPr>
              <w:pStyle w:val="Lijstalinea2"/>
              <w:shd w:val="clear" w:color="auto" w:fill="D9D9D9" w:themeFill="background1" w:themeFillShade="D9"/>
              <w:autoSpaceDE w:val="0"/>
              <w:autoSpaceDN w:val="0"/>
              <w:adjustRightInd w:val="0"/>
              <w:ind w:left="0"/>
              <w:rPr>
                <w:rFonts w:asciiTheme="minorHAnsi" w:hAnsiTheme="minorHAnsi" w:cstheme="minorHAnsi"/>
                <w:sz w:val="18"/>
                <w:szCs w:val="18"/>
              </w:rPr>
            </w:pPr>
            <w:r w:rsidRPr="00D0146C">
              <w:rPr>
                <w:rFonts w:asciiTheme="minorHAnsi" w:hAnsiTheme="minorHAnsi" w:cstheme="minorHAnsi"/>
                <w:bCs/>
                <w:sz w:val="18"/>
                <w:szCs w:val="18"/>
              </w:rPr>
              <w:t>b) N.v.t.</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
        </w:trPr>
        <w:tc>
          <w:tcPr>
            <w:tcW w:w="3900" w:type="dxa"/>
            <w:tcBorders>
              <w:top w:val="single" w:sz="4" w:space="0" w:color="auto"/>
              <w:left w:val="single" w:sz="4" w:space="0" w:color="auto"/>
              <w:bottom w:val="single" w:sz="4" w:space="0" w:color="auto"/>
              <w:right w:val="single" w:sz="4" w:space="0" w:color="auto"/>
            </w:tcBorders>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gridSpan w:val="2"/>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Vermogen van compressor (in kW) vermenigvuldigd met aantal equivalenten van vollasturen per jaar (in uur) is minimaal 35.000 (kWh).</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000" w:type="dxa"/>
            <w:vAlign w:val="center"/>
          </w:tcPr>
          <w:p w:rsidR="00F43C9B" w:rsidRDefault="00F43C9B" w:rsidP="00F43C9B">
            <w:pPr>
              <w:shd w:val="clear" w:color="auto" w:fill="D9D9D9" w:themeFill="background1" w:themeFillShade="D9"/>
              <w:rPr>
                <w:rFonts w:cstheme="minorHAnsi"/>
                <w:b/>
                <w:sz w:val="18"/>
                <w:szCs w:val="18"/>
              </w:rPr>
            </w:pPr>
            <w:r>
              <w:rPr>
                <w:rFonts w:cstheme="minorHAnsi"/>
                <w:b/>
                <w:bCs/>
                <w:sz w:val="18"/>
                <w:szCs w:val="18"/>
              </w:rPr>
              <w:t>Faciliteiten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25</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Warmte van persluchtcompressoren nuttig gebruiken.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technieken ten opzichte van </w:t>
            </w:r>
            <w:r>
              <w:rPr>
                <w:rFonts w:cstheme="minorHAnsi"/>
                <w:b/>
                <w:bCs/>
                <w:sz w:val="18"/>
                <w:szCs w:val="18"/>
              </w:rPr>
              <w:t>uitgangssituatie</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Warmte gebruiken voor ruimteverwarming.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bCs/>
                <w:sz w:val="18"/>
                <w:szCs w:val="18"/>
              </w:rPr>
            </w:pPr>
            <w:r w:rsidRPr="00D0146C">
              <w:rPr>
                <w:rFonts w:cstheme="minorHAnsi"/>
                <w:bCs/>
                <w:sz w:val="18"/>
                <w:szCs w:val="18"/>
              </w:rPr>
              <w:t>Luchtgekoelde compressor is aanwezig.</w:t>
            </w:r>
          </w:p>
          <w:p w:rsidR="00F43C9B" w:rsidRDefault="00F43C9B" w:rsidP="00F43C9B">
            <w:pPr>
              <w:shd w:val="clear" w:color="auto" w:fill="D9D9D9" w:themeFill="background1" w:themeFillShade="D9"/>
              <w:autoSpaceDE w:val="0"/>
              <w:autoSpaceDN w:val="0"/>
              <w:adjustRightInd w:val="0"/>
              <w:rPr>
                <w:rFonts w:cstheme="minorHAnsi"/>
                <w:sz w:val="18"/>
                <w:szCs w:val="18"/>
              </w:rPr>
            </w:pPr>
            <w:r w:rsidRPr="00D0146C">
              <w:rPr>
                <w:rFonts w:cstheme="minorHAnsi"/>
                <w:bCs/>
                <w:sz w:val="18"/>
                <w:szCs w:val="18"/>
              </w:rPr>
              <w:t>Warmte van compressor wordt naar buiten afgevoerd.</w:t>
            </w:r>
          </w:p>
        </w:tc>
      </w:tr>
      <w:tr w:rsidR="00F43C9B" w:rsidRPr="00E15D20" w:rsidTr="00F43C9B">
        <w:trPr>
          <w:trHeight w:val="490"/>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vAlign w:val="center"/>
          </w:tcPr>
          <w:p w:rsidR="00F43C9B" w:rsidRDefault="00F43C9B" w:rsidP="00F43C9B">
            <w:pPr>
              <w:shd w:val="clear" w:color="auto" w:fill="D9D9D9" w:themeFill="background1" w:themeFillShade="D9"/>
              <w:autoSpaceDE w:val="0"/>
              <w:autoSpaceDN w:val="0"/>
              <w:adjustRightInd w:val="0"/>
              <w:rPr>
                <w:rFonts w:cstheme="minorHAnsi"/>
                <w:sz w:val="18"/>
                <w:szCs w:val="18"/>
                <w:lang w:eastAsia="en-US"/>
              </w:rPr>
            </w:pPr>
            <w:r w:rsidRPr="00D0146C">
              <w:rPr>
                <w:rFonts w:cstheme="minorHAnsi"/>
                <w:bCs/>
                <w:sz w:val="18"/>
                <w:szCs w:val="18"/>
              </w:rPr>
              <w:t>N.v.t.</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1"/>
        </w:trPr>
        <w:tc>
          <w:tcPr>
            <w:tcW w:w="3900" w:type="dxa"/>
            <w:tcBorders>
              <w:top w:val="single" w:sz="4" w:space="0" w:color="auto"/>
              <w:left w:val="single" w:sz="4" w:space="0" w:color="auto"/>
              <w:bottom w:val="single" w:sz="4" w:space="0" w:color="auto"/>
              <w:right w:val="single" w:sz="4" w:space="0" w:color="auto"/>
            </w:tcBorders>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Economische </w:t>
            </w:r>
            <w:r>
              <w:rPr>
                <w:rFonts w:cstheme="minorHAnsi"/>
                <w:b/>
                <w:bCs/>
                <w:sz w:val="18"/>
                <w:szCs w:val="18"/>
              </w:rPr>
              <w:t>randvoorwaarden</w:t>
            </w:r>
          </w:p>
        </w:tc>
        <w:tc>
          <w:tcPr>
            <w:tcW w:w="7000" w:type="dxa"/>
            <w:tcBorders>
              <w:top w:val="single" w:sz="4" w:space="0" w:color="auto"/>
              <w:left w:val="single" w:sz="4" w:space="0" w:color="auto"/>
              <w:bottom w:val="single" w:sz="4" w:space="0" w:color="auto"/>
              <w:right w:val="single" w:sz="4" w:space="0" w:color="auto"/>
            </w:tcBorders>
          </w:tcPr>
          <w:p w:rsidR="00F43C9B" w:rsidRDefault="00F43C9B" w:rsidP="00F43C9B">
            <w:pPr>
              <w:pStyle w:val="Lijstalinea2"/>
              <w:shd w:val="clear" w:color="auto" w:fill="D9D9D9" w:themeFill="background1" w:themeFillShade="D9"/>
              <w:autoSpaceDE w:val="0"/>
              <w:autoSpaceDN w:val="0"/>
              <w:adjustRightInd w:val="0"/>
              <w:ind w:left="0"/>
              <w:rPr>
                <w:rFonts w:asciiTheme="minorHAnsi" w:hAnsiTheme="minorHAnsi" w:cstheme="minorHAnsi"/>
                <w:bCs/>
                <w:sz w:val="18"/>
                <w:szCs w:val="18"/>
              </w:rPr>
            </w:pPr>
            <w:r w:rsidRPr="00D0146C">
              <w:rPr>
                <w:rFonts w:asciiTheme="minorHAnsi" w:hAnsiTheme="minorHAnsi" w:cstheme="minorHAnsi"/>
                <w:bCs/>
                <w:sz w:val="18"/>
                <w:szCs w:val="18"/>
              </w:rPr>
              <w:t>Aardgasverbruik is minder dan 170.000 m</w:t>
            </w:r>
            <w:r w:rsidRPr="00D0146C">
              <w:rPr>
                <w:rFonts w:asciiTheme="minorHAnsi" w:hAnsiTheme="minorHAnsi" w:cstheme="minorHAnsi"/>
                <w:bCs/>
                <w:sz w:val="18"/>
                <w:szCs w:val="18"/>
                <w:vertAlign w:val="superscript"/>
              </w:rPr>
              <w:t>3</w:t>
            </w:r>
            <w:r w:rsidRPr="00D0146C">
              <w:rPr>
                <w:rFonts w:asciiTheme="minorHAnsi" w:hAnsiTheme="minorHAnsi" w:cstheme="minorHAnsi"/>
                <w:bCs/>
                <w:sz w:val="18"/>
                <w:szCs w:val="18"/>
              </w:rPr>
              <w:t xml:space="preserve"> per jaar.</w:t>
            </w:r>
          </w:p>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Aantal equivalenten van vollasturen compressor is minimaal 1.400 uur per stookseizoen (ter indicatie: 10 uur per werkdag in stookseizoen).</w:t>
            </w:r>
          </w:p>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Afstand tot te verwarmen ruimte is minder dan 3 meter.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6"/>
        <w:gridCol w:w="1829"/>
        <w:gridCol w:w="29"/>
        <w:gridCol w:w="1813"/>
        <w:gridCol w:w="46"/>
        <w:gridCol w:w="1858"/>
        <w:gridCol w:w="1859"/>
      </w:tblGrid>
      <w:tr w:rsidR="00F43C9B" w:rsidRPr="00E15D20" w:rsidTr="00F43C9B">
        <w:tc>
          <w:tcPr>
            <w:tcW w:w="3466"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7434" w:type="dxa"/>
            <w:gridSpan w:val="6"/>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3466"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434" w:type="dxa"/>
            <w:gridSpan w:val="6"/>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26</w:t>
            </w:r>
          </w:p>
        </w:tc>
      </w:tr>
      <w:tr w:rsidR="00F43C9B" w:rsidRPr="00E15D20" w:rsidTr="00F43C9B">
        <w:tc>
          <w:tcPr>
            <w:tcW w:w="3466"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434" w:type="dxa"/>
            <w:gridSpan w:val="6"/>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Stoom als medium voor ruimteverwarming vervangen.</w:t>
            </w:r>
          </w:p>
        </w:tc>
      </w:tr>
      <w:tr w:rsidR="00F43C9B" w:rsidRPr="00E15D20" w:rsidTr="00F43C9B">
        <w:tc>
          <w:tcPr>
            <w:tcW w:w="3466"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1858"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Hoogrendementsketel HR107 met radiatoren en/of indirecte luchtverhitters toepassen.</w:t>
            </w:r>
          </w:p>
        </w:tc>
        <w:tc>
          <w:tcPr>
            <w:tcW w:w="1859"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Warmtepomp met radiatoren en/of indirecte luchtverhitters toepassen.</w:t>
            </w:r>
          </w:p>
        </w:tc>
        <w:tc>
          <w:tcPr>
            <w:tcW w:w="1858" w:type="dxa"/>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 xml:space="preserve">c) Direct gasgestookte </w:t>
            </w:r>
            <w:r w:rsidRPr="00D0146C">
              <w:rPr>
                <w:rFonts w:cstheme="minorHAnsi"/>
                <w:bCs/>
                <w:sz w:val="18"/>
                <w:szCs w:val="18"/>
              </w:rPr>
              <w:t xml:space="preserve">Hoogrendements- (HR-) luchtverhitter </w:t>
            </w:r>
            <w:r w:rsidRPr="00D0146C">
              <w:rPr>
                <w:rFonts w:cstheme="minorHAnsi"/>
                <w:sz w:val="18"/>
                <w:szCs w:val="18"/>
              </w:rPr>
              <w:t>toepassen.</w:t>
            </w:r>
          </w:p>
        </w:tc>
        <w:tc>
          <w:tcPr>
            <w:tcW w:w="185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d) Hoogrendementsketel HR107 met luchtbehandelingskast toepassen.</w:t>
            </w:r>
          </w:p>
        </w:tc>
      </w:tr>
      <w:tr w:rsidR="00F43C9B" w:rsidRPr="00E15D20" w:rsidTr="00F43C9B">
        <w:tc>
          <w:tcPr>
            <w:tcW w:w="3466"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basis van een </w:t>
            </w:r>
            <w:r>
              <w:rPr>
                <w:rFonts w:cstheme="minorHAnsi"/>
                <w:b/>
                <w:bCs/>
                <w:sz w:val="18"/>
                <w:szCs w:val="18"/>
              </w:rPr>
              <w:t>referentietechniek</w:t>
            </w:r>
          </w:p>
        </w:tc>
        <w:tc>
          <w:tcPr>
            <w:tcW w:w="7434" w:type="dxa"/>
            <w:gridSpan w:val="6"/>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Stoomketel met stoomluchtverhitters zijn aanwezig, of stoomketel met stoom/waterwarmtewisselaar en radiatoren zijn aanwezig.</w:t>
            </w:r>
          </w:p>
        </w:tc>
      </w:tr>
      <w:tr w:rsidR="00F43C9B" w:rsidRPr="00E15D20" w:rsidTr="00F43C9B">
        <w:trPr>
          <w:trHeight w:val="490"/>
        </w:trPr>
        <w:tc>
          <w:tcPr>
            <w:tcW w:w="3466"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1829"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bCs/>
                <w:sz w:val="18"/>
                <w:szCs w:val="18"/>
              </w:rPr>
              <w:t>a) Rookgasafvoer is mogelijk.</w:t>
            </w:r>
          </w:p>
        </w:tc>
        <w:tc>
          <w:tcPr>
            <w:tcW w:w="1842" w:type="dxa"/>
            <w:gridSpan w:val="2"/>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 N.v.t.</w:t>
            </w:r>
          </w:p>
        </w:tc>
        <w:tc>
          <w:tcPr>
            <w:tcW w:w="3763" w:type="dxa"/>
            <w:gridSpan w:val="3"/>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bCs/>
                <w:sz w:val="18"/>
                <w:szCs w:val="18"/>
              </w:rPr>
              <w:t>c en d) Rookgasafvoer is mogelijk.</w:t>
            </w:r>
          </w:p>
        </w:tc>
      </w:tr>
      <w:tr w:rsidR="00F43C9B" w:rsidRPr="00E15D20" w:rsidTr="00F43C9B">
        <w:trPr>
          <w:trHeight w:val="605"/>
        </w:trPr>
        <w:tc>
          <w:tcPr>
            <w:tcW w:w="3466"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434" w:type="dxa"/>
            <w:gridSpan w:val="6"/>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bCs/>
                <w:sz w:val="18"/>
                <w:szCs w:val="18"/>
              </w:rPr>
              <w:t>Benodigde vermogen voor ruimteverwarming (in kW) vermenigvuldigd met bedrijfstijd (in uur per jaar) is minimaal 200.000 (kW</w:t>
            </w:r>
            <w:r w:rsidRPr="00D0146C">
              <w:rPr>
                <w:rFonts w:asciiTheme="minorHAnsi" w:hAnsiTheme="minorHAnsi" w:cstheme="minorHAnsi"/>
                <w:bCs/>
                <w:sz w:val="18"/>
                <w:szCs w:val="18"/>
                <w:vertAlign w:val="subscript"/>
              </w:rPr>
              <w:t>thermisch</w:t>
            </w:r>
            <w:r w:rsidRPr="00D0146C">
              <w:rPr>
                <w:rFonts w:asciiTheme="minorHAnsi" w:hAnsiTheme="minorHAnsi" w:cstheme="minorHAnsi"/>
                <w:bCs/>
                <w:sz w:val="18"/>
                <w:szCs w:val="18"/>
              </w:rPr>
              <w:t>h per jaar).</w:t>
            </w:r>
          </w:p>
        </w:tc>
      </w:tr>
      <w:tr w:rsidR="00F43C9B" w:rsidRPr="00E15D20" w:rsidTr="00F43C9B">
        <w:trPr>
          <w:trHeight w:val="605"/>
        </w:trPr>
        <w:tc>
          <w:tcPr>
            <w:tcW w:w="3466"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182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Aansluitpunt voor gas is aanwezig binnen een afstand van 50 meter van te verwarmen ruimte.</w:t>
            </w:r>
          </w:p>
        </w:tc>
        <w:tc>
          <w:tcPr>
            <w:tcW w:w="1842"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Aansluitpunt van voldoende vermogen voor elektriciteit is aanwezig binnen een afstand van 50 meter van te verwarmen ruimte.</w:t>
            </w:r>
          </w:p>
        </w:tc>
        <w:tc>
          <w:tcPr>
            <w:tcW w:w="3763"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en d) Aansluitpunt voor gas is aanwezig binnen 50 meter van te verwarmen ruimte.</w:t>
            </w:r>
          </w:p>
        </w:tc>
      </w:tr>
      <w:tr w:rsidR="00F43C9B" w:rsidRPr="00E15D20" w:rsidTr="00F43C9B">
        <w:tc>
          <w:tcPr>
            <w:tcW w:w="3466"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Toepasbaar op een </w:t>
            </w:r>
            <w:r>
              <w:rPr>
                <w:rFonts w:cstheme="minorHAnsi"/>
                <w:b/>
                <w:bCs/>
                <w:sz w:val="18"/>
                <w:szCs w:val="18"/>
              </w:rPr>
              <w:t>zelfstandig of natuurlijk moment?</w:t>
            </w:r>
          </w:p>
        </w:tc>
        <w:tc>
          <w:tcPr>
            <w:tcW w:w="7434" w:type="dxa"/>
            <w:gridSpan w:val="6"/>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 indien stoomketel óf stoomruimteverwarmingsinstallatie wordt vervangen.</w:t>
            </w:r>
          </w:p>
        </w:tc>
      </w:tr>
      <w:tr w:rsidR="00F43C9B" w:rsidRPr="00E15D20" w:rsidTr="00F43C9B">
        <w:tc>
          <w:tcPr>
            <w:tcW w:w="3466"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434" w:type="dxa"/>
            <w:gridSpan w:val="6"/>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[42] Warmte van folieblazen nuttig gebruiken voor ruimteverwarming van nabij gelegen productieruimte of magazijn.</w:t>
            </w:r>
          </w:p>
        </w:tc>
      </w:tr>
      <w:tr w:rsidR="00F43C9B" w:rsidRPr="00E15D20" w:rsidTr="00F43C9B">
        <w:tc>
          <w:tcPr>
            <w:tcW w:w="3466"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434" w:type="dxa"/>
            <w:gridSpan w:val="6"/>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3500"/>
        <w:gridCol w:w="35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000" w:type="dxa"/>
            <w:gridSpan w:val="2"/>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Ruimteverwarming</w:t>
            </w:r>
          </w:p>
        </w:tc>
      </w:tr>
      <w:tr w:rsidR="00F43C9B" w:rsidRPr="00E15D20" w:rsidTr="00F43C9B">
        <w:trPr>
          <w:trHeight w:val="456"/>
        </w:trPr>
        <w:tc>
          <w:tcPr>
            <w:tcW w:w="3900" w:type="dxa"/>
            <w:shd w:val="clear" w:color="auto" w:fill="B3B3B3"/>
            <w:vAlign w:val="center"/>
          </w:tcPr>
          <w:p w:rsidR="00F43C9B" w:rsidRPr="00E15D20" w:rsidRDefault="00F43C9B" w:rsidP="00F43C9B">
            <w:pPr>
              <w:shd w:val="clear" w:color="auto" w:fill="D9D9D9" w:themeFill="background1" w:themeFillShade="D9"/>
              <w:ind w:left="707" w:hanging="707"/>
              <w:rPr>
                <w:rFonts w:cstheme="minorHAnsi"/>
                <w:b/>
                <w:bCs/>
                <w:sz w:val="18"/>
                <w:szCs w:val="18"/>
              </w:rPr>
            </w:pPr>
            <w:r w:rsidRPr="00E15D20">
              <w:rPr>
                <w:rFonts w:cstheme="minorHAnsi"/>
                <w:b/>
                <w:bCs/>
                <w:sz w:val="18"/>
                <w:szCs w:val="18"/>
              </w:rPr>
              <w:t>Nummer maatregel</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27</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Bedrijfshal: Warmteverlies via leidingen en -appendages beperken in onverwarmde ruimten.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5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a) Isolatie aanbrengen om leidingen en appendages.</w:t>
            </w:r>
          </w:p>
        </w:tc>
        <w:tc>
          <w:tcPr>
            <w:tcW w:w="35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b) Isolatie aanbrengen om appendages.</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35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a) Isolatie om leidingen en appendages ontbreekt.</w:t>
            </w:r>
          </w:p>
        </w:tc>
        <w:tc>
          <w:tcPr>
            <w:tcW w:w="35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b) Isolatie om appendages ontbreekt.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gridSpan w:val="2"/>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Niet toepasbaar bij appendages die dagelijks moeten worden geïnspecteerd.</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35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a) Bedrijfstijd van installatie bij leidingen is minimaal 2.500 uur per jaar.</w:t>
            </w:r>
          </w:p>
        </w:tc>
        <w:tc>
          <w:tcPr>
            <w:tcW w:w="3500" w:type="dxa"/>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b) Bedrijfstijd van installatie bij appendages is minimaal 3.000 uur per jaar.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gridSpan w:val="2"/>
            <w:vAlign w:val="center"/>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bCs/>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b/>
          <w:bCs/>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maatregelen</w:t>
            </w:r>
          </w:p>
        </w:tc>
        <w:tc>
          <w:tcPr>
            <w:tcW w:w="7000" w:type="dxa"/>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Faciliteiten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28</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Warmteverlies stoominstallatie beperken.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Isolatie aanbrengen om stoom- en condensaatleidingen en -appendages.</w:t>
            </w:r>
          </w:p>
        </w:tc>
      </w:tr>
      <w:tr w:rsidR="00F43C9B" w:rsidRPr="00E15D20" w:rsidTr="00F43C9B">
        <w:trPr>
          <w:trHeight w:val="881"/>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Isolatie om leidingen en/of appendages ontbreekt of is beschadigd.</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tcBorders>
              <w:bottom w:val="single" w:sz="4" w:space="0" w:color="auto"/>
            </w:tcBorders>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Bij stoomgebruikers zijn machinedelen soms bewust ongeïsoleerd om juiste stoomcondities in het productieproces te kunnen garanderen. Isoleer deze machines niet indien leverancier een goede werking van het proces niet meer garandeert.</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7"/>
        </w:trPr>
        <w:tc>
          <w:tcPr>
            <w:tcW w:w="3900" w:type="dxa"/>
            <w:tcBorders>
              <w:top w:val="single" w:sz="4" w:space="0" w:color="auto"/>
              <w:left w:val="single" w:sz="4" w:space="0" w:color="auto"/>
              <w:bottom w:val="single" w:sz="4" w:space="0" w:color="auto"/>
              <w:right w:val="single" w:sz="4" w:space="0" w:color="auto"/>
            </w:tcBorders>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tcBorders>
              <w:top w:val="single" w:sz="4" w:space="0" w:color="auto"/>
              <w:left w:val="single" w:sz="4" w:space="0" w:color="auto"/>
              <w:bottom w:val="single" w:sz="4" w:space="0" w:color="auto"/>
              <w:right w:val="single" w:sz="4" w:space="0" w:color="auto"/>
            </w:tcBorders>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Bedrijfstijd van stoominstallatie is minimaal 500 uur per jaar.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tcBorders>
              <w:top w:val="single" w:sz="4" w:space="0" w:color="auto"/>
            </w:tcBorders>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3500"/>
        <w:gridCol w:w="35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7000" w:type="dxa"/>
            <w:gridSpan w:val="2"/>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29</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Warmte uit spuiwater stoomketel nuttig gebruiken.</w:t>
            </w:r>
          </w:p>
        </w:tc>
      </w:tr>
      <w:tr w:rsidR="00F43C9B" w:rsidRPr="00E15D20" w:rsidTr="00F43C9B">
        <w:tc>
          <w:tcPr>
            <w:tcW w:w="3900"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p>
        </w:tc>
      </w:tr>
      <w:tr w:rsidR="00F43C9B" w:rsidRPr="00E15D20" w:rsidTr="00F43C9B">
        <w:tc>
          <w:tcPr>
            <w:tcW w:w="3900"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35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Ontspanningsvat toepassen waarin spuiwater in druk wordt verlaagd.</w:t>
            </w:r>
          </w:p>
        </w:tc>
        <w:tc>
          <w:tcPr>
            <w:tcW w:w="35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Warmtewisselaar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w:t>
            </w:r>
            <w:r>
              <w:rPr>
                <w:rFonts w:cstheme="minorHAnsi"/>
                <w:b/>
                <w:bCs/>
                <w:sz w:val="18"/>
                <w:szCs w:val="18"/>
              </w:rPr>
              <w:t>basis van een referentietechniek</w:t>
            </w:r>
          </w:p>
        </w:tc>
        <w:tc>
          <w:tcPr>
            <w:tcW w:w="7000" w:type="dxa"/>
            <w:gridSpan w:val="2"/>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bCs/>
                <w:sz w:val="18"/>
                <w:szCs w:val="18"/>
              </w:rPr>
              <w:t>Warmteterugwinsysteem ontbreekt voor spuiwater.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0"/>
        </w:trPr>
        <w:tc>
          <w:tcPr>
            <w:tcW w:w="3900" w:type="dxa"/>
            <w:vMerge w:val="restart"/>
            <w:tcBorders>
              <w:top w:val="single" w:sz="4" w:space="0" w:color="auto"/>
              <w:left w:val="single" w:sz="4" w:space="0" w:color="auto"/>
              <w:bottom w:val="single" w:sz="4" w:space="0" w:color="auto"/>
              <w:right w:val="single" w:sz="4" w:space="0" w:color="auto"/>
            </w:tcBorders>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gridSpan w:val="2"/>
            <w:tcBorders>
              <w:top w:val="single" w:sz="4" w:space="0" w:color="auto"/>
              <w:left w:val="single" w:sz="4" w:space="0" w:color="auto"/>
              <w:bottom w:val="single" w:sz="4" w:space="0" w:color="auto"/>
              <w:right w:val="single" w:sz="4" w:space="0" w:color="auto"/>
            </w:tcBorders>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bCs/>
                <w:sz w:val="18"/>
                <w:szCs w:val="18"/>
              </w:rPr>
              <w:t>Vermogen stoominstallatie (in MW) vermenigvuldigd met bedrijfstijd (in uur per jaar) is minimaal 4.500 (MW</w:t>
            </w:r>
            <w:r w:rsidRPr="00D0146C">
              <w:rPr>
                <w:rFonts w:asciiTheme="minorHAnsi" w:hAnsiTheme="minorHAnsi" w:cstheme="minorHAnsi"/>
                <w:bCs/>
                <w:sz w:val="18"/>
                <w:szCs w:val="18"/>
                <w:vertAlign w:val="subscript"/>
              </w:rPr>
              <w:t>thermisch</w:t>
            </w:r>
            <w:r w:rsidRPr="00D0146C">
              <w:rPr>
                <w:rFonts w:asciiTheme="minorHAnsi" w:hAnsiTheme="minorHAnsi" w:cstheme="minorHAnsi"/>
                <w:bCs/>
                <w:sz w:val="18"/>
                <w:szCs w:val="18"/>
              </w:rPr>
              <w:t>h per jaar).</w:t>
            </w:r>
          </w:p>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Minimaal 50% van voedingwater bestaat uit vers suppletiewater.</w:t>
            </w:r>
          </w:p>
        </w:tc>
      </w:tr>
      <w:tr w:rsidR="00F43C9B" w:rsidRPr="00E15D20" w:rsidTr="00F43C9B">
        <w:tc>
          <w:tcPr>
            <w:tcW w:w="3900" w:type="dxa"/>
            <w:vMerge/>
            <w:shd w:val="clear" w:color="auto" w:fill="B3B3B3"/>
          </w:tcPr>
          <w:p w:rsidR="00F43C9B" w:rsidRDefault="00F43C9B" w:rsidP="00F43C9B">
            <w:pPr>
              <w:shd w:val="clear" w:color="auto" w:fill="D9D9D9" w:themeFill="background1" w:themeFillShade="D9"/>
              <w:rPr>
                <w:rFonts w:cstheme="minorHAnsi"/>
                <w:b/>
                <w:bCs/>
                <w:sz w:val="18"/>
                <w:szCs w:val="18"/>
              </w:rPr>
            </w:pPr>
          </w:p>
        </w:tc>
        <w:tc>
          <w:tcPr>
            <w:tcW w:w="3500" w:type="dxa"/>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Stoomvrager is aanwezig die met discontinue aanbod van ontspanningsstoom kan worden gevoed (veelal de ontgasser).</w:t>
            </w:r>
          </w:p>
        </w:tc>
        <w:tc>
          <w:tcPr>
            <w:tcW w:w="3500" w:type="dxa"/>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Warmtevrager is aanwezig die met discontinue aanbod van warmte uit spuiwater kan worden gevoed (veelal suppletiewater).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[30] Condensaat of condensaatwarmte nuttig gebruiken.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br w:type="page"/>
      </w: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00"/>
        <w:gridCol w:w="2333"/>
        <w:gridCol w:w="2322"/>
        <w:gridCol w:w="11"/>
        <w:gridCol w:w="2334"/>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000" w:type="dxa"/>
            <w:gridSpan w:val="4"/>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Faciliteiten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30</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Condensaat of condensaatwarmte nuttig gebruiken.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2333"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Ontspanningsvat toepassen waarin condensaat in druk wordt verlaagd (naar atmosferische druk).</w:t>
            </w:r>
          </w:p>
        </w:tc>
        <w:tc>
          <w:tcPr>
            <w:tcW w:w="2333"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Retourleiding naar ontgasser van stoomketel toepassen voor condensaat .</w:t>
            </w:r>
          </w:p>
        </w:tc>
        <w:tc>
          <w:tcPr>
            <w:tcW w:w="2334"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Warmtewisselaar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gridSpan w:val="4"/>
            <w:vAlign w:val="center"/>
          </w:tcPr>
          <w:p w:rsidR="00F43C9B" w:rsidRDefault="00F43C9B" w:rsidP="00F43C9B">
            <w:pPr>
              <w:pStyle w:val="Lijstalinea1"/>
              <w:shd w:val="clear" w:color="auto" w:fill="D9D9D9" w:themeFill="background1" w:themeFillShade="D9"/>
              <w:tabs>
                <w:tab w:val="left" w:pos="129"/>
              </w:tabs>
              <w:rPr>
                <w:rFonts w:asciiTheme="minorHAnsi" w:hAnsiTheme="minorHAnsi" w:cstheme="minorHAnsi"/>
                <w:sz w:val="18"/>
                <w:szCs w:val="18"/>
              </w:rPr>
            </w:pPr>
            <w:r w:rsidRPr="00D0146C">
              <w:rPr>
                <w:rFonts w:asciiTheme="minorHAnsi" w:hAnsiTheme="minorHAnsi" w:cstheme="minorHAnsi"/>
                <w:sz w:val="18"/>
                <w:szCs w:val="18"/>
              </w:rPr>
              <w:t>Warmteterugwinsysteem ontbreekt voor condensaat.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4655"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en b) Condensaat mag niet verontreinigd zijn.</w:t>
            </w:r>
          </w:p>
        </w:tc>
        <w:tc>
          <w:tcPr>
            <w:tcW w:w="2345"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gridSpan w:val="4"/>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Bedrijfstijd stoominstallatie is minimaal 500 uur per jaar.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gridSpan w:val="4"/>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 indien of stoomgebruiker (waarbij het condensaat verloren gaat) wordt gemodificeerd, of stoom- en condensaatleidingnet voor meer dan 50% wordt gewijzigd.</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[32] Warmte uit rookgassen stoomketel nuttig gebruiken.</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[33] Energiezuinig stoom maken door voorwarmen van verbrandingslucht voor ventilatorbrander.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gridSpan w:val="4"/>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r w:rsidRPr="00D0146C">
        <w:rPr>
          <w:rFonts w:cstheme="minorHAnsi"/>
          <w:sz w:val="18"/>
          <w:szCs w:val="18"/>
        </w:rPr>
        <w:br w:type="page"/>
      </w: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00"/>
        <w:gridCol w:w="2333"/>
        <w:gridCol w:w="2333"/>
        <w:gridCol w:w="2334"/>
      </w:tblGrid>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Activiteiten</w:t>
            </w:r>
          </w:p>
        </w:tc>
        <w:tc>
          <w:tcPr>
            <w:tcW w:w="7000" w:type="dxa"/>
            <w:gridSpan w:val="3"/>
            <w:shd w:val="clear" w:color="auto" w:fill="auto"/>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31</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Warmte uit rookgassen stoomketel nuttig gebruiken.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2333" w:type="dxa"/>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Economizer toepassen (bijvoorbeeld voor voorwarmen van voedingswater).</w:t>
            </w:r>
          </w:p>
        </w:tc>
        <w:tc>
          <w:tcPr>
            <w:tcW w:w="2333" w:type="dxa"/>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Rookgascondensor toepassen (bijvoorbeeld voor voorverwarmen van suppletiewater).</w:t>
            </w:r>
          </w:p>
        </w:tc>
        <w:tc>
          <w:tcPr>
            <w:tcW w:w="2334"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c) Luvo (luchtvoorverwarmer)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gridSpan w:val="3"/>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Warmteterugwinsysteem ontbreekt voor rookgassen.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gridSpan w:val="3"/>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Er is rondom stoomketel en in rookgaskanaal minimaal 2 meter vrije ruimte om een warmteterugwinsysteem in te bouwen.</w:t>
            </w:r>
          </w:p>
        </w:tc>
      </w:tr>
      <w:tr w:rsidR="00F43C9B" w:rsidRPr="00E15D20" w:rsidTr="00F43C9B">
        <w:trPr>
          <w:trHeight w:val="685"/>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gridSpan w:val="3"/>
            <w:vAlign w:val="center"/>
          </w:tcPr>
          <w:p w:rsidR="00F43C9B" w:rsidRDefault="00F43C9B" w:rsidP="00F43C9B">
            <w:pPr>
              <w:pStyle w:val="Lijstalinea2"/>
              <w:shd w:val="clear" w:color="auto" w:fill="D9D9D9" w:themeFill="background1" w:themeFillShade="D9"/>
              <w:rPr>
                <w:rFonts w:asciiTheme="minorHAnsi" w:hAnsiTheme="minorHAnsi" w:cstheme="minorHAnsi"/>
                <w:sz w:val="18"/>
                <w:szCs w:val="18"/>
              </w:rPr>
            </w:pPr>
            <w:r w:rsidRPr="00D0146C">
              <w:rPr>
                <w:rFonts w:asciiTheme="minorHAnsi" w:hAnsiTheme="minorHAnsi" w:cstheme="minorHAnsi"/>
                <w:sz w:val="18"/>
                <w:szCs w:val="18"/>
              </w:rPr>
              <w:t>Bedrijfstijd stoominstallatie is minimaal 500 uur per jaar.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Toepasbaar op een zelfstandig of natuurlijk </w:t>
            </w:r>
            <w:r>
              <w:rPr>
                <w:rFonts w:cstheme="minorHAnsi"/>
                <w:b/>
                <w:bCs/>
                <w:sz w:val="18"/>
                <w:szCs w:val="18"/>
              </w:rPr>
              <w:t>moment?</w:t>
            </w:r>
          </w:p>
        </w:tc>
        <w:tc>
          <w:tcPr>
            <w:tcW w:w="70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gridSpan w:val="3"/>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Activiteiten</w:t>
            </w:r>
          </w:p>
        </w:tc>
        <w:tc>
          <w:tcPr>
            <w:tcW w:w="7000" w:type="dxa"/>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32</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Omschrijving </w:t>
            </w:r>
            <w:r>
              <w:rPr>
                <w:rFonts w:cstheme="minorHAnsi"/>
                <w:b/>
                <w:bCs/>
                <w:sz w:val="18"/>
                <w:szCs w:val="18"/>
              </w:rPr>
              <w:t>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Energiezuinig stoom maken door voorwarmen van verbrandingslucht voor ventilatorbrander.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Verticale luchtkoker vanaf plafond ketelhuis tot nabij luchtaanzuigopening van brander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w:t>
            </w:r>
            <w:r>
              <w:rPr>
                <w:rFonts w:cstheme="minorHAnsi"/>
                <w:b/>
                <w:bCs/>
                <w:sz w:val="18"/>
                <w:szCs w:val="18"/>
              </w:rPr>
              <w:t>gangssituatie op basis van een referentietechniek</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Brander zuigt koudere lucht aan uit directe omgeving op een hoogte van minder dan 1 meter vanaf vloer.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Brander moet geschikt zijn voor hogere verbrandingsluchttemperatuur en geringe toename van luchtweerstand.</w:t>
            </w:r>
          </w:p>
        </w:tc>
      </w:tr>
      <w:tr w:rsidR="00F43C9B" w:rsidRPr="00E15D20" w:rsidTr="00F43C9B">
        <w:trPr>
          <w:trHeight w:val="858"/>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Bedrijfstijd stoominstallatie is minimaal 500 uur per jaar.</w:t>
            </w:r>
          </w:p>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Temperatuur nabij plafond is minimaal 10°C hoger dan temperatuur nabij brander.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[31]: Warmteterugwinning rookgassen stoomketel</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81"/>
        <w:gridCol w:w="3559"/>
        <w:gridCol w:w="3560"/>
      </w:tblGrid>
      <w:tr w:rsidR="00F43C9B" w:rsidRPr="00E15D20" w:rsidTr="00F43C9B">
        <w:tc>
          <w:tcPr>
            <w:tcW w:w="3781"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7119" w:type="dxa"/>
            <w:gridSpan w:val="2"/>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378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Nummer </w:t>
            </w:r>
            <w:r>
              <w:rPr>
                <w:rFonts w:cstheme="minorHAnsi"/>
                <w:b/>
                <w:bCs/>
                <w:sz w:val="18"/>
                <w:szCs w:val="18"/>
              </w:rPr>
              <w:t>maatregel</w:t>
            </w:r>
          </w:p>
        </w:tc>
        <w:tc>
          <w:tcPr>
            <w:tcW w:w="7119"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33</w:t>
            </w:r>
          </w:p>
        </w:tc>
      </w:tr>
      <w:tr w:rsidR="00F43C9B" w:rsidRPr="00E15D20" w:rsidTr="00F43C9B">
        <w:tc>
          <w:tcPr>
            <w:tcW w:w="378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119"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Luchtovermaat stoomketel beperken.</w:t>
            </w:r>
          </w:p>
        </w:tc>
      </w:tr>
      <w:tr w:rsidR="00F43C9B" w:rsidRPr="00E15D20" w:rsidTr="00F43C9B">
        <w:tc>
          <w:tcPr>
            <w:tcW w:w="378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355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Automatische regeling luchtovermaat op basis van temperatuurcorrectie toepassen.</w:t>
            </w:r>
          </w:p>
        </w:tc>
        <w:tc>
          <w:tcPr>
            <w:tcW w:w="356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Automatische regeling luchtovermaat op basis van zuurstofcorrectie toepassen.</w:t>
            </w:r>
          </w:p>
        </w:tc>
      </w:tr>
      <w:tr w:rsidR="00F43C9B" w:rsidRPr="00E15D20" w:rsidTr="00F43C9B">
        <w:tc>
          <w:tcPr>
            <w:tcW w:w="3781"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119"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Automatische regeling luchtovermaat ontbreekt.</w:t>
            </w:r>
          </w:p>
        </w:tc>
      </w:tr>
      <w:tr w:rsidR="00F43C9B" w:rsidRPr="00E15D20" w:rsidTr="00F43C9B">
        <w:tc>
          <w:tcPr>
            <w:tcW w:w="3781"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3559"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Gasgestookte stoomketel is aanwezig.</w:t>
            </w:r>
          </w:p>
        </w:tc>
        <w:tc>
          <w:tcPr>
            <w:tcW w:w="356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Stoomketel is aanwezig die wordt bijgestookt met biogas of een andere brandstof (niet zijnde aardgas).</w:t>
            </w:r>
          </w:p>
        </w:tc>
      </w:tr>
      <w:tr w:rsidR="00F43C9B" w:rsidRPr="00E15D20" w:rsidTr="00F43C9B">
        <w:tc>
          <w:tcPr>
            <w:tcW w:w="378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119"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971"/>
        </w:trPr>
        <w:tc>
          <w:tcPr>
            <w:tcW w:w="3781" w:type="dxa"/>
            <w:vMerge w:val="restart"/>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119" w:type="dxa"/>
            <w:gridSpan w:val="2"/>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bCs/>
                <w:sz w:val="18"/>
                <w:szCs w:val="18"/>
              </w:rPr>
              <w:t>Vermogen stoominstallatie (in MW) vermenigvuldigd met bedrijfstijd (in uur per jaar) is minimaal 1.500 (MW</w:t>
            </w:r>
            <w:r w:rsidRPr="00D0146C">
              <w:rPr>
                <w:rFonts w:asciiTheme="minorHAnsi" w:hAnsiTheme="minorHAnsi" w:cstheme="minorHAnsi"/>
                <w:bCs/>
                <w:sz w:val="18"/>
                <w:szCs w:val="18"/>
                <w:vertAlign w:val="subscript"/>
              </w:rPr>
              <w:t>thermisch</w:t>
            </w:r>
            <w:r w:rsidRPr="00D0146C">
              <w:rPr>
                <w:rFonts w:asciiTheme="minorHAnsi" w:hAnsiTheme="minorHAnsi" w:cstheme="minorHAnsi"/>
                <w:bCs/>
                <w:sz w:val="18"/>
                <w:szCs w:val="18"/>
              </w:rPr>
              <w:t>h per jaar).</w:t>
            </w:r>
          </w:p>
        </w:tc>
      </w:tr>
      <w:tr w:rsidR="00F43C9B" w:rsidRPr="00E15D20" w:rsidTr="00F43C9B">
        <w:trPr>
          <w:trHeight w:val="971"/>
        </w:trPr>
        <w:tc>
          <w:tcPr>
            <w:tcW w:w="3781" w:type="dxa"/>
            <w:vMerge/>
            <w:shd w:val="clear" w:color="auto" w:fill="B3B3B3"/>
            <w:vAlign w:val="center"/>
          </w:tcPr>
          <w:p w:rsidR="00F43C9B" w:rsidRDefault="00F43C9B" w:rsidP="00F43C9B">
            <w:pPr>
              <w:shd w:val="clear" w:color="auto" w:fill="D9D9D9" w:themeFill="background1" w:themeFillShade="D9"/>
              <w:rPr>
                <w:rFonts w:cstheme="minorHAnsi"/>
                <w:b/>
                <w:bCs/>
                <w:sz w:val="18"/>
                <w:szCs w:val="18"/>
              </w:rPr>
            </w:pPr>
          </w:p>
        </w:tc>
        <w:tc>
          <w:tcPr>
            <w:tcW w:w="3559"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a) Verbrandingsluchttemperatuur varieert met meer dan 35°C.</w:t>
            </w:r>
          </w:p>
        </w:tc>
        <w:tc>
          <w:tcPr>
            <w:tcW w:w="356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p>
        </w:tc>
      </w:tr>
      <w:tr w:rsidR="00F43C9B" w:rsidRPr="00E15D20" w:rsidTr="00F43C9B">
        <w:tc>
          <w:tcPr>
            <w:tcW w:w="378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119"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 indien bedrijfstijd stoominstallatie meer is dan 2.000 uur per jaar.</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78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Alternatieve erkende </w:t>
            </w:r>
            <w:r>
              <w:rPr>
                <w:rFonts w:cstheme="minorHAnsi"/>
                <w:b/>
                <w:bCs/>
                <w:sz w:val="18"/>
                <w:szCs w:val="18"/>
              </w:rPr>
              <w:t>maatregelen</w:t>
            </w:r>
          </w:p>
        </w:tc>
        <w:tc>
          <w:tcPr>
            <w:tcW w:w="7119"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781"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119" w:type="dxa"/>
            <w:gridSpan w:val="2"/>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7000" w:type="dxa"/>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In werking hebben van een stookinstallatie</w:t>
            </w:r>
            <w:r w:rsidRPr="00D0146C">
              <w:rPr>
                <w:rFonts w:cstheme="minorHAnsi"/>
                <w:sz w:val="18"/>
                <w:szCs w:val="18"/>
              </w:rPr>
              <w:t xml:space="preserve"> (emissies naar de lucht)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34</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Energiezuinige aardgasgestookte ventilatorbrander toepassen bij stoominstallatie.</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Brander met modulerende regeling op basis van druksensor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Brander met hoog/laagregeling is aanwezig.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w:t>
            </w:r>
            <w:r>
              <w:rPr>
                <w:rFonts w:cstheme="minorHAnsi"/>
                <w:b/>
                <w:bCs/>
                <w:sz w:val="18"/>
                <w:szCs w:val="18"/>
              </w:rPr>
              <w:t>oorwaarden</w:t>
            </w:r>
          </w:p>
        </w:tc>
        <w:tc>
          <w:tcPr>
            <w:tcW w:w="70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N.v.t.</w:t>
            </w:r>
          </w:p>
        </w:tc>
      </w:tr>
      <w:tr w:rsidR="00F43C9B" w:rsidRPr="00E15D20" w:rsidTr="00F43C9B">
        <w:trPr>
          <w:trHeight w:val="737"/>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Vermogen brander is meer dan 250 kW.</w:t>
            </w:r>
          </w:p>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Bedrijfstijd stoominstallatie is minimaal 500 uur per jaar.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7000" w:type="dxa"/>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Verwerken van rubber of thermoplastisch kunststof</w:t>
            </w:r>
          </w:p>
        </w:tc>
      </w:tr>
      <w:tr w:rsidR="00F43C9B" w:rsidRPr="00E15D20" w:rsidTr="00F43C9B">
        <w:trPr>
          <w:trHeight w:val="82"/>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35</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Luchtdebiet en luchttemperatuur in conventionele droger met elektrische verwarmde luchtcirculatie ten behoeve van drogen van grondstof voor spuitgieten of extrusie automatisch regelen.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Vochtsensor is aanwezig in de uitgaande drogerlucht.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Vochtsensor ontbreekt in de uitgaande drogerlucht.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397"/>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Bedrijfstijd droger is minimaal 2.500 uur per jaar.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Type maatregel</w:t>
            </w:r>
          </w:p>
        </w:tc>
        <w:tc>
          <w:tcPr>
            <w:tcW w:w="7000" w:type="dxa"/>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Faciliteiten</w:t>
            </w:r>
          </w:p>
        </w:tc>
      </w:tr>
      <w:tr w:rsidR="00F43C9B" w:rsidRPr="00E15D20" w:rsidTr="00F43C9B">
        <w:trPr>
          <w:trHeight w:val="124"/>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36</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Warme lucht van vacuümsysteem nuttig gebruiken voor ruimteverwarming van aangrenzende productieruimte of magazijn.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Luchtkanaal met ventilator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Uitgangssituatie op basis van een </w:t>
            </w:r>
            <w:r>
              <w:rPr>
                <w:rFonts w:cstheme="minorHAnsi"/>
                <w:b/>
                <w:bCs/>
                <w:sz w:val="18"/>
                <w:szCs w:val="18"/>
              </w:rPr>
              <w:t>referentietechniek</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Warmteterugwinsysteem ontbreekt voor vacuümsysteem.</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N.v.t.</w:t>
            </w:r>
          </w:p>
        </w:tc>
      </w:tr>
      <w:tr w:rsidR="00F43C9B" w:rsidRPr="00E15D20" w:rsidTr="00F43C9B">
        <w:trPr>
          <w:trHeight w:val="841"/>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Bedrijfstijd vacuüminstallatie is minimaal 250 uur per stookseizoen.</w:t>
            </w:r>
          </w:p>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Bouwtechnisch gezien moet er een directe verbinding mogelijk zijn tussen productieruimte of magazijn en vacuüminstallatie.</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br w:type="page"/>
      </w: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3500"/>
        <w:gridCol w:w="35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7000" w:type="dxa"/>
            <w:gridSpan w:val="2"/>
            <w:shd w:val="clear" w:color="auto" w:fill="auto"/>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In werking hebben van een koelinstallatie</w:t>
            </w:r>
          </w:p>
        </w:tc>
      </w:tr>
      <w:tr w:rsidR="00F43C9B" w:rsidRPr="00E15D20" w:rsidTr="00F43C9B">
        <w:trPr>
          <w:trHeight w:val="243"/>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gridSpan w:val="2"/>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37</w:t>
            </w:r>
          </w:p>
        </w:tc>
      </w:tr>
      <w:tr w:rsidR="00F43C9B" w:rsidRPr="00E15D20" w:rsidTr="00F43C9B">
        <w:trPr>
          <w:trHeight w:val="548"/>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gridSpan w:val="2"/>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 xml:space="preserve">Debiet </w:t>
            </w:r>
            <w:r w:rsidRPr="00D0146C">
              <w:rPr>
                <w:rFonts w:cstheme="minorHAnsi"/>
                <w:sz w:val="18"/>
                <w:szCs w:val="18"/>
              </w:rPr>
              <w:t xml:space="preserve">koelwaterpompen voor spuitgiet- en/of extrusieproces </w:t>
            </w:r>
            <w:r w:rsidRPr="00D0146C">
              <w:rPr>
                <w:rFonts w:cstheme="minorHAnsi"/>
                <w:bCs/>
                <w:sz w:val="18"/>
                <w:szCs w:val="18"/>
              </w:rPr>
              <w:t xml:space="preserve">automatisch regelen op basis van </w:t>
            </w:r>
            <w:r w:rsidRPr="00D0146C">
              <w:rPr>
                <w:rFonts w:cstheme="minorHAnsi"/>
                <w:sz w:val="18"/>
                <w:szCs w:val="18"/>
              </w:rPr>
              <w:t>koelwatertemperatuur.</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0"/>
        </w:trPr>
        <w:tc>
          <w:tcPr>
            <w:tcW w:w="3900" w:type="dxa"/>
            <w:tcBorders>
              <w:top w:val="single" w:sz="4" w:space="0" w:color="auto"/>
              <w:left w:val="single" w:sz="4" w:space="0" w:color="auto"/>
              <w:bottom w:val="single" w:sz="4" w:space="0" w:color="auto"/>
              <w:right w:val="single" w:sz="4" w:space="0" w:color="auto"/>
            </w:tcBorders>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Mogelijke technieken ten opzichte van </w:t>
            </w:r>
            <w:r>
              <w:rPr>
                <w:rFonts w:cstheme="minorHAnsi"/>
                <w:b/>
                <w:bCs/>
                <w:sz w:val="18"/>
                <w:szCs w:val="18"/>
              </w:rPr>
              <w:t>uitgangssituatie</w:t>
            </w:r>
          </w:p>
        </w:tc>
        <w:tc>
          <w:tcPr>
            <w:tcW w:w="3500" w:type="dxa"/>
            <w:tcBorders>
              <w:top w:val="single" w:sz="4" w:space="0" w:color="auto"/>
              <w:left w:val="single" w:sz="4" w:space="0" w:color="auto"/>
              <w:bottom w:val="single" w:sz="4" w:space="0" w:color="auto"/>
              <w:right w:val="single" w:sz="4" w:space="0" w:color="auto"/>
            </w:tcBorders>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Pompregeling op centrale pomp van koelwatervoorziening (veelal in ringleiding) én thermostaat op retourleiding toepassen.</w:t>
            </w:r>
          </w:p>
        </w:tc>
        <w:tc>
          <w:tcPr>
            <w:tcW w:w="3500" w:type="dxa"/>
            <w:tcBorders>
              <w:top w:val="single" w:sz="4" w:space="0" w:color="auto"/>
              <w:left w:val="single" w:sz="4" w:space="0" w:color="auto"/>
              <w:bottom w:val="single" w:sz="4" w:space="0" w:color="auto"/>
              <w:right w:val="single" w:sz="4" w:space="0" w:color="auto"/>
            </w:tcBorders>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Klep- of pompregeling én thermostaat op retourleiding toepassen per machine.</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trPr>
        <w:tc>
          <w:tcPr>
            <w:tcW w:w="3900" w:type="dxa"/>
            <w:vMerge w:val="restart"/>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w:t>
            </w:r>
            <w:r>
              <w:rPr>
                <w:rFonts w:cstheme="minorHAnsi"/>
                <w:b/>
                <w:bCs/>
                <w:sz w:val="18"/>
                <w:szCs w:val="18"/>
              </w:rPr>
              <w:t xml:space="preserve"> referentietechniek</w:t>
            </w:r>
          </w:p>
        </w:tc>
        <w:tc>
          <w:tcPr>
            <w:tcW w:w="7000" w:type="dxa"/>
            <w:gridSpan w:val="2"/>
            <w:tcBorders>
              <w:top w:val="single" w:sz="4" w:space="0" w:color="auto"/>
              <w:left w:val="single" w:sz="4" w:space="0" w:color="auto"/>
              <w:bottom w:val="single" w:sz="4" w:space="0" w:color="auto"/>
              <w:right w:val="single" w:sz="4" w:space="0" w:color="auto"/>
            </w:tcBorders>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Hoeveelheid koelwater wordt niet geregeld.</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trPr>
        <w:tc>
          <w:tcPr>
            <w:tcW w:w="3900" w:type="dxa"/>
            <w:vMerge/>
            <w:tcBorders>
              <w:top w:val="single" w:sz="4" w:space="0" w:color="auto"/>
              <w:left w:val="single" w:sz="4" w:space="0" w:color="auto"/>
              <w:bottom w:val="single" w:sz="4" w:space="0" w:color="auto"/>
              <w:right w:val="single" w:sz="4" w:space="0" w:color="auto"/>
            </w:tcBorders>
          </w:tcPr>
          <w:p w:rsidR="00F43C9B" w:rsidRDefault="00F43C9B" w:rsidP="00F43C9B">
            <w:pPr>
              <w:shd w:val="clear" w:color="auto" w:fill="D9D9D9" w:themeFill="background1" w:themeFillShade="D9"/>
              <w:rPr>
                <w:rFonts w:cstheme="minorHAnsi"/>
                <w:b/>
                <w:bCs/>
                <w:sz w:val="18"/>
                <w:szCs w:val="18"/>
              </w:rPr>
            </w:pPr>
          </w:p>
        </w:tc>
        <w:tc>
          <w:tcPr>
            <w:tcW w:w="3500" w:type="dxa"/>
            <w:tcBorders>
              <w:top w:val="single" w:sz="4" w:space="0" w:color="auto"/>
              <w:left w:val="single" w:sz="4" w:space="0" w:color="auto"/>
              <w:bottom w:val="single" w:sz="4" w:space="0" w:color="auto"/>
              <w:right w:val="single" w:sz="4" w:space="0" w:color="auto"/>
            </w:tcBorders>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Centraal koelsysteem is aanwezig.</w:t>
            </w:r>
          </w:p>
        </w:tc>
        <w:tc>
          <w:tcPr>
            <w:tcW w:w="3500" w:type="dxa"/>
            <w:tcBorders>
              <w:top w:val="single" w:sz="4" w:space="0" w:color="auto"/>
              <w:left w:val="single" w:sz="4" w:space="0" w:color="auto"/>
              <w:bottom w:val="single" w:sz="4" w:space="0" w:color="auto"/>
              <w:right w:val="single" w:sz="4" w:space="0" w:color="auto"/>
            </w:tcBorders>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Iedere machine heeft eigen koeling.</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3900"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gridSpan w:val="2"/>
            <w:tcBorders>
              <w:top w:val="single" w:sz="4" w:space="0" w:color="auto"/>
              <w:left w:val="single" w:sz="4" w:space="0" w:color="auto"/>
              <w:bottom w:val="single" w:sz="4" w:space="0" w:color="auto"/>
              <w:right w:val="single" w:sz="4" w:space="0" w:color="auto"/>
            </w:tcBorders>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Er is een gescheiden matrijs- en oliekoelsysteem.</w:t>
            </w:r>
          </w:p>
        </w:tc>
      </w:tr>
      <w:tr w:rsidR="00F43C9B" w:rsidRPr="00E15D20" w:rsidTr="00F43C9B">
        <w:trPr>
          <w:trHeight w:val="360"/>
        </w:trPr>
        <w:tc>
          <w:tcPr>
            <w:tcW w:w="3900" w:type="dxa"/>
            <w:vMerge w:val="restart"/>
            <w:tcBorders>
              <w:top w:val="single" w:sz="4" w:space="0" w:color="auto"/>
            </w:tcBorders>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gridSpan w:val="2"/>
            <w:tcBorders>
              <w:top w:val="single" w:sz="4" w:space="0" w:color="auto"/>
            </w:tcBorders>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Temperatuurverschil tussen aanvoer- en retourkoelwater is meer dan 5°C.</w:t>
            </w:r>
          </w:p>
        </w:tc>
      </w:tr>
      <w:tr w:rsidR="00F43C9B" w:rsidRPr="00E15D20" w:rsidTr="00F43C9B">
        <w:trPr>
          <w:trHeight w:val="360"/>
        </w:trPr>
        <w:tc>
          <w:tcPr>
            <w:tcW w:w="3900" w:type="dxa"/>
            <w:vMerge/>
            <w:shd w:val="clear" w:color="auto" w:fill="B3B3B3"/>
          </w:tcPr>
          <w:p w:rsidR="00F43C9B" w:rsidRDefault="00F43C9B" w:rsidP="00F43C9B">
            <w:pPr>
              <w:shd w:val="clear" w:color="auto" w:fill="D9D9D9" w:themeFill="background1" w:themeFillShade="D9"/>
              <w:rPr>
                <w:rFonts w:cstheme="minorHAnsi"/>
                <w:b/>
                <w:bCs/>
                <w:sz w:val="18"/>
                <w:szCs w:val="18"/>
              </w:rPr>
            </w:pPr>
          </w:p>
        </w:tc>
        <w:tc>
          <w:tcPr>
            <w:tcW w:w="3500" w:type="dxa"/>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a) Elektriciteitsverbruik van te koelen machines is meer dan 400.000 kWh per jaar.</w:t>
            </w:r>
          </w:p>
        </w:tc>
        <w:tc>
          <w:tcPr>
            <w:tcW w:w="3500" w:type="dxa"/>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 Elektriciteitsverbruik van te koelen machines is meer dan 1.500.000 kWh per jaar.</w:t>
            </w:r>
          </w:p>
        </w:tc>
      </w:tr>
      <w:tr w:rsidR="00F43C9B" w:rsidRPr="00E15D20" w:rsidTr="00F43C9B">
        <w:tc>
          <w:tcPr>
            <w:tcW w:w="39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w:t>
            </w:r>
            <w:r>
              <w:rPr>
                <w:rFonts w:cstheme="minorHAnsi"/>
                <w:b/>
                <w:bCs/>
                <w:sz w:val="18"/>
                <w:szCs w:val="18"/>
              </w:rPr>
              <w:t xml:space="preserve"> een zelfstandig of natuurlijk moment?</w:t>
            </w:r>
          </w:p>
        </w:tc>
        <w:tc>
          <w:tcPr>
            <w:tcW w:w="7000" w:type="dxa"/>
            <w:gridSpan w:val="2"/>
            <w:shd w:val="clear" w:color="auto" w:fill="auto"/>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gridSpan w:val="2"/>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 xml:space="preserve">[38] </w:t>
            </w:r>
            <w:r w:rsidRPr="00D0146C">
              <w:rPr>
                <w:rFonts w:cstheme="minorHAnsi"/>
                <w:bCs/>
                <w:sz w:val="18"/>
                <w:szCs w:val="18"/>
              </w:rPr>
              <w:t xml:space="preserve">Debiet </w:t>
            </w:r>
            <w:r w:rsidRPr="00D0146C">
              <w:rPr>
                <w:rFonts w:cstheme="minorHAnsi"/>
                <w:sz w:val="18"/>
                <w:szCs w:val="18"/>
              </w:rPr>
              <w:t xml:space="preserve">koelwaterpompen voor spuitgiet- en/of extrusieproces </w:t>
            </w:r>
            <w:r w:rsidRPr="00D0146C">
              <w:rPr>
                <w:rFonts w:cstheme="minorHAnsi"/>
                <w:bCs/>
                <w:sz w:val="18"/>
                <w:szCs w:val="18"/>
              </w:rPr>
              <w:t xml:space="preserve">automatisch regelen op basis van </w:t>
            </w:r>
            <w:r w:rsidRPr="00D0146C">
              <w:rPr>
                <w:rFonts w:cstheme="minorHAnsi"/>
                <w:sz w:val="18"/>
                <w:szCs w:val="18"/>
              </w:rPr>
              <w:t>koelwatertemperatuur.</w:t>
            </w:r>
          </w:p>
        </w:tc>
      </w:tr>
      <w:tr w:rsidR="00F43C9B" w:rsidRPr="00E15D20" w:rsidTr="00F43C9B">
        <w:tc>
          <w:tcPr>
            <w:tcW w:w="3900" w:type="dxa"/>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Bijzondere </w:t>
            </w:r>
            <w:r>
              <w:rPr>
                <w:rFonts w:cstheme="minorHAnsi"/>
                <w:b/>
                <w:bCs/>
                <w:sz w:val="18"/>
                <w:szCs w:val="18"/>
              </w:rPr>
              <w:t>omstandigheden</w:t>
            </w:r>
          </w:p>
        </w:tc>
        <w:tc>
          <w:tcPr>
            <w:tcW w:w="7000" w:type="dxa"/>
            <w:gridSpan w:val="2"/>
            <w:shd w:val="clear" w:color="auto" w:fill="auto"/>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p w:rsidR="00F43C9B" w:rsidRDefault="00F43C9B" w:rsidP="00F43C9B">
      <w:pPr>
        <w:shd w:val="clear" w:color="auto" w:fill="D9D9D9" w:themeFill="background1" w:themeFillShade="D9"/>
        <w:rPr>
          <w:rFonts w:cstheme="minorHAnsi"/>
          <w:sz w:val="18"/>
          <w:szCs w:val="18"/>
        </w:rPr>
      </w:pPr>
    </w:p>
    <w:p w:rsidR="00F43C9B" w:rsidRPr="00E15D20" w:rsidRDefault="00F43C9B" w:rsidP="00F43C9B">
      <w:pPr>
        <w:shd w:val="clear" w:color="auto" w:fill="D9D9D9" w:themeFill="background1" w:themeFillShade="D9"/>
        <w:rPr>
          <w:rFonts w:cstheme="minorHAnsi"/>
          <w:sz w:val="18"/>
          <w:szCs w:val="18"/>
        </w:rPr>
      </w:pPr>
      <w:r w:rsidRPr="00D0146C">
        <w:rPr>
          <w:rFonts w:cstheme="minorHAnsi"/>
          <w:sz w:val="18"/>
          <w:szCs w:val="18"/>
        </w:rPr>
        <w:br w:type="page"/>
      </w: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7000" w:type="dxa"/>
            <w:shd w:val="clear" w:color="auto" w:fill="auto"/>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In werking hebben van een koelinstallatie</w:t>
            </w:r>
          </w:p>
        </w:tc>
      </w:tr>
      <w:tr w:rsidR="00F43C9B" w:rsidRPr="00E15D20" w:rsidTr="00F43C9B">
        <w:trPr>
          <w:trHeight w:val="124"/>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38</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bCs/>
                <w:sz w:val="18"/>
                <w:szCs w:val="18"/>
              </w:rPr>
              <w:t xml:space="preserve">Debiet </w:t>
            </w:r>
            <w:r w:rsidRPr="00D0146C">
              <w:rPr>
                <w:rFonts w:cstheme="minorHAnsi"/>
                <w:sz w:val="18"/>
                <w:szCs w:val="18"/>
              </w:rPr>
              <w:t xml:space="preserve">koelwaterpompen voor spuitgiet- en/of extrusieproces </w:t>
            </w:r>
            <w:r w:rsidRPr="00D0146C">
              <w:rPr>
                <w:rFonts w:cstheme="minorHAnsi"/>
                <w:bCs/>
                <w:sz w:val="18"/>
                <w:szCs w:val="18"/>
              </w:rPr>
              <w:t xml:space="preserve">automatisch regelen op basis van </w:t>
            </w:r>
            <w:r w:rsidRPr="00D0146C">
              <w:rPr>
                <w:rFonts w:cstheme="minorHAnsi"/>
                <w:sz w:val="18"/>
                <w:szCs w:val="18"/>
              </w:rPr>
              <w:t>koelwatertemperatuur.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Frequentieregeling op koelwaterpomp toepassen.</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Ongeregelde koelwaterpomp met asynchrone motor is aanwezig in centraal koelwatersysteem.</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shd w:val="clear" w:color="auto" w:fill="auto"/>
            <w:vAlign w:val="center"/>
          </w:tcPr>
          <w:p w:rsidR="00F43C9B" w:rsidRDefault="00F43C9B" w:rsidP="00F43C9B">
            <w:pPr>
              <w:pStyle w:val="Lijstalinea2"/>
              <w:shd w:val="clear" w:color="auto" w:fill="D9D9D9" w:themeFill="background1" w:themeFillShade="D9"/>
              <w:tabs>
                <w:tab w:val="left" w:pos="345"/>
              </w:tabs>
              <w:ind w:left="0"/>
              <w:rPr>
                <w:rFonts w:asciiTheme="minorHAnsi" w:hAnsiTheme="minorHAnsi" w:cstheme="minorHAnsi"/>
                <w:sz w:val="18"/>
                <w:szCs w:val="18"/>
              </w:rPr>
            </w:pPr>
            <w:r w:rsidRPr="00D0146C">
              <w:rPr>
                <w:rFonts w:asciiTheme="minorHAnsi" w:hAnsiTheme="minorHAnsi" w:cstheme="minorHAnsi"/>
                <w:sz w:val="18"/>
                <w:szCs w:val="18"/>
              </w:rPr>
              <w:t>Regeling op temperatuurverschil of druk is mogelijk.</w:t>
            </w:r>
          </w:p>
        </w:tc>
      </w:tr>
      <w:tr w:rsidR="00F43C9B" w:rsidRPr="00E15D20" w:rsidTr="00F43C9B">
        <w:trPr>
          <w:trHeight w:val="435"/>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shd w:val="clear" w:color="auto" w:fill="auto"/>
            <w:vAlign w:val="center"/>
          </w:tcPr>
          <w:p w:rsidR="00F43C9B" w:rsidRDefault="00F43C9B" w:rsidP="00F43C9B">
            <w:pPr>
              <w:pStyle w:val="Lijstalinea2"/>
              <w:shd w:val="clear" w:color="auto" w:fill="D9D9D9" w:themeFill="background1" w:themeFillShade="D9"/>
              <w:tabs>
                <w:tab w:val="left" w:pos="345"/>
              </w:tabs>
              <w:ind w:left="0"/>
              <w:rPr>
                <w:rFonts w:asciiTheme="minorHAnsi" w:hAnsiTheme="minorHAnsi" w:cstheme="minorHAnsi"/>
                <w:sz w:val="18"/>
                <w:szCs w:val="18"/>
              </w:rPr>
            </w:pPr>
            <w:r w:rsidRPr="00D0146C">
              <w:rPr>
                <w:rFonts w:asciiTheme="minorHAnsi" w:hAnsiTheme="minorHAnsi" w:cstheme="minorHAnsi"/>
                <w:sz w:val="18"/>
                <w:szCs w:val="18"/>
              </w:rPr>
              <w:t>Bedrijfstijd koelwaterpomp is minimaal 2.500 uur per jaar.</w:t>
            </w:r>
          </w:p>
          <w:p w:rsidR="00F43C9B" w:rsidRDefault="00F43C9B" w:rsidP="00F43C9B">
            <w:pPr>
              <w:pStyle w:val="Lijstalinea2"/>
              <w:shd w:val="clear" w:color="auto" w:fill="D9D9D9" w:themeFill="background1" w:themeFillShade="D9"/>
              <w:tabs>
                <w:tab w:val="left" w:pos="345"/>
              </w:tabs>
              <w:ind w:left="0"/>
              <w:rPr>
                <w:rFonts w:asciiTheme="minorHAnsi" w:hAnsiTheme="minorHAnsi" w:cstheme="minorHAnsi"/>
                <w:sz w:val="18"/>
                <w:szCs w:val="18"/>
              </w:rPr>
            </w:pPr>
            <w:r w:rsidRPr="00D0146C">
              <w:rPr>
                <w:rFonts w:asciiTheme="minorHAnsi" w:hAnsiTheme="minorHAnsi" w:cstheme="minorHAnsi"/>
                <w:sz w:val="18"/>
                <w:szCs w:val="18"/>
              </w:rPr>
              <w:t>Er is een wisselende koelvraag.</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shd w:val="clear" w:color="auto" w:fill="auto"/>
            <w:vAlign w:val="center"/>
          </w:tcPr>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Zelfstandig moment: Nee.</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rPr>
          <w:trHeight w:val="434"/>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 xml:space="preserve">[37] </w:t>
            </w:r>
            <w:r w:rsidRPr="00D0146C">
              <w:rPr>
                <w:rFonts w:cstheme="minorHAnsi"/>
                <w:bCs/>
                <w:sz w:val="18"/>
                <w:szCs w:val="18"/>
              </w:rPr>
              <w:t xml:space="preserve">Debiet </w:t>
            </w:r>
            <w:r w:rsidRPr="00D0146C">
              <w:rPr>
                <w:rFonts w:cstheme="minorHAnsi"/>
                <w:sz w:val="18"/>
                <w:szCs w:val="18"/>
              </w:rPr>
              <w:t xml:space="preserve">koelwaterpompen voor spuitgiet- en/of extrusieproces </w:t>
            </w:r>
            <w:r w:rsidRPr="00D0146C">
              <w:rPr>
                <w:rFonts w:cstheme="minorHAnsi"/>
                <w:bCs/>
                <w:sz w:val="18"/>
                <w:szCs w:val="18"/>
              </w:rPr>
              <w:t xml:space="preserve">automatisch regelen op basis van </w:t>
            </w:r>
            <w:r w:rsidRPr="00D0146C">
              <w:rPr>
                <w:rFonts w:cstheme="minorHAnsi"/>
                <w:sz w:val="18"/>
                <w:szCs w:val="18"/>
              </w:rPr>
              <w:t>koelwatertemperatuur.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shd w:val="clear" w:color="auto" w:fill="auto"/>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sidRPr="00D0146C">
              <w:rPr>
                <w:rFonts w:cstheme="minorHAnsi"/>
                <w:sz w:val="18"/>
                <w:szCs w:val="18"/>
              </w:rPr>
              <w:br w:type="column"/>
            </w:r>
            <w:r>
              <w:rPr>
                <w:rFonts w:cstheme="minorHAnsi"/>
                <w:b/>
                <w:bCs/>
                <w:sz w:val="18"/>
                <w:szCs w:val="18"/>
              </w:rPr>
              <w:t>Activiteit</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Verwerken van rubber of thermoplastisch kunststof</w:t>
            </w:r>
          </w:p>
        </w:tc>
      </w:tr>
      <w:tr w:rsidR="00F43C9B" w:rsidRPr="00E15D20" w:rsidTr="00F43C9B">
        <w:trPr>
          <w:trHeight w:val="250"/>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39</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Energiegebruik spuitgietmachine minimaliseren door procesoptimalisatie.</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Energiemonitor toepassen bij spuitgietmachine die per processtap het energiegebruik meet. Vervolgens worden procesparameters van spuitgietmachine zodanig ingesteld, dat bij gelijkblijvende productkwaliteit de spuitgietmachine een minimaal energiegebruik heeft.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Energiemonitor bij spuitgietmachine ontbreekt.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rPr>
          <w:trHeight w:val="811"/>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shd w:val="clear" w:color="auto" w:fill="FFFFFF" w:themeFill="background1"/>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Vermogen spuitgietmachine is minimaal 50 kW.</w:t>
            </w:r>
          </w:p>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Bedrijfstijd spuitgietmachine is minimaal 3.000 uur per jaar.</w:t>
            </w:r>
          </w:p>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Maximale druk van spuitgietmachine is hoger dan benodigde druk voor sluiten van de matrijs.</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6495"/>
        <w:gridCol w:w="718"/>
      </w:tblGrid>
      <w:tr w:rsidR="00F43C9B" w:rsidRPr="00E15D20" w:rsidTr="00F43C9B">
        <w:trPr>
          <w:gridAfter w:val="1"/>
          <w:wAfter w:w="718" w:type="dxa"/>
        </w:trPr>
        <w:tc>
          <w:tcPr>
            <w:tcW w:w="3687"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6495" w:type="dxa"/>
            <w:shd w:val="clear" w:color="auto" w:fill="FFFFFF" w:themeFill="background1"/>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Wegen of mengen van rubbercompounds of het verwerken van rubber</w:t>
            </w:r>
          </w:p>
        </w:tc>
      </w:tr>
      <w:tr w:rsidR="00F43C9B" w:rsidRPr="00E15D20" w:rsidTr="00F43C9B">
        <w:trPr>
          <w:gridAfter w:val="1"/>
          <w:wAfter w:w="718" w:type="dxa"/>
          <w:trHeight w:val="70"/>
        </w:trPr>
        <w:tc>
          <w:tcPr>
            <w:tcW w:w="368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6495"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40</w:t>
            </w:r>
          </w:p>
        </w:tc>
      </w:tr>
      <w:tr w:rsidR="00F43C9B" w:rsidRPr="00E15D20" w:rsidTr="00F43C9B">
        <w:trPr>
          <w:gridAfter w:val="1"/>
          <w:wAfter w:w="718" w:type="dxa"/>
        </w:trPr>
        <w:tc>
          <w:tcPr>
            <w:tcW w:w="368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6495"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Warmteverlies vulkanisatie zoutbad beperken.</w:t>
            </w:r>
          </w:p>
        </w:tc>
      </w:tr>
      <w:tr w:rsidR="00F43C9B" w:rsidRPr="00E15D20" w:rsidTr="00F43C9B">
        <w:trPr>
          <w:gridAfter w:val="1"/>
          <w:wAfter w:w="718" w:type="dxa"/>
        </w:trPr>
        <w:tc>
          <w:tcPr>
            <w:tcW w:w="3687" w:type="dxa"/>
            <w:tcBorders>
              <w:bottom w:val="single" w:sz="4" w:space="0" w:color="auto"/>
            </w:tcBorders>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6495" w:type="dxa"/>
            <w:tcBorders>
              <w:bottom w:val="single" w:sz="4" w:space="0" w:color="auto"/>
            </w:tcBorders>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Isolatie afgewerkt met beplating toepassen (Rc is minimaal 5 m2K/W).</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18" w:type="dxa"/>
        </w:trPr>
        <w:tc>
          <w:tcPr>
            <w:tcW w:w="3687"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6495" w:type="dxa"/>
            <w:tcBorders>
              <w:top w:val="single" w:sz="4" w:space="0" w:color="auto"/>
              <w:left w:val="single" w:sz="4" w:space="0" w:color="auto"/>
              <w:bottom w:val="single" w:sz="4" w:space="0" w:color="auto"/>
              <w:right w:val="single" w:sz="4" w:space="0" w:color="auto"/>
            </w:tcBorders>
            <w:shd w:val="clear" w:color="auto" w:fill="FFFFFF" w:themeFill="background1"/>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Isolatie om zoutbad ontbreekt of is slecht.</w:t>
            </w:r>
          </w:p>
        </w:tc>
      </w:tr>
      <w:tr w:rsidR="00F43C9B" w:rsidRPr="00E15D20" w:rsidTr="00F43C9B">
        <w:trPr>
          <w:gridAfter w:val="1"/>
          <w:wAfter w:w="718" w:type="dxa"/>
        </w:trPr>
        <w:tc>
          <w:tcPr>
            <w:tcW w:w="368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6495"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Er moet voldoende ruimte blijven om te bewegen tussen en naast zoutbaden.</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Kies isolatiemateriaal geschikt voor temperaturen boven 150</w:t>
            </w:r>
            <w:r w:rsidRPr="00D0146C">
              <w:rPr>
                <w:rFonts w:cstheme="minorHAnsi"/>
                <w:sz w:val="18"/>
                <w:szCs w:val="18"/>
                <w:vertAlign w:val="superscript"/>
              </w:rPr>
              <w:t>o</w:t>
            </w:r>
            <w:r w:rsidRPr="00D0146C">
              <w:rPr>
                <w:rFonts w:cstheme="minorHAnsi"/>
                <w:sz w:val="18"/>
                <w:szCs w:val="18"/>
              </w:rPr>
              <w:t>C.</w:t>
            </w:r>
          </w:p>
        </w:tc>
      </w:tr>
      <w:tr w:rsidR="00F43C9B" w:rsidRPr="00E15D20" w:rsidTr="00F43C9B">
        <w:trPr>
          <w:gridAfter w:val="1"/>
          <w:wAfter w:w="718" w:type="dxa"/>
          <w:trHeight w:val="497"/>
        </w:trPr>
        <w:tc>
          <w:tcPr>
            <w:tcW w:w="3687" w:type="dxa"/>
            <w:tcBorders>
              <w:bottom w:val="single" w:sz="4" w:space="0" w:color="auto"/>
            </w:tcBorders>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6495" w:type="dxa"/>
            <w:tcBorders>
              <w:bottom w:val="single" w:sz="4" w:space="0" w:color="auto"/>
            </w:tcBorders>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18" w:type="dxa"/>
        </w:trPr>
        <w:tc>
          <w:tcPr>
            <w:tcW w:w="3687"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6495" w:type="dxa"/>
            <w:tcBorders>
              <w:top w:val="single" w:sz="4" w:space="0" w:color="auto"/>
              <w:left w:val="single" w:sz="4" w:space="0" w:color="auto"/>
              <w:bottom w:val="single" w:sz="4" w:space="0" w:color="auto"/>
              <w:right w:val="single" w:sz="4" w:space="0" w:color="auto"/>
            </w:tcBorders>
            <w:shd w:val="clear" w:color="auto" w:fill="FFFFFF" w:themeFill="background1"/>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68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213" w:type="dxa"/>
            <w:gridSpan w:val="2"/>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687"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213" w:type="dxa"/>
            <w:gridSpan w:val="2"/>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0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7000"/>
      </w:tblGrid>
      <w:tr w:rsidR="00F43C9B" w:rsidRPr="00E15D20" w:rsidTr="00F43C9B">
        <w:tc>
          <w:tcPr>
            <w:tcW w:w="3900"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Wegen of mengen van rubbercompounds of het verwerken van rubber</w:t>
            </w:r>
          </w:p>
        </w:tc>
      </w:tr>
      <w:tr w:rsidR="00F43C9B" w:rsidRPr="00E15D20" w:rsidTr="00F43C9B">
        <w:trPr>
          <w:trHeight w:val="128"/>
        </w:trPr>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41</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Warmteverlies van autoclaaf beperken.</w:t>
            </w:r>
          </w:p>
        </w:tc>
      </w:tr>
      <w:tr w:rsidR="00F43C9B" w:rsidRPr="00E15D20" w:rsidTr="00F43C9B">
        <w:tc>
          <w:tcPr>
            <w:tcW w:w="3900" w:type="dxa"/>
            <w:tcBorders>
              <w:bottom w:val="single" w:sz="4" w:space="0" w:color="auto"/>
            </w:tcBorders>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tcBorders>
              <w:bottom w:val="single" w:sz="4" w:space="0" w:color="auto"/>
            </w:tcBorders>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Isolatie afgewerkt met beplating of isolatiematrassen toepassen.</w:t>
            </w:r>
          </w:p>
        </w:tc>
      </w:tr>
      <w:tr w:rsidR="00F43C9B" w:rsidRPr="00E15D20" w:rsidTr="00F43C9B">
        <w:tc>
          <w:tcPr>
            <w:tcW w:w="3900" w:type="dxa"/>
            <w:tcBorders>
              <w:top w:val="single" w:sz="4" w:space="0" w:color="auto"/>
              <w:left w:val="single" w:sz="4" w:space="0" w:color="auto"/>
              <w:bottom w:val="single" w:sz="4" w:space="0" w:color="auto"/>
              <w:right w:val="single" w:sz="4" w:space="0" w:color="auto"/>
            </w:tcBorders>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tcBorders>
              <w:top w:val="single" w:sz="4" w:space="0" w:color="auto"/>
              <w:left w:val="single" w:sz="4" w:space="0" w:color="auto"/>
              <w:bottom w:val="single" w:sz="4" w:space="0" w:color="auto"/>
              <w:right w:val="single" w:sz="4" w:space="0" w:color="auto"/>
            </w:tcBorders>
            <w:shd w:val="clear" w:color="auto" w:fill="FFFFFF" w:themeFill="background1"/>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Isolatie om autoclaaf ontbreekt of is slecht.</w:t>
            </w:r>
          </w:p>
        </w:tc>
      </w:tr>
      <w:tr w:rsidR="00F43C9B" w:rsidRPr="00E15D20" w:rsidTr="00F43C9B">
        <w:tc>
          <w:tcPr>
            <w:tcW w:w="3900" w:type="dxa"/>
            <w:tcBorders>
              <w:top w:val="single" w:sz="4" w:space="0" w:color="auto"/>
            </w:tcBorders>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tcBorders>
              <w:top w:val="single" w:sz="4" w:space="0" w:color="auto"/>
            </w:tcBorders>
            <w:shd w:val="clear" w:color="auto" w:fill="FFFFFF" w:themeFill="background1"/>
            <w:vAlign w:val="center"/>
          </w:tcPr>
          <w:p w:rsidR="00F43C9B" w:rsidRDefault="00F43C9B" w:rsidP="00F43C9B">
            <w:pPr>
              <w:pStyle w:val="Lijstalinea2"/>
              <w:shd w:val="clear" w:color="auto" w:fill="D9D9D9" w:themeFill="background1" w:themeFillShade="D9"/>
              <w:tabs>
                <w:tab w:val="left" w:pos="345"/>
              </w:tabs>
              <w:ind w:left="0"/>
              <w:rPr>
                <w:rFonts w:asciiTheme="minorHAnsi" w:hAnsiTheme="minorHAnsi" w:cstheme="minorHAnsi"/>
                <w:sz w:val="18"/>
                <w:szCs w:val="18"/>
              </w:rPr>
            </w:pPr>
            <w:r w:rsidRPr="00D0146C">
              <w:rPr>
                <w:rFonts w:asciiTheme="minorHAnsi" w:hAnsiTheme="minorHAnsi" w:cstheme="minorHAnsi"/>
                <w:sz w:val="18"/>
                <w:szCs w:val="18"/>
              </w:rPr>
              <w:t>Er moet minimaal 75 cm vrij blijven rondom autoclaaf.</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900" w:type="dxa"/>
            <w:tcBorders>
              <w:top w:val="single" w:sz="4" w:space="0" w:color="auto"/>
              <w:left w:val="single" w:sz="4" w:space="0" w:color="auto"/>
              <w:bottom w:val="single" w:sz="4" w:space="0" w:color="auto"/>
              <w:right w:val="single" w:sz="4" w:space="0" w:color="auto"/>
            </w:tcBorders>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randvoorwaarden</w:t>
            </w:r>
          </w:p>
        </w:tc>
        <w:tc>
          <w:tcPr>
            <w:tcW w:w="7000" w:type="dxa"/>
            <w:tcBorders>
              <w:top w:val="single" w:sz="4" w:space="0" w:color="auto"/>
              <w:left w:val="single" w:sz="4" w:space="0" w:color="auto"/>
              <w:bottom w:val="single" w:sz="4" w:space="0" w:color="auto"/>
              <w:right w:val="single" w:sz="4" w:space="0" w:color="auto"/>
            </w:tcBorders>
            <w:shd w:val="clear" w:color="auto" w:fill="FFFFFF" w:themeFill="background1"/>
          </w:tcPr>
          <w:p w:rsidR="00F43C9B" w:rsidRDefault="00F43C9B" w:rsidP="00F43C9B">
            <w:pPr>
              <w:shd w:val="clear" w:color="auto" w:fill="D9D9D9" w:themeFill="background1" w:themeFillShade="D9"/>
              <w:rPr>
                <w:rFonts w:cstheme="minorHAnsi"/>
                <w:b/>
                <w:bCs/>
                <w:sz w:val="18"/>
                <w:szCs w:val="18"/>
              </w:rPr>
            </w:pPr>
            <w:r w:rsidRPr="00D0146C">
              <w:rPr>
                <w:rFonts w:cstheme="minorHAnsi"/>
                <w:bCs/>
                <w:sz w:val="18"/>
                <w:szCs w:val="18"/>
              </w:rPr>
              <w:t>Bedrijfstijd autoclaaf is minimaal 250 uur per jaar.</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Toepasbaar op een zelfstandig of natuurlijk moment?</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3900"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cstheme="minorHAnsi"/>
          <w:sz w:val="18"/>
          <w:szCs w:val="18"/>
        </w:rPr>
      </w:pPr>
    </w:p>
    <w:tbl>
      <w:tblPr>
        <w:tblW w:w="11015"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5"/>
        <w:gridCol w:w="7000"/>
      </w:tblGrid>
      <w:tr w:rsidR="00F43C9B" w:rsidRPr="00E15D20" w:rsidTr="00F43C9B">
        <w:tc>
          <w:tcPr>
            <w:tcW w:w="4015" w:type="dxa"/>
            <w:shd w:val="clear" w:color="auto" w:fill="B3B3B3"/>
            <w:vAlign w:val="center"/>
          </w:tcPr>
          <w:p w:rsidR="00F43C9B" w:rsidRDefault="00F43C9B" w:rsidP="00F43C9B">
            <w:pPr>
              <w:shd w:val="clear" w:color="auto" w:fill="D9D9D9" w:themeFill="background1" w:themeFillShade="D9"/>
              <w:rPr>
                <w:rFonts w:cstheme="minorHAnsi"/>
                <w:b/>
                <w:bCs/>
                <w:sz w:val="18"/>
                <w:szCs w:val="18"/>
              </w:rPr>
            </w:pPr>
            <w:r>
              <w:rPr>
                <w:rFonts w:cstheme="minorHAnsi"/>
                <w:b/>
                <w:bCs/>
                <w:sz w:val="18"/>
                <w:szCs w:val="18"/>
              </w:rPr>
              <w:t>Activiteit</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b/>
                <w:sz w:val="18"/>
                <w:szCs w:val="18"/>
              </w:rPr>
            </w:pPr>
            <w:r w:rsidRPr="00D0146C">
              <w:rPr>
                <w:rFonts w:cstheme="minorHAnsi"/>
                <w:b/>
                <w:sz w:val="18"/>
                <w:szCs w:val="18"/>
              </w:rPr>
              <w:t>Verwerken van rubber of thermoplastisch kunststof</w:t>
            </w:r>
          </w:p>
        </w:tc>
      </w:tr>
      <w:tr w:rsidR="00F43C9B" w:rsidRPr="00E15D20" w:rsidTr="00F43C9B">
        <w:trPr>
          <w:trHeight w:val="121"/>
        </w:trPr>
        <w:tc>
          <w:tcPr>
            <w:tcW w:w="4015"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Nummer maatregel</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42</w:t>
            </w:r>
          </w:p>
        </w:tc>
      </w:tr>
      <w:tr w:rsidR="00F43C9B" w:rsidRPr="00E15D20" w:rsidTr="00F43C9B">
        <w:tc>
          <w:tcPr>
            <w:tcW w:w="4015"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Omschrijving maatregel</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Warmte van folieblazen nuttig gebruiken voor ruimteverwarming van nabij gelegen productieruimte of magazijn.</w:t>
            </w:r>
          </w:p>
        </w:tc>
      </w:tr>
      <w:tr w:rsidR="00F43C9B" w:rsidRPr="00E15D20" w:rsidTr="00F43C9B">
        <w:tc>
          <w:tcPr>
            <w:tcW w:w="4015"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Mogelijke technieken ten opzichte van uitgangssituatie</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Luchtkanaal en ventilator toepassen.</w:t>
            </w:r>
          </w:p>
        </w:tc>
      </w:tr>
      <w:tr w:rsidR="00F43C9B" w:rsidRPr="00E15D20" w:rsidTr="00F43C9B">
        <w:tc>
          <w:tcPr>
            <w:tcW w:w="4015"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Uitgangssituatie op basis van een referentietechniek</w:t>
            </w:r>
          </w:p>
        </w:tc>
        <w:tc>
          <w:tcPr>
            <w:tcW w:w="7000" w:type="dxa"/>
            <w:shd w:val="clear" w:color="auto" w:fill="FFFFFF" w:themeFill="background1"/>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Warme lucht van folieblazen wordt naar buiten afgevoerd.</w:t>
            </w:r>
          </w:p>
        </w:tc>
      </w:tr>
      <w:tr w:rsidR="00F43C9B" w:rsidRPr="00E15D20" w:rsidTr="00F43C9B">
        <w:tc>
          <w:tcPr>
            <w:tcW w:w="4015"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Technische randvoorwaarden</w:t>
            </w:r>
          </w:p>
        </w:tc>
        <w:tc>
          <w:tcPr>
            <w:tcW w:w="7000" w:type="dxa"/>
            <w:shd w:val="clear" w:color="auto" w:fill="FFFFFF" w:themeFill="background1"/>
            <w:vAlign w:val="center"/>
          </w:tcPr>
          <w:p w:rsidR="00F43C9B" w:rsidRDefault="00F43C9B" w:rsidP="00F43C9B">
            <w:pPr>
              <w:pStyle w:val="Lijstalinea2"/>
              <w:shd w:val="clear" w:color="auto" w:fill="D9D9D9" w:themeFill="background1" w:themeFillShade="D9"/>
              <w:ind w:left="0"/>
              <w:rPr>
                <w:rFonts w:asciiTheme="minorHAnsi" w:hAnsiTheme="minorHAnsi" w:cstheme="minorHAnsi"/>
                <w:sz w:val="18"/>
                <w:szCs w:val="18"/>
              </w:rPr>
            </w:pPr>
            <w:r w:rsidRPr="00D0146C">
              <w:rPr>
                <w:rFonts w:asciiTheme="minorHAnsi" w:hAnsiTheme="minorHAnsi" w:cstheme="minorHAnsi"/>
                <w:sz w:val="18"/>
                <w:szCs w:val="18"/>
              </w:rPr>
              <w:t>Er mogen geen geurafgevende additieven (bijv. styreen of acryl) worden gebruikt.</w:t>
            </w:r>
          </w:p>
        </w:tc>
      </w:tr>
      <w:tr w:rsidR="00F43C9B" w:rsidRPr="00E15D20" w:rsidTr="00F4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
        </w:trPr>
        <w:tc>
          <w:tcPr>
            <w:tcW w:w="4015" w:type="dxa"/>
            <w:tcBorders>
              <w:top w:val="single" w:sz="4" w:space="0" w:color="auto"/>
              <w:left w:val="single" w:sz="4" w:space="0" w:color="auto"/>
              <w:bottom w:val="single" w:sz="4" w:space="0" w:color="auto"/>
              <w:right w:val="single" w:sz="4" w:space="0" w:color="auto"/>
            </w:tcBorders>
            <w:shd w:val="clear" w:color="auto" w:fill="B3B3B3"/>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Economische r</w:t>
            </w:r>
            <w:r>
              <w:rPr>
                <w:rFonts w:cstheme="minorHAnsi"/>
                <w:b/>
                <w:bCs/>
                <w:sz w:val="18"/>
                <w:szCs w:val="18"/>
              </w:rPr>
              <w:t>andvoorwaarden</w:t>
            </w:r>
          </w:p>
        </w:tc>
        <w:tc>
          <w:tcPr>
            <w:tcW w:w="7000" w:type="dxa"/>
            <w:tcBorders>
              <w:top w:val="single" w:sz="4" w:space="0" w:color="auto"/>
              <w:left w:val="single" w:sz="4" w:space="0" w:color="auto"/>
              <w:bottom w:val="single" w:sz="4" w:space="0" w:color="auto"/>
              <w:right w:val="single" w:sz="4" w:space="0" w:color="auto"/>
            </w:tcBorders>
            <w:shd w:val="clear" w:color="auto" w:fill="FFFFFF" w:themeFill="background1"/>
          </w:tcPr>
          <w:p w:rsidR="00F43C9B" w:rsidRDefault="00F43C9B" w:rsidP="00F43C9B">
            <w:pPr>
              <w:shd w:val="clear" w:color="auto" w:fill="D9D9D9" w:themeFill="background1" w:themeFillShade="D9"/>
              <w:rPr>
                <w:rFonts w:cstheme="minorHAnsi"/>
                <w:bCs/>
                <w:sz w:val="18"/>
                <w:szCs w:val="18"/>
              </w:rPr>
            </w:pPr>
            <w:r w:rsidRPr="00D0146C">
              <w:rPr>
                <w:rFonts w:cstheme="minorHAnsi"/>
                <w:bCs/>
                <w:sz w:val="18"/>
                <w:szCs w:val="18"/>
              </w:rPr>
              <w:t xml:space="preserve">Afstand extrusiehal (folieblazen) tot </w:t>
            </w:r>
            <w:r w:rsidRPr="00D0146C">
              <w:rPr>
                <w:rFonts w:cstheme="minorHAnsi"/>
                <w:sz w:val="18"/>
                <w:szCs w:val="18"/>
              </w:rPr>
              <w:t>productieruimte of magazijn</w:t>
            </w:r>
            <w:r w:rsidRPr="00D0146C">
              <w:rPr>
                <w:rFonts w:cstheme="minorHAnsi"/>
                <w:bCs/>
                <w:sz w:val="18"/>
                <w:szCs w:val="18"/>
              </w:rPr>
              <w:t xml:space="preserve"> is minder dan 50 meter.</w:t>
            </w:r>
          </w:p>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Bouwtechnisch gezien moet er een directe verbinding mogelijk zijn tussen productieruimte of magazijn en extrusiehal (folieblazen).</w:t>
            </w:r>
          </w:p>
        </w:tc>
      </w:tr>
      <w:tr w:rsidR="00F43C9B" w:rsidRPr="00E15D20" w:rsidTr="00F43C9B">
        <w:tc>
          <w:tcPr>
            <w:tcW w:w="4015"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 xml:space="preserve">Toepasbaar op een </w:t>
            </w:r>
            <w:r>
              <w:rPr>
                <w:rFonts w:cstheme="minorHAnsi"/>
                <w:b/>
                <w:bCs/>
                <w:sz w:val="18"/>
                <w:szCs w:val="18"/>
              </w:rPr>
              <w:t>zelfstandig of natuurlijk moment?</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Zelfstandig moment: Ja.</w:t>
            </w:r>
          </w:p>
          <w:p w:rsidR="00F43C9B" w:rsidRDefault="00F43C9B" w:rsidP="00F43C9B">
            <w:pPr>
              <w:shd w:val="clear" w:color="auto" w:fill="D9D9D9" w:themeFill="background1" w:themeFillShade="D9"/>
              <w:tabs>
                <w:tab w:val="left" w:pos="252"/>
              </w:tabs>
              <w:rPr>
                <w:rFonts w:cstheme="minorHAnsi"/>
                <w:sz w:val="18"/>
                <w:szCs w:val="18"/>
              </w:rPr>
            </w:pPr>
            <w:r w:rsidRPr="00D0146C">
              <w:rPr>
                <w:rFonts w:cstheme="minorHAnsi"/>
                <w:sz w:val="18"/>
                <w:szCs w:val="18"/>
              </w:rPr>
              <w:t>Natuurlijk moment: Ja.</w:t>
            </w:r>
          </w:p>
        </w:tc>
      </w:tr>
      <w:tr w:rsidR="00F43C9B" w:rsidRPr="00E15D20" w:rsidTr="00F43C9B">
        <w:tc>
          <w:tcPr>
            <w:tcW w:w="4015"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Alternatieve erkende maatregelen</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r w:rsidR="00F43C9B" w:rsidRPr="00E15D20" w:rsidTr="00F43C9B">
        <w:tc>
          <w:tcPr>
            <w:tcW w:w="4015" w:type="dxa"/>
            <w:shd w:val="clear" w:color="auto" w:fill="B3B3B3"/>
            <w:vAlign w:val="center"/>
          </w:tcPr>
          <w:p w:rsidR="00F43C9B" w:rsidRPr="00E15D20" w:rsidRDefault="00F43C9B" w:rsidP="00F43C9B">
            <w:pPr>
              <w:shd w:val="clear" w:color="auto" w:fill="D9D9D9" w:themeFill="background1" w:themeFillShade="D9"/>
              <w:rPr>
                <w:rFonts w:cstheme="minorHAnsi"/>
                <w:b/>
                <w:bCs/>
                <w:sz w:val="18"/>
                <w:szCs w:val="18"/>
              </w:rPr>
            </w:pPr>
            <w:r w:rsidRPr="00E15D20">
              <w:rPr>
                <w:rFonts w:cstheme="minorHAnsi"/>
                <w:b/>
                <w:bCs/>
                <w:sz w:val="18"/>
                <w:szCs w:val="18"/>
              </w:rPr>
              <w:t>Bijzondere omstandigheden</w:t>
            </w:r>
          </w:p>
        </w:tc>
        <w:tc>
          <w:tcPr>
            <w:tcW w:w="7000" w:type="dxa"/>
            <w:shd w:val="clear" w:color="auto" w:fill="FFFFFF" w:themeFill="background1"/>
            <w:vAlign w:val="center"/>
          </w:tcPr>
          <w:p w:rsidR="00F43C9B" w:rsidRDefault="00F43C9B" w:rsidP="00F43C9B">
            <w:pPr>
              <w:shd w:val="clear" w:color="auto" w:fill="D9D9D9" w:themeFill="background1" w:themeFillShade="D9"/>
              <w:rPr>
                <w:rFonts w:cstheme="minorHAnsi"/>
                <w:sz w:val="18"/>
                <w:szCs w:val="18"/>
              </w:rPr>
            </w:pPr>
            <w:r w:rsidRPr="00D0146C">
              <w:rPr>
                <w:rFonts w:cstheme="minorHAnsi"/>
                <w:sz w:val="18"/>
                <w:szCs w:val="18"/>
              </w:rPr>
              <w:t>N.v.t.</w:t>
            </w:r>
          </w:p>
        </w:tc>
      </w:tr>
    </w:tbl>
    <w:p w:rsidR="00F43C9B" w:rsidRPr="00E15D20" w:rsidRDefault="00F43C9B" w:rsidP="00F43C9B">
      <w:pPr>
        <w:shd w:val="clear" w:color="auto" w:fill="D9D9D9" w:themeFill="background1" w:themeFillShade="D9"/>
        <w:rPr>
          <w:rFonts w:ascii="Verdana" w:hAnsi="Verdana"/>
          <w:sz w:val="18"/>
          <w:szCs w:val="18"/>
        </w:rPr>
      </w:pPr>
    </w:p>
    <w:p w:rsidR="00F12FCD" w:rsidRPr="00F12FCD" w:rsidRDefault="00F12FCD" w:rsidP="00F12FCD">
      <w:pPr>
        <w:shd w:val="clear" w:color="auto" w:fill="D9D9D9" w:themeFill="background1" w:themeFillShade="D9"/>
        <w:rPr>
          <w:rFonts w:ascii="Verdana" w:hAnsi="Verdana"/>
          <w:b/>
          <w:sz w:val="18"/>
          <w:szCs w:val="18"/>
        </w:rPr>
      </w:pPr>
      <w:bookmarkStart w:id="660" w:name="Bijlage11AR"/>
      <w:r w:rsidRPr="00F12FCD">
        <w:rPr>
          <w:rFonts w:ascii="Verdana" w:hAnsi="Verdana"/>
          <w:b/>
          <w:sz w:val="18"/>
          <w:szCs w:val="18"/>
        </w:rPr>
        <w:t xml:space="preserve">Bijlage 11 </w:t>
      </w:r>
    </w:p>
    <w:bookmarkEnd w:id="660"/>
    <w:p w:rsidR="00F12FCD" w:rsidRPr="00F12FCD" w:rsidRDefault="00F12FCD" w:rsidP="00F12FCD">
      <w:pPr>
        <w:shd w:val="clear" w:color="auto" w:fill="D9D9D9" w:themeFill="background1" w:themeFillShade="D9"/>
        <w:rPr>
          <w:rFonts w:ascii="Verdana" w:hAnsi="Verdana"/>
          <w:b/>
          <w:sz w:val="18"/>
          <w:szCs w:val="18"/>
        </w:rPr>
      </w:pPr>
      <w:r w:rsidRPr="00F12FCD">
        <w:rPr>
          <w:rFonts w:ascii="Verdana" w:hAnsi="Verdana"/>
          <w:b/>
          <w:sz w:val="18"/>
          <w:szCs w:val="18"/>
        </w:rPr>
        <w:t>Categorieën van afvalstoffen</w:t>
      </w:r>
    </w:p>
    <w:p w:rsidR="00F12FCD" w:rsidRPr="00F12FCD" w:rsidRDefault="00F12FCD" w:rsidP="00F12FCD">
      <w:pPr>
        <w:shd w:val="clear" w:color="auto" w:fill="D9D9D9" w:themeFill="background1" w:themeFillShade="D9"/>
        <w:rPr>
          <w:rFonts w:ascii="Verdana" w:hAnsi="Verdana"/>
          <w:sz w:val="18"/>
          <w:szCs w:val="18"/>
        </w:rPr>
      </w:pP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961"/>
        <w:gridCol w:w="6239"/>
      </w:tblGrid>
      <w:tr w:rsidR="00F12FCD" w:rsidRPr="00F12FCD" w:rsidTr="004F2B59">
        <w:trPr>
          <w:cantSplit/>
          <w:tblHeader/>
        </w:trPr>
        <w:tc>
          <w:tcPr>
            <w:tcW w:w="1071" w:type="dxa"/>
            <w:tcBorders>
              <w:top w:val="single" w:sz="4" w:space="0" w:color="auto"/>
              <w:left w:val="single" w:sz="4" w:space="0" w:color="auto"/>
              <w:right w:val="nil"/>
            </w:tcBorders>
            <w:shd w:val="clear" w:color="auto" w:fill="FFFF99"/>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b/>
                <w:bCs/>
                <w:sz w:val="18"/>
                <w:szCs w:val="18"/>
              </w:rPr>
              <w:t xml:space="preserve">TABEL 1 </w:t>
            </w:r>
          </w:p>
        </w:tc>
        <w:tc>
          <w:tcPr>
            <w:tcW w:w="840" w:type="dxa"/>
            <w:tcBorders>
              <w:top w:val="single" w:sz="4" w:space="0" w:color="auto"/>
              <w:left w:val="nil"/>
              <w:right w:val="nil"/>
            </w:tcBorders>
            <w:shd w:val="clear" w:color="auto" w:fill="FFFF99"/>
          </w:tcPr>
          <w:p w:rsidR="00F12FCD" w:rsidRPr="00F12FCD" w:rsidRDefault="00F12FCD" w:rsidP="00F12FCD">
            <w:pPr>
              <w:keepNext/>
              <w:shd w:val="clear" w:color="auto" w:fill="D9D9D9" w:themeFill="background1" w:themeFillShade="D9"/>
              <w:rPr>
                <w:rFonts w:ascii="Verdana" w:hAnsi="Verdana"/>
                <w:sz w:val="18"/>
                <w:szCs w:val="18"/>
              </w:rPr>
            </w:pPr>
          </w:p>
        </w:tc>
        <w:tc>
          <w:tcPr>
            <w:tcW w:w="6453" w:type="dxa"/>
            <w:tcBorders>
              <w:top w:val="single" w:sz="4" w:space="0" w:color="auto"/>
              <w:left w:val="nil"/>
              <w:right w:val="nil"/>
            </w:tcBorders>
            <w:shd w:val="clear" w:color="auto" w:fill="FFFF99"/>
          </w:tcPr>
          <w:p w:rsidR="00F12FCD" w:rsidRPr="00F12FCD" w:rsidRDefault="00F12FCD" w:rsidP="00F12FCD">
            <w:pPr>
              <w:keepNext/>
              <w:shd w:val="clear" w:color="auto" w:fill="D9D9D9" w:themeFill="background1" w:themeFillShade="D9"/>
              <w:rPr>
                <w:rFonts w:ascii="Verdana" w:hAnsi="Verdana"/>
                <w:sz w:val="18"/>
                <w:szCs w:val="18"/>
              </w:rPr>
            </w:pPr>
          </w:p>
        </w:tc>
      </w:tr>
      <w:tr w:rsidR="00F12FCD" w:rsidRPr="00F12FCD" w:rsidTr="004F2B59">
        <w:trPr>
          <w:cantSplit/>
          <w:tblHeader/>
        </w:trPr>
        <w:tc>
          <w:tcPr>
            <w:tcW w:w="1071" w:type="dxa"/>
            <w:shd w:val="clear" w:color="auto" w:fill="FFFF99"/>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b/>
                <w:bCs/>
                <w:sz w:val="18"/>
                <w:szCs w:val="18"/>
              </w:rPr>
              <w:t>categorie</w:t>
            </w:r>
          </w:p>
        </w:tc>
        <w:tc>
          <w:tcPr>
            <w:tcW w:w="840" w:type="dxa"/>
            <w:shd w:val="clear" w:color="auto" w:fill="FFFF99"/>
          </w:tcPr>
          <w:p w:rsidR="00F12FCD" w:rsidRPr="00F12FCD" w:rsidRDefault="00F12FCD" w:rsidP="00F12FCD">
            <w:pPr>
              <w:keepNext/>
              <w:shd w:val="clear" w:color="auto" w:fill="D9D9D9" w:themeFill="background1" w:themeFillShade="D9"/>
              <w:rPr>
                <w:rFonts w:ascii="Verdana" w:hAnsi="Verdana"/>
                <w:sz w:val="18"/>
                <w:szCs w:val="18"/>
              </w:rPr>
            </w:pPr>
            <w:r w:rsidRPr="00F12FCD">
              <w:rPr>
                <w:rFonts w:ascii="Verdana" w:hAnsi="Verdana"/>
                <w:b/>
                <w:bCs/>
                <w:sz w:val="18"/>
                <w:szCs w:val="18"/>
              </w:rPr>
              <w:t>ga/nga [1]</w:t>
            </w:r>
          </w:p>
        </w:tc>
        <w:tc>
          <w:tcPr>
            <w:tcW w:w="6453" w:type="dxa"/>
            <w:shd w:val="clear" w:color="auto" w:fill="FFFF99"/>
          </w:tcPr>
          <w:p w:rsidR="00F12FCD" w:rsidRPr="00F12FCD" w:rsidRDefault="00F12FCD" w:rsidP="00F12FCD">
            <w:pPr>
              <w:keepNext/>
              <w:shd w:val="clear" w:color="auto" w:fill="D9D9D9" w:themeFill="background1" w:themeFillShade="D9"/>
              <w:rPr>
                <w:rFonts w:ascii="Verdana" w:hAnsi="Verdana"/>
                <w:b/>
                <w:bCs/>
                <w:sz w:val="18"/>
                <w:szCs w:val="18"/>
              </w:rPr>
            </w:pPr>
            <w:r w:rsidRPr="00F12FCD">
              <w:rPr>
                <w:rFonts w:ascii="Verdana" w:hAnsi="Verdana"/>
                <w:b/>
                <w:bCs/>
                <w:sz w:val="18"/>
                <w:szCs w:val="18"/>
              </w:rPr>
              <w:t>beschrijving</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autowrakken die vloeistoffen, gevaarlijke stoffen of gevaarlijke onderdelen bevatten </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autowrakken die geen vloeistoffen, gevaarlijke stoffen of gevaarlijke onderdelen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tanks voor vloeibaar gas (LPG-tanks)</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opgegraven ondergrondse tanks</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brandblussers groter dan 1 kilogram die gevaarlijke stoffen bevatten en met gassen gevulde gasflessen en overige drukhouders die gevaarlijke stoffen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brandblussers groter dan 1 kilogram die geen gevaarlijke stoffen bevatten en met gassen gevulde gasflessen en overige drukhouders die geen gevaarlijke stoffen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papier- en kunststofgeïsoleerde kabels en restanten die gevaarlijke stoffen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papier- en kunststofgeïsoleerde kabels en restanten die geen gevaarlijke stoffen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8</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groenafval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9</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gescheiden ingezameld groente-, fruit- en tuinafval van huishoudens (gft-afval) en daarmee naar aard en samenstelling vergelijkbaar bij handel, diensten en overheden en veilingen gescheiden ingezameld organisch bedrijfsafval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10</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afval dat vrijkomt bij het vegen van openbare straten, terreinen, stranden en het legen van openbare afvalbakken (veegafval)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11</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afval dat vrijkomt bij het reinigen van riolen, kolken en gemalen (RKG-slib)</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12</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slib dat vrijkomt bij de biologische zuivering van afvalwater uit de voedings- en genotmiddelenindustrie</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13</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reststoffen van drinkwaterbereiding die</w:t>
            </w:r>
          </w:p>
          <w:p w:rsidR="00F12FCD" w:rsidRPr="00F12FCD" w:rsidRDefault="00F12FCD" w:rsidP="00F12FCD">
            <w:pPr>
              <w:widowControl w:val="0"/>
              <w:shd w:val="clear" w:color="auto" w:fill="D9D9D9" w:themeFill="background1" w:themeFillShade="D9"/>
              <w:ind w:left="227" w:hanging="227"/>
              <w:rPr>
                <w:rFonts w:ascii="Verdana" w:hAnsi="Verdana"/>
                <w:sz w:val="18"/>
                <w:szCs w:val="18"/>
              </w:rPr>
            </w:pPr>
            <w:r w:rsidRPr="00F12FCD">
              <w:rPr>
                <w:rFonts w:ascii="Verdana" w:hAnsi="Verdana"/>
                <w:sz w:val="18"/>
                <w:szCs w:val="18"/>
              </w:rPr>
              <w:t>-</w:t>
            </w:r>
            <w:r w:rsidRPr="00F12FCD">
              <w:rPr>
                <w:rFonts w:ascii="Verdana" w:hAnsi="Verdana"/>
                <w:sz w:val="18"/>
                <w:szCs w:val="18"/>
              </w:rPr>
              <w:tab/>
              <w:t>geschikt zijn voor gebruik als hulpstof bij de productie van meststoffen of in een rioolwaterzuivering en/of</w:t>
            </w:r>
          </w:p>
          <w:p w:rsidR="00F12FCD" w:rsidRPr="00F12FCD" w:rsidRDefault="00F12FCD" w:rsidP="00F12FCD">
            <w:pPr>
              <w:widowControl w:val="0"/>
              <w:shd w:val="clear" w:color="auto" w:fill="D9D9D9" w:themeFill="background1" w:themeFillShade="D9"/>
              <w:ind w:left="227" w:hanging="227"/>
              <w:rPr>
                <w:rFonts w:ascii="Verdana" w:hAnsi="Verdana"/>
                <w:sz w:val="18"/>
                <w:szCs w:val="18"/>
              </w:rPr>
            </w:pPr>
            <w:r w:rsidRPr="00F12FCD">
              <w:rPr>
                <w:rFonts w:ascii="Verdana" w:hAnsi="Verdana"/>
                <w:sz w:val="18"/>
                <w:szCs w:val="18"/>
              </w:rPr>
              <w:t>-</w:t>
            </w:r>
            <w:r w:rsidRPr="00F12FCD">
              <w:rPr>
                <w:rFonts w:ascii="Verdana" w:hAnsi="Verdana"/>
                <w:sz w:val="18"/>
                <w:szCs w:val="18"/>
              </w:rPr>
              <w:tab/>
              <w:t>geschikt zijn voor toepassing als bouwstof binnen de randvoorwaarden van het besluit Bodemkwaliteit, en/of</w:t>
            </w:r>
          </w:p>
          <w:p w:rsidR="00F12FCD" w:rsidRPr="00F12FCD" w:rsidRDefault="00F12FCD" w:rsidP="00F12FCD">
            <w:pPr>
              <w:widowControl w:val="0"/>
              <w:shd w:val="clear" w:color="auto" w:fill="D9D9D9" w:themeFill="background1" w:themeFillShade="D9"/>
              <w:ind w:left="227" w:hanging="227"/>
              <w:rPr>
                <w:rFonts w:ascii="Verdana" w:hAnsi="Verdana"/>
                <w:sz w:val="18"/>
                <w:szCs w:val="18"/>
              </w:rPr>
            </w:pPr>
            <w:r w:rsidRPr="00F12FCD">
              <w:rPr>
                <w:rFonts w:ascii="Verdana" w:hAnsi="Verdana"/>
                <w:sz w:val="18"/>
                <w:szCs w:val="18"/>
              </w:rPr>
              <w:t>-</w:t>
            </w:r>
            <w:r w:rsidRPr="00F12FCD">
              <w:rPr>
                <w:rFonts w:ascii="Verdana" w:hAnsi="Verdana"/>
                <w:sz w:val="18"/>
                <w:szCs w:val="18"/>
              </w:rPr>
              <w:tab/>
              <w:t xml:space="preserve">waarvan het gehalte aan arseen gelijk of minder is dan 500 mg/kg droge stof en die binnen geldende wet- en regelgeving geschikt zijn voor andere vormen van recycling, </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14</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 en b- hout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15</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hout dat, teneinde zo de duurzaamheid te verbeteren, is behandeld met middelen die koper en chroom (CC-hout) of koper, chroom en arseen (CCA-hout)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16</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kunststofafval - niet zijnde geëxpandeerd polystyreenschuim (categorie 22) - dat geen gevaarlijke stoffen bevat of daarmee is verontreinigd</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17</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metalen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18</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papier en karton niet zijnde 'niet ontwikkeld fotopapier' (categorie 19)</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19</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niet ontwikkeld fotopapier</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20</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textiel, niet zijnde tapijt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21</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matrassen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22</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geëxpandeerd polystyreenschuim (EPS)</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23</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steenwol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24</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verpakkingen van verf, lijm, kit en hars, voor zover verontreinigd met niet volledig uitgeharde restanten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25</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verpakkingsglas</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26</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vlakglas dat niet is verontreinigd met gevaarlijke stoffen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27</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afval dat valt onder de werkingssfeer van de Verordening EG 1069/2009 tot vaststelling van gezondheidsvoorschriften inzake niet voor menselijke consumptie bestemde dierlijke bijproducten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28</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afval met een infectierisico, afkomstig van de gezondheidszorg voor mens of dier of van verwant onderzoek</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29A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asfalt waarvan het gehalte aan koolteer gelijk is aan of hoger is dan 1000 mg/kg</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29B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asfalt met een gehalte aan koolteer van minder dan 1000 mg/kg</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30</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zeefzand ontstaat bij het afzeven van het fijne materiaal in sorteerinstallaties voor bouw- en sloopafval of bij het voorzeven van steenachtige fracties uit bouw- en sloopafval in puinbreekinstallaties en dat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31</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zeefzand ontstaat bij het afzeven van het fijne materiaal in sorteerinstallaties voor bouw- en sloopafval of bij het voorzeven van steenachtige fracties uit bouw- en sloopafval in puinbreekinstallaties en dat geen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32</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dakafval waarvan het somtotaal van de concentratie aan PAK-10 gelijk is aan of hoger is dan 75 mg/kg droge stof</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33</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bitumineus dakafval dat geen koolteer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34A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composiet dakafval met minder dan 10% dakbedekkingvreemd materiaal en waarin dakafval voorkomt waarvan het gehalte aan koolteer gelijk is aan of hoger is dan 1000 mg/kg</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34B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composiet dakafval met minder dan 10% dakbedekkingvreemd materiaal waarin geen dakafval voorkomt waarvan het gehalte aan koolteer gelijk is aan of hoger is dan 1000 mg/kg</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35A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composiet dakafval met 10% of meer dakbedekkingvreemd materiaal  en waarin dakafval voorkomt waarvan het gehalte aan koolteer gelijk is aan of hoger is dan 1000 mg/kg</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35B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composiet dakafval met 10% of meer dakbedekkingvreemd materiaal waarin geen dakafval voorkomt waarvan het gehalte aan koolteer gelijk is aan of hoger is dan 1000 mg/kg</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36A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dakgrind verkleefd met teer</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36B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dakgrind verkleefd met bitumen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37A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gipshoudend bouw- en sloopafval dat met gevaarlijke stoffen is verontreinigd</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37B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gipshoudend bouw- en sloopafval dat niet met gevaarlijke stoffen is verontreinigd</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38</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steenachtig materiaal dat gevaarlijke stoffen bevat, in hoofdzaak bestaande uit beton- en metselwerk, tegels, dakpannen, stenen en steengruis en ballastgrind, en voor zover niet vallend onder één van de categorieën 29 tot en met 37 van deze lijst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39</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steenachtig materiaal dat geen gevaarlijke stoffen bevat, in hoofdzaak bestaande uit beton- en metselwerk, tegels, dakpannen, stenen en steengruis en ballastgrind, en voor zover niet vallend onder één van de categorieën 29 tot en met 37 van deze lijst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40A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gemengd bouw- en sloopafval, met bouw- en sloopafval vergelijkbaar bedrijfsafval en particulier gemengd verbouwingsafval, alles voorzover het afval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40B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gemengd bouw- en sloopafval, met bouw- en sloopafval vergelijkbaar bedrijfsafval en particulier gemengd verbouwingsafval, alles voorzover het afval geen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41</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bouwstoffen als bedoeld in artikel 1 van het Besluit bodemkwaliteit, voorzover niet vallend onder één van de categorieën 29 tot en met 40 van deze lijst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42</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oliefilters afkomstig uit vaartuigen, voertuigen en machines;</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43</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zwart/wit-fixeer, zwart-witontwikkelaar en mengsels van deze afvalstoffen met een zilvergehalte groter dan 50 mg/l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44</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bleekfixeer, kleurontwikkelaar en mengsels van deze afvalstoffen met een zilvergehalte groter dan 100 mg/l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45</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zwart-witfixeer, zwart-witontwikkelaar en mengsels van deze afvalstoffen met een zilvergehalte kleiner dan 50 mg/l en bleekfixeer, kleurontwikkelaar en mengsels van deze afvalstoffen met een zilvergehalte kleiner dan 100 mg/l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46</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hardingszouten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47</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afgewerkte olie van minerale of synthetische oorsprong (inclusief mengsels) met de volgende kenmerken: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het gehalte aan polychloorbifenylen kleiner is dan of gelijk is aan 0,5 mg/kg (as received) per congeneer 28, 52, 101, 118, 138, 153 of 180; 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het gehalte aan organische halogeenverbindingen, berekend als chloor kleiner is dan of gelijk is aan 1000 mg/kg (as received); 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de olie na het gebruik waarvoor zij oorspronkelijk was bestemd, niet vermengd is met andere stoffen; 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de olie na het gebruik waarvoor zij oorspronkelijk was bestemd, separaat is afgetapt/verzameld en opgeslagen/opgebulkt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48</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afgewerkte olie van minerale of synthetische oorsprong (inclusief mengsels) met de volgende kenmerken: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het gehalte aan polychloorbifenylen kleiner is dan of gelijk is aan 0,5 mg/kg (as received) per congeneer 28, 52, 101, 118, 138, 153 of 180; 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het gehalte aan organische halogeenverbindingen, berekend als chloor groter is dan 1000 mg/kg (as received)</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49</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oplosmiddelen en glycolen met maximaal 0,5% fluor en maximaal 4% chloor en maximaal 4% broom en maximaal 4% jood, voor zover het gaat om één partij, afkomstig van één ontdoener en waarvan de hoeveelheidsgrens van 1000 liter per partij wordt overschreden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50</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olie/water mengsels (ow-mengsels) en olie/water/slib mengsels (ows-mengsels)</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 xml:space="preserve">die vrijkomen bij olie- en slibafscheiders, </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die ontstaan bij schoonmaakactiviteiten,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afkomstig uit de scheepvaart (bijvoorbeeld oliehoudende ladingrestanten, oliehoudend afval van lading, oliehoudend waswater, ballastwater, bilgewater en slops),</w:t>
            </w:r>
          </w:p>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alsmede overige oliehoudende slibben voor zover zij qua aard of samenstelling vergelijkbaar zijn met de slibfractie van olie- en slibafscheiders.</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51</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niet-gebruikte oliën en partijen olie en brandstof die niet aan de specificaties voldoen (off-spec partijen)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52</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boorspoeling op oliebasis (obm), met obm verontreinigd boorgruis en de oliefractie van met obm verontreinigde stoffen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53</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oliehoudende vloeistof die bij de bewerking van metalen en kunststoffen is toegepast, waaronder boor-, snij-, slijp- en walsolie</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54A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bodemas die resteert na verbranding in een roosteroven of wervelbedoven binnen een inrichting die uitsluitend of in hoofdzaak is bestemd voor het verbranden van huishoudelijke afvalstoffen en bedrijfsafvalstoffen als bedoeld in artikel 1.1, eerste lid, van de Wet milieubeheer en die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54B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bodemas die resteert na verbranding in een roosteroven of wervelbedoven binnen een inrichting die uitsluitend of in hoofdzaak is bestemd voor het verbranden van huishoudelijke afvalstoffen en bedrijfsafvalstoffen als bedoeld in artikel 1.1, eerste lid, van de Wet milieubeheer en die geen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55</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arseensulfideslib en arseensulfide-filterkoek</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56</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as die resteert na verbranding van afvalstoffen in slibverbrandingsinstallatie (SVI) en die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57</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as die resteert na verbranding van afvalstoffen in slibverbrandingsinstallatie (SVI) die geen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58</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reststoffen van kolengestookte energiecentrales die gevaarlijke stoffen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59</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reststoffen van kolengestookte energiecentrales die geen gevaarlijke stoffen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60</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ijzerhoudende beitsbaden op basis van zoutzuur</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61A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zuren, basen en afvalwaterstromen die edelmetalen als goud, zilver, platina, palladium, rhodium, iridium en ruthenium bevatten en die tevens gevaarlijke stoffen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61B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zuren, basen en afvalwaterstromen die edelmetalen als goud, zilver, platina, palladium, rhodium, iridium en ruthenium bevatten en die geen gevaarlijke stoffen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62A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waterig afval verontreinigd met stoffen die voorkomen op de negatieve lijst als beschreven in bijlage 4 van het rapport 'Verwerking waterfractie gevaarlijke en niet-gevaarlijke afvalstoffen' van de Commissie Integraal Waterbeheer (CIW) en dat wordt aangemerkt als gevaarlijk afval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62B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waterig afval verontreinigd met stoffen die voorkomen op de negatieve lijst als beschreven in bijlage 4 van het rapport 'Verwerking waterfractie gevaarlijke en niet-gevaarlijke afvalstoffen' van de Commissie Integraal Waterbeheer (CIW)</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63</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metaalhoudende afvalwaters met de volgende kenmerken: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organotinverbindingen aanwezig boven de detectiegrens en/of</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gehalte aan gehalogeneerde koolwaterstoffen (uitgedrukte als EOX) van 10 mg/l of meer in de waterfractie,</w:t>
            </w:r>
          </w:p>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cadmiumgehalte van 0,2 mg/l of meer in de waterfractie, en/of</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gehalte aan zeswaardig chroom van 0,1 mg/l of meer in de waterfractie, en/of</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cyanidegehalte (vrij cyanide) van 1,0 mg/l of meer in de waterfractie, en/of</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somgehalte aan de metalen arseen, chroom, cobalt, koper, molybdeen, lood, nikkel, tin, vanadium, zink en ijzer van 25 mg/l of meer in de waterfractie</w:t>
            </w:r>
          </w:p>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het betreft gevaarlijk afval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64</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metaalhoudende afvalwaters met de volgende kenmerken:</w:t>
            </w:r>
            <w:r w:rsidRPr="00F12FCD">
              <w:rPr>
                <w:rFonts w:ascii="Verdana" w:hAnsi="Verdana"/>
                <w:sz w:val="18"/>
                <w:szCs w:val="18"/>
              </w:rPr>
              <w:br w:type="page"/>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organotinverbindingen aanwezig boven de detectiegrens en/of</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gehalte aan gehalogeneerde koolwaterstoffen (uitgedrukte als EOX) van 10 mg/l of meer in de waterfractie,</w:t>
            </w:r>
            <w:r w:rsidRPr="00F12FCD">
              <w:rPr>
                <w:rFonts w:ascii="Verdana" w:hAnsi="Verdana"/>
                <w:sz w:val="18"/>
                <w:szCs w:val="18"/>
              </w:rPr>
              <w:br w:type="page"/>
            </w:r>
          </w:p>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cadmiumgehalte van 0,2 mg/l of meer in de waterfractie, en/of</w:t>
            </w:r>
            <w:r w:rsidRPr="00F12FCD">
              <w:rPr>
                <w:rFonts w:ascii="Verdana" w:hAnsi="Verdana"/>
                <w:sz w:val="18"/>
                <w:szCs w:val="18"/>
              </w:rPr>
              <w:br w:type="page"/>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gehalte aan zeswaardig chroom van 0,1 mg/l of meer in de waterfractie, en/of</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cyanidegehalte (vrij cyanide) van 1,0 mg/l of meer in de waterfractie, en/of</w:t>
            </w:r>
            <w:r w:rsidRPr="00F12FCD">
              <w:rPr>
                <w:rFonts w:ascii="Verdana" w:hAnsi="Verdana"/>
                <w:sz w:val="18"/>
                <w:szCs w:val="18"/>
              </w:rPr>
              <w:br w:type="page"/>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somgehalte aan de metalen arseen, chroom, cobalt, koper, molybdeen, lood, nikkel, tin, vanadium, zink en ijzer van 25 mg/l of meer in de waterfractie</w:t>
            </w:r>
          </w:p>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br w:type="page"/>
              <w:t>EN</w:t>
            </w:r>
            <w:r w:rsidRPr="00F12FCD">
              <w:rPr>
                <w:rFonts w:ascii="Verdana" w:hAnsi="Verdana"/>
                <w:sz w:val="18"/>
                <w:szCs w:val="18"/>
              </w:rPr>
              <w:br w:type="page"/>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het betreft geen gevaarlijk afval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65</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zuren, basen en metaalhoudende afvalwaters, niet horend tot de categorieën 60 tot en met 64, met een van de volgende kenmerken:</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cadmiumgehalte van meer dan 0,2 mg/l in de waterfractie,</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gehalte aan zeswaardig chroom van meer dan 0,1 mg/l in de waterfractie,</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cyanidegehalte (vrij cyanide) van meer dan 1,0 mg/l in de waterfractie, of</w:t>
            </w:r>
          </w:p>
          <w:p w:rsidR="00F12FCD" w:rsidRPr="00F12FCD" w:rsidRDefault="00F12FCD" w:rsidP="00EB7F6B">
            <w:pPr>
              <w:numPr>
                <w:ilvl w:val="0"/>
                <w:numId w:val="1"/>
              </w:numPr>
              <w:shd w:val="clear" w:color="auto" w:fill="D9D9D9" w:themeFill="background1" w:themeFillShade="D9"/>
              <w:tabs>
                <w:tab w:val="clear" w:pos="1065"/>
                <w:tab w:val="num" w:pos="243"/>
              </w:tabs>
              <w:spacing w:line="240" w:lineRule="auto"/>
              <w:ind w:left="243" w:hanging="243"/>
              <w:rPr>
                <w:rFonts w:ascii="Verdana" w:hAnsi="Verdana"/>
                <w:sz w:val="18"/>
                <w:szCs w:val="18"/>
              </w:rPr>
            </w:pPr>
            <w:r w:rsidRPr="00F12FCD">
              <w:rPr>
                <w:rFonts w:ascii="Verdana" w:hAnsi="Verdana"/>
                <w:sz w:val="18"/>
                <w:szCs w:val="18"/>
              </w:rPr>
              <w:t>een somgehalte aan de metalen arseen, chroom, cobalt, koper, molybdeen, lood, nikkel, tin, vanadium, zink en ijzer van meer dan 200 mg/l, waarvan meer dan 25 mg/l in de waterfractie</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66</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ONO-filterkoek die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67A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 xml:space="preserve">afgedankte elektrische en elektronische apparatuur die valt onder het </w:t>
            </w:r>
            <w:r w:rsidR="00AB2167">
              <w:rPr>
                <w:rFonts w:ascii="Verdana" w:hAnsi="Verdana"/>
                <w:sz w:val="18"/>
                <w:szCs w:val="18"/>
              </w:rPr>
              <w:t>Regeling afgedankte elektrische en elektronische apparatuur</w:t>
            </w:r>
            <w:r w:rsidRPr="00F12FCD">
              <w:rPr>
                <w:rFonts w:ascii="Verdana" w:hAnsi="Verdana"/>
                <w:sz w:val="18"/>
                <w:szCs w:val="18"/>
              </w:rPr>
              <w:t>, die gevaarlijke stoffen bevat en voor zover niet vallend onder enige andere categorie van deze lijst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67B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 xml:space="preserve">afgedankte elektrische en elektronische apparatuur die valt onder het </w:t>
            </w:r>
            <w:r w:rsidR="00AB2167">
              <w:rPr>
                <w:rFonts w:ascii="Verdana" w:hAnsi="Verdana"/>
                <w:sz w:val="18"/>
                <w:szCs w:val="18"/>
              </w:rPr>
              <w:t>Regeling afgedankte elektrische en elektronische apparatuur</w:t>
            </w:r>
            <w:r w:rsidRPr="00F12FCD">
              <w:rPr>
                <w:rFonts w:ascii="Verdana" w:hAnsi="Verdana"/>
                <w:sz w:val="18"/>
                <w:szCs w:val="18"/>
              </w:rPr>
              <w:t>, die geen gevaarlijke stoffen bevat en voor zover niet vallend onder enige andere categorie van deze lijst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68A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straalgrit dat op grond van de Regeling niet-reinigbaar straalgrit reinigbaar is en dat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68B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straalgrit dat op grond van de Regeling niet-reinigbaar straalgrit reinigbaar is en dat geen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69</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loodzuur batterijen en accu’s</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70A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batterijen en accu’s als bedoeld in de Regeling beheer batterijen en accu’s 2008 voor zover niet zijnde loodzuur batterijen en accu’s (categorie 70) en voorzover zij gevaarlijke stoffen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70B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batterijen en accu’s als bedoeld in de Regeling beheer batterijen en accu’s 2008 voor zover niet zijnde loodzuur batterijen en accu’s (categorie 70) en voorzover zij geen gevaarlijke stoffen bevatten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71</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gasontladingslampen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72</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kwikhoudende voorwerpen</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73</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amalgaam, sludges, slibben, actief kool, rookgasreinigingsresiduen, filterkoeken en fluorescentiepoeders met een gehalte aan kwik van meer dan 10 mg/kg droge stof</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74</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asbest, asbestcementplaten, asbesthoudende voorwerpen en andere en met asbest verontreinigde afvalstoffen niet zijnde asbesthoudende bulkstoffen (categorie 76) voor zover de concentratie serpentijnasbest, vermeerderd met tien maal de concentratie amfiboolasbest, bepaald overeenkomstig een in de Productenregeling asbest vastgestelde methode, hoger is dan 100 mg/kg droge stof</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75</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grond, bagger, puin, puingranulaat, water of asbesthoudende afvalstoffen of materialen, niet ontstaan bij selectieve sloop of verwijdering van asbestbevattende materialen uit gebouwen, apparaten, installaties, transportmiddelen en constructies met uitzondering van wegen, waterkeringen, dijken, ophogingen van geluids(wallen) e.d. voor zover de concentratie serpentijnasbest, vermeerderd met tien maal de concentratie amfiboolasbest, bepaald overeenkomstig een in de Productenregeling asbest vastgestelde methode, hoger is dan 100 mg/kg droge stof</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76</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reststroom van het shredderen van (onderdelen van) autowrakken, afgedankte elektrische en elektronische apparatuur en ander metaalafval [shredderafval];</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77</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PCB-houdende afvalstoffen voor zover niet vallende onder categorie 79 en waarvan het PCB-gehalte groter is dan 0,5 mg/kg per congeneer 28, 52, 101, 118, 138, 153 en 180</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78</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apparaten waarvan de in het apparaat aanwezige vloeistof een PCB-gehalte heeft groter dan 0,5 mg/kg per congeneer 28, 52, 101, 118, 138, 153 en 180, betrokken op deze in het apparaat aanwezige vloeistof</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79</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metaalafvalstoffen met aanhangende olie of emulsie</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80</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verontreinigde grond van verschillende saneringslocaties die gevaarlijke stoffen bevat, tenzij het gaat om partijen waarvoor een verklaring van niet-reinigbaarheid en niet-immobiliseerbaarheid is afgegeven door Rijkswaterstaat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81</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verontreinigde grond van verschillende saneringslocaties die geen gevaarlijke stoffen bevat, tenzij het gaat om partijen waarvoor een verklaring van niet-reinigbaarheid en niet-immobiliseerbaarheid is afgegeven door Rijkswaterstaat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82</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zwavelzuur</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83A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 xml:space="preserve">zuurteer en overig afval met een zwavelgehalte van minimaal 5 gewichtsprocent, niet zijnde zwavelzuur (categorie </w:t>
            </w:r>
            <w:r w:rsidR="00AB2167">
              <w:rPr>
                <w:rFonts w:ascii="Verdana" w:hAnsi="Verdana"/>
                <w:sz w:val="18"/>
                <w:szCs w:val="18"/>
              </w:rPr>
              <w:t>82</w:t>
            </w:r>
            <w:r w:rsidRPr="00F12FCD">
              <w:rPr>
                <w:rFonts w:ascii="Verdana" w:hAnsi="Verdana"/>
                <w:sz w:val="18"/>
                <w:szCs w:val="18"/>
              </w:rPr>
              <w:t>) dat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83B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 xml:space="preserve">zuurteer en overig afval met een zwavelgehalte van minimaal 5 gewichtsprocent, niet zijnde zwavelzuur (categorie </w:t>
            </w:r>
            <w:r w:rsidR="00AB2167">
              <w:rPr>
                <w:rFonts w:ascii="Verdana" w:hAnsi="Verdana"/>
                <w:sz w:val="18"/>
                <w:szCs w:val="18"/>
              </w:rPr>
              <w:t>82</w:t>
            </w:r>
            <w:r w:rsidRPr="00F12FCD">
              <w:rPr>
                <w:rFonts w:ascii="Verdana" w:hAnsi="Verdana"/>
                <w:sz w:val="18"/>
                <w:szCs w:val="18"/>
              </w:rPr>
              <w:t>) dat geen gevaarlijke stoffen bevat</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84A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overig gevaarlijk afval van buiten de inrichting afkomstig dat gestort mag worden volgens het Besluit stortplaatsen en stortverboden afvalstoffen of een minimumstandaard uit het LAP</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84B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overig niet gevaarlijk afval van buiten de inrichting afkomstig dat gestort mag worden volgens het Besluit stortplaatsen en stortverboden afvalstoffen of een minimumstandaard uit het LAP</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85A</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overig gevaarlijk afval van buiten de inrichting afkomstig dat niet gestort mag worden volgens het Besluit stortplaatsen en stortverboden afvalstoffen of een minimumstandaard uit het LAP</w:t>
            </w:r>
          </w:p>
        </w:tc>
      </w:tr>
      <w:tr w:rsidR="00F12FCD" w:rsidRPr="00F12FCD" w:rsidTr="004F2B59">
        <w:trPr>
          <w:cantSplit/>
        </w:trPr>
        <w:tc>
          <w:tcPr>
            <w:tcW w:w="1071"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85B</w:t>
            </w:r>
          </w:p>
        </w:tc>
        <w:tc>
          <w:tcPr>
            <w:tcW w:w="840"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nga</w:t>
            </w:r>
          </w:p>
        </w:tc>
        <w:tc>
          <w:tcPr>
            <w:tcW w:w="6453" w:type="dxa"/>
            <w:shd w:val="clear" w:color="auto" w:fill="auto"/>
            <w:tcMar>
              <w:top w:w="17" w:type="dxa"/>
              <w:bottom w:w="11" w:type="dxa"/>
            </w:tcMar>
          </w:tcPr>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overig niet gevaarlijk afval van buiten de inrichting afkomstig dat niet gestort mag worden volgens het Besluit stortplaatsen en stortverboden afvalstoffen of een minimumstandaard uit het LAP</w:t>
            </w:r>
          </w:p>
        </w:tc>
      </w:tr>
    </w:tbl>
    <w:p w:rsidR="00F12FCD" w:rsidRPr="00F12FCD"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Voetnoot [1]:</w:t>
      </w:r>
    </w:p>
    <w:p w:rsidR="00F12FCD" w:rsidRPr="00AD2CF5" w:rsidRDefault="00F12FCD" w:rsidP="00F12FCD">
      <w:pPr>
        <w:shd w:val="clear" w:color="auto" w:fill="D9D9D9" w:themeFill="background1" w:themeFillShade="D9"/>
        <w:rPr>
          <w:rFonts w:ascii="Verdana" w:hAnsi="Verdana"/>
          <w:sz w:val="18"/>
          <w:szCs w:val="18"/>
        </w:rPr>
      </w:pPr>
      <w:r w:rsidRPr="00F12FCD">
        <w:rPr>
          <w:rFonts w:ascii="Verdana" w:hAnsi="Verdana"/>
          <w:sz w:val="18"/>
          <w:szCs w:val="18"/>
        </w:rPr>
        <w:t>“ga” wil zeggen dat een afvalstof alleen in deze categorie</w:t>
      </w:r>
      <w:r w:rsidRPr="00AD2CF5">
        <w:rPr>
          <w:rFonts w:ascii="Verdana" w:hAnsi="Verdana"/>
          <w:sz w:val="18"/>
          <w:szCs w:val="18"/>
        </w:rPr>
        <w:t xml:space="preserve"> kan vallen voor zover er sprake is van een gevaarlijke afvalstof</w:t>
      </w:r>
    </w:p>
    <w:p w:rsidR="00F12FCD" w:rsidRPr="00AD2CF5" w:rsidRDefault="00F12FCD" w:rsidP="00F12FCD">
      <w:pPr>
        <w:shd w:val="clear" w:color="auto" w:fill="D9D9D9" w:themeFill="background1" w:themeFillShade="D9"/>
        <w:rPr>
          <w:rFonts w:ascii="Verdana" w:hAnsi="Verdana"/>
          <w:sz w:val="18"/>
          <w:szCs w:val="18"/>
        </w:rPr>
      </w:pPr>
      <w:r w:rsidRPr="00AD2CF5">
        <w:rPr>
          <w:rFonts w:ascii="Verdana" w:hAnsi="Verdana"/>
          <w:sz w:val="18"/>
          <w:szCs w:val="18"/>
        </w:rPr>
        <w:t>“nga” wil zeggen dat een afvalstof alleen in deze categorie kan vallen voor zover geen sprake is van een gevaarlijke afvalstof</w:t>
      </w:r>
    </w:p>
    <w:p w:rsidR="00F43C9B" w:rsidRDefault="00F43C9B" w:rsidP="00F43C9B">
      <w:pPr>
        <w:widowControl w:val="0"/>
        <w:shd w:val="clear" w:color="auto" w:fill="D9D9D9" w:themeFill="background1" w:themeFillShade="D9"/>
        <w:suppressAutoHyphens/>
        <w:autoSpaceDN w:val="0"/>
        <w:spacing w:line="240" w:lineRule="auto"/>
        <w:textAlignment w:val="baseline"/>
        <w:rPr>
          <w:rFonts w:ascii="Verdana" w:hAnsi="Verdana"/>
          <w:sz w:val="18"/>
          <w:szCs w:val="18"/>
        </w:rPr>
      </w:pPr>
    </w:p>
    <w:p w:rsidR="00F12FCD" w:rsidRDefault="00F12FCD" w:rsidP="00F43C9B">
      <w:pPr>
        <w:widowControl w:val="0"/>
        <w:shd w:val="clear" w:color="auto" w:fill="D9D9D9" w:themeFill="background1" w:themeFillShade="D9"/>
        <w:suppressAutoHyphens/>
        <w:autoSpaceDN w:val="0"/>
        <w:spacing w:line="240" w:lineRule="auto"/>
        <w:textAlignment w:val="baseline"/>
        <w:rPr>
          <w:rFonts w:ascii="Verdana" w:hAnsi="Verdana"/>
          <w:sz w:val="18"/>
          <w:szCs w:val="18"/>
        </w:rPr>
      </w:pPr>
    </w:p>
    <w:p w:rsidR="00F43C9B" w:rsidRPr="0078700F" w:rsidRDefault="00F43C9B" w:rsidP="00F43C9B">
      <w:pPr>
        <w:shd w:val="clear" w:color="auto" w:fill="D9D9D9" w:themeFill="background1" w:themeFillShade="D9"/>
        <w:rPr>
          <w:rFonts w:ascii="Verdana" w:hAnsi="Verdana"/>
          <w:b/>
          <w:bCs/>
          <w:sz w:val="18"/>
          <w:szCs w:val="18"/>
        </w:rPr>
      </w:pPr>
      <w:bookmarkStart w:id="661" w:name="Bijlage12aAR"/>
      <w:r w:rsidRPr="0078700F">
        <w:rPr>
          <w:rFonts w:ascii="Verdana" w:hAnsi="Verdana"/>
          <w:b/>
          <w:bCs/>
          <w:sz w:val="18"/>
          <w:szCs w:val="18"/>
        </w:rPr>
        <w:t>Bijlage 12a</w:t>
      </w:r>
    </w:p>
    <w:bookmarkEnd w:id="661"/>
    <w:p w:rsidR="00F43C9B" w:rsidRPr="0078700F" w:rsidRDefault="00F43C9B" w:rsidP="00F43C9B">
      <w:pPr>
        <w:pStyle w:val="Geenafstand"/>
        <w:shd w:val="clear" w:color="auto" w:fill="D9D9D9" w:themeFill="background1" w:themeFillShade="D9"/>
        <w:rPr>
          <w:b/>
          <w:lang w:eastAsia="en-GB"/>
        </w:rPr>
      </w:pPr>
      <w:r w:rsidRPr="0078700F">
        <w:rPr>
          <w:b/>
        </w:rPr>
        <w:t>Lijst van stoffen, stofklassen en stofcategorieën</w:t>
      </w:r>
    </w:p>
    <w:p w:rsidR="00F43C9B" w:rsidRPr="0078700F" w:rsidRDefault="00F43C9B" w:rsidP="00F43C9B">
      <w:pPr>
        <w:shd w:val="clear" w:color="auto" w:fill="D9D9D9" w:themeFill="background1" w:themeFillShade="D9"/>
        <w:rPr>
          <w:rFonts w:ascii="Verdana" w:hAnsi="Verdana"/>
          <w:sz w:val="18"/>
          <w:szCs w:val="18"/>
        </w:rPr>
      </w:pPr>
    </w:p>
    <w:tbl>
      <w:tblPr>
        <w:tblW w:w="5000" w:type="pct"/>
        <w:tblLook w:val="04A0" w:firstRow="1" w:lastRow="0" w:firstColumn="1" w:lastColumn="0" w:noHBand="0" w:noVBand="1"/>
      </w:tblPr>
      <w:tblGrid>
        <w:gridCol w:w="9287"/>
      </w:tblGrid>
      <w:tr w:rsidR="00F43C9B" w:rsidRPr="0078700F" w:rsidTr="00F43C9B">
        <w:trPr>
          <w:trHeight w:val="240"/>
        </w:trPr>
        <w:tc>
          <w:tcPr>
            <w:tcW w:w="5000" w:type="pct"/>
            <w:tcBorders>
              <w:top w:val="nil"/>
              <w:left w:val="nil"/>
              <w:bottom w:val="nil"/>
              <w:right w:val="nil"/>
            </w:tcBorders>
            <w:shd w:val="clear" w:color="000000" w:fill="FFFFFF"/>
            <w:noWrap/>
            <w:hideMark/>
          </w:tcPr>
          <w:p w:rsidR="00F43C9B" w:rsidRPr="0078700F" w:rsidRDefault="00F43C9B" w:rsidP="00F43C9B">
            <w:pPr>
              <w:keepNext/>
              <w:shd w:val="clear" w:color="auto" w:fill="D9D9D9" w:themeFill="background1" w:themeFillShade="D9"/>
              <w:spacing w:before="240" w:after="60"/>
              <w:outlineLvl w:val="1"/>
              <w:rPr>
                <w:rFonts w:ascii="Verdana" w:hAnsi="Verdana" w:cs="Arial"/>
                <w:sz w:val="18"/>
                <w:szCs w:val="18"/>
                <w:lang w:eastAsia="en-GB"/>
              </w:rPr>
            </w:pPr>
          </w:p>
        </w:tc>
      </w:tr>
      <w:tr w:rsidR="00F43C9B" w:rsidRPr="0078700F" w:rsidTr="00F43C9B">
        <w:trPr>
          <w:trHeight w:val="240"/>
        </w:trPr>
        <w:tc>
          <w:tcPr>
            <w:tcW w:w="5000" w:type="pct"/>
            <w:tcBorders>
              <w:top w:val="nil"/>
              <w:left w:val="nil"/>
              <w:bottom w:val="nil"/>
              <w:right w:val="nil"/>
            </w:tcBorders>
            <w:shd w:val="clear" w:color="000000" w:fill="FFFFFF"/>
            <w:noWrap/>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De stofklasse en/of grensmassastroom en emissie eis van individuele stoffen kunnen afwijken van die voor een stofgroep.</w:t>
            </w:r>
          </w:p>
        </w:tc>
      </w:tr>
      <w:tr w:rsidR="00F43C9B" w:rsidRPr="0078700F" w:rsidTr="00F43C9B">
        <w:trPr>
          <w:trHeight w:val="240"/>
        </w:trPr>
        <w:tc>
          <w:tcPr>
            <w:tcW w:w="5000" w:type="pct"/>
            <w:tcBorders>
              <w:top w:val="nil"/>
              <w:left w:val="nil"/>
              <w:bottom w:val="nil"/>
              <w:right w:val="nil"/>
            </w:tcBorders>
            <w:shd w:val="clear" w:color="000000" w:fill="FFFFFF"/>
            <w:noWrap/>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Indien een stof individueel is ingedeeld geldt de grensmassastroom en emissie-eis van de individuele stof in plaats van die van de groep.</w:t>
            </w:r>
          </w:p>
        </w:tc>
      </w:tr>
    </w:tbl>
    <w:p w:rsidR="00F43C9B" w:rsidRPr="0078700F" w:rsidRDefault="00F43C9B" w:rsidP="00F43C9B">
      <w:pPr>
        <w:shd w:val="clear" w:color="auto" w:fill="D9D9D9" w:themeFill="background1" w:themeFillShade="D9"/>
        <w:rPr>
          <w:rFonts w:ascii="Verdana" w:hAnsi="Verdana"/>
          <w:sz w:val="18"/>
          <w:szCs w:val="18"/>
        </w:rPr>
      </w:pPr>
    </w:p>
    <w:tbl>
      <w:tblPr>
        <w:tblW w:w="9667" w:type="dxa"/>
        <w:tblLook w:val="04A0" w:firstRow="1" w:lastRow="0" w:firstColumn="1" w:lastColumn="0" w:noHBand="0" w:noVBand="1"/>
      </w:tblPr>
      <w:tblGrid>
        <w:gridCol w:w="1329"/>
        <w:gridCol w:w="5452"/>
        <w:gridCol w:w="1574"/>
        <w:gridCol w:w="1312"/>
      </w:tblGrid>
      <w:tr w:rsidR="00F43C9B" w:rsidRPr="0078700F" w:rsidTr="00F43C9B">
        <w:trPr>
          <w:trHeight w:val="255"/>
        </w:trPr>
        <w:tc>
          <w:tcPr>
            <w:tcW w:w="1354" w:type="dxa"/>
            <w:tcBorders>
              <w:top w:val="single" w:sz="8" w:space="0" w:color="auto"/>
              <w:left w:val="single" w:sz="8" w:space="0" w:color="auto"/>
              <w:bottom w:val="single" w:sz="8" w:space="0" w:color="auto"/>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b/>
                <w:sz w:val="18"/>
                <w:szCs w:val="18"/>
                <w:lang w:val="en-GB" w:eastAsia="en-GB"/>
              </w:rPr>
            </w:pPr>
            <w:r w:rsidRPr="0078700F">
              <w:rPr>
                <w:rFonts w:ascii="Verdana" w:hAnsi="Verdana" w:cs="Arial"/>
                <w:b/>
                <w:sz w:val="18"/>
                <w:szCs w:val="18"/>
                <w:lang w:val="en-GB" w:eastAsia="en-GB"/>
              </w:rPr>
              <w:t>CAS Nummer</w:t>
            </w:r>
          </w:p>
        </w:tc>
        <w:tc>
          <w:tcPr>
            <w:tcW w:w="5573" w:type="dxa"/>
            <w:tcBorders>
              <w:top w:val="single" w:sz="8" w:space="0" w:color="auto"/>
              <w:left w:val="nil"/>
              <w:bottom w:val="single" w:sz="8" w:space="0" w:color="auto"/>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b/>
                <w:sz w:val="18"/>
                <w:szCs w:val="18"/>
                <w:lang w:val="en-GB" w:eastAsia="en-GB"/>
              </w:rPr>
            </w:pPr>
            <w:r w:rsidRPr="0078700F">
              <w:rPr>
                <w:rFonts w:ascii="Verdana" w:hAnsi="Verdana" w:cs="Arial"/>
                <w:b/>
                <w:sz w:val="18"/>
                <w:szCs w:val="18"/>
                <w:lang w:val="en-GB" w:eastAsia="en-GB"/>
              </w:rPr>
              <w:t>Naam</w:t>
            </w:r>
          </w:p>
        </w:tc>
        <w:tc>
          <w:tcPr>
            <w:tcW w:w="1423" w:type="dxa"/>
            <w:tcBorders>
              <w:top w:val="single" w:sz="8" w:space="0" w:color="auto"/>
              <w:left w:val="nil"/>
              <w:bottom w:val="single" w:sz="8" w:space="0" w:color="auto"/>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b/>
                <w:sz w:val="18"/>
                <w:szCs w:val="18"/>
                <w:lang w:val="en-GB" w:eastAsia="en-GB"/>
              </w:rPr>
            </w:pPr>
            <w:r w:rsidRPr="0078700F">
              <w:rPr>
                <w:rFonts w:ascii="Verdana" w:hAnsi="Verdana" w:cs="Arial"/>
                <w:b/>
                <w:sz w:val="18"/>
                <w:szCs w:val="18"/>
                <w:lang w:val="en-GB" w:eastAsia="en-GB"/>
              </w:rPr>
              <w:t>Stofcategorie</w:t>
            </w:r>
          </w:p>
        </w:tc>
        <w:tc>
          <w:tcPr>
            <w:tcW w:w="1317" w:type="dxa"/>
            <w:tcBorders>
              <w:top w:val="single" w:sz="8" w:space="0" w:color="auto"/>
              <w:left w:val="nil"/>
              <w:bottom w:val="single" w:sz="8" w:space="0" w:color="auto"/>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b/>
                <w:sz w:val="18"/>
                <w:szCs w:val="18"/>
                <w:lang w:val="en-GB" w:eastAsia="en-GB"/>
              </w:rPr>
            </w:pPr>
            <w:r w:rsidRPr="0078700F">
              <w:rPr>
                <w:rFonts w:ascii="Verdana" w:hAnsi="Verdana" w:cs="Arial"/>
                <w:b/>
                <w:sz w:val="18"/>
                <w:szCs w:val="18"/>
                <w:lang w:val="en-GB" w:eastAsia="en-GB"/>
              </w:rPr>
              <w:t>Stofklasse</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100-18-5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p-diisopropylbenzeen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cantSplit/>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100-21-0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benzeen-1,4-dicarbonzuur; tereftaalzuur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10025-78-2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trichloorsiliciumhydride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10026-04-7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siliciumtetrachloride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10034-85-2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waterstofjodide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100-41-4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100-42-5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styreen; vinylbenzeen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10043-35-3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boorzuur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100-44-7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chloormethylbenzeen; benzylchloride; α-chloortolueen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10049-04-4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chloordioxide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100-51-6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benzylalcohol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100-52-7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benzaldehyde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100-63-0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fenylhydrazine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b/>
                <w:bCs/>
                <w:i/>
                <w:iCs/>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100-66-3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anisool; methoxybenzeen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101-14-4</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2,2'-dichloor-4,4'-methyleendianiline; 4,4'-methyleenbis(2-chlooraniline); zouten van 2,2'-dichloor-4,4'-methyleendianiline</w:t>
            </w:r>
          </w:p>
        </w:tc>
        <w:tc>
          <w:tcPr>
            <w:tcW w:w="1423" w:type="dxa"/>
            <w:tcBorders>
              <w:top w:val="nil"/>
              <w:left w:val="nil"/>
              <w:bottom w:val="nil"/>
              <w:right w:val="nil"/>
            </w:tcBorders>
            <w:shd w:val="clear" w:color="000000" w:fill="FFFFFF"/>
            <w:hideMark/>
          </w:tcPr>
          <w:p w:rsidR="00F43C9B" w:rsidRPr="0078700F" w:rsidRDefault="00F43C9B" w:rsidP="00F43C9B">
            <w:pPr>
              <w:keepNext/>
              <w:shd w:val="clear" w:color="auto" w:fill="D9D9D9" w:themeFill="background1" w:themeFillShade="D9"/>
              <w:spacing w:before="240" w:after="60"/>
              <w:outlineLvl w:val="1"/>
              <w:rPr>
                <w:rFonts w:ascii="Verdana" w:hAnsi="Verdana" w:cs="Arial"/>
                <w:sz w:val="18"/>
                <w:szCs w:val="18"/>
                <w:lang w:eastAsia="en-GB"/>
              </w:rPr>
            </w:pPr>
            <w:bookmarkStart w:id="662" w:name="_Toc431375878"/>
            <w:r w:rsidRPr="0078700F">
              <w:rPr>
                <w:rFonts w:ascii="Verdana" w:hAnsi="Verdana" w:cs="Arial"/>
                <w:sz w:val="18"/>
                <w:szCs w:val="18"/>
                <w:lang w:eastAsia="en-GB"/>
              </w:rPr>
              <w:t>ZZS</w:t>
            </w:r>
            <w:bookmarkEnd w:id="662"/>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101-21-3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isopropyl-3-chloorfenylcarbamaat; chloorprofam; isopropyl-3-chloorcarbanilaat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10124-43-3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kobaltsulfaat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10141-05-6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kobalt(II)dinitraat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101-61-1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N,N,N',N'-tetramethyl-4,4'-methyleendianiline; Michler's base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b/>
                <w:bCs/>
                <w:i/>
                <w:iCs/>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101-68-8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difenylmethaan-4,4-diisocyanaat; MDI</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101-77-9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4,4'-methyleendianiline; 4,4'-diaminodifenylmethaan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b/>
                <w:bCs/>
                <w:i/>
                <w:iCs/>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101-80-4</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4,4'-oxydianiline; zouten van 4,4'-oxydianiline; p-aminofenylether; zouten van p-aminofenylether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b/>
                <w:bCs/>
                <w:i/>
                <w:iCs/>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101-84-8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difenylether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10190-55-3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loodmolybdaat, berekend als Pb</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10215-33-5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3-butoxy-1-propanol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1024-57-3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heptachloorepoxide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b/>
                <w:bCs/>
                <w:i/>
                <w:iCs/>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102561-46-6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benzyltributyl-ammonium 4-hydroxy-naftaleen-1-sulfonaat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102-71-6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tri-ethanolamine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10294-34-5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boriumtrichloride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103112-35-2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ethyl-1-(2,4-dichloorfenyl)-5-(trichloormethyl)-1H-1,2,4-triazool-3-carboxylaat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b/>
                <w:bCs/>
                <w:i/>
                <w:iCs/>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103-11-7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2-ethylhexylacrylaat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103122-66-3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O-isobutyl-N-ethoxycarbonylthiocarbamaat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7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10332-33-9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perboorzuur (HBO(O</w:t>
            </w:r>
            <w:r w:rsidRPr="0078700F">
              <w:rPr>
                <w:rFonts w:ascii="Verdana" w:hAnsi="Verdana" w:cs="Arial"/>
                <w:sz w:val="18"/>
                <w:szCs w:val="18"/>
                <w:vertAlign w:val="subscript"/>
                <w:lang w:eastAsia="en-GB"/>
              </w:rPr>
              <w:t>2</w:t>
            </w:r>
            <w:r w:rsidRPr="0078700F">
              <w:rPr>
                <w:rFonts w:ascii="Verdana" w:hAnsi="Verdana" w:cs="Arial"/>
                <w:sz w:val="18"/>
                <w:szCs w:val="18"/>
                <w:lang w:eastAsia="en-GB"/>
              </w:rPr>
              <w:t>)) natrium zout monohydraat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103-33-3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azobenzeen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103361-09-7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flumioxazine; N-(7-fluor-3,4-dihydro-3-oxo-4-prop-2-ynyl-2H-1,4-benzoxazin-6-yl)cyclohex-1-een-1,2-dicarboxamide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103-65-1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isocumol; n-propylbenzeen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104-40-5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p-nonylfenol; 4-(para)-nonylfenol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7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10486-00-7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perboorzuur (H</w:t>
            </w:r>
            <w:r w:rsidRPr="0078700F">
              <w:rPr>
                <w:rFonts w:ascii="Verdana" w:hAnsi="Verdana" w:cs="Arial"/>
                <w:sz w:val="18"/>
                <w:szCs w:val="18"/>
                <w:vertAlign w:val="subscript"/>
                <w:lang w:val="en-GB" w:eastAsia="en-GB"/>
              </w:rPr>
              <w:t>3</w:t>
            </w:r>
            <w:r w:rsidRPr="0078700F">
              <w:rPr>
                <w:rFonts w:ascii="Verdana" w:hAnsi="Verdana" w:cs="Arial"/>
                <w:sz w:val="18"/>
                <w:szCs w:val="18"/>
                <w:lang w:val="en-GB" w:eastAsia="en-GB"/>
              </w:rPr>
              <w:t>BO</w:t>
            </w:r>
            <w:r w:rsidRPr="0078700F">
              <w:rPr>
                <w:rFonts w:ascii="Verdana" w:hAnsi="Verdana" w:cs="Arial"/>
                <w:sz w:val="18"/>
                <w:szCs w:val="18"/>
                <w:vertAlign w:val="subscript"/>
                <w:lang w:val="en-GB" w:eastAsia="en-GB"/>
              </w:rPr>
              <w:t>2</w:t>
            </w:r>
            <w:r w:rsidRPr="0078700F">
              <w:rPr>
                <w:rFonts w:ascii="Verdana" w:hAnsi="Verdana" w:cs="Arial"/>
                <w:sz w:val="18"/>
                <w:szCs w:val="18"/>
                <w:lang w:val="en-GB" w:eastAsia="en-GB"/>
              </w:rPr>
              <w:t>(O</w:t>
            </w:r>
            <w:r w:rsidRPr="0078700F">
              <w:rPr>
                <w:rFonts w:ascii="Verdana" w:hAnsi="Verdana" w:cs="Arial"/>
                <w:sz w:val="18"/>
                <w:szCs w:val="18"/>
                <w:vertAlign w:val="subscript"/>
                <w:lang w:val="en-GB" w:eastAsia="en-GB"/>
              </w:rPr>
              <w:t>2</w:t>
            </w:r>
            <w:r w:rsidRPr="0078700F">
              <w:rPr>
                <w:rFonts w:ascii="Verdana" w:hAnsi="Verdana" w:cs="Arial"/>
                <w:sz w:val="18"/>
                <w:szCs w:val="18"/>
                <w:lang w:val="en-GB" w:eastAsia="en-GB"/>
              </w:rPr>
              <w:t>)) natriumzout tetrahydraat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105024-66-6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(4-ethoxyfenyl)(3-(3-fenoxy-4-fluorfenyl)propyl)dimethylsilaan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105-58-8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diethylcarbonaat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105-60-2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caprolactam</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105-67-9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2,4-dimethylfenol; 2,4-xylenol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10605-21-7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carbendazim; methylbenzimidazool-2-ylcarbamaat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106325-08-0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epoxiconazool; (2RS,3SR)-3-(2-chloorfenyl)-2-(4-fluorfenyl)-[(1H-1,2,4-triazool-1-yl)methyl]oxiraan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106-46-7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1,4-dichloorbenzeen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106-47-8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4-chlooraniline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106-65-0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dimethylsuccinaat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106-89-8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1-chloor-2,3-epoxypropaan; chloormethyloxiraan; epichloorhydrine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106-93-4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1,2-dibroomethaan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106-94-5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1-broompropaan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106-97-8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butaan [met 0,1 procent of meer butadieen (203-450-8)]</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106-99-0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1,3-butadieen; buta-1,3-dieen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107-02-8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2-propenal; acroleïne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107-06-2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1,2-dichloorethaan; ethyleenchloride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107-10-8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n-propylamine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107-13-1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acrylonitril; 2-propeennitril; propeennitril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107-15-3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1,2-diaminoethaan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107-20-0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2-chloorethanal; chlooraceetaldehyde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107-21-1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1,2-ethaandiol; ethyleenglycol; glycol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107-22-2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glyoxal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107-30-2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chloordimethylether; chloormethyl-methylether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107-31-3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methylformiaat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107-46-0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hexylmethyldisiloxaan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107-87-9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2-pentanon; methylpropylketon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107-98-2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1-methoxy-2-propanol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108-01-0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dimethylaminoethanol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108-05-4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azijnzuurvinylester; vinylacetaat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108-10-1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4-methyl-2-pentanon; isobutylmethylketon; methylisobutylketon; MIBK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108-20-3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2-isopropoxypropaan; diisopropylether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108-21-4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i-propylacetaat; isopropylacetaat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108225-03-2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(6-(4-hydroxy-3-(2-methoxyfenylazo)-2-sulfonato-7-naftylamino)-1,3,5-triazin-2,4-diyl)bis[(amino-1-methylethyl)ammonium]-formaat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108-24-7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azijnzuuranhydride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108-31-6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maleïnezuuranhydride; MAA</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108-46-3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1,3-dihydroxybenzeen; resorcinol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108-65-6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1-methoxy-2-propylacetaat; 2-methoxy-1methylethylacetaat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108-70-3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1,3,5-trichloorbenzeen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108-83-8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diisobutylketon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108-87-2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methylcyclohexaan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108-88-3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tolueen; methylbenzeen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108-90-7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108-93-0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cyclohexanol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108-94-1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cyclohexanon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108-95-2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109-60-4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n-propylacetaat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109-65-9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1-broombutaan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109-66-0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pentaan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109-70-6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1-broom-3-chloorpropaan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gO.3</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109-86-4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2-methoxyethanol; methyleenglycolmonomethylether; ethyleenglycolmono-methylether; methylglycol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109-89-7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diethylamine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109-94-4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ethylformiaat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109-99-9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tetrahydrofuran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110-00-9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furan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110-12-3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5-methyl-2-hexanon; methylisoamylketon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110-19-0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iso-butylacetaat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110-49-6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2-methoxyethylacetaat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110-71-4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1,2-dimethoxyethaan; ethyleenglycoldimethylether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110-80-5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2-ethoxyethanol; ethyleenglycolmono-ethylether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110-82-7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cyclohexaan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110-85-0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piperazine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110-86-1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pyridine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110-88-3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1,3,5-trioxaan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gO.3</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11113-50-1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natuurlijk ruw boorzuur met een gehalte aan H3BO3 van niet meer dan 85 gewichtspercenten berekend op de droge stof</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111-15-9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2-ethoxyethylacetaat; ethylglycolacetaat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111-35-3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3-ethoxy-1-propanol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11138-47-9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perboorzuur natriumzout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111-41-1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2-(2-aminoethylamino)ethanol; AEEA</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111-42-2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2,2'-iminodiethanol; diethanolamine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1116-54-7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2,2'-(nitrosoimino)bisethanol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111-76-2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2-butoxyethanol; butylglycol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111-77-3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3-methoxyethoxyethanol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111-90-0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diethyleenglycolmonoethylether; ethyldiglycol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1119-40-0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dimethylglutaraat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111-96-6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bis(2-methoxyethyl)ether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1120-71-4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1,3-propaansulton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112-07-2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1-butoxy-2-ethylacetaat; butylglycolacetaat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112-24-3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triethyleentetramine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112-34-5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2-(2-butoxy-ethoxy)-ethanol; butyldiglycol; diethyleenglycolbutylether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112-49-2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1,2-bis(2-methoxyethoxy)ethaan; TEGDME; triethyleenglycoldimethylether; triglyme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112-70-9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tridecanol (isomeren mengsel); tridecylalkohol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115-10-6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115-11-7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2-methylpropeen; isobuteen; isobutyleen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115-29-7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endosulfan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115-32-2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dicofol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115-86-6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trifenylfosfaat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115-96-8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tris(2-chloorethyl)fosfaat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116-14-3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tetrafluoretheen; tetrafluorethyleen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116-15-4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hexafluorpropeen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117-81-7</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bis(2-ethylhexyl)ftalaat; di-ethylhexyl ftalaat; DEHP</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117-82-8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bis(2-methoxyethyl)ftalaat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117955-40-5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2-methoxypropylacetaat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72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118658-99-4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(methyleenbis(4,1-fenyleenazo(1-(3-(dimethylamino)propyl)-1,2-dihydro-6-hydroxy-4-methyl-2-oxopyridine-5,3-diyl)))-1,1'-dipyridiniumdichloridedihydrochloride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118-74-1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hexachloorbenzeen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118-79-6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2,4,6-tribroomfenol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1194-65-6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dichlobenil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119-64-2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1,2,3,4-tetrahydronaftaleen; tetraline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119738-06-6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 tetrahydrofurfuryl-(R)-2-[4-(6-chloorchinoxalin-2-yloxy)-fenyloxy]propanoaat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119-90-4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3,3'-dimethoxybenzidine; o-dianisidine; zouten van 3,3'-dimethoxybenzidine; zouten van o-dianisidine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119-93-7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3,3'-dimethylbenzidine; 4,4'-bi-o-toluidine; zouten van 3,3'-dimethylbenzidine; zouten van 4,4'-bi-o-toluidine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12007-00-0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nikkelboride (NiB)</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12007-01-1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dinikkelboride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12007-02-2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trinikkelboride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120-12-7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antraceen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12036-01-0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zirkoonoxide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12040-72-1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perboorzuur natriumzout monohydraat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12068-61-0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nikkeldiarsenide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120-71-8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6-methoxy-m-toluidine; p-cresidine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120-82-1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1,2,4-trichloorbenzeen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120-92-3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cyclopentanon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121-14-2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2,4-dinitrotolueen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121-44-8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triethylamine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121-69-7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N,N-dimethylaniline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12179-04-3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boraxpentahydraat; dinatriumtetraboraatpentahydraat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122-60-1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1,2-epoxy-3-fenoxypropaan; fenylglycidylether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122-66-7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hydrazobenzeen; 1,2-difenylhydrazine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12267-73-1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tetraboordinatriumheptaoxide hydraat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122-99-6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fenoxyethanol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123-03-5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cetylpyridiniumchloride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123312-54-9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distearyldimethylammonium-bisulfaat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123-38-6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propanal; propionaldehyde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123-39-7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N-methylformamide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123-42-2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4-hydroxy-4-methyl-2-pentanon; diacetonalcohol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123-72-8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butanal; n-butylaldehyde; n-butyraldehyd</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123-73-9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2-butenal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123-77-3</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s-ES" w:eastAsia="en-GB"/>
              </w:rPr>
            </w:pPr>
            <w:r w:rsidRPr="00F43C9B">
              <w:rPr>
                <w:rFonts w:ascii="Verdana" w:hAnsi="Verdana" w:cs="Arial"/>
                <w:sz w:val="18"/>
                <w:szCs w:val="18"/>
                <w:lang w:val="es-ES" w:eastAsia="en-GB"/>
              </w:rPr>
              <w:t>azodicarbonamide; 1,1-Azobisformamide; C,C'-azodi(formamide)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123-86-4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azijnzuurbutylester; n-butylacetaat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123-91-1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1,4-dioxan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123-92-2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iso-amylacetaat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123-95-5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butylstearaat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124-17-4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2-(2-butoxy-ethoxy)-ethylacetaat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124-40-3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124495-18-7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quinoxyfen; 5,7-dichloor-4-(p-fluorfenoxy)quinoline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124-68-5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isobutanol-2-amine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12510-42-8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erioniet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12619-90-8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nikkelboride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126-99-8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chloropreen; 2-chloor-1,3-butadieen; 2-chloropreen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127-18-4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perchloorethyleen; tetrachlooretheen; PER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127-19-5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N,N-dimethylaceetamide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12737-30-3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kobaltnikkeloxide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1300-71-6</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xylenolen m.u.v. 2,4-xylenol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1303-00-0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galliumarsenide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1303-28-2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arseenpentoxide; diarseenpentaoxide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1303-86-2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booroxide; diboortrioxide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1303-96-4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boraxdecahydraat; dinatriumtetraboraatdecahydraat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1304-56-9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berylliumoxide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1305-78-8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calciumoxide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1306-23-6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cadmiumsulfide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1310-58-3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kaliumhydroxide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1310-73-2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natriumhydroxide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131-18-0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di-n-pentylftalaat; n-pentyl-isopentylftalaat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1313-99-1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nikkeloxide; nikkelmonoxide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1314-36-9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yttriumoxide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1314-62-1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vanadiumpentoxide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13149-00-3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hexahydroftaalzuur-anhydride (cis-isomeer); cis-cyclohexaan-1,2-dicarbonzuuranhydride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1317-61-9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ijzeroxide (Fe3O4)</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1321-64-8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pentachloornaftaleen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1321-65-9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trichloornaftaleen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132-32-1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3-amino-9-ethylcarbazool; 9-ethylcarbazool-3-ylamine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1327-53-3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arseentrioxide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72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1330-43-4</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boorzuur dinatriumzout; dinatriumtetraboraat watervrij; boraxdecahydraat; dinatriumtetraboraatdecahydraat; boraxpentahydraat; dinatriumtetraboraatpentahydraat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1331-22-2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methylcyclohexanon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1332-21-4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asbest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1333-86-4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carbon black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1335-32-6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basisch loodacetaat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1335-87-1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hexachloornaftaleen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1335-88-2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tetrachloornaftaleen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13360-57-1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dimethylsulfamoylchloride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1336-36-3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polychloorbifenylen; PCB's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1338-23-4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methylethylketonperoxide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133855-98-8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epoxiconazool; (2RS,3SR)-3-(2-chloorfenyl)-2-(4-fluorfenyl)-[(1H-1,2,4-triazool-1-yl)methyl]oxiraan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13463-39-3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nikkeltetracarbonyl; tetracarbonylnikkel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13463-40-6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ijzerpentacarbonyl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13463-67-7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titaandioxide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13477-70-8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nikkel(II)arsenaat; trinikkelbis(arsenaat)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7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13517-20-9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perboorzuur (H</w:t>
            </w:r>
            <w:r w:rsidRPr="0078700F">
              <w:rPr>
                <w:rFonts w:ascii="Verdana" w:hAnsi="Verdana" w:cs="Arial"/>
                <w:sz w:val="18"/>
                <w:szCs w:val="18"/>
                <w:vertAlign w:val="subscript"/>
                <w:lang w:val="en-GB" w:eastAsia="en-GB"/>
              </w:rPr>
              <w:t>3</w:t>
            </w:r>
            <w:r w:rsidRPr="0078700F">
              <w:rPr>
                <w:rFonts w:ascii="Verdana" w:hAnsi="Verdana" w:cs="Arial"/>
                <w:sz w:val="18"/>
                <w:szCs w:val="18"/>
                <w:lang w:val="en-GB" w:eastAsia="en-GB"/>
              </w:rPr>
              <w:t>BO</w:t>
            </w:r>
            <w:r w:rsidRPr="0078700F">
              <w:rPr>
                <w:rFonts w:ascii="Verdana" w:hAnsi="Verdana" w:cs="Arial"/>
                <w:sz w:val="18"/>
                <w:szCs w:val="18"/>
                <w:vertAlign w:val="subscript"/>
                <w:lang w:val="en-GB" w:eastAsia="en-GB"/>
              </w:rPr>
              <w:t>2</w:t>
            </w:r>
            <w:r w:rsidRPr="0078700F">
              <w:rPr>
                <w:rFonts w:ascii="Verdana" w:hAnsi="Verdana" w:cs="Arial"/>
                <w:sz w:val="18"/>
                <w:szCs w:val="18"/>
                <w:lang w:val="en-GB" w:eastAsia="en-GB"/>
              </w:rPr>
              <w:t>(O</w:t>
            </w:r>
            <w:r w:rsidRPr="0078700F">
              <w:rPr>
                <w:rFonts w:ascii="Verdana" w:hAnsi="Verdana" w:cs="Arial"/>
                <w:sz w:val="18"/>
                <w:szCs w:val="18"/>
                <w:vertAlign w:val="subscript"/>
                <w:lang w:val="en-GB" w:eastAsia="en-GB"/>
              </w:rPr>
              <w:t>2</w:t>
            </w:r>
            <w:r w:rsidRPr="0078700F">
              <w:rPr>
                <w:rFonts w:ascii="Verdana" w:hAnsi="Verdana" w:cs="Arial"/>
                <w:sz w:val="18"/>
                <w:szCs w:val="18"/>
                <w:lang w:val="en-GB" w:eastAsia="en-GB"/>
              </w:rPr>
              <w:t>)) mononatriumzout trihydraat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137-17-7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2,4,5-trimethylaniline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13746-66-2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kaliumferricyanide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13814-96-5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loodbis(tetrafluorboraat); loodfluorboraat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138-22-7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butyllactaat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13840-56-7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orthoboorzuur natriumzout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138-86-3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limoneen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139-65-1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4,4'-thiodianiline; zouten van 4,4'-thiodianiline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140-66-9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1,1,3,3-tetramethyl-4-butylfenol; 4-tert-octylfenol; para-tert-octylfenol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140-88-5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acrylzuurethylester; ethylacrylaat; ethylpropenoaat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141-32-2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butylacrylaat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141-43-5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ethanolamine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14166-21-3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hexahydroftaalzuur-anhydride (trans-isomeer); trans-cyclohexaan-1,2-dicarbonzuuranhydride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141-78-6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azijnzuurester; azijnzuurethylester; ethylacetaat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1420-07-1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dinoterb; 2-tert-butyl-4,6-dinitrofenol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142-96-1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dibutylether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143-18-0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kaliumoleaat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143-50-0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chloordecon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143860-04-2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3-ethyl-2-methyl-2-(3-methylbutyl)-1,3-oxazolidine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14464-46-1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cristoballiet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1464-53-5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2,2'-bioxiraan; 1,2:3,4-diepoxybutaan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14708-14-6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nikkelbis(tetrafluorboraat)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72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14808-60-7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silica (kwarts) als respirabel stof, met uitsluiting van silicavezels (definitie vezels zie §3.2.3); zand e.a. siliciumverbindingen, m.u.v. kristallijne en/of vezelvormige 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14977-61-8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chromylchloride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15120-21-5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natriumperboraat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151-56-4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aziridine; ethyleenimine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151798-26-4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2-[2-hydroxy-3-(2-chlorfenyl)carbamoyl-1-naftylazo]-7-[2-hydroxy-3-(3-methylfenyl)carbamoyl-1-naftylazo]fluoreen-9-on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15468-32-3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tridymiet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15606-95-8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triethylarsenaat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1569-01-3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n-propoxypropanol-2</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1569-02-4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1-ethoxy-2-propanol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1582-09-8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trifluralin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1589-47-5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2-methoxypropanol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16071-86-6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dinatrium-{5-[(4'-((2,6-dihydroxy-3-((2-hydroxy-5-sulfofenyl)azo)fenyl)azo)(1,1'-bifenyl)-4-yl)azo]salicylato(4-)}cupraat(2-)</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1634-04-4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methyl-tertiair-butylether (MTBE)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72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164058-22-4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trinatrium-[4'-(8-acetylamino-3,6-disulfonato-2-nafthylazo)-4''-(6-benzoylamino-3-sulfonato-2-nafthylazo)-bifenyl-1,3',3'',1'''-tetraolato-O,O',O'',O''']koper(II)</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16812-54-7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nikkelsulfide; nikkel(II)sulfide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1763-23-1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heptadecafluoroctaan-1-sulfonzuur; perfluoroctaansulfonzuur (PFOS)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17804-35-2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benomyl; methyl-1-(butylcarbamoyl)benzimidazool-2-ylcarbamaat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1825-21-4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pentachlooranisol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72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183196-57-8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kalium-1-methyl-3-morfolinocarbonyl-4-[3-(1-methyl-3-morfolinocarbonyl-5-oxo-2-pyrazoline-4-ylideen)-1-propenyl]pyrazool-5-olaat [met 0,5 procent of meer N,N-dimethylformamide (EC Nr 200-679-5)]</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1836-75-5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nitrofeen; 2,4-dichloorfenyl-4-nitrofenylether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18540-29-9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chroom(VI)verbindingen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189-55-9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dibenzo[a,i]pyreen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189-64-0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dibenzo[a,h]pyreen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1897-52-5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2,6-difluorbenzonitril; diflubenil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19089-47-5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2-ethoxy-1-propanol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191-24-2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benzo[g,h,i]peryleen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191-30-0</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s-ES" w:eastAsia="en-GB"/>
              </w:rPr>
            </w:pPr>
            <w:r w:rsidRPr="00F43C9B">
              <w:rPr>
                <w:rFonts w:ascii="Verdana" w:hAnsi="Verdana" w:cs="Arial"/>
                <w:sz w:val="18"/>
                <w:szCs w:val="18"/>
                <w:lang w:val="es-ES" w:eastAsia="en-GB"/>
              </w:rPr>
              <w:t>dibenzo[a,l]pyreen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192-65-4</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s-ES" w:eastAsia="en-GB"/>
              </w:rPr>
            </w:pPr>
            <w:r w:rsidRPr="00F43C9B">
              <w:rPr>
                <w:rFonts w:ascii="Verdana" w:hAnsi="Verdana" w:cs="Arial"/>
                <w:sz w:val="18"/>
                <w:szCs w:val="18"/>
                <w:lang w:val="es-ES" w:eastAsia="en-GB"/>
              </w:rPr>
              <w:t>dibenzo[a,e]pyreen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19287-45-7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diboraan (B2H6)</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192-97-2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benzo(e)pyreen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193-39-5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indeno(1,2,3-cd)pyreen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1937-37-7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dinatrium-4-amino-3-[[4'-[(2,4-diaminofenyl)azo][1,1'-bifenyl]-4-yl]azo]-6-(fenylazo)-5-hydroxynaftaleen-2,7-disulfonaat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19438-60-9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methylcyclohexyl-1,6-dicarboxylzuur-anhydride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194-59-2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7H-dibenzo[c,g]carbazol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199327-61-2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7-methoxy-6-(3-morfoline-4-ylpropoxy)-3H-chinazoline-4-on [met 0,5 procent of meer formamide (EC-nr. 200-842-0)]</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2040-90-6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2-chloor-6-fluorfenol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205-82-3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benzo[j]fluorantheen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2058-94-8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perfluorundecanoaat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205-99-2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benzo[b]fluorantheen (PAK); benzo[e]acefenantryleen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206-44-0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fluorantheen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207-08-9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benzo[k]fluorantheen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207122-15-4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hexabroomdifenylether; BDE-154</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207122-16-5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heptabroomdifenylether; BDE -183</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208-96-8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acenaftyleen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2104-64-5</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ethyl-p-nitrofenylthio-benzeenfosfenaat; EPN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21136-70-9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benzidine sulfaat; [1,1'-bifenyl]-4,4'-diamine 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214353-17-0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1-(2-amino-5-chloorfenyl)-2,2,2-trifluor-1,1-ethaandiol hydrochloride [met 0,1 procent of meer 4-chlooraniline (EC-nr. 203-401-0)]</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21436-97-5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2,4,5-trimethylanilinehydrochloride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218-01-9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chryseen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2227-13-6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tetrasul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2234-13-1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octachloornaftaleen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22398-80-7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indium fosfide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224-42-0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dibenz[a,j]acridine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226-36-8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dibenz[a,h]acridine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23593-75-1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clotrimazol; 1-(2-chloorfenyl)difenylmethyl-1-h-imidazol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2385-85-5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mirex</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2425-06-1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captafol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2440-02-0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heptachloornorborneen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2451-62-9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1,3,5-tris(oxiranylmethyl)-1,3,5-triazine-2,4,6(1H3H5H)-trion; TGIC</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24602-86-6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tridemorf; 2,6-dimethyl-4-tridecylmorfoline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2475-45-8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1,4,5,8-tetraaminoantrachinon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24937-79-9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polyvinylideenfluoride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25038-54-4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6-aminohexaanzuur (dimeer)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25086-15-1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polymethylmethacrylaat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25154-52-3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nonylfenolen en verwante verbindingen; NPs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25155-23-1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trixylyl fosfaat; TXP</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25167-70-8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2,4,4-trimethyl-1-penteen; diisobuteen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25214-70-4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oligomere reactieproducten van formaldehyde met aniline (technisch MDA)</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25321-09-9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diisopropylbenze(e)n(en)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25321-14-6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dinitrotolueen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25339-17-7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isodecanol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25340-17-4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diethylbenzeen (isomeren:1,2-;1,3-;1,4)</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2551-62-4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zwavelhexafluoride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25550-51-0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methylhexahydroftaalzuur anhydride (MHHPA)</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96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2580-56-5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[4-[[4-anilino-1-naftyl][4-(dimethylamino)fenyl]methyleen]cyclohexa-2,5-dien-1-ylidene] dimethylammonium chloride (C.I. Basic Blue 26) [met 0,1 procent of meer Michler's keton (EC nr. 202-027-5) of Michler's base (EC No. 202-959-2)]</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2602-46-2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tetranatrium-3,3'-[[1,1'-bifenyl]-4,4'-diylbis(azo)]bis[5-amino-4-hydroxynaftaleen-2,7-disulfonaat]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26140-60-3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terfenyl (gehydrogeneerd)</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26761-40-0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di-isodecyl-ftalaat; DIDP; diisodecylftalaat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2687-91-4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N-ethyl-2-pyrrolidon; 1-ethylpyrrolidin-2-one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27016-75-7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nikkelarsenide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27140-08-5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fenylhydrazinehydrochloride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27366-72-9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N,N-(dimethylamino)thioaceetamide hydrochloride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27458-92-0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isotrideca-1-ol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2795-39-3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kaliumheptadecafluoroctaan-1-sulfonaat; kaliumperfluoroctaansulfonaat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28553-12-0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diisononylftalaat; DINP</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28680-45-7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heptachloornorborneen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29081-56-9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ammoniumheptadecafluoroctaansulfonaat; ammoniumperfluoroctaansulfonaat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2915-52-8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didodecylmaleaat; dilauryl maleate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29457-72-5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lithiumheptadecafluoroctaansulfonaat; lithiumperfluoroctaansulfonaat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294-62-2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cyclododecaan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301-04-2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looddiacetaat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302-01-2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hydrazine; zouten van hydrazine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3033-77-0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2,3-epoxypropyltrimethylammoniumchloride; glycidyltrimethylammoniumchloride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307-55-1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perfluordodecanoaat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309-00-2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aldrin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3165-93-3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4-chloor-o-toluidinehydrochloride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319-84-6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alfa-HCH</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319-85-7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beta-HCH</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32241-08-0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heptachloornaftaleen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32534-81-9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pentabroomdifenyl 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32536-52-0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octabroomdifenylether; OctaBDE; commercieel octabroomdifenylether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330-54-1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diuron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330-55-2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linuron; 3-(3,4-dichloorfenyl)-1-methoxy-1-methylureum</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33213-65-9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beta-endosulfan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334-88-3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diazomethaan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335-57-9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hexadecafluorheptaan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335-67-1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perfluoroctaanzuur; decapentafluoroctaanzuur; PFOA</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3424-82-6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o,p-DDE isomeer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34590-94-8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dipropyleenglycolmonomethylether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35367-38-5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diflubenzuron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36065-30-2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1,3,5-tribroom-2-(2,3-dibroom-2-methylpropoxy)benzeen; 2,4,6-tribroomfenyl 2-methyl-2,3-dibroompropylether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36341-27-2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benzidine acetaat; [1,1'-bifenyl]-4,4'-diamine 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36355-01-8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hexabroombifenyl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36643-28-4</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de-DE" w:eastAsia="en-GB"/>
              </w:rPr>
            </w:pPr>
            <w:r w:rsidRPr="00F43C9B">
              <w:rPr>
                <w:rFonts w:ascii="Verdana" w:hAnsi="Verdana" w:cs="Arial"/>
                <w:sz w:val="18"/>
                <w:szCs w:val="18"/>
                <w:lang w:val="de-DE" w:eastAsia="en-GB"/>
              </w:rPr>
              <w:t>tributyltin-kation en tributyltin 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3687-31-8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trilooddiarsenaat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37240-96-3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loodrhodiumoxide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3724-43-4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chloor-N,N-dimethylformiminiumchloride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37244-98-7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perboorzuur natriumzout tetrahydraat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376-06-7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perfluortetradecanoaat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37894-46-5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etacelasil; 6-(2-chloorethyl)-6-(2-methoxyethoxy)-2,5,7,10-tetraoxa-6-silaundecaan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382-21-8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perfluorisobuteen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3825-26-1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ammonium pentadecafluoroctanoaat; APFO</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3843-16-1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distearyldimethylammonium-methosulfaat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39156-41-7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2,4-diaminoanisoolsulfaat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72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39300-45-3</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dinocap; (RS)-2,6-dinitro-4-octylfenylcrotonaten en (RS)-2,4-dinitro-6-octylfenylcrotonaten waarbij octyleen een mengsel is van 1-methylheptyl-, 1-ethylhexyl- en 1-propylpentylgroepen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39807-15-3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oxadiargyl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399-95-1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4-amino-3-fluorfenol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40722-80-3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(2-chloorethyl)(3-hydroxypropyl)ammoniumchloride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41083-11-8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azocyclotin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446255-22-7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heptabroomdifenylether; BDE -175</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463-58-1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carbonylsulfide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465-73-6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isodrin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470-90-6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chloorfenvinfos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48122-14-1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hexahydro-1-methylftaalzuur-anhydride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485-31-4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binapacryl; 2-sec-butyl-4,6-dinitrofenyl-3-methylcrotonaat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488-23-3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1,2,3,4-tetramethylbenzeen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4904-61-4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1,5,9-cyclododecatrieen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49690-63-3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tri-2,4-dibroomfenylfosfaat; tris(2,4-dibroomfenyl)fosfaat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50-00-0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formaldehyde; methanal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50-29-3</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s-ES" w:eastAsia="en-GB"/>
              </w:rPr>
            </w:pPr>
            <w:r w:rsidRPr="00F43C9B">
              <w:rPr>
                <w:rFonts w:ascii="Verdana" w:hAnsi="Verdana" w:cs="Arial"/>
                <w:sz w:val="18"/>
                <w:szCs w:val="18"/>
                <w:lang w:val="es-ES" w:eastAsia="en-GB"/>
              </w:rPr>
              <w:t>4,4-DDT isomeer; para-para-DDT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50-32-8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benzo[a]pyreen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50471-44-8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vinchlozolin; N-3,5-dichloorfenyl-5-methyl-5-vinyl-1,3-oxazolidine-2,4-dion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506-77-4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chloorcyaan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51000-52-3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ethenyl ester van neodecaanzuur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512-04-9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3beta,25R-spirost-5-en-3-ol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5131-66-8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1-butoxy-2-propanol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513-42-8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2-methylallylalcohol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513-79-1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kobaltcarbonaat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51594-55-9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(R)-1-chloor-2,3-epoxypropaan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51-79-6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urethaan; ethylcarbamaat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52033-74-6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fenylhydrazinesulfaat (2:1)</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52125-53-8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1,2-propaandiolmonoethylether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5216-25-1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p-chloorbenzotrichloride; α,α,α,4-tetrachloortolueen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527-53-7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1,2,3,5-tetramethylbenzeen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531-85-1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benzidine dihydrochloride; [1,1'-bifenyl]-4,4'-diamine hydrochloride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531-86-2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benzidine sulfaat; [1,1'-bifenyl]-4,4'-diamine 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5343-92-0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1,2-pentaandiol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53-70-3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dibenz[a,h]antraceen (PAK); dibenzo(a,h)-antraceen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540-59-0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1,2-dichlooretheen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540-73-8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1,2-dimethylhydrazine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541-02-6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decamethylcyclopentasiloxaan (d5)</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541-05-9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hexamethylcyclotrisiloxaan (d3)</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542-56-3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isobutylnitriet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542-88-1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bis(chloormethyl)ether; oxybis(chloormethaan)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5436-43-1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tetrabroomdifenylether; BDE-47</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548-62-9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C.I. Basic Violet 3 [met 0,1 procent of meer Michler's keton (EC nr. 202-027-5)]</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553-00-4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2-naftylamine acetaat; 2-naftaleenamine 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5543-57-7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(S)-3-(1-fenyl-3-oxobutyl)-4-hydroxy-2-benzopyron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5543-58-8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(R)-3-(1-fenyl-3-oxobutyl)-4-hydroxy-2-benzopyron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55525-54-7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N,N'-bis[(5-isocyanato-1,3,3-trimethylcyclohexyl)methyl]-ureum</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556-52-5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glycidol; 2,3-epoxypropaan-1-ol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556-67-2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octamethylcyclotetrasiloxaan (d4)</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557-05-1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zinkstearaat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5571-36-8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cyclisch 3-(1,2-ethaandiylacetaal)oestra-5(10),9(11)-dieen-3,17-dion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72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561-41-1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4,4'-bis(dimethylamino)-4''-(methylamino)trityl alcohol [met 0,1 procent of meer Michler's keton (EC nr. 202-027-5) of Michler's base (EC No. 202-959-2)]</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56-35-9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tributyltinoxide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563-80-4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3-methyl-2-butanon; methylisopropylketon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56-55-3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benz[a]antraceen (PAK); benzo[a]antraceen (PAK)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56-81-5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glycerol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569-61-9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4,4'-(4-iminocyclohexa-2,5-dienylideenmethyleen)dianilinehydrochloride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57044-25-4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2,3-epoxypropaan-1-ol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57110-29-9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hexahydro-3-methylftaalzuur-anhydride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57-14-7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N,N-dimethylhydrazine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57171-56-9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geethoxyleerd sorbitolhexaoleaat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573-58-0</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dinatrium-3,3'-[[1,1'-bifenyl]-4,4'-diylbis(azo)]bis(4-aminonaftaleen-1-sulfonaat)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57-55-6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1,2-propaandiol; propyleenglycol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57-57-8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1,3-propiolacton; 3-propanolide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57-74-9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chloordaan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581-89-5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2-nitronaftaleen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584-84-9</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1-methyl-2,4-fenyleen-diisocyanaat; tolueen-2,4-diisocyanaat; TDI</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58591-45-0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kobaltnikkeldioxide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58-89-9</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gamma-hexachloorcyclohexaan; gamma-HCH; lindaan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592-62-1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methyl-ONN-azoxymethylacetaat; methylazoxymethylacetaat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593-60-2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vinylbromide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59447-55-1</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(pentabroomfenyl)methylacrylaat; (pentabroomfenyl) methylester van 2-propeenzuur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59653-74-6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1,3,5-tris-[(2S en 2R)-2,3-epoxypropyl]-1,3,5-triazine-2,4,6-(1H3H5H)-trion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59-88-1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fenylhydrazinechloride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60-09-3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4-aminoazobenzeen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602-01-7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2,3-dinitrotolueen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602-87-9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5-nitroacenafteen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60-29-7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diethylether; ether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60-32-2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6-aminohexaanzuur (monomeer)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603-35-0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trifenylfosfine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60348-60-9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pentabroomdifenylether; BDE-99</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605-50-5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di-isopentylftalaat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60-57-1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dieldrin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606-20-2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2,6-dinitrotolueen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608-33-3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2,6-dibroomfenol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608-73-1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hexachloorcyclohexaan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608-93-5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pentachloorbenzeen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610-39-9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3,4-dinitrotolueen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612-52-2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2-naftylamine hydrochloride; 2-naftaleenamine hydrochloride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612-82-8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4,4'-bi-o-toluidine dihydrochloride; 3,3'-dimethylbenzidine dihydrochloride; 3,3'-dimethyl-[1,1'-bifenyl]-4,4'-diamine dihydrochloride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613-35-4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N,N'-diacetylbenzidine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615-05-4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4-methoxy-m-fenyleendiamine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615-58-7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2,4-dibroomfenol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61571-06-0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tetrahydrothiopyraan-3-carboxaldehyde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6180-61-6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fenoxypropanol; 3-fenoxy-1-propanol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618-85-9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3,5-dinitrotolueen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619-15-8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2,5-dinitrotolueen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620-14-4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1-methyl-3-ethylbenzeen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621-64-7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nitrosodipropylamine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62-53-3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aminobenzeen; aniline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625-45-6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methoxyazijnzuur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62-55-5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thioaceetamide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626-38-0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sec-amylacetaat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62-75-9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N-nitrosodimethylamine; dimethylnitrosoamine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627-93-0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dimethyladipaat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628-63-7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n-amylacetaat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629-14-1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1,2-diethoxyethaan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630-08-0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koolmonoxide (CO) (deze verbindingen heeft geen emissie-eis)</w:t>
            </w:r>
          </w:p>
        </w:tc>
        <w:tc>
          <w:tcPr>
            <w:tcW w:w="1423"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63148-62-9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siliconenolie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64-17-5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64-18-6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mierenzuur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64-19-7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azijnzuur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64475-85-0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white spirit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646-13-9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isobutylstearaat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64-67-5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diethylsulfaat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64-86-8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colchicine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64969-36-4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4,4'-bi-o-toluidine disulfaat; 3,3'-dimethylbenzidine disulfaat; 3,3'-dimethyl-[1,1'-bifenyl]-4,4'-diamine disulfaat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65229-23-4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nikkelboorfosfide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65277-42-1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1-[4-[4-[[(2SR,4RS)-2-(2,4-dichloorfenyl)-2-(imidazool-1-ylmethyl)-1,3-dioxolaan-4-yl]methoxy]fenyl]piperazine-1-yl]ethanon; ketoconazool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65321-67-7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tolueen-2,4-diammoniumsulfaat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14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65996-93-2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Pek koolteer, hoge temperatuur; Het residu dat wordt verkregen bij de destillatie van bij hoge temperatuur verkregen koolteer. Een zwarte vaste stof met een verwekingstraject van bij benadering 30°C tot 180°C. Voornamelijk samengesteld uit een complexe verzameling van aromatische koolwaterstoffen met drie- of meervoudig gecondenseerde ringen.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65997-15-1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Portland cement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66-81-9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cycloheximide; 4-{(2R)-2-[(1S,3S,5S)-3,5-dimethyl-2-oxocyclohexyl]-2-hydroxyethyl}}piperidine-2,6-dion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67-56-1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67-63-0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2-propanol; iso-propanol; isopropylalcohol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67-64-1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aceton; propanon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67-66-3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chloroform; trichloormethaan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72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6786-83-0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α,α-bis[4-(dimethylamino)fenyl]-4 (fenylamino)naftaleen-1-methanol (C.I. Solvent Blue 4) [met 0,1 procent of meer Michler's keton (EC nr. 202-027-5) of Michler's base (EC No. 202-959-2)]</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68016-03-5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kobaltdimolybdeennikkeloctaoxide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680-31-9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hexamethylfosforamide; hexamethylfosforzuurtriamide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6804-07-5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carbadox</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68049-83-2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azafenidin; 2-(2,4-dichloor-5-prop-2-ynyloxyfenyl)-5,6,7,8-tetrahydro-1,2,4-triazool[4,3-a]pyridin-3(2H)-one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6807-17-6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4,4-isobutylethylideendifenol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68-12-2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N,N-dimethylformamide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68186-89-0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kobaltnikkel grijze periklaas: C.I. Pigment black 25; C.I. 77332</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68515-42-4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1.2-benzeendicarboxylzuur; di-C7-11 vertakte en lineaire alkylesters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68631-49-2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hexabroomdifenylether; BDE-153</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69029-86-3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tellurium en -verbindingen, berekend als Te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69806-50-4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fluazifop-butyl; butyl-2-[4-[[5-(trifluormethyl)-2-pyridyl]oxy]fenoxy]propionaat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70124-77-5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flucythrinaat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70225-14-8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diethanolamineperfluoroctaansulfonaat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70-25-7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1-methyl-3-nitro-1-nitrosoguanidine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70657-70-4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2-methoxypropylacetaat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70776-03-3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polychloornaftalenen; PCNs; chloorderivaten van naftaleen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70987-78-9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(S)-oxiraanmethanol 4-methylbenzeensulfonaat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71-23-8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n-propenol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71-36-3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butylalcohol; n-butanol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71-43-2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71-48-7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kobaltacetaat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71888-89-6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1,2-benzeendicarbonzuur; C7-rijk di-C6-8-vertakte alkylesters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72-20-8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endrin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72-43-5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methoxychloor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72629-94-8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perfluortridecanoaat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732-26-3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2;4;6-tri-tert-butylfenol; dodecylfenol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7397-62-8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butylglycolaat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7439-97-6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kwik en kwikverbindingen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7440-25-7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tantaal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7440-28-0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thallium en -verbindingen, berekend als Tl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7440-41-7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beryllium en berylliumverbindingen berekend als Be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7440-65-5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yttrium</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7440-67-7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zirkoon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74646-29-0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trinikkelbis(arseniet)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74753-18-7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4,4'-bi-o-toluidine sulfaat; 3,3'-dimethylbenzidine sulfaat; 3,3'-dimethyl-[1,1'-bifenyl]-4,4'-diamine 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74-85-1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74-86-2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acetyleen; ethyn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74-87-3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chloormethaan; methylchloride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74-89-5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aminomethaan; methylamine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74-90-8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blauwzuurgas; cyaanwaterstof; HCN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75-00-3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chloorethaan; ethylchloride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75-01-4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vinylchloride; chlooretheen; chloorethyleen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75-04-7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aminoethaan; ethylamine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75-05-8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acetonitril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75-07-0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aceetaldehyde; ethanal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75-09-2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dichloormethaan; methyleenchloride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75113-37-0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di-µ-oxo-di-n-butylstannio-hydroxyboraan; dibutyltinhydrogeenboraat; dibutyltinwaterstofboraat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75-12-7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formamide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75-15-0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koolstofdisulfide; zwavelkoolstof</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75-18-3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dimethylmercaptaan; thiobismethaan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75-21-8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1,2-epoxyethaan; ethyleenoxide; oxiraan; etheenoxide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75-25-2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tribroommethaan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75-26-3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2-broompropaan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75-27-4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broomdichloormethaan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75-28-5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isobutaan [met 0,1 procent of meer butadieen (203-450-8)]</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75-29-6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2-chloorpropaan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75-34-3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1,1-dichloorethaan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75-35-4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1,1-dichlooretheen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75-38-7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1,1-difluoretheen; vinylideenfluoride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75-44-5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fosgeen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75-52-5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nitromethaan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75-55-8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2-methylaziridine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75-56-9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propyleenoxide; methyloxiraan; 1,2-epoxypropaan; propeenoxide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75-65-0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2-methyl-2-propanol; tert-butanol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75-73-0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koolstoftetrafluoride; methaantetrafluoride; tetrafluormethaan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75-91-2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1,1-dimethylethyl-hydroperoxide; tertiairbutylhydroperoxide; TBHP</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76-01-7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pentachloorethaan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7601-90-3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perchloorzuur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76-16-4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hexafluorethaan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76-19-7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octafluorpropaan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7631-86-9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siliciumdioxide (amorf)</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7632-04-4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natriumperoxometaboraat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7637-07-2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boriumtrifluoride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764-41-0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1,4-dichloorbut-2-een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76-44-8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heptachloor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7646-79-9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kobaltchloride; kobaltdichloride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7646-85-7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zinkchloride (rook)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7647-01-0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zoutzuur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7664-38-2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fosforzuur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7664-39-3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waterstoffluoride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7664-41-7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ammoniak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7664-93-9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zwavelzuur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76-87-9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fentinhydroxide; trifenyltinhydroxide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7697-37-2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salpeterzuur (nevels)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77-09-8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fenolftaleïne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77182-82-2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glufosinaat-ammonium; ammonium-2-amino-4-(hydroxymethylfosfinyl)butyraat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77402-03-0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methylacrylamidomethoxyacetaat [met 0,1 procent of meer acrylamide]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77402-05-2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methylacrylamidoglycolaat [met 0,1 procent of meer acrylamide]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77-47-4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1,2,3,4,5,5-hexachloor(1,3-)cyclopentadieen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7758-01-2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kaliumbromaat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776297-69-9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N-pentyl-isopentylftalaat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77-78-1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dimethylsulfaat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7778-39-4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arseenzuur; zouten van arseenzuur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7778-44-1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calciumarsenaat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7782-41-4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fluor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7782-42-5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grafiet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7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7782-50-5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chloorgas (Cl</w:t>
            </w:r>
            <w:r w:rsidRPr="0078700F">
              <w:rPr>
                <w:rFonts w:ascii="Verdana" w:hAnsi="Verdana" w:cs="Arial"/>
                <w:sz w:val="18"/>
                <w:szCs w:val="18"/>
                <w:vertAlign w:val="subscript"/>
                <w:lang w:val="en-GB" w:eastAsia="en-GB"/>
              </w:rPr>
              <w:t>2</w:t>
            </w:r>
            <w:r w:rsidRPr="0078700F">
              <w:rPr>
                <w:rFonts w:ascii="Verdana" w:hAnsi="Verdana" w:cs="Arial"/>
                <w:sz w:val="18"/>
                <w:szCs w:val="18"/>
                <w:lang w:val="en-GB" w:eastAsia="en-GB"/>
              </w:rPr>
              <w: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7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7782-65-2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germaniumhydride (GeH</w:t>
            </w:r>
            <w:r w:rsidRPr="0078700F">
              <w:rPr>
                <w:rFonts w:ascii="Verdana" w:hAnsi="Verdana" w:cs="Arial"/>
                <w:sz w:val="18"/>
                <w:szCs w:val="18"/>
                <w:vertAlign w:val="subscript"/>
                <w:lang w:val="en-GB" w:eastAsia="en-GB"/>
              </w:rPr>
              <w:t>4</w:t>
            </w:r>
            <w:r w:rsidRPr="0078700F">
              <w:rPr>
                <w:rFonts w:ascii="Verdana" w:hAnsi="Verdana" w:cs="Arial"/>
                <w:sz w:val="18"/>
                <w:szCs w:val="18"/>
                <w:lang w:val="en-GB" w:eastAsia="en-GB"/>
              </w:rPr>
              <w: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7783-06-4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waterstofsulfide; zwavelwaterstof</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7783-54-2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stikstoftrifluoride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7783-61-1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siliciumtetrafluoride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7784-40-9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sz w:val="18"/>
                <w:szCs w:val="18"/>
                <w:lang w:val="en-GB" w:eastAsia="en-GB"/>
              </w:rPr>
            </w:pPr>
            <w:r w:rsidRPr="0078700F">
              <w:rPr>
                <w:rFonts w:ascii="Verdana" w:hAnsi="Verdana"/>
                <w:sz w:val="18"/>
                <w:szCs w:val="18"/>
                <w:lang w:val="en-GB" w:eastAsia="en-GB"/>
              </w:rPr>
              <w:t>loodhydrogeenarsenaat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7784-42-1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arseenwaterstof (arsine)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7789-75-5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calciumfluoride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7790-79-6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cadmiumfluoride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7803-51-2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fosforwaterstof (fosfine)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7803-57-8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hydraten van hydrazine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7803-62-5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siliciumtetrahydride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78-10-4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ethylsilicaat; tetraethylorthosilicaat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78-59-1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3,5,5-trimethyl-2-cyclohexeen-1-on; isoforon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78-79-5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isopreen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78-83-1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i-butanol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78-87-5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1,2-dichloorpropaan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789-02-6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2,4-DDT isomeer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78-92-2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2-butanol; sec-butanol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78-93-3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2-butanon; ethylmethylketon; methylethylketon; MEK</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79-00-5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1,1,2-trichloorethaan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79-01-6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trichlooretheen; trichloorethyleen; TRI</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79-06-1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acrylamide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79-09-4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propaanzuur; propionzuur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79-10-7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acrylzuur; propeenzuur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79-11-8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chloorazijnzuur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79-16-3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N-methylacetamide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79-20-9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azijnzuurmethylester; methylacetaat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79-21-0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perazijnzuur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79-24-3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nitroethaan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79-27-6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1,1,2,2- tetrabroomethaan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79-29-8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2,3-dimethylbutaan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793-24-8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N-(1,3-dimethylbutyl)-N'-fenyl-1,4-benzeendiamine; 4-(dimethylbutylamino) difenylamine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79-34-5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1,1,2,2-tetrachloorethaan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79-44-7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dimethylcarbamoylchloride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79-46-9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2-nitropropaan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79-94-7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tetrabroombisfenol A</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8001-35-2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toxafeen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80-05-7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bisfenol A; 2,2-bis (4-hydroxyfenyl)propaan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80387-97-9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2-ethylhexyl-[[[3,5-bis(1,1-dimethylethyl)-4-hydroxyfenyl]methyl]thio]acetaat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80-62-6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methacrylzuurmethylester; methyl-(2-methyl)-propenoaat; methylmethacrylaat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81-15-2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muskus-xyleen; 5-tert-butyl-2,4,6-trinitro-m-xyleen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81-81-2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warfarine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822-06-0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1,6-hexaandiisocyanaat; hexamethyleendiisocyanaat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82413-20-5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(E)-3-[1-[4-[2-(dimethylamino)ethoxy]fenyl]-2-fenylbut-1-enyl]fenol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83-32-9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acenafteen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838-88-0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4,4'-methyleendi-o-toluidine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84245-12-5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N-[6,9-dihydro-9-[[2-hydroxy-1-(hydroxymethyl)ethoxy]methyl]-6-oxo-1H-purin-2-yl]acetamide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84540-57-8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methoxypropylaceta(a)t(en)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84-69-5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di(2-methylpropyl)ftalaat; diisobutylftalaat; di-iso-butylftalaat; DIBP</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84-74-2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dibutylftalaat; DBP</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84-75-3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dihexylftalaat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84-76-4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dinonylftalaat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84777-06-0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vertakte en lineaire dipentylesters van 1,2-benzeendicarbonzuur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84929-62-4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ricinusolie-ethoxylaat (met 15 ethyleenoxide-eenheden)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85-01-8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fenantreen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85136-74-9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6-hydroxy-1-(3-isopropoxypropyl)-4-methyl-2-oxo-5-[4-(fenylazo)fenylazo]-1,2-dihydro-3-pyridinecarbonitril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85-22-3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pentabroomethylbenzeen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85-42-7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hexahydroftaalzuur-anhydride; cyclohexaan-1,2-dicarbonzuuranhydride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85-44-9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ftaalzuuranhydride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85509-19-9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flusilazool; bis(4-fluorfenyl)(methyl)(1H-1,2,4-triazol-1-ylmethyl)silane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51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85535-84-8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C</w:t>
            </w:r>
            <w:r w:rsidRPr="0078700F">
              <w:rPr>
                <w:rFonts w:ascii="Verdana" w:hAnsi="Verdana" w:cs="Arial"/>
                <w:sz w:val="18"/>
                <w:szCs w:val="18"/>
                <w:vertAlign w:val="subscript"/>
                <w:lang w:eastAsia="en-GB"/>
              </w:rPr>
              <w:t>10-13</w:t>
            </w:r>
            <w:r w:rsidRPr="0078700F">
              <w:rPr>
                <w:rFonts w:ascii="Verdana" w:hAnsi="Verdana" w:cs="Arial"/>
                <w:sz w:val="18"/>
                <w:szCs w:val="18"/>
                <w:lang w:eastAsia="en-GB"/>
              </w:rPr>
              <w:t>-chlooralkanen; kortketenige gechloreerde paraffines; SCCP's; C10-13 alifatische chloorkoolwaterstoffen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85-68-7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benzylbutylftalaat; BBP</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872-50-4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N-methyl-2-pyrrolidon; 1-methyl-2-pyrrolidon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87-61-6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1,2,3-trichloorbenzeen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87-68-3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hexachloorbutadieen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87-86-5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pentachloorfenol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88-72-2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2-nitrotolueen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88-85-7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dinoseb; 6-(1-methylpropyl)-2,4-dinitrofenol; zouten en esters van dinoseb</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90-04-0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o-anisidine; 2-methoxyaniline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9016-45-9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nonylfenolethoxylaten en verwante verbindingen; NPEs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96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90640-80-5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antraceenolie, Een complexe verzameling polycyclische aromatische koolwaterstoffen die wordt verkregen uit koolteer met een destillatietraject van ongeveer 300°C tot 400°C. Voornamelijk samengesteld uit fenantreen antraceen en carbazool.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96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90640-81-6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eastAsia="en-GB"/>
              </w:rPr>
              <w:t xml:space="preserve">antraceenolie, fractie, De antraceenrijke vaste stof die wordt verkregen door de kristallisatie en centrifugatie van antraceenolie. </w:t>
            </w:r>
            <w:r w:rsidRPr="0078700F">
              <w:rPr>
                <w:rFonts w:ascii="Verdana" w:hAnsi="Verdana" w:cs="Arial"/>
                <w:sz w:val="18"/>
                <w:szCs w:val="18"/>
                <w:lang w:val="en-GB" w:eastAsia="en-GB"/>
              </w:rPr>
              <w:t>Bestaat voornamelijk uit antraceen carbazool en fenantreen. antraceenolie, antraceenpasta</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96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90640-82-7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antraceenolie, fractie, De olie die resteert na de verwijdering, door middel van een kristallisatieproces, van een antraceenrijke vaste stof (antraceenpasta) uit antraceenolie. Bestaat voornamelijk uit aromatische verbindingen met twee, drie of vier ringen. antraceenolie, antraceenarm</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90-72-2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2,4,6-tri(dimethylaminomethyl)fenol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90-94-8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4,4'-bis(dimethylamino)benzofenon; Michler's keton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7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91079-47-9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fenolen C</w:t>
            </w:r>
            <w:r w:rsidRPr="0078700F">
              <w:rPr>
                <w:rFonts w:ascii="Verdana" w:hAnsi="Verdana" w:cs="Arial"/>
                <w:sz w:val="18"/>
                <w:szCs w:val="18"/>
                <w:vertAlign w:val="subscript"/>
                <w:lang w:val="en-GB" w:eastAsia="en-GB"/>
              </w:rPr>
              <w:t>9-11</w:t>
            </w:r>
            <w:r w:rsidRPr="0078700F">
              <w:rPr>
                <w:rFonts w:ascii="Verdana" w:hAnsi="Verdana" w:cs="Arial"/>
                <w:sz w:val="18"/>
                <w:szCs w:val="18"/>
                <w:lang w:val="en-GB" w:eastAsia="en-GB"/>
              </w:rPr>
              <w:t>-; gedestilleerde fenolen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91-08-7</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1-methyl-2,6-fenyleen-diisocyanaat; tolueen-2,6-diisocyanaat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91-17-8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bicyclo(4,4,0)decaan; decahydronaftaleen; decaline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91-20-3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naftaleen; naftaline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91-22-5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quinoline; chinoline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91-23-6</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2-nitroanisool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91-59-8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2-naftylamine; 2-naftaleenamine; zouten van 2-naftylamine; zouten van 2-naftaleenamine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91-94-1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3,3-dichloorbenzidine; zouten van 3,3-dichloorbenzidine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91-95-2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bifenyl-3,3',4,4'-tetrayltetraamine; diaminobenzidine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120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91995-15-2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antraceenolie, fractie, Een complexe verzameling koolwaterstoffen uit de destillatie van antraceen die wordt verkregen door de kristallisatie van antraceenolie uit bitumineuze hoge-temperatuur-teer, met een kooktraject van ongeveer 330 °C tot 350 °C. Bevat hoofdzakelijk antraceen carbazool en fenantreen. antraceenolie, antraceenpasta, antraceenfractie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14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91995-17-4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antraceenolie, fractie, Een complexe verzameling koolwaterstoffen uit de destillatie van antraceen die wordt verkregen door de kristallisatie van antraceenolie uit bitumineuze hoge-temperatuur-teer, met een kooktraject van ongeveer 290 °C tot 340 °C. Bevat hoofdzakelijk tricyclische aromaten en dihydroderivaten daarvan. antraceenolie, antraceenpasta, lichte destillatiefracties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92-52-4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bifenyl; difenyl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92-67-1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4-aminobifenyl; xenylamine; zouten van 4-aminobifenyl; zouten van xenylamine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92-87-5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benzidine; 4,4'-diaminobifenyl; zouten van benzidine; zouten van 4,4'-diaminobifenyl;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92-93-3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4-nitrobifenyl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93-58-3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benzoëzuurmethylester; methylbenzoaat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94551-87-8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ontkoperd afvalslik en bezinksel van elektrolytische koperzuivering</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94-59-7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5-allyl-1,3-benzodioxoo; safrool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94723-86-1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2-butyryl-3-hydroxy-5-thiocyclohexaan-3-ylcyclohex-2-een-1-on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95-06-7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sulfallaat; 2-chloorallyldiethyldithiocarbamaat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95-50-1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1,2-dichloorbenzeen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95-53-4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o-toluidine; 2-aminotolueen; 2-methylbenzeenamine; zouten van o-toluidine; zouten van 2-aminotolueen; zouten van 2-methylbenzeenamine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95-69-2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4-chloor-o-toluidine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95-80-7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4-methyl-m-fenyleendiamine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95-92-1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diethyloxalaat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95-93-2</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1,2,4,5-tetramethylbenzeen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959-98-8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alfa-endosulfan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96-09-3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(epoxyethyl)benzeen; fenyloxiraan; styreenoxide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96-12-8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dibroomchloorpropaan; 1,2-dibroom-3-chloorpropaan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96-13-9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2,3-dibroompropaan-1-ol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96-18-4</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1,2,3-trichloorpropaan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96-22-0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3-pentanon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96-23-1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1,3-dichloorpropaan-2-ol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96-33-3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acrylzuurmethylester; methylacrylaat; methylpropenoaat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96-45-7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ethyleenthioureum; ETU; imidazolidine-2-thion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96-48-0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γ-butyrolacton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97-56-3</w:t>
            </w: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s-ES" w:eastAsia="en-GB"/>
              </w:rPr>
            </w:pPr>
            <w:r w:rsidRPr="00F43C9B">
              <w:rPr>
                <w:rFonts w:ascii="Verdana" w:hAnsi="Verdana" w:cs="Arial"/>
                <w:sz w:val="18"/>
                <w:szCs w:val="18"/>
                <w:lang w:val="es-ES" w:eastAsia="en-GB"/>
              </w:rPr>
              <w:t>o-aminoazotolueen; 4-amino-2',3-dimethylazobenzeen; 4-o-tolylazo-o-toluidine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97-64-3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ethyllactaat; ethyl-α-hydroxypropionaat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97-88-1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n-butylmethacrylaat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98-00-0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2-hydroxymethylfuran; furfurylalcohol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98-01-1</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2-furaldehyde; furfural; furfurol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98-07-7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benzotrichloride; trichloormethylbenzeen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98-55-5</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α-terpineol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98-73-7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4-tert-butylbenzoëzuur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98-82-8</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cumeen; isopropylbenzeen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98-83-9</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isopropenylbenzeen; α-methylstyreen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98-87-3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benzalchloride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98-95-3</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nitrobenzeen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99-62-7</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m-diisopropylbenzeen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996-35-0</w:t>
            </w: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dimethylisopropylamine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6-aminohexaanzuur (trimeer)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aardolie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alifatisch koolwaterstofmengsel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51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alkoholethyleen-oxide-fosfaatester (mengsel van C</w:t>
            </w:r>
            <w:r w:rsidRPr="0078700F">
              <w:rPr>
                <w:rFonts w:ascii="Verdana" w:hAnsi="Verdana" w:cs="Arial"/>
                <w:sz w:val="18"/>
                <w:szCs w:val="18"/>
                <w:vertAlign w:val="subscript"/>
                <w:lang w:eastAsia="en-GB"/>
              </w:rPr>
              <w:t>12</w:t>
            </w:r>
            <w:r w:rsidRPr="0078700F">
              <w:rPr>
                <w:rFonts w:ascii="Verdana" w:hAnsi="Verdana" w:cs="Arial"/>
                <w:sz w:val="18"/>
                <w:szCs w:val="18"/>
                <w:lang w:eastAsia="en-GB"/>
              </w:rPr>
              <w:t>/C</w:t>
            </w:r>
            <w:r w:rsidRPr="0078700F">
              <w:rPr>
                <w:rFonts w:ascii="Verdana" w:hAnsi="Verdana" w:cs="Arial"/>
                <w:sz w:val="18"/>
                <w:szCs w:val="18"/>
                <w:vertAlign w:val="subscript"/>
                <w:lang w:eastAsia="en-GB"/>
              </w:rPr>
              <w:t>14</w:t>
            </w:r>
            <w:r w:rsidRPr="0078700F">
              <w:rPr>
                <w:rFonts w:ascii="Verdana" w:hAnsi="Verdana" w:cs="Arial"/>
                <w:sz w:val="18"/>
                <w:szCs w:val="18"/>
                <w:lang w:eastAsia="en-GB"/>
              </w:rPr>
              <w:t xml:space="preserve"> mono- di- en trimeren)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alkylalcoholen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loodalkylen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aluminium en -verbindingen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aluminiumsilicaat vuurvaste keramische vezels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antimoon en -verbindingen, berekend als Sb</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aromatisch koolwaterstofmengsel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arseen- en arseenverbindingen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azokleurstoffen op basis van benzidine; 4,4-diarylazobifenylkleurstoffen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azokleurstoffen op basis van o-dianisidine; 4,4'-diarylazo-3,3'-dimethoxybifenylkleurstoffen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azokleurstoffen op basis van o-tolidine; 4,4'-diarylazo-3,3'-dimethylbifenylkleurstoffen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barium en -verbindingen, berekend als Ba</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benzylbutylftalaat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borium en stofvormige boriumverbindingen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broom en broomverbindingen, berekend als HBr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cadmium en cadmiumverbindingen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en-GB" w:eastAsia="en-GB"/>
              </w:rPr>
            </w:pPr>
            <w:r w:rsidRPr="00F43C9B">
              <w:rPr>
                <w:rFonts w:ascii="Verdana" w:hAnsi="Verdana" w:cs="Arial"/>
                <w:sz w:val="18"/>
                <w:szCs w:val="18"/>
                <w:lang w:val="en-GB" w:eastAsia="en-GB"/>
              </w:rPr>
              <w:t>calciumverbindingen, m.u.v. calciumoxide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F43C9B" w:rsidRDefault="00F43C9B" w:rsidP="00F43C9B">
            <w:pPr>
              <w:shd w:val="clear" w:color="auto" w:fill="D9D9D9" w:themeFill="background1" w:themeFillShade="D9"/>
              <w:rPr>
                <w:rFonts w:ascii="Verdana" w:hAnsi="Verdana" w:cs="Arial"/>
                <w:sz w:val="18"/>
                <w:szCs w:val="18"/>
                <w:lang w:val="de-DE" w:eastAsia="en-GB"/>
              </w:rPr>
            </w:pPr>
            <w:r w:rsidRPr="00F43C9B">
              <w:rPr>
                <w:rFonts w:ascii="Verdana" w:hAnsi="Verdana" w:cs="Arial"/>
                <w:sz w:val="18"/>
                <w:szCs w:val="18"/>
                <w:lang w:val="de-DE" w:eastAsia="en-GB"/>
              </w:rPr>
              <w:t>chloorbenzenen m.u.v. 1,2-dichloorbenzeen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chloorverbindingen, berekend als HCl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chroom en -verbindingen (m.u.v. Cr(VI)-verbindingen), berekend als Cr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cresolen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cyaniden, berekend als CN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dichloorfenol(en)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dichloorsiliciumdihydride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ester van penta-erythritol en C9-C10-vetzuur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ethoxypropylaceta(a)t(en)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fluoriden, berekend als F</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fluorspar</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fluorverbindingen, berekend als HF</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gebromeerde brandvertragers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geëthoxyleerd 4-(1,1,3,3-tetramethylbutyl)fenol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geëthoxyleerd lineair en vertakt 4-nonylfenol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gesulfateerde plantaardige olie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glaswolvezels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houtstof (deeltjes &lt;10 μm)</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hydrazinebis(3-carboxy-4-hydroxybenzeensulfonaat)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hydrazine-trinitromethaan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iso-octyl/nonyl-fenyl-polyglycolether (met 5 ethyleenoxide-eenheden)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keramische vezels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kobalt(rook) en -verbindingen, berekend als Co</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kobaltlithiumnikkeloxide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koper en -verbindingen, uitgezonderd koperrook, berekend als Cu</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koperrook, berekend als Cu</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lood en anorganische loodverbindingen, berekend als Pb</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magnesiumverbindingen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mangaan(rook) en -verbindingen, berekend als Mn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mengsel van 4-[[bis-(4-fluorfenyl)methylsilyl]methyl]-4H-1,2,4-triazool en 1-[[bis-(4-fluorfenyl)methylsilyl]methyl]-1H-1,2,4-triazool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72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mengsel van dimethyl(2-(hydroxymethylcarbamoyl)ethyl)fosfonaat, diethyl(2-(hydroxymethylcarbamoyl)ethyl)fosfonaat en methylethyl(2-(hydroxymethylcarbamoyl)ethyl)fosfonaat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14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mengsel van dinatrium-4-(3-ethoxycarbonyl-4-(5-(3-ethoxycarbonyl-5-hydroxy-1-(4-sulfonatofenyl)pyrazool-4-yl)penta-2,4-dienylideen)-4,5-dihydro-5-oxopyrazool-1-yl)benzeensulfonaat en trinatrium-4-(3-ethoxycarbonyl-4-(5-(3-ethoxycarbonyl-5-oxido-1-(4-sulfonatofenyl)pyrazool-4-yl)penta-2,4-dienylideen)-4,5-dihydro-5-oxopyrazool-1-yl)benzeensulfonaat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120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mengsel van N-[3-hydroxy-2-(2-methyl-acryloylamino-methoxy)-propoxymethyl]-2-methyl-acrylamide, N-[2,3-bis-(2-methyl-acryloylamino-methoxy)propoxymethyl]-2-methylacrylamide, methacrylamide, 2-methyl-N-(2-methyl-acryloylamino-methoxy-methyl)-acrylamide en N-(2,3-dihydroxy-propoxymethyl)-2-methyl-acrylamide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96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mengsel van: 1,3,5-tris(3-aminomethylfenyl)-1,3,5-(1H3H5H)-triazine-2,4,6-trion; mengsel van oligomeren van 3,5-bis(3-aminomethylfenyl)-1-poly[3,5-bis(3-aminomethylfenyl)-2,4,6-trioxo-1,3,5-(1H3H5H)-triazin-1-yl]-1,3,5-(1H3H5H)-triazine-2,4,6-trion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mercaptanen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methylfenolen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72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eastAsia="en-GB"/>
              </w:rPr>
              <w:t xml:space="preserve">methylfenyleendiamine; diaminotolueen; [technisch product - mengsel van 4-methyl-m-fenyleendiamine (EU-nr. </w:t>
            </w:r>
            <w:r w:rsidRPr="0078700F">
              <w:rPr>
                <w:rFonts w:ascii="Verdana" w:hAnsi="Verdana" w:cs="Arial"/>
                <w:sz w:val="18"/>
                <w:szCs w:val="18"/>
                <w:lang w:val="en-GB" w:eastAsia="en-GB"/>
              </w:rPr>
              <w:t>202-453-1) en 2-methyl-m-fenyleendiamine (EU nr. 212-513-9)</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molybdeen en -verbindingen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nikkel en nikkelverbindingen, berekend als Ni</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nitrocresolen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nitrofenolen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nitrotolue(e)n(en)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O-hexyl-N-ethoxycarbonylthiocarbamaat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olefinische koolwaterstoffen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organische loodverbindingen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organotinverbindingen; tinverbindingen organisch</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zie bijlage 12b</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PAKs; polycyclische aromatische koolwaterstoffen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palladium en -verbindingen, berekend als Pd</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315"/>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paraffine-olie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paraffinische koolwaterstoffen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pinenen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platina en niet wateroplosbare verbindingen, berekend als Pt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platinaverbindingen, berekend als Pt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polybroomdibenzodioxines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polybroomdibenzofuranen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polychloordibenzodioxines; polychloordibenzo-p-dioxinen; PCDD's; dioxine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polychloordibenzofuranen; PCDF's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polyethyleenglycol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sO</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polyhalogeen-dibenzodioxines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polyhalogeen-dibenzofuranen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ERS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polyvinylalcohol</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rhodium en niet wateroplosbare -verbindingen, berekend als Rh</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seleen en -verbindingen, berekend als Se</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fr-FR" w:eastAsia="en-GB"/>
              </w:rPr>
            </w:pPr>
            <w:r w:rsidRPr="0078700F">
              <w:rPr>
                <w:rFonts w:ascii="Verdana" w:hAnsi="Verdana" w:cs="Arial"/>
                <w:sz w:val="18"/>
                <w:szCs w:val="18"/>
                <w:lang w:val="fr-FR" w:eastAsia="en-GB"/>
              </w:rPr>
              <w:t>silicavezels, m.n. cristoballiet en tridymiet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slakkenwolvezels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steenwolvezels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sA.2</w:t>
            </w:r>
          </w:p>
        </w:tc>
      </w:tr>
      <w:tr w:rsidR="00F43C9B" w:rsidRPr="0078700F" w:rsidTr="00F43C9B">
        <w:trPr>
          <w:trHeight w:val="27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stikstofoxiden, berekend als NO</w:t>
            </w:r>
            <w:r w:rsidRPr="0078700F">
              <w:rPr>
                <w:rFonts w:ascii="Verdana" w:hAnsi="Verdana" w:cs="Arial"/>
                <w:sz w:val="18"/>
                <w:szCs w:val="18"/>
                <w:vertAlign w:val="subscript"/>
                <w:lang w:val="en-GB" w:eastAsia="en-GB"/>
              </w:rPr>
              <w:t>2</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gA.5</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stof</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thioalcoholen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thioethers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tin en anorganische tinverbindingen, berekend als Sn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trichloorfenolen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trimethylbenzeen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trimethylbromaat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vanadium, -legeringen en -carbide, berekend als V</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sA.3</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vanadiumverbindingen, m.n. vanadiumoxiden, -haliden, -sulfaten, en vanadaten, berekend als V</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120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vuurvaste keramische vezels, vezels voor speciale toepassingen, met uitzondering van minerale wol zoals gedefinieerd in bijlage VI van de EU-CLP/GHS [synthetische (silicaat)glasvezels met een willekeurige oriëntatie en een gehalte aan alkali- en aardalkalioxiden (Na2O plus K2O plus CaO plus MgO plus BaO) van ten hoogste 18 gewichtsprocent]</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wateroplosbare rhodiumverbindingen, berekend als Rh</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xylenen</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gO.2</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zilver en -verbindingen, berekend als Ag</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sA.1</w:t>
            </w:r>
          </w:p>
        </w:tc>
      </w:tr>
      <w:tr w:rsidR="00F43C9B" w:rsidRPr="0078700F" w:rsidTr="00F43C9B">
        <w:trPr>
          <w:trHeight w:val="48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zink en -verbindingen, m.u.v. zinkchromaat [13530-65-9] en zinkchloride (rook) [7646-85-7]</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S</w:t>
            </w:r>
          </w:p>
        </w:tc>
      </w:tr>
      <w:tr w:rsidR="00F43C9B" w:rsidRPr="0078700F" w:rsidTr="00F43C9B">
        <w:trPr>
          <w:trHeight w:val="240"/>
        </w:trPr>
        <w:tc>
          <w:tcPr>
            <w:tcW w:w="1354" w:type="dxa"/>
            <w:tcBorders>
              <w:top w:val="nil"/>
              <w:left w:val="single" w:sz="8" w:space="0" w:color="auto"/>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eastAsia="en-GB"/>
              </w:rPr>
            </w:pPr>
            <w:r w:rsidRPr="0078700F">
              <w:rPr>
                <w:rFonts w:ascii="Verdana" w:hAnsi="Verdana" w:cs="Arial"/>
                <w:sz w:val="18"/>
                <w:szCs w:val="18"/>
                <w:lang w:eastAsia="en-GB"/>
              </w:rPr>
              <w:t>zirkonium aluminiumsilicaat vuurvaste keramische vezels</w:t>
            </w:r>
          </w:p>
        </w:tc>
        <w:tc>
          <w:tcPr>
            <w:tcW w:w="1423" w:type="dxa"/>
            <w:tcBorders>
              <w:top w:val="nil"/>
              <w:left w:val="nil"/>
              <w:bottom w:val="nil"/>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ZZS</w:t>
            </w:r>
          </w:p>
        </w:tc>
        <w:tc>
          <w:tcPr>
            <w:tcW w:w="1317" w:type="dxa"/>
            <w:tcBorders>
              <w:top w:val="nil"/>
              <w:left w:val="nil"/>
              <w:bottom w:val="nil"/>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MVP 1</w:t>
            </w:r>
          </w:p>
        </w:tc>
      </w:tr>
      <w:tr w:rsidR="00F43C9B" w:rsidRPr="0078700F" w:rsidTr="00F43C9B">
        <w:trPr>
          <w:trHeight w:val="285"/>
        </w:trPr>
        <w:tc>
          <w:tcPr>
            <w:tcW w:w="1354" w:type="dxa"/>
            <w:tcBorders>
              <w:top w:val="nil"/>
              <w:left w:val="single" w:sz="8" w:space="0" w:color="auto"/>
              <w:bottom w:val="single" w:sz="8" w:space="0" w:color="auto"/>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p>
        </w:tc>
        <w:tc>
          <w:tcPr>
            <w:tcW w:w="5573" w:type="dxa"/>
            <w:tcBorders>
              <w:top w:val="nil"/>
              <w:left w:val="nil"/>
              <w:bottom w:val="single" w:sz="8" w:space="0" w:color="auto"/>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zwaveloxiden, berekend als SO</w:t>
            </w:r>
            <w:r w:rsidRPr="0078700F">
              <w:rPr>
                <w:rFonts w:ascii="Verdana" w:hAnsi="Verdana" w:cs="Arial"/>
                <w:sz w:val="18"/>
                <w:szCs w:val="18"/>
                <w:vertAlign w:val="subscript"/>
                <w:lang w:val="en-GB" w:eastAsia="en-GB"/>
              </w:rPr>
              <w:t>2</w:t>
            </w:r>
          </w:p>
        </w:tc>
        <w:tc>
          <w:tcPr>
            <w:tcW w:w="1423" w:type="dxa"/>
            <w:tcBorders>
              <w:top w:val="nil"/>
              <w:left w:val="nil"/>
              <w:bottom w:val="single" w:sz="8" w:space="0" w:color="auto"/>
              <w:right w:val="nil"/>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w:t>
            </w:r>
          </w:p>
        </w:tc>
        <w:tc>
          <w:tcPr>
            <w:tcW w:w="1317" w:type="dxa"/>
            <w:tcBorders>
              <w:top w:val="nil"/>
              <w:left w:val="nil"/>
              <w:bottom w:val="single" w:sz="8" w:space="0" w:color="auto"/>
              <w:right w:val="single" w:sz="8" w:space="0" w:color="auto"/>
            </w:tcBorders>
            <w:shd w:val="clear" w:color="000000" w:fill="FFFFFF"/>
            <w:hideMark/>
          </w:tcPr>
          <w:p w:rsidR="00F43C9B" w:rsidRPr="0078700F" w:rsidRDefault="00F43C9B" w:rsidP="00F43C9B">
            <w:pPr>
              <w:shd w:val="clear" w:color="auto" w:fill="D9D9D9" w:themeFill="background1" w:themeFillShade="D9"/>
              <w:rPr>
                <w:rFonts w:ascii="Verdana" w:hAnsi="Verdana" w:cs="Arial"/>
                <w:sz w:val="18"/>
                <w:szCs w:val="18"/>
                <w:lang w:val="en-GB" w:eastAsia="en-GB"/>
              </w:rPr>
            </w:pPr>
            <w:r w:rsidRPr="0078700F">
              <w:rPr>
                <w:rFonts w:ascii="Verdana" w:hAnsi="Verdana" w:cs="Arial"/>
                <w:sz w:val="18"/>
                <w:szCs w:val="18"/>
                <w:lang w:val="en-GB" w:eastAsia="en-GB"/>
              </w:rPr>
              <w:t>gA.4</w:t>
            </w:r>
          </w:p>
        </w:tc>
      </w:tr>
    </w:tbl>
    <w:p w:rsidR="00F43C9B" w:rsidRPr="0078700F" w:rsidRDefault="00F43C9B" w:rsidP="00F43C9B">
      <w:pPr>
        <w:shd w:val="clear" w:color="auto" w:fill="D9D9D9" w:themeFill="background1" w:themeFillShade="D9"/>
        <w:rPr>
          <w:rFonts w:ascii="Verdana" w:hAnsi="Verdana"/>
          <w:sz w:val="18"/>
          <w:szCs w:val="18"/>
        </w:rPr>
      </w:pPr>
    </w:p>
    <w:p w:rsidR="00F43C9B" w:rsidRDefault="00F43C9B" w:rsidP="00F43C9B">
      <w:pPr>
        <w:widowControl w:val="0"/>
        <w:shd w:val="clear" w:color="auto" w:fill="D9D9D9" w:themeFill="background1" w:themeFillShade="D9"/>
        <w:suppressAutoHyphens/>
        <w:autoSpaceDN w:val="0"/>
        <w:spacing w:line="240" w:lineRule="auto"/>
        <w:textAlignment w:val="baseline"/>
        <w:rPr>
          <w:rFonts w:ascii="Verdana" w:hAnsi="Verdana"/>
          <w:b/>
          <w:sz w:val="18"/>
          <w:szCs w:val="18"/>
        </w:rPr>
      </w:pPr>
      <w:r>
        <w:rPr>
          <w:rFonts w:ascii="Verdana" w:hAnsi="Verdana"/>
          <w:b/>
          <w:sz w:val="18"/>
          <w:szCs w:val="18"/>
        </w:rPr>
        <w:br w:type="page"/>
      </w:r>
    </w:p>
    <w:p w:rsidR="00F43C9B" w:rsidRPr="0078700F" w:rsidRDefault="00F43C9B" w:rsidP="00F43C9B">
      <w:pPr>
        <w:shd w:val="clear" w:color="auto" w:fill="D9D9D9" w:themeFill="background1" w:themeFillShade="D9"/>
        <w:rPr>
          <w:rFonts w:ascii="Verdana" w:hAnsi="Verdana"/>
          <w:b/>
          <w:sz w:val="18"/>
          <w:szCs w:val="18"/>
        </w:rPr>
      </w:pPr>
      <w:bookmarkStart w:id="663" w:name="Bijlage12bAR"/>
      <w:r w:rsidRPr="0078700F">
        <w:rPr>
          <w:rFonts w:ascii="Verdana" w:hAnsi="Verdana"/>
          <w:b/>
          <w:sz w:val="18"/>
          <w:szCs w:val="18"/>
        </w:rPr>
        <w:t>Bijlage 12b</w:t>
      </w:r>
    </w:p>
    <w:bookmarkEnd w:id="663"/>
    <w:p w:rsidR="00F43C9B" w:rsidRPr="0078700F" w:rsidRDefault="00F43C9B" w:rsidP="00F43C9B">
      <w:pPr>
        <w:widowControl w:val="0"/>
        <w:shd w:val="clear" w:color="auto" w:fill="D9D9D9" w:themeFill="background1" w:themeFillShade="D9"/>
        <w:autoSpaceDE w:val="0"/>
        <w:autoSpaceDN w:val="0"/>
        <w:adjustRightInd w:val="0"/>
        <w:spacing w:after="240" w:line="240" w:lineRule="auto"/>
        <w:ind w:left="320" w:hanging="320"/>
        <w:rPr>
          <w:rFonts w:ascii="Verdana" w:hAnsi="Verdana" w:cs="Arial"/>
          <w:sz w:val="18"/>
          <w:szCs w:val="18"/>
        </w:rPr>
      </w:pPr>
      <w:r w:rsidRPr="0078700F">
        <w:rPr>
          <w:rFonts w:ascii="Verdana" w:hAnsi="Verdana" w:cs="Arial"/>
          <w:sz w:val="18"/>
          <w:szCs w:val="18"/>
        </w:rPr>
        <w:t>Stoffen die in een andere stofklasse of stofcategorie zijn ingedeeld met bijbehorende afwijkende waarden als bedoeld in artikel 1.3b, tweede lid, van deze regeling.</w:t>
      </w:r>
    </w:p>
    <w:p w:rsidR="00F43C9B" w:rsidRPr="0078700F" w:rsidRDefault="00F43C9B" w:rsidP="00F43C9B">
      <w:pPr>
        <w:shd w:val="clear" w:color="auto" w:fill="D9D9D9" w:themeFill="background1" w:themeFillShade="D9"/>
        <w:rPr>
          <w:rFonts w:ascii="Verdana" w:hAnsi="Verdana"/>
          <w:b/>
          <w:sz w:val="18"/>
          <w:szCs w:val="18"/>
        </w:rPr>
      </w:pPr>
    </w:p>
    <w:tbl>
      <w:tblPr>
        <w:tblW w:w="4903" w:type="pct"/>
        <w:tblLayout w:type="fixed"/>
        <w:tblCellMar>
          <w:left w:w="70" w:type="dxa"/>
          <w:right w:w="70" w:type="dxa"/>
        </w:tblCellMar>
        <w:tblLook w:val="04A0" w:firstRow="1" w:lastRow="0" w:firstColumn="1" w:lastColumn="0" w:noHBand="0" w:noVBand="1"/>
      </w:tblPr>
      <w:tblGrid>
        <w:gridCol w:w="1291"/>
        <w:gridCol w:w="4801"/>
        <w:gridCol w:w="986"/>
        <w:gridCol w:w="986"/>
        <w:gridCol w:w="968"/>
      </w:tblGrid>
      <w:tr w:rsidR="00F43C9B" w:rsidRPr="0078700F" w:rsidTr="00F43C9B">
        <w:trPr>
          <w:trHeight w:val="270"/>
          <w:tblHeader/>
        </w:trPr>
        <w:tc>
          <w:tcPr>
            <w:tcW w:w="714" w:type="pct"/>
            <w:tcBorders>
              <w:top w:val="single" w:sz="8" w:space="0" w:color="auto"/>
              <w:left w:val="single" w:sz="8" w:space="0" w:color="auto"/>
              <w:bottom w:val="single" w:sz="8" w:space="0" w:color="auto"/>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CAS Nummer</w:t>
            </w:r>
          </w:p>
        </w:tc>
        <w:tc>
          <w:tcPr>
            <w:tcW w:w="2658" w:type="pct"/>
            <w:tcBorders>
              <w:top w:val="single" w:sz="8" w:space="0" w:color="auto"/>
              <w:left w:val="nil"/>
              <w:bottom w:val="single" w:sz="8" w:space="0" w:color="auto"/>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Naam</w:t>
            </w:r>
          </w:p>
        </w:tc>
        <w:tc>
          <w:tcPr>
            <w:tcW w:w="546" w:type="pct"/>
            <w:tcBorders>
              <w:top w:val="single" w:sz="8" w:space="0" w:color="auto"/>
              <w:left w:val="nil"/>
              <w:bottom w:val="single" w:sz="8" w:space="0" w:color="auto"/>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Stofklasse</w:t>
            </w:r>
          </w:p>
        </w:tc>
        <w:tc>
          <w:tcPr>
            <w:tcW w:w="546" w:type="pct"/>
            <w:tcBorders>
              <w:top w:val="single" w:sz="8" w:space="0" w:color="auto"/>
              <w:left w:val="nil"/>
              <w:bottom w:val="single" w:sz="8" w:space="0" w:color="auto"/>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GMS (g/uur)</w:t>
            </w:r>
          </w:p>
        </w:tc>
        <w:tc>
          <w:tcPr>
            <w:tcW w:w="536" w:type="pct"/>
            <w:tcBorders>
              <w:top w:val="single" w:sz="8" w:space="0" w:color="auto"/>
              <w:left w:val="nil"/>
              <w:bottom w:val="single" w:sz="8" w:space="0" w:color="auto"/>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E-eis (mg/m3)</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10043-35-3</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boorzuur</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100-44-7</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chloormethylbenzeen; benzylchloride; α-chloortolueen</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10124-43-3</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kobaltsulfaat</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10141-05-6</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kobalt(II)dinitraat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10190-55-3</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loodmolybdaat, berekend als Pb</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10332-33-9</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perboorzuur (HBO(O2)), natrium zout, monohydraat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10486-00-7</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perboorzuur (HBO(O2)), natrium zout, tetrahydraat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106-94-5</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1-broompropaan</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109-86-4</w:t>
            </w:r>
          </w:p>
        </w:tc>
        <w:tc>
          <w:tcPr>
            <w:tcW w:w="2658" w:type="pct"/>
            <w:tcBorders>
              <w:top w:val="nil"/>
              <w:left w:val="nil"/>
              <w:bottom w:val="nil"/>
              <w:right w:val="nil"/>
            </w:tcBorders>
            <w:shd w:val="clear" w:color="auto" w:fill="auto"/>
            <w:noWrap/>
            <w:hideMark/>
          </w:tcPr>
          <w:p w:rsidR="00F43C9B" w:rsidRPr="00F43C9B" w:rsidRDefault="00F43C9B" w:rsidP="00F43C9B">
            <w:pPr>
              <w:shd w:val="clear" w:color="auto" w:fill="D9D9D9" w:themeFill="background1" w:themeFillShade="D9"/>
              <w:spacing w:line="240" w:lineRule="auto"/>
              <w:rPr>
                <w:rFonts w:ascii="Verdana" w:hAnsi="Verdana" w:cs="Arial"/>
                <w:sz w:val="18"/>
                <w:szCs w:val="18"/>
              </w:rPr>
            </w:pPr>
            <w:r w:rsidRPr="00F43C9B">
              <w:rPr>
                <w:rFonts w:ascii="Verdana" w:hAnsi="Verdana" w:cs="Arial"/>
                <w:sz w:val="18"/>
                <w:szCs w:val="18"/>
              </w:rPr>
              <w:t>2-methoxyethanol; methyleenglycolmonomethylether; ethyleenglycolmono-methylether; methylglycol</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110-49-6</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2-methoxyethylacetaat</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110-80-5</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2-ethoxyethanol; ethyleenglycolmono-ethylether</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11113-50-1</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natuurlijk ruw boorzuur met een gehalte aan H3BO3 van niet meer dan 85 gewichtspercenten berekend op de droge stof</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111-15-9</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2-ethoxyethylacetaat; ethylglycolacetaat</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11138-47-9</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perboorzuur natriumzout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117955-40-5</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2-methoxypropylacetaat</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12007-00-0</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nikkelboride (NiB)</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12007-01-1</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dinikkelboride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12007-02-2</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trinikkelboride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120-12-7</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anthraceen, antraceen</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12040-72-1</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perboorzuur natriumzout, monohydraat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12068-61-0</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nikkeldiarsenide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12179-04-3</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boraxpentahydraat; dinatriumtetraboraatpentahydraat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12267-73-1</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tetraboordinatriumheptaoxide, hydraat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12619-90-8</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nikkelboride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126-99-8</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chloropreen; 2-chloor-1,3-butadieen; 2-chloropreen</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127-19-5</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N,N-dimethyl-aceetamide</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12737-30-3</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kobaltnikkeloxide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1303-28-2</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arseenpentoxide; diarseenpentaoxide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1303-86-2</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booroxide; diboortrioxide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1303-96-4</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boraxdecahydraat; dinatriumtetraboraatdecahydraat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1327-53-3</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arseentrioxide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1330-43-4</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boorzuur dinatriumzout; dinatriumtetraboraat, watervrij; boraxdecahydraat; dinatriumtetraboraatdecahydraat; boraxpentahydraat; dinatriumtetraboraatpentahydraat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13477-70-8</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nikkel(II)arsenaat; trinikkelbis(arsenaat)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13517-20-9</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perboorzuur (H3BO2(O2)), mononatriumzout, trihydraat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13814-96-5</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loodbis(tetrafluorboraat); loodfluorboraat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13840-56-7</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orthoboorzuur natriumzout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14708-14-6</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nikkelbis(tetrafluorboraat)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14977-61-8</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chromylchloride</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15120-21-5</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natriumperboraat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151-56-4</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aziridine; ethyleenimine</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15606-95-8</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triethylarsenaat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1589-47-5</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2-methoxypropanol</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18540-29-9</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chroom(VI)verbindingen</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0,1</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27016-75-7</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nikkelarsenide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3687-31-8</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trilooddiarsenaat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37244-98-7</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perboorzuur natriumzout, tetrahydraat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51000-52-3</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neodecaanzuur, ethenyl ester</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513-79-1</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kobaltcarbonaat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58591-45-0</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kobaltnikkeldioxide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65229-23-4</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nikkelboorfosfide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68016-03-5</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kobaltdimolybdeennikkeloctaoxide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68-12-2</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N,N-dimethylformamide</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68186-89-0</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kobaltnikkel grijze periklaas: C.I. Pigment black 25; C.I. 77332</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70657-70-4</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2-methoxypropylacetaat</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71-48-7</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kobaltacetaat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74646-29-0</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trinikkelbis(arseniet)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74753-18-7</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zouten van 2-methylaniline; zouten van o-toluidine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75113-37-0</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di-µ-oxo-di-n-butylstannio-hydroxyboraan; dibutyltinhydrogeenboraat; dibutyltinwaterstofboraat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7632-04-4</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natriumperoxometaboraat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7646-79-9</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kobaltchloride; kobaltdichloride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7778-44-1</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calciumarsenaat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7784-40-9</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loodarsenaat</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78-79-5</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isopreen</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79-01-6</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trichlooretheen, trichloorethyleen; TRI</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79-16-3</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N-methylacetamide</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79-94-7</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tetrabroombisfenol A</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81-15-2</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muskus-xyleen; 5-tert-butyl-2,4,6-trinitro-m-xyleen</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84-69-5</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di(2-methylpropyl)ftalaat; diisobutylftalaat; di-iso-butylftalaat; DIBP</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872-50-4</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n-methylpyrrolidon</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50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95-53-4</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2-methylaniline; o-toluidine; 2-aminotolueen; 2-methylbenzeenamine</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98-07-7</w:t>
            </w: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benzotrichloride; trichloormethylbenzeen</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alkylloodverbindingen; loodalkylen</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cadmium en -verbindingen</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kobaltlithiumnikkeloxide</w:t>
            </w:r>
          </w:p>
        </w:tc>
        <w:tc>
          <w:tcPr>
            <w:tcW w:w="546"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lood en anorganische loodverbindingen, berekend als Pb</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55"/>
        </w:trPr>
        <w:tc>
          <w:tcPr>
            <w:tcW w:w="714" w:type="pct"/>
            <w:tcBorders>
              <w:top w:val="nil"/>
              <w:left w:val="single" w:sz="8" w:space="0" w:color="auto"/>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2658" w:type="pct"/>
            <w:tcBorders>
              <w:top w:val="nil"/>
              <w:left w:val="nil"/>
              <w:bottom w:val="nil"/>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nikkel en nikkelverbindingen, berekend als Ni</w:t>
            </w:r>
          </w:p>
        </w:tc>
        <w:tc>
          <w:tcPr>
            <w:tcW w:w="546" w:type="pct"/>
            <w:tcBorders>
              <w:top w:val="nil"/>
              <w:left w:val="nil"/>
              <w:bottom w:val="nil"/>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1</w:t>
            </w:r>
          </w:p>
        </w:tc>
        <w:tc>
          <w:tcPr>
            <w:tcW w:w="54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2,5</w:t>
            </w:r>
          </w:p>
        </w:tc>
        <w:tc>
          <w:tcPr>
            <w:tcW w:w="536" w:type="pct"/>
            <w:tcBorders>
              <w:top w:val="nil"/>
              <w:left w:val="nil"/>
              <w:bottom w:val="nil"/>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0,5</w:t>
            </w:r>
          </w:p>
        </w:tc>
      </w:tr>
      <w:tr w:rsidR="00F43C9B" w:rsidRPr="0078700F" w:rsidTr="00F43C9B">
        <w:trPr>
          <w:trHeight w:val="270"/>
        </w:trPr>
        <w:tc>
          <w:tcPr>
            <w:tcW w:w="714" w:type="pct"/>
            <w:tcBorders>
              <w:top w:val="nil"/>
              <w:left w:val="single" w:sz="8" w:space="0" w:color="auto"/>
              <w:bottom w:val="single" w:sz="8" w:space="0" w:color="auto"/>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p>
        </w:tc>
        <w:tc>
          <w:tcPr>
            <w:tcW w:w="2658" w:type="pct"/>
            <w:tcBorders>
              <w:top w:val="nil"/>
              <w:left w:val="nil"/>
              <w:bottom w:val="single" w:sz="8" w:space="0" w:color="auto"/>
              <w:right w:val="nil"/>
            </w:tcBorders>
            <w:shd w:val="clear" w:color="auto" w:fill="auto"/>
            <w:noWrap/>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organotinverbindingen; tinverbindingen organisch</w:t>
            </w:r>
          </w:p>
        </w:tc>
        <w:tc>
          <w:tcPr>
            <w:tcW w:w="546" w:type="pct"/>
            <w:tcBorders>
              <w:top w:val="nil"/>
              <w:left w:val="nil"/>
              <w:bottom w:val="single" w:sz="8" w:space="0" w:color="auto"/>
              <w:right w:val="nil"/>
            </w:tcBorders>
            <w:shd w:val="clear" w:color="auto" w:fill="auto"/>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MVP 2</w:t>
            </w:r>
          </w:p>
        </w:tc>
        <w:tc>
          <w:tcPr>
            <w:tcW w:w="546" w:type="pct"/>
            <w:tcBorders>
              <w:top w:val="nil"/>
              <w:left w:val="nil"/>
              <w:bottom w:val="single" w:sz="8" w:space="0" w:color="auto"/>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100</w:t>
            </w:r>
          </w:p>
        </w:tc>
        <w:tc>
          <w:tcPr>
            <w:tcW w:w="536" w:type="pct"/>
            <w:tcBorders>
              <w:top w:val="nil"/>
              <w:left w:val="nil"/>
              <w:bottom w:val="single" w:sz="8" w:space="0" w:color="auto"/>
              <w:right w:val="nil"/>
            </w:tcBorders>
            <w:shd w:val="clear" w:color="auto" w:fill="auto"/>
            <w:noWrap/>
            <w:vAlign w:val="bottom"/>
            <w:hideMark/>
          </w:tcPr>
          <w:p w:rsidR="00F43C9B" w:rsidRPr="0078700F" w:rsidRDefault="00F43C9B" w:rsidP="00F43C9B">
            <w:pPr>
              <w:shd w:val="clear" w:color="auto" w:fill="D9D9D9" w:themeFill="background1" w:themeFillShade="D9"/>
              <w:spacing w:line="240" w:lineRule="auto"/>
              <w:rPr>
                <w:rFonts w:ascii="Verdana" w:hAnsi="Verdana" w:cs="Arial"/>
                <w:sz w:val="18"/>
                <w:szCs w:val="18"/>
              </w:rPr>
            </w:pPr>
            <w:r w:rsidRPr="0078700F">
              <w:rPr>
                <w:rFonts w:ascii="Verdana" w:hAnsi="Verdana" w:cs="Arial"/>
                <w:sz w:val="18"/>
                <w:szCs w:val="18"/>
              </w:rPr>
              <w:t>20</w:t>
            </w:r>
          </w:p>
        </w:tc>
      </w:tr>
    </w:tbl>
    <w:p w:rsidR="00F43C9B" w:rsidRPr="0078700F" w:rsidRDefault="00F43C9B" w:rsidP="00F43C9B">
      <w:pPr>
        <w:shd w:val="clear" w:color="auto" w:fill="D9D9D9" w:themeFill="background1" w:themeFillShade="D9"/>
        <w:rPr>
          <w:rFonts w:ascii="Verdana" w:eastAsiaTheme="minorHAnsi" w:hAnsi="Verdana"/>
          <w:sz w:val="18"/>
          <w:szCs w:val="18"/>
          <w:lang w:eastAsia="en-US"/>
        </w:rPr>
      </w:pPr>
    </w:p>
    <w:p w:rsidR="00F43C9B" w:rsidRPr="0078700F" w:rsidRDefault="00F43C9B" w:rsidP="00F43C9B">
      <w:pPr>
        <w:shd w:val="clear" w:color="auto" w:fill="D9D9D9" w:themeFill="background1" w:themeFillShade="D9"/>
        <w:rPr>
          <w:rFonts w:ascii="Verdana" w:hAnsi="Verdana"/>
          <w:sz w:val="18"/>
          <w:szCs w:val="18"/>
        </w:rPr>
      </w:pPr>
    </w:p>
    <w:p w:rsidR="00F43C9B" w:rsidRPr="006F2F3D" w:rsidRDefault="00F43C9B" w:rsidP="00F43C9B">
      <w:pPr>
        <w:shd w:val="clear" w:color="auto" w:fill="D9D9D9" w:themeFill="background1" w:themeFillShade="D9"/>
        <w:autoSpaceDE w:val="0"/>
        <w:autoSpaceDN w:val="0"/>
        <w:adjustRightInd w:val="0"/>
        <w:spacing w:line="240" w:lineRule="auto"/>
        <w:rPr>
          <w:rFonts w:ascii="Verdana" w:hAnsi="Verdana"/>
          <w:b/>
          <w:sz w:val="18"/>
          <w:szCs w:val="18"/>
        </w:rPr>
      </w:pPr>
      <w:bookmarkStart w:id="664" w:name="Bijlage13AR"/>
      <w:r w:rsidRPr="006F2F3D">
        <w:rPr>
          <w:rFonts w:ascii="Verdana" w:hAnsi="Verdana"/>
          <w:b/>
          <w:sz w:val="18"/>
          <w:szCs w:val="18"/>
        </w:rPr>
        <w:t>Bijlage 13</w:t>
      </w:r>
    </w:p>
    <w:bookmarkEnd w:id="664"/>
    <w:p w:rsidR="00F43C9B" w:rsidRPr="006F2F3D" w:rsidRDefault="00F43C9B" w:rsidP="00F43C9B">
      <w:pPr>
        <w:shd w:val="clear" w:color="auto" w:fill="D9D9D9" w:themeFill="background1" w:themeFillShade="D9"/>
        <w:autoSpaceDE w:val="0"/>
        <w:autoSpaceDN w:val="0"/>
        <w:adjustRightInd w:val="0"/>
        <w:spacing w:line="240" w:lineRule="auto"/>
        <w:rPr>
          <w:rFonts w:ascii="Verdana" w:hAnsi="Verdana"/>
          <w:sz w:val="18"/>
          <w:szCs w:val="18"/>
        </w:rPr>
      </w:pPr>
    </w:p>
    <w:p w:rsidR="00F43C9B" w:rsidRPr="006F2F3D" w:rsidRDefault="00F43C9B" w:rsidP="00F43C9B">
      <w:pPr>
        <w:shd w:val="clear" w:color="auto" w:fill="D9D9D9" w:themeFill="background1" w:themeFillShade="D9"/>
        <w:autoSpaceDE w:val="0"/>
        <w:autoSpaceDN w:val="0"/>
        <w:adjustRightInd w:val="0"/>
        <w:spacing w:line="240" w:lineRule="auto"/>
        <w:rPr>
          <w:rFonts w:ascii="Verdana" w:hAnsi="Verdana"/>
          <w:b/>
          <w:sz w:val="18"/>
          <w:szCs w:val="18"/>
        </w:rPr>
      </w:pPr>
      <w:r w:rsidRPr="006F2F3D">
        <w:rPr>
          <w:rFonts w:ascii="Verdana" w:hAnsi="Verdana"/>
          <w:b/>
          <w:sz w:val="18"/>
          <w:szCs w:val="18"/>
        </w:rPr>
        <w:t>Lijst waarden (maximaal toelaatbare risico’s) zeer zorgwekkende stoffen</w:t>
      </w:r>
    </w:p>
    <w:p w:rsidR="00F43C9B" w:rsidRPr="006F2F3D" w:rsidRDefault="00F43C9B" w:rsidP="00F43C9B">
      <w:pPr>
        <w:shd w:val="clear" w:color="auto" w:fill="D9D9D9" w:themeFill="background1" w:themeFillShade="D9"/>
        <w:autoSpaceDE w:val="0"/>
        <w:autoSpaceDN w:val="0"/>
        <w:adjustRightInd w:val="0"/>
        <w:spacing w:line="240" w:lineRule="auto"/>
        <w:rPr>
          <w:rFonts w:ascii="Verdana" w:hAnsi="Verdana"/>
          <w:b/>
          <w:sz w:val="18"/>
          <w:szCs w:val="18"/>
        </w:rPr>
      </w:pPr>
    </w:p>
    <w:p w:rsidR="00F43C9B" w:rsidRPr="006F2F3D" w:rsidRDefault="00F43C9B" w:rsidP="00F43C9B">
      <w:pPr>
        <w:shd w:val="clear" w:color="auto" w:fill="D9D9D9" w:themeFill="background1" w:themeFillShade="D9"/>
        <w:rPr>
          <w:rFonts w:ascii="Verdana" w:hAnsi="Verdana"/>
          <w:sz w:val="18"/>
          <w:szCs w:val="18"/>
        </w:rPr>
      </w:pPr>
    </w:p>
    <w:tbl>
      <w:tblPr>
        <w:tblpPr w:leftFromText="180" w:rightFromText="180" w:vertAnchor="text"/>
        <w:tblW w:w="8461" w:type="dxa"/>
        <w:tblLayout w:type="fixed"/>
        <w:tblCellMar>
          <w:left w:w="0" w:type="dxa"/>
          <w:right w:w="0" w:type="dxa"/>
        </w:tblCellMar>
        <w:tblLook w:val="04A0" w:firstRow="1" w:lastRow="0" w:firstColumn="1" w:lastColumn="0" w:noHBand="0" w:noVBand="1"/>
      </w:tblPr>
      <w:tblGrid>
        <w:gridCol w:w="31"/>
        <w:gridCol w:w="1118"/>
        <w:gridCol w:w="2268"/>
        <w:gridCol w:w="95"/>
        <w:gridCol w:w="20"/>
        <w:gridCol w:w="878"/>
        <w:gridCol w:w="2578"/>
        <w:gridCol w:w="20"/>
        <w:gridCol w:w="520"/>
        <w:gridCol w:w="913"/>
        <w:gridCol w:w="20"/>
      </w:tblGrid>
      <w:tr w:rsidR="00F43C9B" w:rsidRPr="006F2F3D" w:rsidTr="00F43C9B">
        <w:trPr>
          <w:gridAfter w:val="2"/>
          <w:wAfter w:w="933" w:type="dxa"/>
          <w:trHeight w:val="120"/>
        </w:trPr>
        <w:tc>
          <w:tcPr>
            <w:tcW w:w="1149"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F43C9B" w:rsidRPr="006F2F3D" w:rsidRDefault="00F43C9B" w:rsidP="00F43C9B">
            <w:pPr>
              <w:pStyle w:val="Geenafstand"/>
              <w:shd w:val="clear" w:color="auto" w:fill="D9D9D9" w:themeFill="background1" w:themeFillShade="D9"/>
            </w:pPr>
            <w:r w:rsidRPr="006F2F3D">
              <w:t>CAS-nummer</w:t>
            </w:r>
          </w:p>
        </w:tc>
        <w:tc>
          <w:tcPr>
            <w:tcW w:w="2268" w:type="dxa"/>
            <w:tcBorders>
              <w:top w:val="single" w:sz="8" w:space="0" w:color="000000"/>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Stof</w:t>
            </w:r>
          </w:p>
        </w:tc>
        <w:tc>
          <w:tcPr>
            <w:tcW w:w="993" w:type="dxa"/>
            <w:gridSpan w:val="3"/>
            <w:tcBorders>
              <w:top w:val="single" w:sz="8" w:space="0" w:color="000000"/>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MTR (</w:t>
            </w:r>
            <w:r w:rsidRPr="006F2F3D">
              <w:rPr>
                <w:i/>
                <w:iCs/>
              </w:rPr>
              <w:t>µg/m</w:t>
            </w:r>
            <w:r w:rsidRPr="006F2F3D">
              <w:rPr>
                <w:i/>
                <w:iCs/>
                <w:vertAlign w:val="superscript"/>
              </w:rPr>
              <w:t>3</w:t>
            </w:r>
            <w:r w:rsidRPr="006F2F3D">
              <w:rPr>
                <w:i/>
                <w:iCs/>
              </w:rPr>
              <w:t>)</w:t>
            </w:r>
          </w:p>
        </w:tc>
        <w:tc>
          <w:tcPr>
            <w:tcW w:w="3118" w:type="dxa"/>
            <w:gridSpan w:val="3"/>
            <w:tcBorders>
              <w:top w:val="single" w:sz="8" w:space="0" w:color="000000"/>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r w:rsidRPr="006F2F3D">
              <w:t>Toelichting</w:t>
            </w:r>
          </w:p>
        </w:tc>
      </w:tr>
      <w:tr w:rsidR="00F43C9B" w:rsidRPr="006F2F3D" w:rsidTr="00F43C9B">
        <w:trPr>
          <w:gridAfter w:val="2"/>
          <w:wAfter w:w="933" w:type="dxa"/>
          <w:trHeight w:val="120"/>
        </w:trPr>
        <w:tc>
          <w:tcPr>
            <w:tcW w:w="1149" w:type="dxa"/>
            <w:gridSpan w:val="2"/>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r w:rsidRPr="006F2F3D">
              <w:t>106-93-4</w:t>
            </w:r>
          </w:p>
        </w:tc>
        <w:tc>
          <w:tcPr>
            <w:tcW w:w="2268" w:type="dxa"/>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1,2-dibroomethaan</w:t>
            </w:r>
          </w:p>
        </w:tc>
        <w:tc>
          <w:tcPr>
            <w:tcW w:w="993" w:type="dxa"/>
            <w:gridSpan w:val="3"/>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0,2</w:t>
            </w:r>
          </w:p>
        </w:tc>
        <w:tc>
          <w:tcPr>
            <w:tcW w:w="3118" w:type="dxa"/>
            <w:gridSpan w:val="3"/>
            <w:tcBorders>
              <w:top w:val="nil"/>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Height w:val="120"/>
        </w:trPr>
        <w:tc>
          <w:tcPr>
            <w:tcW w:w="1149" w:type="dxa"/>
            <w:gridSpan w:val="2"/>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r w:rsidRPr="006F2F3D">
              <w:t>79-01-6</w:t>
            </w:r>
          </w:p>
        </w:tc>
        <w:tc>
          <w:tcPr>
            <w:tcW w:w="2268" w:type="dxa"/>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trichlooretheen</w:t>
            </w:r>
          </w:p>
        </w:tc>
        <w:tc>
          <w:tcPr>
            <w:tcW w:w="993" w:type="dxa"/>
            <w:gridSpan w:val="3"/>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200</w:t>
            </w:r>
          </w:p>
        </w:tc>
        <w:tc>
          <w:tcPr>
            <w:tcW w:w="3118" w:type="dxa"/>
            <w:gridSpan w:val="3"/>
            <w:tcBorders>
              <w:top w:val="nil"/>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Height w:val="120"/>
        </w:trPr>
        <w:tc>
          <w:tcPr>
            <w:tcW w:w="1149" w:type="dxa"/>
            <w:gridSpan w:val="2"/>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shd w:val="clear" w:color="auto" w:fill="D9D9D9" w:themeFill="background1" w:themeFillShade="D9"/>
              <w:spacing w:line="240" w:lineRule="auto"/>
              <w:rPr>
                <w:rFonts w:ascii="Verdana" w:hAnsi="Verdana" w:cs="Arial"/>
                <w:sz w:val="18"/>
                <w:szCs w:val="18"/>
              </w:rPr>
            </w:pPr>
            <w:r w:rsidRPr="006F2F3D">
              <w:rPr>
                <w:rFonts w:ascii="Verdana" w:hAnsi="Verdana" w:cs="Arial"/>
                <w:sz w:val="18"/>
                <w:szCs w:val="18"/>
              </w:rPr>
              <w:t>107-06-2</w:t>
            </w:r>
          </w:p>
        </w:tc>
        <w:tc>
          <w:tcPr>
            <w:tcW w:w="2268" w:type="dxa"/>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shd w:val="clear" w:color="auto" w:fill="D9D9D9" w:themeFill="background1" w:themeFillShade="D9"/>
              <w:spacing w:line="240" w:lineRule="auto"/>
              <w:rPr>
                <w:rFonts w:ascii="Verdana" w:hAnsi="Verdana" w:cs="Arial"/>
                <w:sz w:val="18"/>
                <w:szCs w:val="18"/>
              </w:rPr>
            </w:pPr>
            <w:r w:rsidRPr="006F2F3D">
              <w:rPr>
                <w:rFonts w:ascii="Verdana" w:hAnsi="Verdana" w:cs="Arial"/>
                <w:sz w:val="18"/>
                <w:szCs w:val="18"/>
              </w:rPr>
              <w:t>1,2-dichloorethaan</w:t>
            </w:r>
          </w:p>
        </w:tc>
        <w:tc>
          <w:tcPr>
            <w:tcW w:w="993" w:type="dxa"/>
            <w:gridSpan w:val="3"/>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48</w:t>
            </w:r>
          </w:p>
        </w:tc>
        <w:tc>
          <w:tcPr>
            <w:tcW w:w="3118" w:type="dxa"/>
            <w:gridSpan w:val="3"/>
            <w:tcBorders>
              <w:top w:val="nil"/>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Height w:val="120"/>
        </w:trPr>
        <w:tc>
          <w:tcPr>
            <w:tcW w:w="1149" w:type="dxa"/>
            <w:gridSpan w:val="2"/>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75-01-4</w:t>
            </w:r>
          </w:p>
        </w:tc>
        <w:tc>
          <w:tcPr>
            <w:tcW w:w="2268" w:type="dxa"/>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vinylchloride</w:t>
            </w:r>
          </w:p>
        </w:tc>
        <w:tc>
          <w:tcPr>
            <w:tcW w:w="993" w:type="dxa"/>
            <w:gridSpan w:val="3"/>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3,6</w:t>
            </w:r>
          </w:p>
        </w:tc>
        <w:tc>
          <w:tcPr>
            <w:tcW w:w="3118" w:type="dxa"/>
            <w:gridSpan w:val="3"/>
            <w:tcBorders>
              <w:top w:val="nil"/>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Height w:val="120"/>
        </w:trPr>
        <w:tc>
          <w:tcPr>
            <w:tcW w:w="1149" w:type="dxa"/>
            <w:gridSpan w:val="2"/>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91-94-1</w:t>
            </w:r>
          </w:p>
        </w:tc>
        <w:tc>
          <w:tcPr>
            <w:tcW w:w="2268" w:type="dxa"/>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3,3’-dichloorbenzidine</w:t>
            </w:r>
          </w:p>
        </w:tc>
        <w:tc>
          <w:tcPr>
            <w:tcW w:w="993" w:type="dxa"/>
            <w:gridSpan w:val="3"/>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0,02</w:t>
            </w:r>
          </w:p>
        </w:tc>
        <w:tc>
          <w:tcPr>
            <w:tcW w:w="3118" w:type="dxa"/>
            <w:gridSpan w:val="3"/>
            <w:tcBorders>
              <w:top w:val="nil"/>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Height w:val="120"/>
        </w:trPr>
        <w:tc>
          <w:tcPr>
            <w:tcW w:w="1149" w:type="dxa"/>
            <w:gridSpan w:val="2"/>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106-89-8</w:t>
            </w:r>
          </w:p>
        </w:tc>
        <w:tc>
          <w:tcPr>
            <w:tcW w:w="2268" w:type="dxa"/>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epichloorhydrine</w:t>
            </w:r>
          </w:p>
        </w:tc>
        <w:tc>
          <w:tcPr>
            <w:tcW w:w="993" w:type="dxa"/>
            <w:gridSpan w:val="3"/>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80</w:t>
            </w:r>
          </w:p>
        </w:tc>
        <w:tc>
          <w:tcPr>
            <w:tcW w:w="3118" w:type="dxa"/>
            <w:gridSpan w:val="3"/>
            <w:tcBorders>
              <w:top w:val="nil"/>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Height w:val="120"/>
        </w:trPr>
        <w:tc>
          <w:tcPr>
            <w:tcW w:w="1149" w:type="dxa"/>
            <w:gridSpan w:val="2"/>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75-21-8</w:t>
            </w:r>
          </w:p>
        </w:tc>
        <w:tc>
          <w:tcPr>
            <w:tcW w:w="2268" w:type="dxa"/>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rPr>
                <w:i/>
                <w:iCs/>
              </w:rPr>
              <w:t>ethyleenoxide</w:t>
            </w:r>
          </w:p>
        </w:tc>
        <w:tc>
          <w:tcPr>
            <w:tcW w:w="993" w:type="dxa"/>
            <w:gridSpan w:val="3"/>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rPr>
                <w:i/>
                <w:iCs/>
              </w:rPr>
              <w:t>3</w:t>
            </w:r>
          </w:p>
        </w:tc>
        <w:tc>
          <w:tcPr>
            <w:tcW w:w="3118" w:type="dxa"/>
            <w:gridSpan w:val="3"/>
            <w:tcBorders>
              <w:top w:val="nil"/>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Height w:val="1267"/>
        </w:trPr>
        <w:tc>
          <w:tcPr>
            <w:tcW w:w="1149" w:type="dxa"/>
            <w:gridSpan w:val="2"/>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18540-29-9</w:t>
            </w:r>
          </w:p>
        </w:tc>
        <w:tc>
          <w:tcPr>
            <w:tcW w:w="2268" w:type="dxa"/>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rPr>
                <w:i/>
                <w:iCs/>
              </w:rPr>
              <w:t>chroom(VI)</w:t>
            </w:r>
          </w:p>
        </w:tc>
        <w:tc>
          <w:tcPr>
            <w:tcW w:w="993" w:type="dxa"/>
            <w:gridSpan w:val="3"/>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rPr>
                <w:i/>
                <w:iCs/>
              </w:rPr>
              <w:t>0,0025</w:t>
            </w:r>
          </w:p>
        </w:tc>
        <w:tc>
          <w:tcPr>
            <w:tcW w:w="3118" w:type="dxa"/>
            <w:gridSpan w:val="3"/>
            <w:tcBorders>
              <w:top w:val="nil"/>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Height w:val="120"/>
        </w:trPr>
        <w:tc>
          <w:tcPr>
            <w:tcW w:w="1149" w:type="dxa"/>
            <w:gridSpan w:val="2"/>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107-13-1</w:t>
            </w:r>
          </w:p>
        </w:tc>
        <w:tc>
          <w:tcPr>
            <w:tcW w:w="2268" w:type="dxa"/>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rPr>
                <w:i/>
                <w:iCs/>
              </w:rPr>
              <w:t>acrylonitril</w:t>
            </w:r>
          </w:p>
        </w:tc>
        <w:tc>
          <w:tcPr>
            <w:tcW w:w="993" w:type="dxa"/>
            <w:gridSpan w:val="3"/>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rPr>
                <w:i/>
                <w:iCs/>
              </w:rPr>
              <w:t>10</w:t>
            </w:r>
          </w:p>
        </w:tc>
        <w:tc>
          <w:tcPr>
            <w:tcW w:w="3118" w:type="dxa"/>
            <w:gridSpan w:val="3"/>
            <w:tcBorders>
              <w:top w:val="nil"/>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Height w:val="120"/>
        </w:trPr>
        <w:tc>
          <w:tcPr>
            <w:tcW w:w="1149" w:type="dxa"/>
            <w:gridSpan w:val="2"/>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106-99-0</w:t>
            </w:r>
          </w:p>
        </w:tc>
        <w:tc>
          <w:tcPr>
            <w:tcW w:w="2268" w:type="dxa"/>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1,3-butadieen</w:t>
            </w:r>
          </w:p>
        </w:tc>
        <w:tc>
          <w:tcPr>
            <w:tcW w:w="993" w:type="dxa"/>
            <w:gridSpan w:val="3"/>
            <w:tcBorders>
              <w:top w:val="nil"/>
              <w:left w:val="nil"/>
              <w:bottom w:val="single" w:sz="8" w:space="0" w:color="000000"/>
              <w:right w:val="single" w:sz="8" w:space="0" w:color="000000"/>
            </w:tcBorders>
            <w:tcMar>
              <w:top w:w="0" w:type="dxa"/>
              <w:left w:w="105" w:type="dxa"/>
              <w:bottom w:w="0" w:type="dxa"/>
              <w:right w:w="105" w:type="dxa"/>
            </w:tcMar>
            <w:hideMark/>
          </w:tcPr>
          <w:p w:rsidR="00F43C9B" w:rsidRPr="006F2F3D" w:rsidRDefault="00F43C9B" w:rsidP="00F43C9B">
            <w:pPr>
              <w:pStyle w:val="Geenafstand"/>
              <w:shd w:val="clear" w:color="auto" w:fill="D9D9D9" w:themeFill="background1" w:themeFillShade="D9"/>
            </w:pPr>
            <w:r w:rsidRPr="006F2F3D">
              <w:t>3</w:t>
            </w:r>
          </w:p>
        </w:tc>
        <w:tc>
          <w:tcPr>
            <w:tcW w:w="3118" w:type="dxa"/>
            <w:gridSpan w:val="3"/>
            <w:tcBorders>
              <w:top w:val="nil"/>
              <w:left w:val="nil"/>
              <w:bottom w:val="single" w:sz="8" w:space="0" w:color="000000"/>
              <w:right w:val="single" w:sz="8" w:space="0" w:color="000000"/>
            </w:tcBorders>
            <w:tcMar>
              <w:top w:w="15" w:type="dxa"/>
              <w:left w:w="15" w:type="dxa"/>
              <w:bottom w:w="15" w:type="dxa"/>
              <w:right w:w="15" w:type="dxa"/>
            </w:tcMar>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Pr>
        <w:tc>
          <w:tcPr>
            <w:tcW w:w="31" w:type="dxa"/>
            <w:vAlign w:val="center"/>
            <w:hideMark/>
          </w:tcPr>
          <w:p w:rsidR="00F43C9B" w:rsidRPr="006F2F3D" w:rsidRDefault="00F43C9B" w:rsidP="00F43C9B">
            <w:pPr>
              <w:pStyle w:val="Geenafstand"/>
              <w:shd w:val="clear" w:color="auto" w:fill="D9D9D9" w:themeFill="background1" w:themeFillShade="D9"/>
            </w:pPr>
          </w:p>
        </w:tc>
        <w:tc>
          <w:tcPr>
            <w:tcW w:w="1118" w:type="dxa"/>
            <w:tcBorders>
              <w:top w:val="nil"/>
              <w:left w:val="single" w:sz="8" w:space="0" w:color="auto"/>
              <w:bottom w:val="single" w:sz="8" w:space="0" w:color="auto"/>
              <w:right w:val="single" w:sz="8" w:space="0" w:color="auto"/>
            </w:tcBorders>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71-43-2</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benzeen</w:t>
            </w:r>
          </w:p>
        </w:tc>
        <w:tc>
          <w:tcPr>
            <w:tcW w:w="993"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5</w:t>
            </w:r>
          </w:p>
        </w:tc>
        <w:tc>
          <w:tcPr>
            <w:tcW w:w="311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EU-grenswaarde, staat ook in de Wet milieubeheer</w:t>
            </w:r>
          </w:p>
        </w:tc>
      </w:tr>
      <w:tr w:rsidR="00F43C9B" w:rsidRPr="006F2F3D" w:rsidTr="00F43C9B">
        <w:trPr>
          <w:gridAfter w:val="2"/>
          <w:wAfter w:w="933" w:type="dxa"/>
        </w:trPr>
        <w:tc>
          <w:tcPr>
            <w:tcW w:w="31" w:type="dxa"/>
            <w:vAlign w:val="center"/>
            <w:hideMark/>
          </w:tcPr>
          <w:p w:rsidR="00F43C9B" w:rsidRPr="006F2F3D" w:rsidRDefault="00F43C9B" w:rsidP="00F43C9B">
            <w:pPr>
              <w:pStyle w:val="Geenafstand"/>
              <w:shd w:val="clear" w:color="auto" w:fill="D9D9D9" w:themeFill="background1" w:themeFillShade="D9"/>
            </w:pPr>
          </w:p>
        </w:tc>
        <w:tc>
          <w:tcPr>
            <w:tcW w:w="1118" w:type="dxa"/>
            <w:tcBorders>
              <w:top w:val="nil"/>
              <w:left w:val="single" w:sz="8" w:space="0" w:color="auto"/>
              <w:bottom w:val="single" w:sz="8" w:space="0" w:color="auto"/>
              <w:right w:val="single" w:sz="8" w:space="0" w:color="auto"/>
            </w:tcBorders>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75-56-9</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propyleenoxide</w:t>
            </w:r>
          </w:p>
        </w:tc>
        <w:tc>
          <w:tcPr>
            <w:tcW w:w="993"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90</w:t>
            </w:r>
          </w:p>
        </w:tc>
        <w:tc>
          <w:tcPr>
            <w:tcW w:w="311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Pr>
        <w:tc>
          <w:tcPr>
            <w:tcW w:w="31" w:type="dxa"/>
            <w:vAlign w:val="center"/>
            <w:hideMark/>
          </w:tcPr>
          <w:p w:rsidR="00F43C9B" w:rsidRPr="006F2F3D" w:rsidRDefault="00F43C9B" w:rsidP="00F43C9B">
            <w:pPr>
              <w:pStyle w:val="Geenafstand"/>
              <w:shd w:val="clear" w:color="auto" w:fill="D9D9D9" w:themeFill="background1" w:themeFillShade="D9"/>
            </w:pPr>
          </w:p>
        </w:tc>
        <w:tc>
          <w:tcPr>
            <w:tcW w:w="1118" w:type="dxa"/>
            <w:tcBorders>
              <w:top w:val="nil"/>
              <w:left w:val="single" w:sz="8" w:space="0" w:color="auto"/>
              <w:bottom w:val="single" w:sz="8" w:space="0" w:color="auto"/>
              <w:right w:val="single" w:sz="8" w:space="0" w:color="auto"/>
            </w:tcBorders>
          </w:tcPr>
          <w:p w:rsidR="00F43C9B" w:rsidRPr="006F2F3D" w:rsidRDefault="00F43C9B" w:rsidP="00F43C9B">
            <w:pPr>
              <w:shd w:val="clear" w:color="auto" w:fill="D9D9D9" w:themeFill="background1" w:themeFillShade="D9"/>
              <w:rPr>
                <w:rFonts w:ascii="Verdana" w:hAnsi="Verdana" w:cs="Arial"/>
                <w:sz w:val="18"/>
                <w:szCs w:val="18"/>
              </w:rPr>
            </w:pPr>
            <w:r w:rsidRPr="006F2F3D">
              <w:rPr>
                <w:rFonts w:ascii="Verdana" w:hAnsi="Verdana" w:cs="Arial"/>
                <w:sz w:val="18"/>
                <w:szCs w:val="18"/>
              </w:rPr>
              <w:t>84-74-2</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Dibutyl phthalate (DBP)</w:t>
            </w:r>
          </w:p>
          <w:p w:rsidR="00F43C9B" w:rsidRPr="006F2F3D" w:rsidRDefault="00F43C9B" w:rsidP="00F43C9B">
            <w:pPr>
              <w:pStyle w:val="Geenafstand"/>
              <w:shd w:val="clear" w:color="auto" w:fill="D9D9D9" w:themeFill="background1" w:themeFillShade="D9"/>
            </w:pPr>
          </w:p>
        </w:tc>
        <w:tc>
          <w:tcPr>
            <w:tcW w:w="993"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0,1</w:t>
            </w:r>
          </w:p>
        </w:tc>
        <w:tc>
          <w:tcPr>
            <w:tcW w:w="311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p>
        </w:tc>
      </w:tr>
      <w:tr w:rsidR="00F43C9B" w:rsidRPr="006F2F3D" w:rsidTr="00F43C9B">
        <w:trPr>
          <w:gridAfter w:val="2"/>
          <w:wAfter w:w="933" w:type="dxa"/>
        </w:trPr>
        <w:tc>
          <w:tcPr>
            <w:tcW w:w="31" w:type="dxa"/>
            <w:vAlign w:val="center"/>
            <w:hideMark/>
          </w:tcPr>
          <w:p w:rsidR="00F43C9B" w:rsidRPr="006F2F3D" w:rsidRDefault="00F43C9B" w:rsidP="00F43C9B">
            <w:pPr>
              <w:pStyle w:val="Geenafstand"/>
              <w:shd w:val="clear" w:color="auto" w:fill="D9D9D9" w:themeFill="background1" w:themeFillShade="D9"/>
            </w:pPr>
          </w:p>
        </w:tc>
        <w:tc>
          <w:tcPr>
            <w:tcW w:w="1118" w:type="dxa"/>
            <w:tcBorders>
              <w:top w:val="nil"/>
              <w:left w:val="single" w:sz="8" w:space="0" w:color="auto"/>
              <w:bottom w:val="single" w:sz="8" w:space="0" w:color="auto"/>
              <w:right w:val="single" w:sz="8" w:space="0" w:color="auto"/>
            </w:tcBorders>
          </w:tcPr>
          <w:p w:rsidR="00F43C9B" w:rsidRPr="006F2F3D" w:rsidRDefault="00F43C9B" w:rsidP="00F43C9B">
            <w:pPr>
              <w:pStyle w:val="Geenafstand"/>
              <w:shd w:val="clear" w:color="auto" w:fill="D9D9D9" w:themeFill="background1" w:themeFillShade="D9"/>
            </w:pPr>
            <w:r w:rsidRPr="006F2F3D">
              <w:t>7439-92-1</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Lood</w:t>
            </w:r>
          </w:p>
        </w:tc>
        <w:tc>
          <w:tcPr>
            <w:tcW w:w="993"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0,5</w:t>
            </w:r>
          </w:p>
        </w:tc>
        <w:tc>
          <w:tcPr>
            <w:tcW w:w="311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grenswaarde  Wet milieubeheer,</w:t>
            </w:r>
          </w:p>
          <w:p w:rsidR="00F43C9B" w:rsidRPr="006F2F3D" w:rsidRDefault="00F43C9B" w:rsidP="00F43C9B">
            <w:pPr>
              <w:pStyle w:val="Geenafstand"/>
              <w:shd w:val="clear" w:color="auto" w:fill="D9D9D9" w:themeFill="background1" w:themeFillShade="D9"/>
            </w:pPr>
            <w:r w:rsidRPr="006F2F3D">
              <w:t>geldt alleen voor lood en anorganische loodverbindingen</w:t>
            </w:r>
          </w:p>
        </w:tc>
      </w:tr>
      <w:tr w:rsidR="00F43C9B" w:rsidRPr="006F2F3D" w:rsidTr="00F43C9B">
        <w:trPr>
          <w:gridAfter w:val="2"/>
          <w:wAfter w:w="933" w:type="dxa"/>
        </w:trPr>
        <w:tc>
          <w:tcPr>
            <w:tcW w:w="31" w:type="dxa"/>
            <w:vAlign w:val="center"/>
            <w:hideMark/>
          </w:tcPr>
          <w:p w:rsidR="00F43C9B" w:rsidRPr="006F2F3D" w:rsidRDefault="00F43C9B" w:rsidP="00F43C9B">
            <w:pPr>
              <w:pStyle w:val="Geenafstand"/>
              <w:shd w:val="clear" w:color="auto" w:fill="D9D9D9" w:themeFill="background1" w:themeFillShade="D9"/>
            </w:pPr>
          </w:p>
        </w:tc>
        <w:tc>
          <w:tcPr>
            <w:tcW w:w="1118" w:type="dxa"/>
            <w:tcBorders>
              <w:top w:val="nil"/>
              <w:left w:val="single" w:sz="8" w:space="0" w:color="auto"/>
              <w:bottom w:val="single" w:sz="8" w:space="0" w:color="auto"/>
              <w:right w:val="single" w:sz="8" w:space="0" w:color="auto"/>
            </w:tcBorders>
          </w:tcPr>
          <w:p w:rsidR="00F43C9B" w:rsidRPr="006F2F3D" w:rsidRDefault="00F43C9B" w:rsidP="00F43C9B">
            <w:pPr>
              <w:pStyle w:val="Geenafstand"/>
              <w:shd w:val="clear" w:color="auto" w:fill="D9D9D9" w:themeFill="background1" w:themeFillShade="D9"/>
            </w:pPr>
            <w:r w:rsidRPr="006F2F3D">
              <w:t>7440-43-9</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Cadmium</w:t>
            </w:r>
          </w:p>
        </w:tc>
        <w:tc>
          <w:tcPr>
            <w:tcW w:w="993"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0,005</w:t>
            </w:r>
          </w:p>
        </w:tc>
        <w:tc>
          <w:tcPr>
            <w:tcW w:w="311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rsidR="00F43C9B" w:rsidRPr="006F2F3D" w:rsidRDefault="00F43C9B" w:rsidP="00F43C9B">
            <w:pPr>
              <w:pStyle w:val="Geenafstand"/>
              <w:shd w:val="clear" w:color="auto" w:fill="D9D9D9" w:themeFill="background1" w:themeFillShade="D9"/>
            </w:pPr>
            <w:r w:rsidRPr="006F2F3D">
              <w:t>EU-richtwaarde, staat ook in de wet milieubeheer</w:t>
            </w:r>
          </w:p>
        </w:tc>
      </w:tr>
      <w:tr w:rsidR="00F43C9B" w:rsidRPr="006F2F3D" w:rsidTr="00F43C9B">
        <w:tc>
          <w:tcPr>
            <w:tcW w:w="31" w:type="dxa"/>
            <w:vAlign w:val="center"/>
            <w:hideMark/>
          </w:tcPr>
          <w:p w:rsidR="00F43C9B" w:rsidRPr="006F2F3D" w:rsidRDefault="00F43C9B" w:rsidP="00F43C9B">
            <w:pPr>
              <w:shd w:val="clear" w:color="auto" w:fill="D9D9D9" w:themeFill="background1" w:themeFillShade="D9"/>
              <w:rPr>
                <w:rFonts w:ascii="Verdana" w:hAnsi="Verdana"/>
                <w:sz w:val="18"/>
                <w:szCs w:val="18"/>
              </w:rPr>
            </w:pPr>
          </w:p>
        </w:tc>
        <w:tc>
          <w:tcPr>
            <w:tcW w:w="1118" w:type="dxa"/>
            <w:vAlign w:val="center"/>
            <w:hideMark/>
          </w:tcPr>
          <w:p w:rsidR="00F43C9B" w:rsidRPr="006F2F3D" w:rsidRDefault="00F43C9B" w:rsidP="00F43C9B">
            <w:pPr>
              <w:shd w:val="clear" w:color="auto" w:fill="D9D9D9" w:themeFill="background1" w:themeFillShade="D9"/>
              <w:rPr>
                <w:rFonts w:ascii="Verdana" w:hAnsi="Verdana"/>
                <w:sz w:val="18"/>
                <w:szCs w:val="18"/>
              </w:rPr>
            </w:pPr>
          </w:p>
        </w:tc>
        <w:tc>
          <w:tcPr>
            <w:tcW w:w="2363" w:type="dxa"/>
            <w:gridSpan w:val="2"/>
            <w:vAlign w:val="center"/>
            <w:hideMark/>
          </w:tcPr>
          <w:p w:rsidR="00F43C9B" w:rsidRPr="006F2F3D" w:rsidRDefault="00F43C9B" w:rsidP="00F43C9B">
            <w:pPr>
              <w:shd w:val="clear" w:color="auto" w:fill="D9D9D9" w:themeFill="background1" w:themeFillShade="D9"/>
              <w:rPr>
                <w:rFonts w:ascii="Verdana" w:hAnsi="Verdana"/>
                <w:sz w:val="18"/>
                <w:szCs w:val="18"/>
              </w:rPr>
            </w:pPr>
          </w:p>
        </w:tc>
        <w:tc>
          <w:tcPr>
            <w:tcW w:w="20" w:type="dxa"/>
            <w:vAlign w:val="center"/>
            <w:hideMark/>
          </w:tcPr>
          <w:p w:rsidR="00F43C9B" w:rsidRPr="006F2F3D" w:rsidRDefault="00F43C9B" w:rsidP="00F43C9B">
            <w:pPr>
              <w:shd w:val="clear" w:color="auto" w:fill="D9D9D9" w:themeFill="background1" w:themeFillShade="D9"/>
              <w:rPr>
                <w:rFonts w:ascii="Verdana" w:hAnsi="Verdana"/>
                <w:sz w:val="18"/>
                <w:szCs w:val="18"/>
              </w:rPr>
            </w:pPr>
          </w:p>
        </w:tc>
        <w:tc>
          <w:tcPr>
            <w:tcW w:w="3456" w:type="dxa"/>
            <w:gridSpan w:val="2"/>
            <w:vAlign w:val="center"/>
            <w:hideMark/>
          </w:tcPr>
          <w:p w:rsidR="00F43C9B" w:rsidRPr="006F2F3D" w:rsidRDefault="00F43C9B" w:rsidP="00F43C9B">
            <w:pPr>
              <w:shd w:val="clear" w:color="auto" w:fill="D9D9D9" w:themeFill="background1" w:themeFillShade="D9"/>
              <w:rPr>
                <w:rFonts w:ascii="Verdana" w:hAnsi="Verdana"/>
                <w:sz w:val="18"/>
                <w:szCs w:val="18"/>
              </w:rPr>
            </w:pPr>
          </w:p>
        </w:tc>
        <w:tc>
          <w:tcPr>
            <w:tcW w:w="20" w:type="dxa"/>
            <w:vAlign w:val="center"/>
            <w:hideMark/>
          </w:tcPr>
          <w:p w:rsidR="00F43C9B" w:rsidRPr="006F2F3D" w:rsidRDefault="00F43C9B" w:rsidP="00F43C9B">
            <w:pPr>
              <w:shd w:val="clear" w:color="auto" w:fill="D9D9D9" w:themeFill="background1" w:themeFillShade="D9"/>
              <w:rPr>
                <w:rFonts w:ascii="Verdana" w:hAnsi="Verdana"/>
                <w:sz w:val="18"/>
                <w:szCs w:val="18"/>
              </w:rPr>
            </w:pPr>
          </w:p>
        </w:tc>
        <w:tc>
          <w:tcPr>
            <w:tcW w:w="1433" w:type="dxa"/>
            <w:gridSpan w:val="2"/>
            <w:vAlign w:val="center"/>
            <w:hideMark/>
          </w:tcPr>
          <w:p w:rsidR="00F43C9B" w:rsidRPr="006F2F3D" w:rsidRDefault="00F43C9B" w:rsidP="00F43C9B">
            <w:pPr>
              <w:shd w:val="clear" w:color="auto" w:fill="D9D9D9" w:themeFill="background1" w:themeFillShade="D9"/>
              <w:rPr>
                <w:rFonts w:ascii="Verdana" w:hAnsi="Verdana"/>
                <w:sz w:val="18"/>
                <w:szCs w:val="18"/>
              </w:rPr>
            </w:pPr>
          </w:p>
        </w:tc>
        <w:tc>
          <w:tcPr>
            <w:tcW w:w="20" w:type="dxa"/>
            <w:vAlign w:val="center"/>
            <w:hideMark/>
          </w:tcPr>
          <w:p w:rsidR="00F43C9B" w:rsidRPr="006F2F3D" w:rsidRDefault="00F43C9B" w:rsidP="00F43C9B">
            <w:pPr>
              <w:shd w:val="clear" w:color="auto" w:fill="D9D9D9" w:themeFill="background1" w:themeFillShade="D9"/>
              <w:rPr>
                <w:rFonts w:ascii="Verdana" w:hAnsi="Verdana"/>
                <w:sz w:val="18"/>
                <w:szCs w:val="18"/>
              </w:rPr>
            </w:pPr>
          </w:p>
        </w:tc>
      </w:tr>
    </w:tbl>
    <w:p w:rsidR="00F43C9B" w:rsidRPr="006F2F3D" w:rsidRDefault="00F43C9B" w:rsidP="00F43C9B">
      <w:pPr>
        <w:shd w:val="clear" w:color="auto" w:fill="D9D9D9" w:themeFill="background1" w:themeFillShade="D9"/>
        <w:autoSpaceDE w:val="0"/>
        <w:autoSpaceDN w:val="0"/>
        <w:adjustRightInd w:val="0"/>
        <w:spacing w:line="240" w:lineRule="auto"/>
        <w:rPr>
          <w:rFonts w:ascii="Verdana" w:hAnsi="Verdana"/>
          <w:b/>
          <w:sz w:val="18"/>
          <w:szCs w:val="18"/>
        </w:rPr>
      </w:pPr>
    </w:p>
    <w:p w:rsidR="009A35EF" w:rsidRPr="006F2F3D" w:rsidRDefault="009A35EF" w:rsidP="009A35EF">
      <w:pPr>
        <w:autoSpaceDE w:val="0"/>
        <w:autoSpaceDN w:val="0"/>
        <w:adjustRightInd w:val="0"/>
        <w:spacing w:line="240" w:lineRule="auto"/>
        <w:rPr>
          <w:rFonts w:ascii="Verdana" w:hAnsi="Verdana"/>
          <w:sz w:val="18"/>
          <w:szCs w:val="18"/>
        </w:rPr>
      </w:pPr>
    </w:p>
    <w:p w:rsidR="00FC57C8" w:rsidRPr="00620047" w:rsidRDefault="00FC57C8">
      <w:pPr>
        <w:rPr>
          <w:rFonts w:cs="Arial"/>
        </w:rPr>
      </w:pPr>
    </w:p>
    <w:sectPr w:rsidR="00FC57C8" w:rsidRPr="00620047">
      <w:headerReference w:type="even" r:id="rId336"/>
      <w:headerReference w:type="default" r:id="rId337"/>
      <w:pgSz w:w="11905" w:h="16837"/>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626" w:rsidRDefault="005D7626" w:rsidP="009A35EF">
      <w:pPr>
        <w:spacing w:line="240" w:lineRule="auto"/>
      </w:pPr>
      <w:r>
        <w:separator/>
      </w:r>
    </w:p>
  </w:endnote>
  <w:endnote w:type="continuationSeparator" w:id="0">
    <w:p w:rsidR="005D7626" w:rsidRDefault="005D7626" w:rsidP="009A35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ejaVu Sans">
    <w:altName w:val="Arial"/>
    <w:charset w:val="00"/>
    <w:family w:val="swiss"/>
    <w:pitch w:val="variable"/>
    <w:sig w:usb0="E7002EFF" w:usb1="D200FDFF" w:usb2="0A042029" w:usb3="00000000" w:csb0="800001FF" w:csb1="00000000"/>
  </w:font>
  <w:font w:name="MS Mincho">
    <w:altName w:val="ＭＳ 明朝"/>
    <w:panose1 w:val="02020609040205080304"/>
    <w:charset w:val="80"/>
    <w:family w:val="modern"/>
    <w:pitch w:val="fixed"/>
    <w:sig w:usb0="E00002FF" w:usb1="6AC7FDFB" w:usb2="00000012" w:usb3="00000000" w:csb0="0002009F" w:csb1="00000000"/>
  </w:font>
  <w:font w:name="V&amp;W Syntax (Adobe)">
    <w:altName w:val="Segoe UI"/>
    <w:panose1 w:val="020B0500000000000000"/>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Lohit Hindi">
    <w:altName w:val="Times New Roman"/>
    <w:charset w:val="00"/>
    <w:family w:val="auto"/>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AvantGarde">
    <w:panose1 w:val="00000000000000000000"/>
    <w:charset w:val="00"/>
    <w:family w:val="swiss"/>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Bold">
    <w:panose1 w:val="00000000000000000000"/>
    <w:charset w:val="00"/>
    <w:family w:val="swiss"/>
    <w:notTrueType/>
    <w:pitch w:val="default"/>
    <w:sig w:usb0="00000003" w:usb1="00000000" w:usb2="00000000" w:usb3="00000000" w:csb0="00000001" w:csb1="00000000"/>
  </w:font>
  <w:font w:name="EUAlbertina">
    <w:altName w:val="EUAlberti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26" w:rsidRDefault="005D7626">
    <w:pPr>
      <w:pStyle w:val="Voettekst"/>
      <w:tabs>
        <w:tab w:val="center" w:pos="4820"/>
      </w:tabs>
      <w:ind w:left="-1134"/>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696500"/>
      <w:docPartObj>
        <w:docPartGallery w:val="Page Numbers (Bottom of Page)"/>
        <w:docPartUnique/>
      </w:docPartObj>
    </w:sdtPr>
    <w:sdtEndPr/>
    <w:sdtContent>
      <w:p w:rsidR="005D7626" w:rsidRDefault="005D7626">
        <w:pPr>
          <w:pStyle w:val="Voettekst"/>
          <w:jc w:val="center"/>
        </w:pPr>
        <w:r>
          <w:fldChar w:fldCharType="begin"/>
        </w:r>
        <w:r>
          <w:instrText>PAGE   \* MERGEFORMAT</w:instrText>
        </w:r>
        <w:r>
          <w:fldChar w:fldCharType="separate"/>
        </w:r>
        <w:r w:rsidR="00C428B8" w:rsidRPr="00C428B8">
          <w:rPr>
            <w:noProof/>
            <w:lang w:val="nl-NL"/>
          </w:rPr>
          <w:t>501</w:t>
        </w:r>
        <w:r>
          <w:fldChar w:fldCharType="end"/>
        </w:r>
      </w:p>
    </w:sdtContent>
  </w:sdt>
  <w:p w:rsidR="005D7626" w:rsidRDefault="005D7626">
    <w:pPr>
      <w:pStyle w:val="Voettekst"/>
      <w:tabs>
        <w:tab w:val="center" w:pos="2552"/>
      </w:tabs>
      <w:ind w:left="-198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626" w:rsidRDefault="005D7626" w:rsidP="009A35EF">
      <w:pPr>
        <w:spacing w:line="240" w:lineRule="auto"/>
      </w:pPr>
      <w:r>
        <w:separator/>
      </w:r>
    </w:p>
  </w:footnote>
  <w:footnote w:type="continuationSeparator" w:id="0">
    <w:p w:rsidR="005D7626" w:rsidRDefault="005D7626" w:rsidP="009A35EF">
      <w:pPr>
        <w:spacing w:line="240" w:lineRule="auto"/>
      </w:pPr>
      <w:r>
        <w:continuationSeparator/>
      </w:r>
    </w:p>
  </w:footnote>
  <w:footnote w:id="1">
    <w:p w:rsidR="005D7626" w:rsidRPr="00A41A35" w:rsidRDefault="005D7626" w:rsidP="00F43C9B">
      <w:pPr>
        <w:pStyle w:val="Voetnoottekst"/>
      </w:pPr>
      <w:r>
        <w:rPr>
          <w:rStyle w:val="Voetnootmarkering"/>
        </w:rPr>
        <w:footnoteRef/>
      </w:r>
      <w:r>
        <w:t xml:space="preserve"> Rijksinstituut voor Volksgezondheid en Milieu.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26" w:rsidRDefault="005D7626">
    <w:pPr>
      <w:pStyle w:val="Koptekst"/>
      <w:tabs>
        <w:tab w:val="center" w:pos="4820"/>
        <w:tab w:val="right" w:pos="9356"/>
      </w:tabs>
      <w:ind w:right="-1"/>
      <w:jc w:val="center"/>
    </w:pPr>
    <w:r>
      <w:tab/>
    </w:r>
    <w:r>
      <w:rPr>
        <w:lang w:val="en-US"/>
      </w:rPr>
      <w:tab/>
    </w:r>
    <w:r>
      <w:t>Geluidbelasting schietactiviteiten</w:t>
    </w:r>
    <w:r>
      <w:tab/>
    </w:r>
  </w:p>
  <w:p w:rsidR="005D7626" w:rsidRDefault="005D7626">
    <w:pPr>
      <w:pStyle w:val="Koptekst"/>
      <w:tabs>
        <w:tab w:val="right" w:pos="9356"/>
      </w:tabs>
      <w:jc w:val="center"/>
    </w:pPr>
  </w:p>
  <w:p w:rsidR="005D7626" w:rsidRDefault="005D7626">
    <w:pPr>
      <w:pStyle w:val="Koptekst"/>
      <w:pBdr>
        <w:bottom w:val="single" w:sz="6" w:space="0" w:color="auto"/>
      </w:pBdr>
      <w:tabs>
        <w:tab w:val="right" w:pos="9356"/>
      </w:tabs>
      <w:ind w:right="-1985"/>
    </w:pPr>
  </w:p>
  <w:p w:rsidR="005D7626" w:rsidRDefault="005D7626">
    <w:pPr>
      <w:pStyle w:val="Koptekst"/>
      <w:tabs>
        <w:tab w:val="right" w:pos="9356"/>
      </w:tabs>
      <w:ind w:right="-1"/>
    </w:pPr>
    <w:r>
      <w:fldChar w:fldCharType="begin"/>
    </w:r>
    <w:r>
      <w:instrText xml:space="preserve"> PAGE  \* MERGEFORMAT </w:instrText>
    </w:r>
    <w:r>
      <w:fldChar w:fldCharType="separate"/>
    </w:r>
    <w:r>
      <w:rPr>
        <w:noProof/>
      </w:rPr>
      <w:t>2</w:t>
    </w:r>
    <w:r>
      <w:rPr>
        <w:noProof/>
      </w:rPr>
      <w:fldChar w:fldCharType="end"/>
    </w:r>
    <w:r>
      <w:t xml:space="preserve"> van </w:t>
    </w:r>
    <w:r w:rsidR="00C428B8">
      <w:fldChar w:fldCharType="begin"/>
    </w:r>
    <w:r w:rsidR="00C428B8">
      <w:instrText xml:space="preserve"> NUMPAGES  \* MERGEFORMAT </w:instrText>
    </w:r>
    <w:r w:rsidR="00C428B8">
      <w:fldChar w:fldCharType="separate"/>
    </w:r>
    <w:r>
      <w:rPr>
        <w:noProof/>
      </w:rPr>
      <w:t>430</w:t>
    </w:r>
    <w:r w:rsidR="00C428B8">
      <w:rPr>
        <w:noProof/>
      </w:rPr>
      <w:fldChar w:fldCharType="end"/>
    </w:r>
    <w:r>
      <w:tab/>
    </w:r>
    <w:r>
      <w:tab/>
      <w:t xml:space="preserve"> </w:t>
    </w:r>
    <w:r w:rsidR="00C428B8">
      <w:fldChar w:fldCharType="begin"/>
    </w:r>
    <w:r w:rsidR="00C428B8">
      <w:instrText xml:space="preserve"> REF docdiv \* MERGEFORMAT </w:instrText>
    </w:r>
    <w:r w:rsidR="00C428B8">
      <w:fldChar w:fldCharType="separate"/>
    </w:r>
    <w:r w:rsidRPr="00AD2CF5">
      <w:rPr>
        <w:noProof/>
      </w:rPr>
      <w:t>HAG</w:t>
    </w:r>
    <w:r w:rsidR="00C428B8">
      <w:rPr>
        <w:noProof/>
      </w:rPr>
      <w:fldChar w:fldCharType="end"/>
    </w:r>
    <w:r>
      <w:t>-RPT-</w:t>
    </w:r>
    <w:r w:rsidR="00C428B8">
      <w:fldChar w:fldCharType="begin"/>
    </w:r>
    <w:r w:rsidR="00C428B8">
      <w:instrText xml:space="preserve"> REF docvolgnr  \* MERGEFORMAT </w:instrText>
    </w:r>
    <w:r w:rsidR="00C428B8">
      <w:fldChar w:fldCharType="separate"/>
    </w:r>
    <w:r w:rsidRPr="00AD2CF5">
      <w:rPr>
        <w:noProof/>
      </w:rPr>
      <w:t>940202</w:t>
    </w:r>
    <w:r w:rsidR="00C428B8">
      <w:rPr>
        <w:noProof/>
      </w:rPr>
      <w:fldChar w:fldCharType="end"/>
    </w:r>
  </w:p>
  <w:p w:rsidR="005D7626" w:rsidRDefault="005D7626">
    <w:pPr>
      <w:pStyle w:val="Koptekst"/>
      <w:ind w:right="-21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26" w:rsidRDefault="005D7626">
    <w:pPr>
      <w:pStyle w:val="Koptekst"/>
      <w:tabs>
        <w:tab w:val="center" w:pos="4820"/>
        <w:tab w:val="right" w:pos="9356"/>
      </w:tabs>
      <w:ind w:right="-1"/>
      <w:jc w:val="center"/>
    </w:pPr>
    <w:r>
      <w:tab/>
    </w:r>
    <w:r>
      <w:rPr>
        <w:lang w:val="en-US"/>
      </w:rPr>
      <w:tab/>
    </w:r>
    <w:r>
      <w:t>Geluidbelasting schietactiviteiten</w:t>
    </w:r>
    <w:r>
      <w:tab/>
    </w:r>
  </w:p>
  <w:p w:rsidR="005D7626" w:rsidRDefault="005D7626">
    <w:pPr>
      <w:pStyle w:val="Koptekst"/>
      <w:tabs>
        <w:tab w:val="right" w:pos="9356"/>
      </w:tabs>
      <w:jc w:val="center"/>
    </w:pPr>
  </w:p>
  <w:p w:rsidR="005D7626" w:rsidRDefault="005D7626">
    <w:pPr>
      <w:pStyle w:val="Koptekst"/>
      <w:pBdr>
        <w:bottom w:val="single" w:sz="6" w:space="0" w:color="auto"/>
      </w:pBdr>
      <w:tabs>
        <w:tab w:val="right" w:pos="9356"/>
      </w:tabs>
      <w:ind w:right="-1"/>
    </w:pPr>
  </w:p>
  <w:p w:rsidR="005D7626" w:rsidRDefault="005D7626">
    <w:pPr>
      <w:pStyle w:val="Koptekst"/>
      <w:tabs>
        <w:tab w:val="right" w:pos="9356"/>
      </w:tabs>
      <w:ind w:right="-1"/>
    </w:pPr>
    <w:r>
      <w:fldChar w:fldCharType="begin"/>
    </w:r>
    <w:r>
      <w:instrText xml:space="preserve"> PAGE  \* MERGEFORMAT </w:instrText>
    </w:r>
    <w:r>
      <w:fldChar w:fldCharType="separate"/>
    </w:r>
    <w:r>
      <w:rPr>
        <w:noProof/>
      </w:rPr>
      <w:t>18</w:t>
    </w:r>
    <w:r>
      <w:rPr>
        <w:noProof/>
      </w:rPr>
      <w:fldChar w:fldCharType="end"/>
    </w:r>
    <w:r>
      <w:t xml:space="preserve"> van </w:t>
    </w:r>
    <w:r w:rsidR="00C428B8">
      <w:fldChar w:fldCharType="begin"/>
    </w:r>
    <w:r w:rsidR="00C428B8">
      <w:instrText xml:space="preserve"> NUMPAGES  \* MERGEFORMAT </w:instrText>
    </w:r>
    <w:r w:rsidR="00C428B8">
      <w:fldChar w:fldCharType="separate"/>
    </w:r>
    <w:r>
      <w:rPr>
        <w:noProof/>
      </w:rPr>
      <w:t>430</w:t>
    </w:r>
    <w:r w:rsidR="00C428B8">
      <w:rPr>
        <w:noProof/>
      </w:rPr>
      <w:fldChar w:fldCharType="end"/>
    </w:r>
    <w:r>
      <w:tab/>
    </w:r>
    <w:r>
      <w:tab/>
      <w:t xml:space="preserve"> </w:t>
    </w:r>
    <w:r w:rsidR="00C428B8">
      <w:fldChar w:fldCharType="begin"/>
    </w:r>
    <w:r w:rsidR="00C428B8">
      <w:instrText xml:space="preserve"> REF docdiv \* MERGEFORMAT </w:instrText>
    </w:r>
    <w:r w:rsidR="00C428B8">
      <w:fldChar w:fldCharType="separate"/>
    </w:r>
    <w:r w:rsidRPr="00AD2CF5">
      <w:rPr>
        <w:noProof/>
      </w:rPr>
      <w:t>HAG</w:t>
    </w:r>
    <w:r w:rsidR="00C428B8">
      <w:rPr>
        <w:noProof/>
      </w:rPr>
      <w:fldChar w:fldCharType="end"/>
    </w:r>
    <w:r>
      <w:t>-RPT-</w:t>
    </w:r>
    <w:r w:rsidR="00C428B8">
      <w:fldChar w:fldCharType="begin"/>
    </w:r>
    <w:r w:rsidR="00C428B8">
      <w:instrText xml:space="preserve"> REF docvolgnr  \* MERGEFORMAT </w:instrText>
    </w:r>
    <w:r w:rsidR="00C428B8">
      <w:fldChar w:fldCharType="separate"/>
    </w:r>
    <w:r w:rsidRPr="00AD2CF5">
      <w:rPr>
        <w:noProof/>
      </w:rPr>
      <w:t>940202</w:t>
    </w:r>
    <w:r w:rsidR="00C428B8">
      <w:rPr>
        <w:noProof/>
      </w:rPr>
      <w:fldChar w:fldCharType="end"/>
    </w:r>
  </w:p>
  <w:p w:rsidR="005D7626" w:rsidRDefault="005D7626">
    <w:pPr>
      <w:pStyle w:val="Koptekst"/>
      <w:ind w:right="-21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26" w:rsidRPr="00647C68" w:rsidRDefault="005D7626" w:rsidP="00F43C9B">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26" w:rsidRDefault="005D7626">
    <w:pPr>
      <w:pStyle w:val="Koptekst"/>
      <w:tabs>
        <w:tab w:val="center" w:pos="4820"/>
        <w:tab w:val="right" w:pos="9356"/>
      </w:tabs>
      <w:ind w:right="-1"/>
      <w:jc w:val="center"/>
    </w:pPr>
    <w:r>
      <w:tab/>
    </w:r>
    <w:r>
      <w:rPr>
        <w:lang w:val="en-US"/>
      </w:rPr>
      <w:tab/>
    </w:r>
    <w:r>
      <w:t>Geluidbelasting schietactiviteiten</w:t>
    </w:r>
    <w:r>
      <w:tab/>
    </w:r>
  </w:p>
  <w:p w:rsidR="005D7626" w:rsidRDefault="005D7626">
    <w:pPr>
      <w:pStyle w:val="Koptekst"/>
      <w:tabs>
        <w:tab w:val="right" w:pos="9356"/>
      </w:tabs>
      <w:jc w:val="center"/>
    </w:pPr>
  </w:p>
  <w:p w:rsidR="005D7626" w:rsidRDefault="005D7626">
    <w:pPr>
      <w:pStyle w:val="Koptekst"/>
      <w:pBdr>
        <w:bottom w:val="single" w:sz="6" w:space="0" w:color="auto"/>
      </w:pBdr>
      <w:tabs>
        <w:tab w:val="right" w:pos="9356"/>
      </w:tabs>
      <w:ind w:right="-1"/>
    </w:pPr>
  </w:p>
  <w:p w:rsidR="005D7626" w:rsidRDefault="005D7626">
    <w:pPr>
      <w:pStyle w:val="Koptekst"/>
      <w:tabs>
        <w:tab w:val="right" w:pos="9356"/>
      </w:tabs>
      <w:ind w:right="-1"/>
    </w:pPr>
    <w:r>
      <w:fldChar w:fldCharType="begin"/>
    </w:r>
    <w:r>
      <w:instrText xml:space="preserve"> PAGE  \* MERGEFORMAT </w:instrText>
    </w:r>
    <w:r>
      <w:fldChar w:fldCharType="separate"/>
    </w:r>
    <w:r>
      <w:rPr>
        <w:noProof/>
      </w:rPr>
      <w:t>18</w:t>
    </w:r>
    <w:r>
      <w:rPr>
        <w:noProof/>
      </w:rPr>
      <w:fldChar w:fldCharType="end"/>
    </w:r>
    <w:r>
      <w:t xml:space="preserve"> van </w:t>
    </w:r>
    <w:r w:rsidR="00C428B8">
      <w:fldChar w:fldCharType="begin"/>
    </w:r>
    <w:r w:rsidR="00C428B8">
      <w:instrText xml:space="preserve"> NUMPAGES  \* MERGEFORMAT </w:instrText>
    </w:r>
    <w:r w:rsidR="00C428B8">
      <w:fldChar w:fldCharType="separate"/>
    </w:r>
    <w:r>
      <w:rPr>
        <w:noProof/>
      </w:rPr>
      <w:t>430</w:t>
    </w:r>
    <w:r w:rsidR="00C428B8">
      <w:rPr>
        <w:noProof/>
      </w:rPr>
      <w:fldChar w:fldCharType="end"/>
    </w:r>
    <w:r>
      <w:tab/>
    </w:r>
    <w:r>
      <w:tab/>
      <w:t xml:space="preserve"> </w:t>
    </w:r>
    <w:r w:rsidR="00C428B8">
      <w:fldChar w:fldCharType="begin"/>
    </w:r>
    <w:r w:rsidR="00C428B8">
      <w:instrText xml:space="preserve"> REF docdiv \* MERGEFORMAT </w:instrText>
    </w:r>
    <w:r w:rsidR="00C428B8">
      <w:fldChar w:fldCharType="separate"/>
    </w:r>
    <w:r w:rsidRPr="00AD2CF5">
      <w:rPr>
        <w:noProof/>
      </w:rPr>
      <w:t>HAG</w:t>
    </w:r>
    <w:r w:rsidR="00C428B8">
      <w:rPr>
        <w:noProof/>
      </w:rPr>
      <w:fldChar w:fldCharType="end"/>
    </w:r>
    <w:r>
      <w:t>-RPT-</w:t>
    </w:r>
    <w:r w:rsidR="00C428B8">
      <w:fldChar w:fldCharType="begin"/>
    </w:r>
    <w:r w:rsidR="00C428B8">
      <w:instrText xml:space="preserve"> REF docvolgnr  \* MERGEFORMAT </w:instrText>
    </w:r>
    <w:r w:rsidR="00C428B8">
      <w:fldChar w:fldCharType="separate"/>
    </w:r>
    <w:r w:rsidRPr="00AD2CF5">
      <w:rPr>
        <w:noProof/>
      </w:rPr>
      <w:t>940202</w:t>
    </w:r>
    <w:r w:rsidR="00C428B8">
      <w:rPr>
        <w:noProof/>
      </w:rPr>
      <w:fldChar w:fldCharType="end"/>
    </w:r>
  </w:p>
  <w:p w:rsidR="005D7626" w:rsidRDefault="005D7626">
    <w:pPr>
      <w:pStyle w:val="Koptekst"/>
      <w:ind w:right="-212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26" w:rsidRPr="00647C68" w:rsidRDefault="005D7626" w:rsidP="00F43C9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95EC300"/>
    <w:lvl w:ilvl="0">
      <w:numFmt w:val="bullet"/>
      <w:pStyle w:val="Lijstnummering"/>
      <w:lvlText w:val="˗"/>
      <w:lvlJc w:val="left"/>
      <w:pPr>
        <w:tabs>
          <w:tab w:val="num" w:pos="400"/>
        </w:tabs>
        <w:ind w:left="400" w:hanging="200"/>
      </w:pPr>
      <w:rPr>
        <w:rFonts w:ascii="Times New Roman" w:hAnsi="Times New Roman" w:hint="default"/>
      </w:rPr>
    </w:lvl>
  </w:abstractNum>
  <w:abstractNum w:abstractNumId="1">
    <w:nsid w:val="FFFFFF83"/>
    <w:multiLevelType w:val="singleLevel"/>
    <w:tmpl w:val="87009E68"/>
    <w:lvl w:ilvl="0">
      <w:start w:val="1"/>
      <w:numFmt w:val="bullet"/>
      <w:pStyle w:val="Lijstnummering2"/>
      <w:lvlText w:val="–"/>
      <w:lvlJc w:val="left"/>
      <w:pPr>
        <w:tabs>
          <w:tab w:val="num" w:pos="580"/>
        </w:tabs>
        <w:ind w:left="580" w:hanging="340"/>
      </w:pPr>
      <w:rPr>
        <w:rFonts w:ascii="Verdana" w:hAnsi="Verdana" w:hint="default"/>
      </w:rPr>
    </w:lvl>
  </w:abstractNum>
  <w:abstractNum w:abstractNumId="2">
    <w:nsid w:val="FFFFFF88"/>
    <w:multiLevelType w:val="singleLevel"/>
    <w:tmpl w:val="C792D042"/>
    <w:lvl w:ilvl="0">
      <w:start w:val="1"/>
      <w:numFmt w:val="decimal"/>
      <w:pStyle w:val="Lijstopsomteken2"/>
      <w:lvlText w:val="%1"/>
      <w:lvlJc w:val="left"/>
      <w:pPr>
        <w:tabs>
          <w:tab w:val="num" w:pos="200"/>
        </w:tabs>
        <w:ind w:left="200" w:hanging="200"/>
      </w:pPr>
      <w:rPr>
        <w:rFonts w:cs="Times New Roman" w:hint="default"/>
      </w:rPr>
    </w:lvl>
  </w:abstractNum>
  <w:abstractNum w:abstractNumId="3">
    <w:nsid w:val="FFFFFF89"/>
    <w:multiLevelType w:val="singleLevel"/>
    <w:tmpl w:val="26305340"/>
    <w:lvl w:ilvl="0">
      <w:start w:val="1"/>
      <w:numFmt w:val="bullet"/>
      <w:pStyle w:val="Lijstopsomteken"/>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lvl>
  </w:abstractNum>
  <w:abstractNum w:abstractNumId="5">
    <w:nsid w:val="02187B4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nsid w:val="03EA6268"/>
    <w:multiLevelType w:val="singleLevel"/>
    <w:tmpl w:val="03F8823E"/>
    <w:lvl w:ilvl="0">
      <w:numFmt w:val="bullet"/>
      <w:lvlText w:val="-"/>
      <w:lvlJc w:val="left"/>
      <w:pPr>
        <w:tabs>
          <w:tab w:val="num" w:pos="1143"/>
        </w:tabs>
        <w:ind w:left="1143" w:hanging="576"/>
      </w:pPr>
      <w:rPr>
        <w:rFonts w:hint="default"/>
      </w:rPr>
    </w:lvl>
  </w:abstractNum>
  <w:abstractNum w:abstractNumId="7">
    <w:nsid w:val="07D11095"/>
    <w:multiLevelType w:val="hybridMultilevel"/>
    <w:tmpl w:val="B7864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86F31D8"/>
    <w:multiLevelType w:val="hybridMultilevel"/>
    <w:tmpl w:val="26A4A78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0A4120A4"/>
    <w:multiLevelType w:val="hybridMultilevel"/>
    <w:tmpl w:val="D1C0296A"/>
    <w:lvl w:ilvl="0" w:tplc="7C58E11C">
      <w:start w:val="1"/>
      <w:numFmt w:val="bullet"/>
      <w:pStyle w:val="LijstAgenda"/>
      <w:lvlText w:val="•"/>
      <w:lvlJc w:val="left"/>
      <w:pPr>
        <w:tabs>
          <w:tab w:val="num" w:pos="360"/>
        </w:tabs>
        <w:ind w:left="360" w:hanging="360"/>
      </w:pPr>
      <w:rPr>
        <w:rFonts w:ascii="Verdana" w:hAnsi="Verdana" w:hint="default"/>
        <w:sz w:val="18"/>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0B2E0E47"/>
    <w:multiLevelType w:val="hybridMultilevel"/>
    <w:tmpl w:val="4DD0B60C"/>
    <w:lvl w:ilvl="0" w:tplc="6824B38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C5264B6"/>
    <w:multiLevelType w:val="hybridMultilevel"/>
    <w:tmpl w:val="8280EF1E"/>
    <w:lvl w:ilvl="0" w:tplc="0413000F">
      <w:start w:val="1"/>
      <w:numFmt w:val="decimal"/>
      <w:lvlText w:val="%1."/>
      <w:lvlJc w:val="left"/>
      <w:pPr>
        <w:ind w:left="360" w:hanging="360"/>
      </w:pPr>
      <w:rPr>
        <w:rFonts w:hint="default"/>
      </w:rPr>
    </w:lvl>
    <w:lvl w:ilvl="1" w:tplc="0A9EA764">
      <w:start w:val="1"/>
      <w:numFmt w:val="lowerLetter"/>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1189740E"/>
    <w:multiLevelType w:val="hybridMultilevel"/>
    <w:tmpl w:val="03D8D25E"/>
    <w:lvl w:ilvl="0" w:tplc="04130011">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55936D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
    <w:nsid w:val="18AF2890"/>
    <w:multiLevelType w:val="hybridMultilevel"/>
    <w:tmpl w:val="AF0E49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73D61F4"/>
    <w:multiLevelType w:val="hybridMultilevel"/>
    <w:tmpl w:val="53FA35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3C20570F"/>
    <w:multiLevelType w:val="hybridMultilevel"/>
    <w:tmpl w:val="8E0E4656"/>
    <w:lvl w:ilvl="0" w:tplc="04130011">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CB064F3"/>
    <w:multiLevelType w:val="singleLevel"/>
    <w:tmpl w:val="1A720218"/>
    <w:lvl w:ilvl="0">
      <w:start w:val="2"/>
      <w:numFmt w:val="bullet"/>
      <w:lvlText w:val="-"/>
      <w:lvlJc w:val="left"/>
      <w:pPr>
        <w:tabs>
          <w:tab w:val="num" w:pos="360"/>
        </w:tabs>
        <w:ind w:left="360" w:hanging="360"/>
      </w:pPr>
      <w:rPr>
        <w:rFonts w:hint="default"/>
      </w:rPr>
    </w:lvl>
  </w:abstractNum>
  <w:abstractNum w:abstractNumId="18">
    <w:nsid w:val="4511689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9">
    <w:nsid w:val="454E138E"/>
    <w:multiLevelType w:val="hybridMultilevel"/>
    <w:tmpl w:val="D388BFCE"/>
    <w:lvl w:ilvl="0" w:tplc="8F22733A">
      <w:start w:val="1"/>
      <w:numFmt w:val="bullet"/>
      <w:lvlText w:val=""/>
      <w:lvlJc w:val="left"/>
      <w:pPr>
        <w:tabs>
          <w:tab w:val="num" w:pos="720"/>
        </w:tabs>
        <w:ind w:left="720" w:hanging="360"/>
      </w:pPr>
      <w:rPr>
        <w:rFonts w:ascii="Symbol" w:hAnsi="Symbol" w:hint="default"/>
      </w:rPr>
    </w:lvl>
    <w:lvl w:ilvl="1" w:tplc="E81E7922">
      <w:start w:val="1"/>
      <w:numFmt w:val="bullet"/>
      <w:lvlText w:val="o"/>
      <w:lvlJc w:val="left"/>
      <w:pPr>
        <w:tabs>
          <w:tab w:val="num" w:pos="1440"/>
        </w:tabs>
        <w:ind w:left="1440" w:hanging="360"/>
      </w:pPr>
      <w:rPr>
        <w:rFonts w:ascii="Courier New" w:hAnsi="Courier New" w:hint="default"/>
      </w:rPr>
    </w:lvl>
    <w:lvl w:ilvl="2" w:tplc="85AA59C0">
      <w:start w:val="1"/>
      <w:numFmt w:val="bullet"/>
      <w:lvlText w:val=""/>
      <w:lvlJc w:val="left"/>
      <w:pPr>
        <w:tabs>
          <w:tab w:val="num" w:pos="2160"/>
        </w:tabs>
        <w:ind w:left="2160" w:hanging="360"/>
      </w:pPr>
      <w:rPr>
        <w:rFonts w:ascii="Wingdings" w:hAnsi="Wingdings" w:hint="default"/>
      </w:rPr>
    </w:lvl>
    <w:lvl w:ilvl="3" w:tplc="B4CC81BA" w:tentative="1">
      <w:start w:val="1"/>
      <w:numFmt w:val="bullet"/>
      <w:lvlText w:val=""/>
      <w:lvlJc w:val="left"/>
      <w:pPr>
        <w:tabs>
          <w:tab w:val="num" w:pos="2880"/>
        </w:tabs>
        <w:ind w:left="2880" w:hanging="360"/>
      </w:pPr>
      <w:rPr>
        <w:rFonts w:ascii="Symbol" w:hAnsi="Symbol" w:hint="default"/>
      </w:rPr>
    </w:lvl>
    <w:lvl w:ilvl="4" w:tplc="54F226DC" w:tentative="1">
      <w:start w:val="1"/>
      <w:numFmt w:val="bullet"/>
      <w:lvlText w:val="o"/>
      <w:lvlJc w:val="left"/>
      <w:pPr>
        <w:tabs>
          <w:tab w:val="num" w:pos="3600"/>
        </w:tabs>
        <w:ind w:left="3600" w:hanging="360"/>
      </w:pPr>
      <w:rPr>
        <w:rFonts w:ascii="Courier New" w:hAnsi="Courier New" w:hint="default"/>
      </w:rPr>
    </w:lvl>
    <w:lvl w:ilvl="5" w:tplc="1AA0F274" w:tentative="1">
      <w:start w:val="1"/>
      <w:numFmt w:val="bullet"/>
      <w:lvlText w:val=""/>
      <w:lvlJc w:val="left"/>
      <w:pPr>
        <w:tabs>
          <w:tab w:val="num" w:pos="4320"/>
        </w:tabs>
        <w:ind w:left="4320" w:hanging="360"/>
      </w:pPr>
      <w:rPr>
        <w:rFonts w:ascii="Wingdings" w:hAnsi="Wingdings" w:hint="default"/>
      </w:rPr>
    </w:lvl>
    <w:lvl w:ilvl="6" w:tplc="0EF8A266" w:tentative="1">
      <w:start w:val="1"/>
      <w:numFmt w:val="bullet"/>
      <w:lvlText w:val=""/>
      <w:lvlJc w:val="left"/>
      <w:pPr>
        <w:tabs>
          <w:tab w:val="num" w:pos="5040"/>
        </w:tabs>
        <w:ind w:left="5040" w:hanging="360"/>
      </w:pPr>
      <w:rPr>
        <w:rFonts w:ascii="Symbol" w:hAnsi="Symbol" w:hint="default"/>
      </w:rPr>
    </w:lvl>
    <w:lvl w:ilvl="7" w:tplc="93DA772A" w:tentative="1">
      <w:start w:val="1"/>
      <w:numFmt w:val="bullet"/>
      <w:lvlText w:val="o"/>
      <w:lvlJc w:val="left"/>
      <w:pPr>
        <w:tabs>
          <w:tab w:val="num" w:pos="5760"/>
        </w:tabs>
        <w:ind w:left="5760" w:hanging="360"/>
      </w:pPr>
      <w:rPr>
        <w:rFonts w:ascii="Courier New" w:hAnsi="Courier New" w:hint="default"/>
      </w:rPr>
    </w:lvl>
    <w:lvl w:ilvl="8" w:tplc="F83E2066" w:tentative="1">
      <w:start w:val="1"/>
      <w:numFmt w:val="bullet"/>
      <w:lvlText w:val=""/>
      <w:lvlJc w:val="left"/>
      <w:pPr>
        <w:tabs>
          <w:tab w:val="num" w:pos="6480"/>
        </w:tabs>
        <w:ind w:left="6480" w:hanging="360"/>
      </w:pPr>
      <w:rPr>
        <w:rFonts w:ascii="Wingdings" w:hAnsi="Wingdings" w:hint="default"/>
      </w:rPr>
    </w:lvl>
  </w:abstractNum>
  <w:abstractNum w:abstractNumId="20">
    <w:nsid w:val="49D24D5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nsid w:val="49E066E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
    <w:nsid w:val="513C2189"/>
    <w:multiLevelType w:val="hybridMultilevel"/>
    <w:tmpl w:val="76BA5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49224BA"/>
    <w:multiLevelType w:val="hybridMultilevel"/>
    <w:tmpl w:val="761A60AC"/>
    <w:lvl w:ilvl="0" w:tplc="04130011">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D485B63"/>
    <w:multiLevelType w:val="hybridMultilevel"/>
    <w:tmpl w:val="57862680"/>
    <w:lvl w:ilvl="0" w:tplc="0413000F">
      <w:start w:val="1"/>
      <w:numFmt w:val="decimal"/>
      <w:lvlText w:val="%1."/>
      <w:lvlJc w:val="left"/>
      <w:pPr>
        <w:ind w:left="720" w:hanging="360"/>
      </w:pPr>
      <w:rPr>
        <w:rFonts w:hint="default"/>
      </w:rPr>
    </w:lvl>
    <w:lvl w:ilvl="1" w:tplc="897C043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D95554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
    <w:nsid w:val="64502F61"/>
    <w:multiLevelType w:val="singleLevel"/>
    <w:tmpl w:val="D5248598"/>
    <w:lvl w:ilvl="0">
      <w:start w:val="1"/>
      <w:numFmt w:val="decimal"/>
      <w:lvlText w:val="%1."/>
      <w:legacy w:legacy="1" w:legacySpace="0" w:legacyIndent="283"/>
      <w:lvlJc w:val="left"/>
      <w:pPr>
        <w:ind w:left="283" w:hanging="283"/>
      </w:pPr>
    </w:lvl>
  </w:abstractNum>
  <w:abstractNum w:abstractNumId="27">
    <w:nsid w:val="656A5647"/>
    <w:multiLevelType w:val="hybridMultilevel"/>
    <w:tmpl w:val="56D8ED2C"/>
    <w:lvl w:ilvl="0" w:tplc="632278B6">
      <w:numFmt w:val="bullet"/>
      <w:lvlText w:val="-"/>
      <w:lvlJc w:val="left"/>
      <w:pPr>
        <w:tabs>
          <w:tab w:val="num" w:pos="1065"/>
        </w:tabs>
        <w:ind w:left="1065" w:hanging="705"/>
      </w:pPr>
      <w:rPr>
        <w:rFonts w:ascii="Arial" w:eastAsia="Times New Roman" w:hAnsi="Arial" w:cs="Arial" w:hint="default"/>
      </w:rPr>
    </w:lvl>
    <w:lvl w:ilvl="1" w:tplc="44CE0398" w:tentative="1">
      <w:start w:val="1"/>
      <w:numFmt w:val="bullet"/>
      <w:lvlText w:val="o"/>
      <w:lvlJc w:val="left"/>
      <w:pPr>
        <w:tabs>
          <w:tab w:val="num" w:pos="1440"/>
        </w:tabs>
        <w:ind w:left="1440" w:hanging="360"/>
      </w:pPr>
      <w:rPr>
        <w:rFonts w:ascii="Courier New" w:hAnsi="Courier New" w:cs="Courier New" w:hint="default"/>
      </w:rPr>
    </w:lvl>
    <w:lvl w:ilvl="2" w:tplc="371C7ADA" w:tentative="1">
      <w:start w:val="1"/>
      <w:numFmt w:val="bullet"/>
      <w:lvlText w:val=""/>
      <w:lvlJc w:val="left"/>
      <w:pPr>
        <w:tabs>
          <w:tab w:val="num" w:pos="2160"/>
        </w:tabs>
        <w:ind w:left="2160" w:hanging="360"/>
      </w:pPr>
      <w:rPr>
        <w:rFonts w:ascii="Wingdings" w:hAnsi="Wingdings" w:hint="default"/>
      </w:rPr>
    </w:lvl>
    <w:lvl w:ilvl="3" w:tplc="87B47408" w:tentative="1">
      <w:start w:val="1"/>
      <w:numFmt w:val="bullet"/>
      <w:lvlText w:val=""/>
      <w:lvlJc w:val="left"/>
      <w:pPr>
        <w:tabs>
          <w:tab w:val="num" w:pos="2880"/>
        </w:tabs>
        <w:ind w:left="2880" w:hanging="360"/>
      </w:pPr>
      <w:rPr>
        <w:rFonts w:ascii="Symbol" w:hAnsi="Symbol" w:hint="default"/>
      </w:rPr>
    </w:lvl>
    <w:lvl w:ilvl="4" w:tplc="D334F11C" w:tentative="1">
      <w:start w:val="1"/>
      <w:numFmt w:val="bullet"/>
      <w:lvlText w:val="o"/>
      <w:lvlJc w:val="left"/>
      <w:pPr>
        <w:tabs>
          <w:tab w:val="num" w:pos="3600"/>
        </w:tabs>
        <w:ind w:left="3600" w:hanging="360"/>
      </w:pPr>
      <w:rPr>
        <w:rFonts w:ascii="Courier New" w:hAnsi="Courier New" w:cs="Courier New" w:hint="default"/>
      </w:rPr>
    </w:lvl>
    <w:lvl w:ilvl="5" w:tplc="8708DD02" w:tentative="1">
      <w:start w:val="1"/>
      <w:numFmt w:val="bullet"/>
      <w:lvlText w:val=""/>
      <w:lvlJc w:val="left"/>
      <w:pPr>
        <w:tabs>
          <w:tab w:val="num" w:pos="4320"/>
        </w:tabs>
        <w:ind w:left="4320" w:hanging="360"/>
      </w:pPr>
      <w:rPr>
        <w:rFonts w:ascii="Wingdings" w:hAnsi="Wingdings" w:hint="default"/>
      </w:rPr>
    </w:lvl>
    <w:lvl w:ilvl="6" w:tplc="20B6486E" w:tentative="1">
      <w:start w:val="1"/>
      <w:numFmt w:val="bullet"/>
      <w:lvlText w:val=""/>
      <w:lvlJc w:val="left"/>
      <w:pPr>
        <w:tabs>
          <w:tab w:val="num" w:pos="5040"/>
        </w:tabs>
        <w:ind w:left="5040" w:hanging="360"/>
      </w:pPr>
      <w:rPr>
        <w:rFonts w:ascii="Symbol" w:hAnsi="Symbol" w:hint="default"/>
      </w:rPr>
    </w:lvl>
    <w:lvl w:ilvl="7" w:tplc="0494EAF6" w:tentative="1">
      <w:start w:val="1"/>
      <w:numFmt w:val="bullet"/>
      <w:lvlText w:val="o"/>
      <w:lvlJc w:val="left"/>
      <w:pPr>
        <w:tabs>
          <w:tab w:val="num" w:pos="5760"/>
        </w:tabs>
        <w:ind w:left="5760" w:hanging="360"/>
      </w:pPr>
      <w:rPr>
        <w:rFonts w:ascii="Courier New" w:hAnsi="Courier New" w:cs="Courier New" w:hint="default"/>
      </w:rPr>
    </w:lvl>
    <w:lvl w:ilvl="8" w:tplc="5DB8B102" w:tentative="1">
      <w:start w:val="1"/>
      <w:numFmt w:val="bullet"/>
      <w:lvlText w:val=""/>
      <w:lvlJc w:val="left"/>
      <w:pPr>
        <w:tabs>
          <w:tab w:val="num" w:pos="6480"/>
        </w:tabs>
        <w:ind w:left="6480" w:hanging="360"/>
      </w:pPr>
      <w:rPr>
        <w:rFonts w:ascii="Wingdings" w:hAnsi="Wingdings" w:hint="default"/>
      </w:rPr>
    </w:lvl>
  </w:abstractNum>
  <w:abstractNum w:abstractNumId="28">
    <w:nsid w:val="68277F5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9">
    <w:nsid w:val="6D7577B9"/>
    <w:multiLevelType w:val="hybridMultilevel"/>
    <w:tmpl w:val="A47231F2"/>
    <w:lvl w:ilvl="0" w:tplc="2C24A692">
      <w:start w:val="1"/>
      <w:numFmt w:val="bullet"/>
      <w:lvlText w:val=""/>
      <w:lvlJc w:val="left"/>
      <w:pPr>
        <w:tabs>
          <w:tab w:val="num" w:pos="720"/>
        </w:tabs>
        <w:ind w:left="720" w:hanging="360"/>
      </w:pPr>
      <w:rPr>
        <w:rFonts w:ascii="Symbol" w:hAnsi="Symbol" w:hint="default"/>
      </w:rPr>
    </w:lvl>
    <w:lvl w:ilvl="1" w:tplc="BBE255BA" w:tentative="1">
      <w:start w:val="1"/>
      <w:numFmt w:val="bullet"/>
      <w:lvlText w:val="o"/>
      <w:lvlJc w:val="left"/>
      <w:pPr>
        <w:tabs>
          <w:tab w:val="num" w:pos="1440"/>
        </w:tabs>
        <w:ind w:left="1440" w:hanging="360"/>
      </w:pPr>
      <w:rPr>
        <w:rFonts w:ascii="Courier New" w:hAnsi="Courier New" w:hint="default"/>
      </w:rPr>
    </w:lvl>
    <w:lvl w:ilvl="2" w:tplc="328A574E" w:tentative="1">
      <w:start w:val="1"/>
      <w:numFmt w:val="bullet"/>
      <w:lvlText w:val=""/>
      <w:lvlJc w:val="left"/>
      <w:pPr>
        <w:tabs>
          <w:tab w:val="num" w:pos="2160"/>
        </w:tabs>
        <w:ind w:left="2160" w:hanging="360"/>
      </w:pPr>
      <w:rPr>
        <w:rFonts w:ascii="Wingdings" w:hAnsi="Wingdings" w:hint="default"/>
      </w:rPr>
    </w:lvl>
    <w:lvl w:ilvl="3" w:tplc="DAF46B0A" w:tentative="1">
      <w:start w:val="1"/>
      <w:numFmt w:val="bullet"/>
      <w:lvlText w:val=""/>
      <w:lvlJc w:val="left"/>
      <w:pPr>
        <w:tabs>
          <w:tab w:val="num" w:pos="2880"/>
        </w:tabs>
        <w:ind w:left="2880" w:hanging="360"/>
      </w:pPr>
      <w:rPr>
        <w:rFonts w:ascii="Symbol" w:hAnsi="Symbol" w:hint="default"/>
      </w:rPr>
    </w:lvl>
    <w:lvl w:ilvl="4" w:tplc="D4F69C4C" w:tentative="1">
      <w:start w:val="1"/>
      <w:numFmt w:val="bullet"/>
      <w:lvlText w:val="o"/>
      <w:lvlJc w:val="left"/>
      <w:pPr>
        <w:tabs>
          <w:tab w:val="num" w:pos="3600"/>
        </w:tabs>
        <w:ind w:left="3600" w:hanging="360"/>
      </w:pPr>
      <w:rPr>
        <w:rFonts w:ascii="Courier New" w:hAnsi="Courier New" w:hint="default"/>
      </w:rPr>
    </w:lvl>
    <w:lvl w:ilvl="5" w:tplc="A318407C" w:tentative="1">
      <w:start w:val="1"/>
      <w:numFmt w:val="bullet"/>
      <w:lvlText w:val=""/>
      <w:lvlJc w:val="left"/>
      <w:pPr>
        <w:tabs>
          <w:tab w:val="num" w:pos="4320"/>
        </w:tabs>
        <w:ind w:left="4320" w:hanging="360"/>
      </w:pPr>
      <w:rPr>
        <w:rFonts w:ascii="Wingdings" w:hAnsi="Wingdings" w:hint="default"/>
      </w:rPr>
    </w:lvl>
    <w:lvl w:ilvl="6" w:tplc="68D2E064" w:tentative="1">
      <w:start w:val="1"/>
      <w:numFmt w:val="bullet"/>
      <w:lvlText w:val=""/>
      <w:lvlJc w:val="left"/>
      <w:pPr>
        <w:tabs>
          <w:tab w:val="num" w:pos="5040"/>
        </w:tabs>
        <w:ind w:left="5040" w:hanging="360"/>
      </w:pPr>
      <w:rPr>
        <w:rFonts w:ascii="Symbol" w:hAnsi="Symbol" w:hint="default"/>
      </w:rPr>
    </w:lvl>
    <w:lvl w:ilvl="7" w:tplc="E28CC816" w:tentative="1">
      <w:start w:val="1"/>
      <w:numFmt w:val="bullet"/>
      <w:lvlText w:val="o"/>
      <w:lvlJc w:val="left"/>
      <w:pPr>
        <w:tabs>
          <w:tab w:val="num" w:pos="5760"/>
        </w:tabs>
        <w:ind w:left="5760" w:hanging="360"/>
      </w:pPr>
      <w:rPr>
        <w:rFonts w:ascii="Courier New" w:hAnsi="Courier New" w:hint="default"/>
      </w:rPr>
    </w:lvl>
    <w:lvl w:ilvl="8" w:tplc="743A63BC" w:tentative="1">
      <w:start w:val="1"/>
      <w:numFmt w:val="bullet"/>
      <w:lvlText w:val=""/>
      <w:lvlJc w:val="left"/>
      <w:pPr>
        <w:tabs>
          <w:tab w:val="num" w:pos="6480"/>
        </w:tabs>
        <w:ind w:left="6480" w:hanging="360"/>
      </w:pPr>
      <w:rPr>
        <w:rFonts w:ascii="Wingdings" w:hAnsi="Wingdings" w:hint="default"/>
      </w:rPr>
    </w:lvl>
  </w:abstractNum>
  <w:abstractNum w:abstractNumId="30">
    <w:nsid w:val="73C75C1C"/>
    <w:multiLevelType w:val="hybridMultilevel"/>
    <w:tmpl w:val="D2D8566A"/>
    <w:lvl w:ilvl="0" w:tplc="0413000F">
      <w:start w:val="1"/>
      <w:numFmt w:val="decimal"/>
      <w:lvlText w:val="%1."/>
      <w:lvlJc w:val="left"/>
      <w:pPr>
        <w:ind w:left="405" w:hanging="360"/>
      </w:pPr>
      <w:rPr>
        <w:rFonts w:hint="default"/>
      </w:rPr>
    </w:lvl>
    <w:lvl w:ilvl="1" w:tplc="4CC69512" w:tentative="1">
      <w:start w:val="1"/>
      <w:numFmt w:val="bullet"/>
      <w:lvlText w:val="o"/>
      <w:lvlJc w:val="left"/>
      <w:pPr>
        <w:ind w:left="1440" w:hanging="360"/>
      </w:pPr>
      <w:rPr>
        <w:rFonts w:ascii="Courier New" w:hAnsi="Courier New" w:hint="default"/>
      </w:rPr>
    </w:lvl>
    <w:lvl w:ilvl="2" w:tplc="81562CD0" w:tentative="1">
      <w:start w:val="1"/>
      <w:numFmt w:val="bullet"/>
      <w:lvlText w:val=""/>
      <w:lvlJc w:val="left"/>
      <w:pPr>
        <w:ind w:left="2160" w:hanging="360"/>
      </w:pPr>
      <w:rPr>
        <w:rFonts w:ascii="Wingdings" w:hAnsi="Wingdings" w:hint="default"/>
      </w:rPr>
    </w:lvl>
    <w:lvl w:ilvl="3" w:tplc="9A2295DA" w:tentative="1">
      <w:start w:val="1"/>
      <w:numFmt w:val="bullet"/>
      <w:lvlText w:val=""/>
      <w:lvlJc w:val="left"/>
      <w:pPr>
        <w:ind w:left="2880" w:hanging="360"/>
      </w:pPr>
      <w:rPr>
        <w:rFonts w:ascii="Symbol" w:hAnsi="Symbol" w:hint="default"/>
      </w:rPr>
    </w:lvl>
    <w:lvl w:ilvl="4" w:tplc="315295C8" w:tentative="1">
      <w:start w:val="1"/>
      <w:numFmt w:val="bullet"/>
      <w:lvlText w:val="o"/>
      <w:lvlJc w:val="left"/>
      <w:pPr>
        <w:ind w:left="3600" w:hanging="360"/>
      </w:pPr>
      <w:rPr>
        <w:rFonts w:ascii="Courier New" w:hAnsi="Courier New" w:hint="default"/>
      </w:rPr>
    </w:lvl>
    <w:lvl w:ilvl="5" w:tplc="A2C8657E" w:tentative="1">
      <w:start w:val="1"/>
      <w:numFmt w:val="bullet"/>
      <w:lvlText w:val=""/>
      <w:lvlJc w:val="left"/>
      <w:pPr>
        <w:ind w:left="4320" w:hanging="360"/>
      </w:pPr>
      <w:rPr>
        <w:rFonts w:ascii="Wingdings" w:hAnsi="Wingdings" w:hint="default"/>
      </w:rPr>
    </w:lvl>
    <w:lvl w:ilvl="6" w:tplc="158C2454" w:tentative="1">
      <w:start w:val="1"/>
      <w:numFmt w:val="bullet"/>
      <w:lvlText w:val=""/>
      <w:lvlJc w:val="left"/>
      <w:pPr>
        <w:ind w:left="5040" w:hanging="360"/>
      </w:pPr>
      <w:rPr>
        <w:rFonts w:ascii="Symbol" w:hAnsi="Symbol" w:hint="default"/>
      </w:rPr>
    </w:lvl>
    <w:lvl w:ilvl="7" w:tplc="F140D2CA" w:tentative="1">
      <w:start w:val="1"/>
      <w:numFmt w:val="bullet"/>
      <w:lvlText w:val="o"/>
      <w:lvlJc w:val="left"/>
      <w:pPr>
        <w:ind w:left="5760" w:hanging="360"/>
      </w:pPr>
      <w:rPr>
        <w:rFonts w:ascii="Courier New" w:hAnsi="Courier New" w:hint="default"/>
      </w:rPr>
    </w:lvl>
    <w:lvl w:ilvl="8" w:tplc="2FB21E6E" w:tentative="1">
      <w:start w:val="1"/>
      <w:numFmt w:val="bullet"/>
      <w:lvlText w:val=""/>
      <w:lvlJc w:val="left"/>
      <w:pPr>
        <w:ind w:left="6480" w:hanging="360"/>
      </w:pPr>
      <w:rPr>
        <w:rFonts w:ascii="Wingdings" w:hAnsi="Wingdings" w:hint="default"/>
      </w:rPr>
    </w:lvl>
  </w:abstractNum>
  <w:abstractNum w:abstractNumId="31">
    <w:nsid w:val="740C4344"/>
    <w:multiLevelType w:val="hybridMultilevel"/>
    <w:tmpl w:val="56B26BE2"/>
    <w:lvl w:ilvl="0" w:tplc="5D9CB54E">
      <w:start w:val="1"/>
      <w:numFmt w:val="decimal"/>
      <w:lvlText w:val="%1."/>
      <w:lvlJc w:val="left"/>
      <w:pPr>
        <w:tabs>
          <w:tab w:val="num" w:pos="720"/>
        </w:tabs>
        <w:ind w:left="720" w:hanging="360"/>
      </w:pPr>
      <w:rPr>
        <w:rFonts w:hint="default"/>
      </w:rPr>
    </w:lvl>
    <w:lvl w:ilvl="1" w:tplc="0F521F54" w:tentative="1">
      <w:start w:val="1"/>
      <w:numFmt w:val="lowerLetter"/>
      <w:lvlText w:val="%2."/>
      <w:lvlJc w:val="left"/>
      <w:pPr>
        <w:tabs>
          <w:tab w:val="num" w:pos="1440"/>
        </w:tabs>
        <w:ind w:left="1440" w:hanging="360"/>
      </w:pPr>
    </w:lvl>
    <w:lvl w:ilvl="2" w:tplc="1D4EC352" w:tentative="1">
      <w:start w:val="1"/>
      <w:numFmt w:val="lowerRoman"/>
      <w:lvlText w:val="%3."/>
      <w:lvlJc w:val="right"/>
      <w:pPr>
        <w:tabs>
          <w:tab w:val="num" w:pos="2160"/>
        </w:tabs>
        <w:ind w:left="2160" w:hanging="180"/>
      </w:pPr>
    </w:lvl>
    <w:lvl w:ilvl="3" w:tplc="D60079B6" w:tentative="1">
      <w:start w:val="1"/>
      <w:numFmt w:val="decimal"/>
      <w:lvlText w:val="%4."/>
      <w:lvlJc w:val="left"/>
      <w:pPr>
        <w:tabs>
          <w:tab w:val="num" w:pos="2880"/>
        </w:tabs>
        <w:ind w:left="2880" w:hanging="360"/>
      </w:pPr>
    </w:lvl>
    <w:lvl w:ilvl="4" w:tplc="D40EACC6" w:tentative="1">
      <w:start w:val="1"/>
      <w:numFmt w:val="lowerLetter"/>
      <w:lvlText w:val="%5."/>
      <w:lvlJc w:val="left"/>
      <w:pPr>
        <w:tabs>
          <w:tab w:val="num" w:pos="3600"/>
        </w:tabs>
        <w:ind w:left="3600" w:hanging="360"/>
      </w:pPr>
    </w:lvl>
    <w:lvl w:ilvl="5" w:tplc="C048232C" w:tentative="1">
      <w:start w:val="1"/>
      <w:numFmt w:val="lowerRoman"/>
      <w:lvlText w:val="%6."/>
      <w:lvlJc w:val="right"/>
      <w:pPr>
        <w:tabs>
          <w:tab w:val="num" w:pos="4320"/>
        </w:tabs>
        <w:ind w:left="4320" w:hanging="180"/>
      </w:pPr>
    </w:lvl>
    <w:lvl w:ilvl="6" w:tplc="99D87200" w:tentative="1">
      <w:start w:val="1"/>
      <w:numFmt w:val="decimal"/>
      <w:lvlText w:val="%7."/>
      <w:lvlJc w:val="left"/>
      <w:pPr>
        <w:tabs>
          <w:tab w:val="num" w:pos="5040"/>
        </w:tabs>
        <w:ind w:left="5040" w:hanging="360"/>
      </w:pPr>
    </w:lvl>
    <w:lvl w:ilvl="7" w:tplc="DAB4ABAC" w:tentative="1">
      <w:start w:val="1"/>
      <w:numFmt w:val="lowerLetter"/>
      <w:lvlText w:val="%8."/>
      <w:lvlJc w:val="left"/>
      <w:pPr>
        <w:tabs>
          <w:tab w:val="num" w:pos="5760"/>
        </w:tabs>
        <w:ind w:left="5760" w:hanging="360"/>
      </w:pPr>
    </w:lvl>
    <w:lvl w:ilvl="8" w:tplc="555E82A2" w:tentative="1">
      <w:start w:val="1"/>
      <w:numFmt w:val="lowerRoman"/>
      <w:lvlText w:val="%9."/>
      <w:lvlJc w:val="right"/>
      <w:pPr>
        <w:tabs>
          <w:tab w:val="num" w:pos="6480"/>
        </w:tabs>
        <w:ind w:left="6480" w:hanging="180"/>
      </w:pPr>
    </w:lvl>
  </w:abstractNum>
  <w:abstractNum w:abstractNumId="32">
    <w:nsid w:val="78867B6F"/>
    <w:multiLevelType w:val="hybridMultilevel"/>
    <w:tmpl w:val="68BA1DF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7971292A"/>
    <w:multiLevelType w:val="singleLevel"/>
    <w:tmpl w:val="C3BA4932"/>
    <w:lvl w:ilvl="0">
      <w:numFmt w:val="bullet"/>
      <w:lvlText w:val="-"/>
      <w:lvlJc w:val="left"/>
      <w:pPr>
        <w:tabs>
          <w:tab w:val="num" w:pos="708"/>
        </w:tabs>
        <w:ind w:left="708" w:hanging="708"/>
      </w:pPr>
      <w:rPr>
        <w:rFonts w:hint="default"/>
      </w:rPr>
    </w:lvl>
  </w:abstractNum>
  <w:abstractNum w:abstractNumId="34">
    <w:nsid w:val="7CD95B4F"/>
    <w:multiLevelType w:val="hybridMultilevel"/>
    <w:tmpl w:val="59DCB808"/>
    <w:lvl w:ilvl="0" w:tplc="F05A5366">
      <w:start w:val="1"/>
      <w:numFmt w:val="bullet"/>
      <w:lvlText w:val="-"/>
      <w:lvlJc w:val="left"/>
      <w:pPr>
        <w:ind w:left="405" w:hanging="360"/>
      </w:pPr>
      <w:rPr>
        <w:rFonts w:ascii="Arial" w:eastAsia="Times New Roman" w:hAnsi="Arial" w:hint="default"/>
      </w:rPr>
    </w:lvl>
    <w:lvl w:ilvl="1" w:tplc="C30C2B58" w:tentative="1">
      <w:start w:val="1"/>
      <w:numFmt w:val="bullet"/>
      <w:lvlText w:val="o"/>
      <w:lvlJc w:val="left"/>
      <w:pPr>
        <w:ind w:left="1440" w:hanging="360"/>
      </w:pPr>
      <w:rPr>
        <w:rFonts w:ascii="Courier New" w:hAnsi="Courier New" w:hint="default"/>
      </w:rPr>
    </w:lvl>
    <w:lvl w:ilvl="2" w:tplc="54DC14AE" w:tentative="1">
      <w:start w:val="1"/>
      <w:numFmt w:val="bullet"/>
      <w:lvlText w:val=""/>
      <w:lvlJc w:val="left"/>
      <w:pPr>
        <w:ind w:left="2160" w:hanging="360"/>
      </w:pPr>
      <w:rPr>
        <w:rFonts w:ascii="Wingdings" w:hAnsi="Wingdings" w:hint="default"/>
      </w:rPr>
    </w:lvl>
    <w:lvl w:ilvl="3" w:tplc="B7C21CE2" w:tentative="1">
      <w:start w:val="1"/>
      <w:numFmt w:val="bullet"/>
      <w:lvlText w:val=""/>
      <w:lvlJc w:val="left"/>
      <w:pPr>
        <w:ind w:left="2880" w:hanging="360"/>
      </w:pPr>
      <w:rPr>
        <w:rFonts w:ascii="Symbol" w:hAnsi="Symbol" w:hint="default"/>
      </w:rPr>
    </w:lvl>
    <w:lvl w:ilvl="4" w:tplc="7B60727E" w:tentative="1">
      <w:start w:val="1"/>
      <w:numFmt w:val="bullet"/>
      <w:lvlText w:val="o"/>
      <w:lvlJc w:val="left"/>
      <w:pPr>
        <w:ind w:left="3600" w:hanging="360"/>
      </w:pPr>
      <w:rPr>
        <w:rFonts w:ascii="Courier New" w:hAnsi="Courier New" w:hint="default"/>
      </w:rPr>
    </w:lvl>
    <w:lvl w:ilvl="5" w:tplc="DF4C114C" w:tentative="1">
      <w:start w:val="1"/>
      <w:numFmt w:val="bullet"/>
      <w:lvlText w:val=""/>
      <w:lvlJc w:val="left"/>
      <w:pPr>
        <w:ind w:left="4320" w:hanging="360"/>
      </w:pPr>
      <w:rPr>
        <w:rFonts w:ascii="Wingdings" w:hAnsi="Wingdings" w:hint="default"/>
      </w:rPr>
    </w:lvl>
    <w:lvl w:ilvl="6" w:tplc="EFFE7BB2" w:tentative="1">
      <w:start w:val="1"/>
      <w:numFmt w:val="bullet"/>
      <w:lvlText w:val=""/>
      <w:lvlJc w:val="left"/>
      <w:pPr>
        <w:ind w:left="5040" w:hanging="360"/>
      </w:pPr>
      <w:rPr>
        <w:rFonts w:ascii="Symbol" w:hAnsi="Symbol" w:hint="default"/>
      </w:rPr>
    </w:lvl>
    <w:lvl w:ilvl="7" w:tplc="CAAC9C82" w:tentative="1">
      <w:start w:val="1"/>
      <w:numFmt w:val="bullet"/>
      <w:lvlText w:val="o"/>
      <w:lvlJc w:val="left"/>
      <w:pPr>
        <w:ind w:left="5760" w:hanging="360"/>
      </w:pPr>
      <w:rPr>
        <w:rFonts w:ascii="Courier New" w:hAnsi="Courier New" w:hint="default"/>
      </w:rPr>
    </w:lvl>
    <w:lvl w:ilvl="8" w:tplc="AF68B74C" w:tentative="1">
      <w:start w:val="1"/>
      <w:numFmt w:val="bullet"/>
      <w:lvlText w:val=""/>
      <w:lvlJc w:val="left"/>
      <w:pPr>
        <w:ind w:left="6480" w:hanging="360"/>
      </w:pPr>
      <w:rPr>
        <w:rFonts w:ascii="Wingdings" w:hAnsi="Wingdings" w:hint="default"/>
      </w:rPr>
    </w:lvl>
  </w:abstractNum>
  <w:abstractNum w:abstractNumId="35">
    <w:nsid w:val="7EEE451E"/>
    <w:multiLevelType w:val="hybridMultilevel"/>
    <w:tmpl w:val="0D8E802C"/>
    <w:lvl w:ilvl="0" w:tplc="0413000F">
      <w:start w:val="1"/>
      <w:numFmt w:val="lowerLetter"/>
      <w:lvlText w:val="%1)"/>
      <w:lvlJc w:val="left"/>
      <w:pPr>
        <w:tabs>
          <w:tab w:val="num" w:pos="645"/>
        </w:tabs>
        <w:ind w:left="645" w:hanging="360"/>
      </w:pPr>
      <w:rPr>
        <w:rFonts w:hint="default"/>
      </w:rPr>
    </w:lvl>
    <w:lvl w:ilvl="1" w:tplc="04130019" w:tentative="1">
      <w:start w:val="1"/>
      <w:numFmt w:val="lowerLetter"/>
      <w:lvlText w:val="%2."/>
      <w:lvlJc w:val="left"/>
      <w:pPr>
        <w:tabs>
          <w:tab w:val="num" w:pos="1365"/>
        </w:tabs>
        <w:ind w:left="1365" w:hanging="360"/>
      </w:pPr>
    </w:lvl>
    <w:lvl w:ilvl="2" w:tplc="0413001B" w:tentative="1">
      <w:start w:val="1"/>
      <w:numFmt w:val="lowerRoman"/>
      <w:lvlText w:val="%3."/>
      <w:lvlJc w:val="right"/>
      <w:pPr>
        <w:tabs>
          <w:tab w:val="num" w:pos="2085"/>
        </w:tabs>
        <w:ind w:left="2085" w:hanging="180"/>
      </w:pPr>
    </w:lvl>
    <w:lvl w:ilvl="3" w:tplc="0413000F" w:tentative="1">
      <w:start w:val="1"/>
      <w:numFmt w:val="decimal"/>
      <w:lvlText w:val="%4."/>
      <w:lvlJc w:val="left"/>
      <w:pPr>
        <w:tabs>
          <w:tab w:val="num" w:pos="2805"/>
        </w:tabs>
        <w:ind w:left="2805" w:hanging="360"/>
      </w:pPr>
    </w:lvl>
    <w:lvl w:ilvl="4" w:tplc="04130019" w:tentative="1">
      <w:start w:val="1"/>
      <w:numFmt w:val="lowerLetter"/>
      <w:lvlText w:val="%5."/>
      <w:lvlJc w:val="left"/>
      <w:pPr>
        <w:tabs>
          <w:tab w:val="num" w:pos="3525"/>
        </w:tabs>
        <w:ind w:left="3525" w:hanging="360"/>
      </w:pPr>
    </w:lvl>
    <w:lvl w:ilvl="5" w:tplc="0413001B" w:tentative="1">
      <w:start w:val="1"/>
      <w:numFmt w:val="lowerRoman"/>
      <w:lvlText w:val="%6."/>
      <w:lvlJc w:val="right"/>
      <w:pPr>
        <w:tabs>
          <w:tab w:val="num" w:pos="4245"/>
        </w:tabs>
        <w:ind w:left="4245" w:hanging="180"/>
      </w:pPr>
    </w:lvl>
    <w:lvl w:ilvl="6" w:tplc="0413000F" w:tentative="1">
      <w:start w:val="1"/>
      <w:numFmt w:val="decimal"/>
      <w:lvlText w:val="%7."/>
      <w:lvlJc w:val="left"/>
      <w:pPr>
        <w:tabs>
          <w:tab w:val="num" w:pos="4965"/>
        </w:tabs>
        <w:ind w:left="4965" w:hanging="360"/>
      </w:pPr>
    </w:lvl>
    <w:lvl w:ilvl="7" w:tplc="04130019" w:tentative="1">
      <w:start w:val="1"/>
      <w:numFmt w:val="lowerLetter"/>
      <w:lvlText w:val="%8."/>
      <w:lvlJc w:val="left"/>
      <w:pPr>
        <w:tabs>
          <w:tab w:val="num" w:pos="5685"/>
        </w:tabs>
        <w:ind w:left="5685" w:hanging="360"/>
      </w:pPr>
    </w:lvl>
    <w:lvl w:ilvl="8" w:tplc="0413001B" w:tentative="1">
      <w:start w:val="1"/>
      <w:numFmt w:val="lowerRoman"/>
      <w:lvlText w:val="%9."/>
      <w:lvlJc w:val="right"/>
      <w:pPr>
        <w:tabs>
          <w:tab w:val="num" w:pos="6405"/>
        </w:tabs>
        <w:ind w:left="6405" w:hanging="180"/>
      </w:pPr>
    </w:lvl>
  </w:abstractNum>
  <w:num w:numId="1">
    <w:abstractNumId w:val="27"/>
  </w:num>
  <w:num w:numId="2">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26"/>
  </w:num>
  <w:num w:numId="5">
    <w:abstractNumId w:val="21"/>
  </w:num>
  <w:num w:numId="6">
    <w:abstractNumId w:val="25"/>
  </w:num>
  <w:num w:numId="7">
    <w:abstractNumId w:val="20"/>
  </w:num>
  <w:num w:numId="8">
    <w:abstractNumId w:val="6"/>
  </w:num>
  <w:num w:numId="9">
    <w:abstractNumId w:val="17"/>
  </w:num>
  <w:num w:numId="10">
    <w:abstractNumId w:val="28"/>
  </w:num>
  <w:num w:numId="11">
    <w:abstractNumId w:val="18"/>
  </w:num>
  <w:num w:numId="12">
    <w:abstractNumId w:val="5"/>
  </w:num>
  <w:num w:numId="13">
    <w:abstractNumId w:val="13"/>
  </w:num>
  <w:num w:numId="14">
    <w:abstractNumId w:val="33"/>
  </w:num>
  <w:num w:numId="15">
    <w:abstractNumId w:val="10"/>
  </w:num>
  <w:num w:numId="16">
    <w:abstractNumId w:val="14"/>
  </w:num>
  <w:num w:numId="17">
    <w:abstractNumId w:val="19"/>
  </w:num>
  <w:num w:numId="18">
    <w:abstractNumId w:val="29"/>
  </w:num>
  <w:num w:numId="19">
    <w:abstractNumId w:val="31"/>
  </w:num>
  <w:num w:numId="20">
    <w:abstractNumId w:val="35"/>
  </w:num>
  <w:num w:numId="21">
    <w:abstractNumId w:val="7"/>
  </w:num>
  <w:num w:numId="22">
    <w:abstractNumId w:val="34"/>
  </w:num>
  <w:num w:numId="23">
    <w:abstractNumId w:val="1"/>
  </w:num>
  <w:num w:numId="24">
    <w:abstractNumId w:val="3"/>
  </w:num>
  <w:num w:numId="25">
    <w:abstractNumId w:val="2"/>
  </w:num>
  <w:num w:numId="26">
    <w:abstractNumId w:val="0"/>
  </w:num>
  <w:num w:numId="27">
    <w:abstractNumId w:val="9"/>
  </w:num>
  <w:num w:numId="28">
    <w:abstractNumId w:val="30"/>
  </w:num>
  <w:num w:numId="29">
    <w:abstractNumId w:val="23"/>
  </w:num>
  <w:num w:numId="30">
    <w:abstractNumId w:val="16"/>
  </w:num>
  <w:num w:numId="31">
    <w:abstractNumId w:val="12"/>
  </w:num>
  <w:num w:numId="32">
    <w:abstractNumId w:val="15"/>
  </w:num>
  <w:num w:numId="33">
    <w:abstractNumId w:val="24"/>
  </w:num>
  <w:num w:numId="34">
    <w:abstractNumId w:val="11"/>
  </w:num>
  <w:num w:numId="35">
    <w:abstractNumId w:val="22"/>
  </w:num>
  <w:num w:numId="36">
    <w:abstractNumId w:val="32"/>
  </w:num>
  <w:num w:numId="37">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GrammaticalErrors/>
  <w:doNotTrackFormatting/>
  <w:defaultTabStop w:val="720"/>
  <w:hyphenationZone w:val="4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C7C"/>
    <w:rsid w:val="000076F0"/>
    <w:rsid w:val="000143D4"/>
    <w:rsid w:val="00026647"/>
    <w:rsid w:val="0004432B"/>
    <w:rsid w:val="00044ACE"/>
    <w:rsid w:val="000466C0"/>
    <w:rsid w:val="000C0460"/>
    <w:rsid w:val="000C1825"/>
    <w:rsid w:val="000C63D4"/>
    <w:rsid w:val="001025A2"/>
    <w:rsid w:val="001114BD"/>
    <w:rsid w:val="00115B40"/>
    <w:rsid w:val="00145AFD"/>
    <w:rsid w:val="00176892"/>
    <w:rsid w:val="00177466"/>
    <w:rsid w:val="00177543"/>
    <w:rsid w:val="00191020"/>
    <w:rsid w:val="001950D8"/>
    <w:rsid w:val="001A3B6B"/>
    <w:rsid w:val="001A65B1"/>
    <w:rsid w:val="001C166D"/>
    <w:rsid w:val="001C57DC"/>
    <w:rsid w:val="001D6434"/>
    <w:rsid w:val="001F38D9"/>
    <w:rsid w:val="001F4D4E"/>
    <w:rsid w:val="00201B12"/>
    <w:rsid w:val="00215E35"/>
    <w:rsid w:val="0022149F"/>
    <w:rsid w:val="002313EE"/>
    <w:rsid w:val="002378D2"/>
    <w:rsid w:val="00244F18"/>
    <w:rsid w:val="00245163"/>
    <w:rsid w:val="00246EF1"/>
    <w:rsid w:val="00261AD3"/>
    <w:rsid w:val="00263727"/>
    <w:rsid w:val="00271D89"/>
    <w:rsid w:val="0027376F"/>
    <w:rsid w:val="00283E91"/>
    <w:rsid w:val="00285482"/>
    <w:rsid w:val="00286455"/>
    <w:rsid w:val="00287D56"/>
    <w:rsid w:val="00293854"/>
    <w:rsid w:val="00296032"/>
    <w:rsid w:val="002C0536"/>
    <w:rsid w:val="002E10C1"/>
    <w:rsid w:val="002F3040"/>
    <w:rsid w:val="0031153E"/>
    <w:rsid w:val="003203F6"/>
    <w:rsid w:val="00323F81"/>
    <w:rsid w:val="003464E6"/>
    <w:rsid w:val="00371676"/>
    <w:rsid w:val="0037377F"/>
    <w:rsid w:val="00374AA3"/>
    <w:rsid w:val="00386CA4"/>
    <w:rsid w:val="0039319E"/>
    <w:rsid w:val="003B1034"/>
    <w:rsid w:val="003D2B65"/>
    <w:rsid w:val="004178A7"/>
    <w:rsid w:val="00433163"/>
    <w:rsid w:val="00443830"/>
    <w:rsid w:val="00452D96"/>
    <w:rsid w:val="0045313F"/>
    <w:rsid w:val="004542D0"/>
    <w:rsid w:val="00464C24"/>
    <w:rsid w:val="004657C2"/>
    <w:rsid w:val="004703DC"/>
    <w:rsid w:val="00483081"/>
    <w:rsid w:val="00484266"/>
    <w:rsid w:val="004C133A"/>
    <w:rsid w:val="004F2B59"/>
    <w:rsid w:val="004F562B"/>
    <w:rsid w:val="004F5A09"/>
    <w:rsid w:val="004F7995"/>
    <w:rsid w:val="00512F86"/>
    <w:rsid w:val="00514BDC"/>
    <w:rsid w:val="00525DC9"/>
    <w:rsid w:val="005260D0"/>
    <w:rsid w:val="0053240F"/>
    <w:rsid w:val="00545E73"/>
    <w:rsid w:val="005468BF"/>
    <w:rsid w:val="00560918"/>
    <w:rsid w:val="005979F4"/>
    <w:rsid w:val="005B45DC"/>
    <w:rsid w:val="005C2C21"/>
    <w:rsid w:val="005D073A"/>
    <w:rsid w:val="005D6B20"/>
    <w:rsid w:val="005D7626"/>
    <w:rsid w:val="005F161B"/>
    <w:rsid w:val="00611FAC"/>
    <w:rsid w:val="00620047"/>
    <w:rsid w:val="00624A65"/>
    <w:rsid w:val="0067284E"/>
    <w:rsid w:val="00697FF3"/>
    <w:rsid w:val="006A7FC9"/>
    <w:rsid w:val="006B7C72"/>
    <w:rsid w:val="006C00C9"/>
    <w:rsid w:val="006C1D87"/>
    <w:rsid w:val="006C5B2E"/>
    <w:rsid w:val="00701CDE"/>
    <w:rsid w:val="00702AAF"/>
    <w:rsid w:val="007325DB"/>
    <w:rsid w:val="0073795F"/>
    <w:rsid w:val="00775A31"/>
    <w:rsid w:val="007A01F9"/>
    <w:rsid w:val="007A2724"/>
    <w:rsid w:val="007D22CA"/>
    <w:rsid w:val="007D7C54"/>
    <w:rsid w:val="007E088F"/>
    <w:rsid w:val="00802CA9"/>
    <w:rsid w:val="008071FF"/>
    <w:rsid w:val="0082125B"/>
    <w:rsid w:val="00884E13"/>
    <w:rsid w:val="008B615D"/>
    <w:rsid w:val="008C1B0D"/>
    <w:rsid w:val="008C6659"/>
    <w:rsid w:val="008E231B"/>
    <w:rsid w:val="008F6726"/>
    <w:rsid w:val="00912FFD"/>
    <w:rsid w:val="00923907"/>
    <w:rsid w:val="0093088B"/>
    <w:rsid w:val="00932046"/>
    <w:rsid w:val="00943F47"/>
    <w:rsid w:val="00975FB8"/>
    <w:rsid w:val="00993797"/>
    <w:rsid w:val="009A35EF"/>
    <w:rsid w:val="009B09AA"/>
    <w:rsid w:val="009B6B82"/>
    <w:rsid w:val="009D57DA"/>
    <w:rsid w:val="009E7450"/>
    <w:rsid w:val="009F1BA2"/>
    <w:rsid w:val="00A03CE5"/>
    <w:rsid w:val="00A24183"/>
    <w:rsid w:val="00A3707E"/>
    <w:rsid w:val="00A55642"/>
    <w:rsid w:val="00A6336D"/>
    <w:rsid w:val="00A94F7E"/>
    <w:rsid w:val="00AA464F"/>
    <w:rsid w:val="00AB2167"/>
    <w:rsid w:val="00AC1C78"/>
    <w:rsid w:val="00AC40D4"/>
    <w:rsid w:val="00AD1E28"/>
    <w:rsid w:val="00AE4D69"/>
    <w:rsid w:val="00AF79E6"/>
    <w:rsid w:val="00B04B82"/>
    <w:rsid w:val="00B27BFC"/>
    <w:rsid w:val="00B75FF2"/>
    <w:rsid w:val="00B84590"/>
    <w:rsid w:val="00B92B02"/>
    <w:rsid w:val="00B92EE8"/>
    <w:rsid w:val="00BA2E81"/>
    <w:rsid w:val="00BA4D38"/>
    <w:rsid w:val="00BA7D57"/>
    <w:rsid w:val="00BF7F92"/>
    <w:rsid w:val="00C054C4"/>
    <w:rsid w:val="00C22D2D"/>
    <w:rsid w:val="00C428B8"/>
    <w:rsid w:val="00C565F2"/>
    <w:rsid w:val="00C606E7"/>
    <w:rsid w:val="00C667E9"/>
    <w:rsid w:val="00C81FCC"/>
    <w:rsid w:val="00CA00E3"/>
    <w:rsid w:val="00CA486F"/>
    <w:rsid w:val="00CE2B98"/>
    <w:rsid w:val="00CE505B"/>
    <w:rsid w:val="00D3043C"/>
    <w:rsid w:val="00D617C2"/>
    <w:rsid w:val="00D67F63"/>
    <w:rsid w:val="00D761F9"/>
    <w:rsid w:val="00D90CA8"/>
    <w:rsid w:val="00DA7EDA"/>
    <w:rsid w:val="00DC4A01"/>
    <w:rsid w:val="00DF0DC2"/>
    <w:rsid w:val="00DF43C4"/>
    <w:rsid w:val="00DF7D90"/>
    <w:rsid w:val="00E05570"/>
    <w:rsid w:val="00E066B3"/>
    <w:rsid w:val="00E07DCA"/>
    <w:rsid w:val="00E22802"/>
    <w:rsid w:val="00E27026"/>
    <w:rsid w:val="00E33EB7"/>
    <w:rsid w:val="00E41F52"/>
    <w:rsid w:val="00E44BE5"/>
    <w:rsid w:val="00E54485"/>
    <w:rsid w:val="00E66C7C"/>
    <w:rsid w:val="00EB4EE3"/>
    <w:rsid w:val="00EB7F6B"/>
    <w:rsid w:val="00ED53AF"/>
    <w:rsid w:val="00EE739C"/>
    <w:rsid w:val="00EF4E5A"/>
    <w:rsid w:val="00F129C4"/>
    <w:rsid w:val="00F12FCD"/>
    <w:rsid w:val="00F23864"/>
    <w:rsid w:val="00F43C9B"/>
    <w:rsid w:val="00F507F4"/>
    <w:rsid w:val="00F63025"/>
    <w:rsid w:val="00F657D2"/>
    <w:rsid w:val="00F704A2"/>
    <w:rsid w:val="00F745E7"/>
    <w:rsid w:val="00F91BA9"/>
    <w:rsid w:val="00F956AE"/>
    <w:rsid w:val="00FB7856"/>
    <w:rsid w:val="00FC1F4E"/>
    <w:rsid w:val="00FC57C8"/>
    <w:rsid w:val="00FC68FE"/>
    <w:rsid w:val="00FE5362"/>
    <w:rsid w:val="00FF2DB0"/>
    <w:rsid w:val="00FF4D3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footnote reference" w:uiPriority="0"/>
    <w:lsdException w:name="annotation reference" w:unhideWhenUsed="0"/>
    <w:lsdException w:name="List" w:uiPriority="0"/>
    <w:lsdException w:name="Title" w:semiHidden="0" w:uiPriority="10" w:unhideWhenUsed="0" w:qFormat="1"/>
    <w:lsdException w:name="Default Paragraph Font" w:uiPriority="1" w:unhideWhenUsed="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line="260" w:lineRule="atLeast"/>
    </w:pPr>
    <w:rPr>
      <w:rFonts w:ascii="Arial" w:hAnsi="Arial"/>
      <w:szCs w:val="24"/>
      <w:lang w:val="nl-NL" w:eastAsia="en-AU"/>
    </w:rPr>
  </w:style>
  <w:style w:type="paragraph" w:styleId="Kop1">
    <w:name w:val="heading 1"/>
    <w:basedOn w:val="Standaard"/>
    <w:next w:val="Standaard"/>
    <w:link w:val="Kop1Char"/>
    <w:uiPriority w:val="9"/>
    <w:qFormat/>
    <w:pPr>
      <w:keepNext/>
      <w:spacing w:before="240" w:after="60"/>
      <w:outlineLvl w:val="0"/>
    </w:pPr>
    <w:rPr>
      <w:rFonts w:ascii="Cambria" w:eastAsiaTheme="minorEastAsia" w:hAnsi="Cambria"/>
      <w:b/>
      <w:bCs/>
      <w:kern w:val="32"/>
      <w:sz w:val="32"/>
      <w:szCs w:val="32"/>
    </w:rPr>
  </w:style>
  <w:style w:type="paragraph" w:styleId="Kop2">
    <w:name w:val="heading 2"/>
    <w:basedOn w:val="Standaard"/>
    <w:next w:val="Standaard"/>
    <w:link w:val="Kop2Char"/>
    <w:uiPriority w:val="9"/>
    <w:unhideWhenUsed/>
    <w:qFormat/>
    <w:pPr>
      <w:keepNext/>
      <w:spacing w:before="240" w:after="60"/>
      <w:outlineLvl w:val="1"/>
    </w:pPr>
    <w:rPr>
      <w:rFonts w:ascii="Cambria" w:eastAsiaTheme="minorEastAsia" w:hAnsi="Cambria"/>
      <w:b/>
      <w:bCs/>
      <w:i/>
      <w:iCs/>
      <w:sz w:val="28"/>
      <w:szCs w:val="28"/>
    </w:rPr>
  </w:style>
  <w:style w:type="paragraph" w:styleId="Kop3">
    <w:name w:val="heading 3"/>
    <w:basedOn w:val="Standaard"/>
    <w:next w:val="Standaard"/>
    <w:link w:val="Kop3Char"/>
    <w:uiPriority w:val="9"/>
    <w:unhideWhenUsed/>
    <w:qFormat/>
    <w:pPr>
      <w:keepNext/>
      <w:spacing w:before="240" w:after="60"/>
      <w:outlineLvl w:val="2"/>
    </w:pPr>
    <w:rPr>
      <w:rFonts w:ascii="Cambria" w:eastAsiaTheme="minorEastAsia" w:hAnsi="Cambria" w:cs="Arial"/>
      <w:b/>
      <w:bCs/>
      <w:sz w:val="26"/>
      <w:szCs w:val="26"/>
    </w:rPr>
  </w:style>
  <w:style w:type="paragraph" w:styleId="Kop4">
    <w:name w:val="heading 4"/>
    <w:basedOn w:val="Standaard"/>
    <w:next w:val="Standaard"/>
    <w:link w:val="Kop4Char"/>
    <w:uiPriority w:val="9"/>
    <w:unhideWhenUsed/>
    <w:qFormat/>
    <w:pPr>
      <w:keepNext/>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unhideWhenUsed/>
    <w:qFormat/>
    <w:p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
    <w:unhideWhenUsed/>
    <w:qFormat/>
    <w:pPr>
      <w:spacing w:before="240" w:after="60"/>
      <w:outlineLvl w:val="5"/>
    </w:pPr>
    <w:rPr>
      <w:rFonts w:asciiTheme="minorHAnsi" w:eastAsiaTheme="minorEastAsia" w:hAnsiTheme="minorHAnsi" w:cstheme="minorBidi"/>
      <w:b/>
      <w:bCs/>
      <w:sz w:val="22"/>
      <w:szCs w:val="22"/>
    </w:rPr>
  </w:style>
  <w:style w:type="paragraph" w:styleId="Kop7">
    <w:name w:val="heading 7"/>
    <w:basedOn w:val="Standaard"/>
    <w:next w:val="Standaard"/>
    <w:link w:val="Kop7Char"/>
    <w:uiPriority w:val="9"/>
    <w:unhideWhenUsed/>
    <w:qFormat/>
    <w:pPr>
      <w:spacing w:before="240" w:after="60"/>
      <w:outlineLvl w:val="6"/>
    </w:pPr>
    <w:rPr>
      <w:rFonts w:asciiTheme="minorHAnsi" w:eastAsiaTheme="minorEastAsia" w:hAnsiTheme="minorHAnsi" w:cstheme="minorBidi"/>
      <w:sz w:val="24"/>
    </w:rPr>
  </w:style>
  <w:style w:type="paragraph" w:styleId="Kop8">
    <w:name w:val="heading 8"/>
    <w:basedOn w:val="Standaard"/>
    <w:next w:val="Standaard"/>
    <w:link w:val="Kop8Char"/>
    <w:uiPriority w:val="9"/>
    <w:unhideWhenUsed/>
    <w:qFormat/>
    <w:pPr>
      <w:spacing w:before="240" w:after="60"/>
      <w:outlineLvl w:val="7"/>
    </w:pPr>
    <w:rPr>
      <w:rFonts w:asciiTheme="minorHAnsi" w:eastAsiaTheme="minorEastAsia" w:hAnsiTheme="minorHAnsi" w:cstheme="minorBidi"/>
      <w:i/>
      <w:iCs/>
      <w:sz w:val="24"/>
    </w:rPr>
  </w:style>
  <w:style w:type="paragraph" w:styleId="Kop9">
    <w:name w:val="heading 9"/>
    <w:basedOn w:val="Standaard"/>
    <w:next w:val="Standaard"/>
    <w:link w:val="Kop9Char"/>
    <w:uiPriority w:val="9"/>
    <w:unhideWhenUsed/>
    <w:qFormat/>
    <w:p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000FF"/>
      <w:u w:val="single"/>
    </w:rPr>
  </w:style>
  <w:style w:type="character" w:styleId="GevolgdeHyperlink">
    <w:name w:val="FollowedHyperlink"/>
    <w:basedOn w:val="Standaardalinea-lettertype"/>
    <w:uiPriority w:val="99"/>
    <w:unhideWhenUsed/>
    <w:rPr>
      <w:color w:val="800080" w:themeColor="followedHyperlink"/>
      <w:u w:val="single"/>
    </w:rPr>
  </w:style>
  <w:style w:type="character" w:customStyle="1" w:styleId="Kop1Char">
    <w:name w:val="Kop 1 Char"/>
    <w:basedOn w:val="Standaardalinea-lettertype"/>
    <w:link w:val="Kop1"/>
    <w:uiPriority w:val="9"/>
    <w:locked/>
    <w:rPr>
      <w:rFonts w:ascii="Cambria" w:eastAsia="Times New Roman" w:hAnsi="Cambria" w:cs="Times New Roman" w:hint="default"/>
      <w:b/>
      <w:bCs/>
      <w:kern w:val="32"/>
      <w:sz w:val="32"/>
      <w:szCs w:val="32"/>
      <w:lang w:val="nl-NL" w:eastAsia="en-AU"/>
    </w:rPr>
  </w:style>
  <w:style w:type="character" w:customStyle="1" w:styleId="Kop2Char">
    <w:name w:val="Kop 2 Char"/>
    <w:basedOn w:val="Standaardalinea-lettertype"/>
    <w:link w:val="Kop2"/>
    <w:uiPriority w:val="9"/>
    <w:locked/>
    <w:rPr>
      <w:rFonts w:ascii="Cambria" w:hAnsi="Cambria" w:hint="default"/>
      <w:b/>
      <w:bCs/>
      <w:i/>
      <w:iCs/>
      <w:sz w:val="28"/>
      <w:szCs w:val="28"/>
      <w:lang w:val="nl-NL" w:eastAsia="en-AU"/>
    </w:rPr>
  </w:style>
  <w:style w:type="character" w:customStyle="1" w:styleId="Kop3Char">
    <w:name w:val="Kop 3 Char"/>
    <w:basedOn w:val="Standaardalinea-lettertype"/>
    <w:link w:val="Kop3"/>
    <w:uiPriority w:val="9"/>
    <w:locked/>
    <w:rPr>
      <w:rFonts w:ascii="Cambria" w:hAnsi="Cambria" w:cs="Arial" w:hint="default"/>
      <w:b/>
      <w:bCs/>
      <w:sz w:val="26"/>
      <w:szCs w:val="26"/>
      <w:lang w:val="nl-NL" w:eastAsia="en-AU"/>
    </w:rPr>
  </w:style>
  <w:style w:type="character" w:customStyle="1" w:styleId="Kop4Char">
    <w:name w:val="Kop 4 Char"/>
    <w:basedOn w:val="Standaardalinea-lettertype"/>
    <w:link w:val="Kop4"/>
    <w:uiPriority w:val="9"/>
    <w:locked/>
    <w:rPr>
      <w:rFonts w:asciiTheme="minorHAnsi" w:eastAsiaTheme="minorEastAsia" w:hAnsiTheme="minorHAnsi" w:cstheme="minorBidi" w:hint="default"/>
      <w:b/>
      <w:bCs/>
      <w:sz w:val="28"/>
      <w:szCs w:val="28"/>
      <w:lang w:val="nl-NL" w:eastAsia="en-AU"/>
    </w:rPr>
  </w:style>
  <w:style w:type="character" w:customStyle="1" w:styleId="Kop5Char">
    <w:name w:val="Kop 5 Char"/>
    <w:basedOn w:val="Standaardalinea-lettertype"/>
    <w:link w:val="Kop5"/>
    <w:uiPriority w:val="9"/>
    <w:locked/>
    <w:rPr>
      <w:rFonts w:asciiTheme="minorHAnsi" w:eastAsiaTheme="minorEastAsia" w:hAnsiTheme="minorHAnsi" w:cstheme="minorBidi" w:hint="default"/>
      <w:b/>
      <w:bCs/>
      <w:i/>
      <w:iCs/>
      <w:sz w:val="26"/>
      <w:szCs w:val="26"/>
      <w:lang w:val="nl-NL" w:eastAsia="en-AU"/>
    </w:rPr>
  </w:style>
  <w:style w:type="character" w:customStyle="1" w:styleId="Kop6Char">
    <w:name w:val="Kop 6 Char"/>
    <w:basedOn w:val="Standaardalinea-lettertype"/>
    <w:link w:val="Kop6"/>
    <w:uiPriority w:val="9"/>
    <w:locked/>
    <w:rPr>
      <w:rFonts w:asciiTheme="minorHAnsi" w:eastAsiaTheme="minorEastAsia" w:hAnsiTheme="minorHAnsi" w:cstheme="minorBidi" w:hint="default"/>
      <w:b/>
      <w:bCs/>
      <w:sz w:val="22"/>
      <w:szCs w:val="22"/>
      <w:lang w:val="nl-NL" w:eastAsia="en-AU"/>
    </w:rPr>
  </w:style>
  <w:style w:type="character" w:customStyle="1" w:styleId="Kop7Char">
    <w:name w:val="Kop 7 Char"/>
    <w:basedOn w:val="Standaardalinea-lettertype"/>
    <w:link w:val="Kop7"/>
    <w:uiPriority w:val="9"/>
    <w:locked/>
    <w:rPr>
      <w:rFonts w:asciiTheme="minorHAnsi" w:eastAsiaTheme="minorEastAsia" w:hAnsiTheme="minorHAnsi" w:cstheme="minorBidi" w:hint="default"/>
      <w:sz w:val="24"/>
      <w:szCs w:val="24"/>
      <w:lang w:val="nl-NL" w:eastAsia="en-AU"/>
    </w:rPr>
  </w:style>
  <w:style w:type="character" w:customStyle="1" w:styleId="Kop8Char">
    <w:name w:val="Kop 8 Char"/>
    <w:basedOn w:val="Standaardalinea-lettertype"/>
    <w:link w:val="Kop8"/>
    <w:uiPriority w:val="9"/>
    <w:locked/>
    <w:rPr>
      <w:rFonts w:asciiTheme="minorHAnsi" w:eastAsiaTheme="minorEastAsia" w:hAnsiTheme="minorHAnsi" w:cstheme="minorBidi" w:hint="default"/>
      <w:i/>
      <w:iCs/>
      <w:sz w:val="24"/>
      <w:szCs w:val="24"/>
      <w:lang w:val="nl-NL" w:eastAsia="en-AU"/>
    </w:rPr>
  </w:style>
  <w:style w:type="character" w:customStyle="1" w:styleId="Kop9Char">
    <w:name w:val="Kop 9 Char"/>
    <w:basedOn w:val="Standaardalinea-lettertype"/>
    <w:link w:val="Kop9"/>
    <w:uiPriority w:val="9"/>
    <w:locked/>
    <w:rPr>
      <w:rFonts w:asciiTheme="majorHAnsi" w:eastAsiaTheme="majorEastAsia" w:hAnsiTheme="majorHAnsi" w:cstheme="majorBidi" w:hint="default"/>
      <w:sz w:val="22"/>
      <w:szCs w:val="22"/>
      <w:lang w:val="nl-NL" w:eastAsia="en-AU"/>
    </w:rPr>
  </w:style>
  <w:style w:type="paragraph" w:styleId="Tekstopmerking">
    <w:name w:val="annotation text"/>
    <w:basedOn w:val="Standaard"/>
    <w:link w:val="TekstopmerkingChar"/>
    <w:uiPriority w:val="99"/>
    <w:rPr>
      <w:szCs w:val="20"/>
    </w:rPr>
  </w:style>
  <w:style w:type="character" w:customStyle="1" w:styleId="TekstopmerkingChar">
    <w:name w:val="Tekst opmerking Char"/>
    <w:basedOn w:val="Standaardalinea-lettertype"/>
    <w:link w:val="Tekstopmerking"/>
    <w:uiPriority w:val="99"/>
    <w:locked/>
    <w:rPr>
      <w:sz w:val="20"/>
      <w:szCs w:val="20"/>
      <w:lang w:val="nl-NL" w:eastAsia="nl-NL"/>
    </w:rPr>
  </w:style>
  <w:style w:type="paragraph" w:styleId="Voettekst">
    <w:name w:val="footer"/>
    <w:basedOn w:val="Standaard"/>
    <w:link w:val="VoettekstChar"/>
    <w:uiPriority w:val="99"/>
    <w:unhideWhenUsed/>
    <w:pPr>
      <w:tabs>
        <w:tab w:val="right" w:pos="8299"/>
      </w:tabs>
      <w:spacing w:before="144" w:line="240" w:lineRule="auto"/>
    </w:pPr>
    <w:rPr>
      <w:rFonts w:ascii="DejaVu Sans" w:eastAsia="MS Mincho" w:hAnsi="DejaVu Sans"/>
      <w:sz w:val="18"/>
      <w:szCs w:val="20"/>
      <w:lang w:val="en-US" w:eastAsia="en-US"/>
    </w:rPr>
  </w:style>
  <w:style w:type="character" w:customStyle="1" w:styleId="VoettekstChar">
    <w:name w:val="Voettekst Char"/>
    <w:basedOn w:val="Standaardalinea-lettertype"/>
    <w:link w:val="Voettekst"/>
    <w:uiPriority w:val="99"/>
    <w:locked/>
    <w:rPr>
      <w:rFonts w:ascii="DejaVu Sans" w:eastAsia="MS Mincho" w:hAnsi="DejaVu Sans" w:cs="DejaVu Sans" w:hint="default"/>
      <w:sz w:val="18"/>
    </w:rPr>
  </w:style>
  <w:style w:type="paragraph" w:styleId="Plattetekst">
    <w:name w:val="Body Text"/>
    <w:basedOn w:val="Standaard"/>
    <w:link w:val="PlattetekstChar"/>
    <w:uiPriority w:val="99"/>
    <w:unhideWhenUsed/>
    <w:pPr>
      <w:overflowPunct w:val="0"/>
      <w:autoSpaceDE w:val="0"/>
      <w:autoSpaceDN w:val="0"/>
      <w:adjustRightInd w:val="0"/>
      <w:spacing w:line="247" w:lineRule="exact"/>
    </w:pPr>
    <w:rPr>
      <w:rFonts w:ascii="V&amp;W Syntax (Adobe)" w:hAnsi="V&amp;W Syntax (Adobe)"/>
      <w:b/>
      <w:sz w:val="19"/>
      <w:szCs w:val="20"/>
      <w:lang w:val="nl" w:eastAsia="nl-NL"/>
    </w:rPr>
  </w:style>
  <w:style w:type="character" w:customStyle="1" w:styleId="PlattetekstChar">
    <w:name w:val="Platte tekst Char"/>
    <w:basedOn w:val="Standaardalinea-lettertype"/>
    <w:link w:val="Plattetekst"/>
    <w:uiPriority w:val="99"/>
    <w:locked/>
    <w:rPr>
      <w:rFonts w:ascii="V&amp;W Syntax (Adobe)" w:hAnsi="V&amp;W Syntax (Adobe)" w:hint="default"/>
      <w:b/>
      <w:bCs w:val="0"/>
      <w:sz w:val="19"/>
      <w:lang w:val="nl" w:eastAsia="nl-NL"/>
    </w:rPr>
  </w:style>
  <w:style w:type="paragraph" w:styleId="Documentstructuur">
    <w:name w:val="Document Map"/>
    <w:basedOn w:val="Standaard"/>
    <w:link w:val="DocumentstructuurChar"/>
    <w:uiPriority w:val="99"/>
    <w:semiHidden/>
    <w:unhideWhenUsed/>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locked/>
    <w:rPr>
      <w:rFonts w:ascii="Tahoma" w:hAnsi="Tahoma" w:cs="Tahoma" w:hint="default"/>
      <w:sz w:val="16"/>
      <w:szCs w:val="16"/>
      <w:lang w:val="nl-NL" w:eastAsia="nl-NL"/>
    </w:rPr>
  </w:style>
  <w:style w:type="paragraph" w:styleId="Tekstzonderopmaak">
    <w:name w:val="Plain Text"/>
    <w:basedOn w:val="Standaard"/>
    <w:link w:val="TekstzonderopmaakChar"/>
    <w:uiPriority w:val="99"/>
    <w:semiHidden/>
    <w:unhideWhenUsed/>
    <w:pPr>
      <w:spacing w:line="240" w:lineRule="auto"/>
    </w:pPr>
    <w:rPr>
      <w:rFonts w:ascii="Verdana" w:eastAsia="Calibri" w:hAnsi="Verdana"/>
      <w:sz w:val="18"/>
      <w:szCs w:val="21"/>
      <w:lang w:eastAsia="en-US"/>
    </w:rPr>
  </w:style>
  <w:style w:type="character" w:customStyle="1" w:styleId="TekstzonderopmaakChar">
    <w:name w:val="Tekst zonder opmaak Char"/>
    <w:basedOn w:val="Standaardalinea-lettertype"/>
    <w:link w:val="Tekstzonderopmaak"/>
    <w:uiPriority w:val="99"/>
    <w:semiHidden/>
    <w:locked/>
    <w:rPr>
      <w:rFonts w:ascii="Verdana" w:eastAsia="Calibri" w:hAnsi="Verdana" w:hint="default"/>
      <w:sz w:val="18"/>
      <w:szCs w:val="21"/>
      <w:lang w:val="nl-NL"/>
    </w:rPr>
  </w:style>
  <w:style w:type="paragraph" w:styleId="Onderwerpvanopmerking">
    <w:name w:val="annotation subject"/>
    <w:basedOn w:val="Tekstopmerking"/>
    <w:next w:val="Tekstopmerking"/>
    <w:link w:val="OnderwerpvanopmerkingChar"/>
    <w:uiPriority w:val="99"/>
    <w:pPr>
      <w:spacing w:line="240" w:lineRule="auto"/>
    </w:pPr>
    <w:rPr>
      <w:b/>
      <w:bCs/>
    </w:rPr>
  </w:style>
  <w:style w:type="character" w:customStyle="1" w:styleId="OnderwerpvanopmerkingChar">
    <w:name w:val="Onderwerp van opmerking Char"/>
    <w:basedOn w:val="TekstopmerkingChar"/>
    <w:link w:val="Onderwerpvanopmerking"/>
    <w:uiPriority w:val="99"/>
    <w:locked/>
    <w:rPr>
      <w:rFonts w:ascii="Arial" w:hAnsi="Arial" w:cs="Arial" w:hint="default"/>
      <w:b/>
      <w:bCs/>
      <w:sz w:val="20"/>
      <w:szCs w:val="20"/>
      <w:lang w:val="nl-NL" w:eastAsia="en-AU"/>
    </w:rPr>
  </w:style>
  <w:style w:type="paragraph" w:styleId="Ballontekst">
    <w:name w:val="Balloon Text"/>
    <w:basedOn w:val="Standaard"/>
    <w:link w:val="BallontekstChar"/>
    <w:uiPriority w:val="99"/>
    <w:semiHidden/>
    <w:rPr>
      <w:rFonts w:ascii="Tahoma" w:hAnsi="Tahoma" w:cs="Tahoma"/>
      <w:sz w:val="16"/>
      <w:szCs w:val="16"/>
    </w:rPr>
  </w:style>
  <w:style w:type="character" w:customStyle="1" w:styleId="BallontekstChar">
    <w:name w:val="Ballontekst Char"/>
    <w:basedOn w:val="Standaardalinea-lettertype"/>
    <w:link w:val="Ballontekst"/>
    <w:uiPriority w:val="99"/>
    <w:semiHidden/>
    <w:locked/>
    <w:rPr>
      <w:rFonts w:ascii="Tahoma" w:hAnsi="Tahoma" w:cs="Tahoma" w:hint="default"/>
      <w:sz w:val="16"/>
      <w:szCs w:val="16"/>
      <w:lang w:val="nl-NL" w:eastAsia="nl-NL"/>
    </w:rPr>
  </w:style>
  <w:style w:type="paragraph" w:styleId="Revisie">
    <w:name w:val="Revision"/>
    <w:uiPriority w:val="99"/>
    <w:semiHidden/>
    <w:rPr>
      <w:rFonts w:ascii="Arial" w:hAnsi="Arial"/>
      <w:szCs w:val="24"/>
      <w:lang w:val="nl-NL" w:eastAsia="en-AU"/>
    </w:rPr>
  </w:style>
  <w:style w:type="paragraph" w:styleId="Lijstalinea">
    <w:name w:val="List Paragraph"/>
    <w:basedOn w:val="Standaard"/>
    <w:link w:val="LijstalineaChar"/>
    <w:uiPriority w:val="34"/>
    <w:qFormat/>
    <w:pPr>
      <w:ind w:left="720"/>
      <w:contextualSpacing/>
    </w:pPr>
  </w:style>
  <w:style w:type="paragraph" w:styleId="Kopvaninhoudsopgave">
    <w:name w:val="TOC Heading"/>
    <w:basedOn w:val="Kop1"/>
    <w:next w:val="Standaard"/>
    <w:uiPriority w:val="39"/>
    <w:semiHidden/>
    <w:unhideWhenUsed/>
    <w:qFormat/>
    <w:pPr>
      <w:outlineLvl w:val="9"/>
    </w:pPr>
    <w:rPr>
      <w:rFonts w:asciiTheme="majorHAnsi" w:eastAsiaTheme="majorEastAsia" w:hAnsiTheme="majorHAnsi" w:cstheme="majorBidi"/>
    </w:rPr>
  </w:style>
  <w:style w:type="paragraph" w:customStyle="1" w:styleId="Tabeltekst">
    <w:name w:val="Tabeltekst"/>
    <w:basedOn w:val="Standaard"/>
    <w:pPr>
      <w:spacing w:before="40" w:after="40" w:line="240" w:lineRule="auto"/>
    </w:pPr>
    <w:rPr>
      <w:sz w:val="18"/>
      <w:szCs w:val="17"/>
      <w:lang w:eastAsia="en-US"/>
    </w:rPr>
  </w:style>
  <w:style w:type="character" w:customStyle="1" w:styleId="paragraafChar">
    <w:name w:val="paragraaf Char"/>
    <w:basedOn w:val="Standaardalinea-lettertype"/>
    <w:link w:val="paragraaf"/>
    <w:locked/>
    <w:rPr>
      <w:rFonts w:ascii="Arial" w:hAnsi="Arial" w:cs="Arial" w:hint="default"/>
      <w:b/>
      <w:bCs w:val="0"/>
      <w:szCs w:val="24"/>
      <w:lang w:val="nl-NL" w:eastAsia="en-AU"/>
    </w:rPr>
  </w:style>
  <w:style w:type="paragraph" w:customStyle="1" w:styleId="paragraaf">
    <w:name w:val="paragraaf"/>
    <w:basedOn w:val="Standaard"/>
    <w:link w:val="paragraafChar"/>
    <w:uiPriority w:val="99"/>
    <w:qFormat/>
    <w:pPr>
      <w:keepNext/>
      <w:keepLines/>
      <w:tabs>
        <w:tab w:val="left" w:pos="1134"/>
      </w:tabs>
      <w:spacing w:before="240"/>
      <w:ind w:left="1134" w:hanging="1134"/>
      <w:outlineLvl w:val="2"/>
    </w:pPr>
    <w:rPr>
      <w:b/>
    </w:rPr>
  </w:style>
  <w:style w:type="character" w:customStyle="1" w:styleId="tabelkopChar">
    <w:name w:val="tabelkop Char"/>
    <w:basedOn w:val="Standaardalinea-lettertype"/>
    <w:link w:val="tabelkop"/>
    <w:locked/>
    <w:rPr>
      <w:rFonts w:ascii="Arial" w:hAnsi="Arial" w:cs="Arial" w:hint="default"/>
      <w:b/>
      <w:bCs w:val="0"/>
      <w:szCs w:val="24"/>
      <w:lang w:val="nl-NL" w:eastAsia="en-AU"/>
    </w:rPr>
  </w:style>
  <w:style w:type="paragraph" w:customStyle="1" w:styleId="tabelkop">
    <w:name w:val="tabelkop"/>
    <w:basedOn w:val="Standaard"/>
    <w:link w:val="tabelkopChar"/>
    <w:uiPriority w:val="99"/>
    <w:qFormat/>
    <w:pPr>
      <w:keepNext/>
      <w:spacing w:before="240" w:after="120"/>
    </w:pPr>
    <w:rPr>
      <w:b/>
    </w:rPr>
  </w:style>
  <w:style w:type="character" w:customStyle="1" w:styleId="begripChar">
    <w:name w:val="begrip Char"/>
    <w:basedOn w:val="Standaardalinea-lettertype"/>
    <w:link w:val="begrip"/>
    <w:locked/>
    <w:rPr>
      <w:rFonts w:ascii="Arial" w:hAnsi="Arial" w:cs="Arial" w:hint="default"/>
      <w:szCs w:val="24"/>
      <w:lang w:val="nl-NL" w:eastAsia="en-AU"/>
    </w:rPr>
  </w:style>
  <w:style w:type="paragraph" w:customStyle="1" w:styleId="begrip">
    <w:name w:val="begrip"/>
    <w:basedOn w:val="Standaard"/>
    <w:link w:val="begripChar"/>
    <w:qFormat/>
    <w:pPr>
      <w:tabs>
        <w:tab w:val="left" w:pos="426"/>
      </w:tabs>
      <w:spacing w:before="120"/>
      <w:ind w:left="425"/>
      <w:outlineLvl w:val="4"/>
    </w:pPr>
  </w:style>
  <w:style w:type="character" w:customStyle="1" w:styleId="afdelingChar">
    <w:name w:val="afdeling Char"/>
    <w:basedOn w:val="Kop2Char"/>
    <w:link w:val="afdeling"/>
    <w:uiPriority w:val="99"/>
    <w:locked/>
    <w:rsid w:val="00C667E9"/>
    <w:rPr>
      <w:rFonts w:ascii="Arial" w:hAnsi="Arial" w:hint="default"/>
      <w:b/>
      <w:bCs/>
      <w:i/>
      <w:iCs/>
      <w:caps/>
      <w:sz w:val="22"/>
      <w:szCs w:val="28"/>
      <w:lang w:val="nl-NL" w:eastAsia="en-AU"/>
    </w:rPr>
  </w:style>
  <w:style w:type="paragraph" w:customStyle="1" w:styleId="afdeling">
    <w:name w:val="afdeling"/>
    <w:basedOn w:val="Kop2"/>
    <w:link w:val="afdelingChar"/>
    <w:uiPriority w:val="99"/>
    <w:qFormat/>
    <w:rsid w:val="00C667E9"/>
    <w:rPr>
      <w:rFonts w:ascii="Arial" w:eastAsia="Times New Roman" w:hAnsi="Arial"/>
      <w:caps/>
      <w:sz w:val="22"/>
    </w:rPr>
  </w:style>
  <w:style w:type="character" w:customStyle="1" w:styleId="hoofdstukChar">
    <w:name w:val="hoofdstuk Char"/>
    <w:basedOn w:val="Kop1Char"/>
    <w:link w:val="hoofdstuk"/>
    <w:locked/>
    <w:rPr>
      <w:rFonts w:ascii="Arial" w:eastAsia="Times New Roman" w:hAnsi="Arial" w:cs="Times New Roman" w:hint="default"/>
      <w:b/>
      <w:bCs/>
      <w:kern w:val="32"/>
      <w:sz w:val="22"/>
      <w:szCs w:val="32"/>
      <w:lang w:val="nl-NL" w:eastAsia="en-AU"/>
    </w:rPr>
  </w:style>
  <w:style w:type="paragraph" w:customStyle="1" w:styleId="hoofdstuk">
    <w:name w:val="hoofdstuk"/>
    <w:basedOn w:val="Kop1"/>
    <w:link w:val="hoofdstukChar"/>
    <w:qFormat/>
    <w:rPr>
      <w:rFonts w:ascii="Arial" w:eastAsia="Times New Roman" w:hAnsi="Arial"/>
      <w:sz w:val="22"/>
    </w:rPr>
  </w:style>
  <w:style w:type="character" w:customStyle="1" w:styleId="artikelkopChar">
    <w:name w:val="artikel kop Char"/>
    <w:basedOn w:val="Standaardalinea-lettertype"/>
    <w:link w:val="artikelkop"/>
    <w:locked/>
    <w:rPr>
      <w:rFonts w:ascii="Arial" w:hAnsi="Arial" w:cs="Arial" w:hint="default"/>
      <w:b/>
      <w:bCs w:val="0"/>
      <w:szCs w:val="24"/>
      <w:lang w:val="nl-NL" w:eastAsia="en-AU"/>
    </w:rPr>
  </w:style>
  <w:style w:type="paragraph" w:customStyle="1" w:styleId="artikelkop">
    <w:name w:val="artikel kop"/>
    <w:basedOn w:val="Standaard"/>
    <w:next w:val="Standaard"/>
    <w:link w:val="artikelkopChar"/>
    <w:uiPriority w:val="99"/>
    <w:qFormat/>
    <w:pPr>
      <w:keepNext/>
      <w:spacing w:before="240"/>
      <w:outlineLvl w:val="3"/>
    </w:pPr>
    <w:rPr>
      <w:b/>
    </w:rPr>
  </w:style>
  <w:style w:type="paragraph" w:customStyle="1" w:styleId="Default">
    <w:name w:val="Default"/>
    <w:uiPriority w:val="99"/>
    <w:pPr>
      <w:widowControl w:val="0"/>
      <w:tabs>
        <w:tab w:val="left" w:pos="454"/>
      </w:tabs>
      <w:autoSpaceDE w:val="0"/>
      <w:autoSpaceDN w:val="0"/>
      <w:adjustRightInd w:val="0"/>
      <w:spacing w:line="240" w:lineRule="atLeast"/>
    </w:pPr>
    <w:rPr>
      <w:rFonts w:ascii="Arial" w:hAnsi="Arial" w:cs="Univers"/>
      <w:color w:val="000000"/>
      <w:szCs w:val="24"/>
      <w:lang w:val="nl-NL"/>
    </w:rPr>
  </w:style>
  <w:style w:type="character" w:customStyle="1" w:styleId="art2enivoChar">
    <w:name w:val="art 2e nivo Char"/>
    <w:basedOn w:val="Standaardalinea-lettertype"/>
    <w:link w:val="art2enivo"/>
    <w:locked/>
    <w:rPr>
      <w:rFonts w:ascii="Arial" w:hAnsi="Arial" w:cs="Arial" w:hint="default"/>
      <w:szCs w:val="24"/>
      <w:lang w:val="nl-NL" w:eastAsia="en-AU"/>
    </w:rPr>
  </w:style>
  <w:style w:type="paragraph" w:customStyle="1" w:styleId="art2enivo">
    <w:name w:val="art 2e nivo"/>
    <w:basedOn w:val="Standaard"/>
    <w:link w:val="art2enivoChar"/>
    <w:uiPriority w:val="99"/>
    <w:qFormat/>
    <w:pPr>
      <w:ind w:left="850" w:hanging="425"/>
    </w:pPr>
  </w:style>
  <w:style w:type="character" w:customStyle="1" w:styleId="art3enivoChar">
    <w:name w:val="art 3e nivo Char"/>
    <w:basedOn w:val="Standaardalinea-lettertype"/>
    <w:link w:val="art3enivo"/>
    <w:locked/>
    <w:rPr>
      <w:rFonts w:ascii="Arial" w:hAnsi="Arial" w:cs="Arial" w:hint="default"/>
      <w:lang w:val="nl-NL" w:eastAsia="en-AU"/>
    </w:rPr>
  </w:style>
  <w:style w:type="paragraph" w:customStyle="1" w:styleId="art3enivo">
    <w:name w:val="art 3e nivo"/>
    <w:basedOn w:val="Standaard"/>
    <w:link w:val="art3enivoChar"/>
    <w:uiPriority w:val="99"/>
    <w:qFormat/>
    <w:pPr>
      <w:widowControl w:val="0"/>
      <w:tabs>
        <w:tab w:val="left" w:pos="1134"/>
      </w:tabs>
      <w:autoSpaceDE w:val="0"/>
      <w:autoSpaceDN w:val="0"/>
      <w:adjustRightInd w:val="0"/>
      <w:ind w:left="1134" w:hanging="283"/>
    </w:pPr>
    <w:rPr>
      <w:rFonts w:cs="Arial"/>
      <w:szCs w:val="20"/>
    </w:rPr>
  </w:style>
  <w:style w:type="character" w:customStyle="1" w:styleId="artplatletterChar">
    <w:name w:val="art plat letter Char"/>
    <w:basedOn w:val="art2enivoChar"/>
    <w:link w:val="artplatletter"/>
    <w:locked/>
    <w:rPr>
      <w:rFonts w:ascii="Arial" w:hAnsi="Arial" w:cs="Arial" w:hint="default"/>
      <w:szCs w:val="24"/>
      <w:lang w:val="nl-NL" w:eastAsia="en-AU"/>
    </w:rPr>
  </w:style>
  <w:style w:type="paragraph" w:customStyle="1" w:styleId="artplatletter">
    <w:name w:val="art plat letter"/>
    <w:basedOn w:val="art2enivo"/>
    <w:link w:val="artplatletterChar"/>
    <w:uiPriority w:val="99"/>
    <w:qFormat/>
    <w:pPr>
      <w:ind w:left="426" w:hanging="426"/>
    </w:pPr>
  </w:style>
  <w:style w:type="character" w:customStyle="1" w:styleId="art1enivoChar">
    <w:name w:val="art 1e nivo Char"/>
    <w:basedOn w:val="Standaardalinea-lettertype"/>
    <w:link w:val="art1enivo"/>
    <w:locked/>
    <w:rPr>
      <w:rFonts w:ascii="Arial" w:hAnsi="Arial" w:cs="Arial" w:hint="default"/>
      <w:szCs w:val="24"/>
      <w:lang w:val="nl-NL" w:eastAsia="en-AU"/>
    </w:rPr>
  </w:style>
  <w:style w:type="paragraph" w:customStyle="1" w:styleId="art1enivo">
    <w:name w:val="art 1e nivo"/>
    <w:basedOn w:val="Standaard"/>
    <w:next w:val="Standaard"/>
    <w:link w:val="art1enivoChar"/>
    <w:uiPriority w:val="99"/>
    <w:qFormat/>
    <w:pPr>
      <w:keepLines/>
      <w:spacing w:before="120"/>
      <w:ind w:left="425" w:hanging="425"/>
    </w:pPr>
  </w:style>
  <w:style w:type="character" w:customStyle="1" w:styleId="artplatChar">
    <w:name w:val="art plat Char"/>
    <w:basedOn w:val="Standaardalinea-lettertype"/>
    <w:link w:val="artplat"/>
    <w:locked/>
    <w:rPr>
      <w:rFonts w:ascii="Arial" w:hAnsi="Arial" w:cs="Arial" w:hint="default"/>
      <w:szCs w:val="24"/>
      <w:lang w:val="nl-NL" w:eastAsia="en-AU"/>
    </w:rPr>
  </w:style>
  <w:style w:type="paragraph" w:customStyle="1" w:styleId="artplat">
    <w:name w:val="art plat"/>
    <w:basedOn w:val="Standaard"/>
    <w:link w:val="artplatChar"/>
    <w:uiPriority w:val="99"/>
    <w:qFormat/>
    <w:pPr>
      <w:keepLines/>
      <w:spacing w:before="60"/>
    </w:pPr>
  </w:style>
  <w:style w:type="paragraph" w:customStyle="1" w:styleId="Basis">
    <w:name w:val="Basis"/>
    <w:basedOn w:val="Standaard"/>
    <w:pPr>
      <w:spacing w:line="240" w:lineRule="auto"/>
    </w:pPr>
    <w:rPr>
      <w:rFonts w:ascii="DejaVu Sans" w:eastAsia="MS Mincho" w:hAnsi="DejaVu Sans"/>
      <w:sz w:val="18"/>
      <w:szCs w:val="20"/>
      <w:lang w:val="en-US" w:eastAsia="en-US"/>
    </w:rPr>
  </w:style>
  <w:style w:type="paragraph" w:customStyle="1" w:styleId="textcell7left">
    <w:name w:val="text.cell.7.left"/>
    <w:pPr>
      <w:widowControl w:val="0"/>
      <w:autoSpaceDN w:val="0"/>
    </w:pPr>
    <w:rPr>
      <w:rFonts w:ascii="DejaVu Sans" w:eastAsiaTheme="minorEastAsia" w:hAnsi="DejaVu Sans" w:cstheme="minorBidi"/>
      <w:kern w:val="3"/>
      <w:sz w:val="14"/>
      <w:lang w:val="nl-NL" w:eastAsia="nl-NL"/>
    </w:rPr>
  </w:style>
  <w:style w:type="paragraph" w:customStyle="1" w:styleId="lid">
    <w:name w:val="lid"/>
    <w:basedOn w:val="Standaard"/>
    <w:uiPriority w:val="99"/>
    <w:pPr>
      <w:spacing w:before="100" w:beforeAutospacing="1" w:after="100" w:afterAutospacing="1" w:line="240" w:lineRule="auto"/>
    </w:pPr>
    <w:rPr>
      <w:rFonts w:ascii="Times New Roman" w:hAnsi="Times New Roman"/>
      <w:sz w:val="24"/>
      <w:lang w:eastAsia="nl-NL"/>
    </w:rPr>
  </w:style>
  <w:style w:type="paragraph" w:customStyle="1" w:styleId="wij">
    <w:name w:val="wij"/>
    <w:basedOn w:val="Standaard"/>
    <w:pPr>
      <w:spacing w:before="100" w:beforeAutospacing="1" w:after="100" w:afterAutospacing="1" w:line="240" w:lineRule="auto"/>
    </w:pPr>
    <w:rPr>
      <w:rFonts w:ascii="Times New Roman" w:hAnsi="Times New Roman"/>
      <w:sz w:val="24"/>
      <w:lang w:eastAsia="nl-NL"/>
    </w:rPr>
  </w:style>
  <w:style w:type="paragraph" w:customStyle="1" w:styleId="consideransal">
    <w:name w:val="considerans.al"/>
    <w:basedOn w:val="Standaard"/>
    <w:pPr>
      <w:spacing w:before="100" w:beforeAutospacing="1" w:after="100" w:afterAutospacing="1" w:line="240" w:lineRule="auto"/>
    </w:pPr>
    <w:rPr>
      <w:rFonts w:ascii="Times New Roman" w:hAnsi="Times New Roman"/>
      <w:sz w:val="24"/>
      <w:lang w:eastAsia="nl-NL"/>
    </w:rPr>
  </w:style>
  <w:style w:type="paragraph" w:customStyle="1" w:styleId="al">
    <w:name w:val="al"/>
    <w:basedOn w:val="Standaard"/>
    <w:pPr>
      <w:spacing w:before="100" w:beforeAutospacing="1" w:after="100" w:afterAutospacing="1" w:line="240" w:lineRule="auto"/>
    </w:pPr>
    <w:rPr>
      <w:rFonts w:ascii="Times New Roman" w:hAnsi="Times New Roman"/>
      <w:sz w:val="24"/>
      <w:lang w:eastAsia="nl-NL"/>
    </w:rPr>
  </w:style>
  <w:style w:type="character" w:styleId="Voetnootmarkering">
    <w:name w:val="footnote reference"/>
    <w:basedOn w:val="Standaardalinea-lettertype"/>
    <w:unhideWhenUsed/>
    <w:rPr>
      <w:vertAlign w:val="superscript"/>
    </w:rPr>
  </w:style>
  <w:style w:type="character" w:styleId="Verwijzingopmerking">
    <w:name w:val="annotation reference"/>
    <w:basedOn w:val="Standaardalinea-lettertype"/>
    <w:uiPriority w:val="99"/>
    <w:rPr>
      <w:sz w:val="16"/>
      <w:szCs w:val="16"/>
    </w:rPr>
  </w:style>
  <w:style w:type="character" w:customStyle="1" w:styleId="lidnr">
    <w:name w:val="lidnr"/>
    <w:basedOn w:val="Standaardalinea-lettertype"/>
  </w:style>
  <w:style w:type="table" w:styleId="Tabelraster">
    <w:name w:val="Table Grid"/>
    <w:basedOn w:val="Standaardtabel"/>
    <w:uiPriority w:val="59"/>
    <w:rPr>
      <w:rFonts w:ascii="Arial" w:hAnsi="Arial"/>
      <w:sz w:val="18"/>
    </w:rPr>
    <w:tblPr>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57" w:type="dxa"/>
        <w:bottom w:w="57" w:type="dxa"/>
        <w:right w:w="57" w:type="dxa"/>
      </w:tblCellMar>
    </w:tblPr>
    <w:tblStylePr w:type="firstRow">
      <w:rPr>
        <w:b/>
      </w:rPr>
    </w:tblStylePr>
  </w:style>
  <w:style w:type="paragraph" w:styleId="Geenafstand">
    <w:name w:val="No Spacing"/>
    <w:link w:val="GeenafstandChar"/>
    <w:uiPriority w:val="1"/>
    <w:qFormat/>
    <w:rsid w:val="005468BF"/>
    <w:rPr>
      <w:rFonts w:ascii="Arial" w:hAnsi="Arial"/>
      <w:szCs w:val="24"/>
      <w:lang w:val="nl-NL" w:eastAsia="en-AU"/>
    </w:rPr>
  </w:style>
  <w:style w:type="character" w:customStyle="1" w:styleId="apple-style-span">
    <w:name w:val="apple-style-span"/>
    <w:basedOn w:val="Standaardalinea-lettertype"/>
    <w:rsid w:val="001114BD"/>
  </w:style>
  <w:style w:type="character" w:customStyle="1" w:styleId="art4enivoChar">
    <w:name w:val="art 4e nivo Char"/>
    <w:basedOn w:val="art3enivoChar"/>
    <w:link w:val="art4enivo"/>
    <w:locked/>
    <w:rsid w:val="00624A65"/>
    <w:rPr>
      <w:rFonts w:ascii="Arial" w:hAnsi="Arial" w:cs="Arial" w:hint="default"/>
      <w:lang w:val="nl-NL" w:eastAsia="en-AU"/>
    </w:rPr>
  </w:style>
  <w:style w:type="paragraph" w:customStyle="1" w:styleId="art4enivo">
    <w:name w:val="art 4e nivo"/>
    <w:basedOn w:val="art3enivo"/>
    <w:link w:val="art4enivoChar"/>
    <w:uiPriority w:val="99"/>
    <w:rsid w:val="00624A65"/>
    <w:pPr>
      <w:tabs>
        <w:tab w:val="clear" w:pos="1134"/>
        <w:tab w:val="left" w:pos="1418"/>
      </w:tabs>
      <w:ind w:left="1418" w:hanging="284"/>
    </w:pPr>
    <w:rPr>
      <w:lang w:val="en-US"/>
    </w:rPr>
  </w:style>
  <w:style w:type="paragraph" w:customStyle="1" w:styleId="Heading">
    <w:name w:val="Heading"/>
    <w:basedOn w:val="Standaard"/>
    <w:next w:val="Textbody"/>
    <w:rsid w:val="009A35EF"/>
    <w:pPr>
      <w:keepNext/>
      <w:spacing w:before="240" w:after="120" w:line="276" w:lineRule="auto"/>
    </w:pPr>
    <w:rPr>
      <w:rFonts w:eastAsiaTheme="minorEastAsia" w:cstheme="minorBidi"/>
      <w:sz w:val="28"/>
      <w:szCs w:val="28"/>
      <w:lang w:eastAsia="nl-NL"/>
    </w:rPr>
  </w:style>
  <w:style w:type="paragraph" w:customStyle="1" w:styleId="Textbody">
    <w:name w:val="Text body"/>
    <w:basedOn w:val="Standaard"/>
    <w:rsid w:val="009A35EF"/>
    <w:pPr>
      <w:spacing w:after="120" w:line="276" w:lineRule="auto"/>
    </w:pPr>
    <w:rPr>
      <w:rFonts w:asciiTheme="minorHAnsi" w:eastAsiaTheme="minorEastAsia" w:hAnsiTheme="minorHAnsi" w:cstheme="minorBidi"/>
      <w:sz w:val="22"/>
      <w:szCs w:val="22"/>
      <w:lang w:eastAsia="nl-NL"/>
    </w:rPr>
  </w:style>
  <w:style w:type="paragraph" w:styleId="Lijst">
    <w:name w:val="List"/>
    <w:basedOn w:val="Textbody"/>
    <w:rsid w:val="009A35EF"/>
  </w:style>
  <w:style w:type="paragraph" w:customStyle="1" w:styleId="Caption1">
    <w:name w:val="Caption1"/>
    <w:basedOn w:val="Standaard"/>
    <w:rsid w:val="009A35EF"/>
    <w:pPr>
      <w:suppressLineNumbers/>
      <w:spacing w:before="120" w:after="120" w:line="276" w:lineRule="auto"/>
    </w:pPr>
    <w:rPr>
      <w:rFonts w:asciiTheme="minorHAnsi" w:eastAsiaTheme="minorEastAsia" w:hAnsiTheme="minorHAnsi" w:cstheme="minorBidi"/>
      <w:i/>
      <w:iCs/>
      <w:sz w:val="24"/>
      <w:szCs w:val="22"/>
      <w:lang w:eastAsia="nl-NL"/>
    </w:rPr>
  </w:style>
  <w:style w:type="paragraph" w:customStyle="1" w:styleId="Index">
    <w:name w:val="Index"/>
    <w:basedOn w:val="Standaard"/>
    <w:rsid w:val="009A35EF"/>
    <w:pPr>
      <w:suppressLineNumbers/>
      <w:spacing w:after="200" w:line="276" w:lineRule="auto"/>
    </w:pPr>
    <w:rPr>
      <w:rFonts w:asciiTheme="minorHAnsi" w:eastAsiaTheme="minorEastAsia" w:hAnsiTheme="minorHAnsi" w:cstheme="minorBidi"/>
      <w:sz w:val="22"/>
      <w:szCs w:val="22"/>
      <w:lang w:eastAsia="nl-NL"/>
    </w:rPr>
  </w:style>
  <w:style w:type="paragraph" w:customStyle="1" w:styleId="Heading11">
    <w:name w:val="Heading 11"/>
    <w:basedOn w:val="Heading"/>
    <w:next w:val="Textbody"/>
    <w:rsid w:val="009A35EF"/>
    <w:pPr>
      <w:pageBreakBefore/>
      <w:spacing w:before="340" w:after="170"/>
      <w:ind w:left="-850"/>
    </w:pPr>
    <w:rPr>
      <w:b/>
      <w:bCs/>
      <w:sz w:val="40"/>
    </w:rPr>
  </w:style>
  <w:style w:type="paragraph" w:customStyle="1" w:styleId="Heading21">
    <w:name w:val="Heading 21"/>
    <w:basedOn w:val="Heading"/>
    <w:next w:val="Textbody"/>
    <w:rsid w:val="009A35EF"/>
    <w:pPr>
      <w:spacing w:before="340" w:after="170"/>
      <w:ind w:left="-850"/>
    </w:pPr>
    <w:rPr>
      <w:b/>
      <w:bCs/>
      <w:i/>
      <w:iCs/>
      <w:sz w:val="32"/>
    </w:rPr>
  </w:style>
  <w:style w:type="paragraph" w:customStyle="1" w:styleId="Heading31">
    <w:name w:val="Heading 31"/>
    <w:basedOn w:val="Heading"/>
    <w:next w:val="Textbody"/>
    <w:rsid w:val="009A35EF"/>
    <w:pPr>
      <w:spacing w:before="340" w:after="170"/>
      <w:ind w:left="-850"/>
    </w:pPr>
    <w:rPr>
      <w:b/>
      <w:bCs/>
    </w:rPr>
  </w:style>
  <w:style w:type="paragraph" w:styleId="Titel">
    <w:name w:val="Title"/>
    <w:basedOn w:val="Heading"/>
    <w:next w:val="Ondertitel"/>
    <w:link w:val="TitelChar"/>
    <w:uiPriority w:val="10"/>
    <w:qFormat/>
    <w:rsid w:val="009A35EF"/>
    <w:rPr>
      <w:b/>
      <w:bCs/>
      <w:sz w:val="48"/>
      <w:szCs w:val="36"/>
    </w:rPr>
  </w:style>
  <w:style w:type="character" w:customStyle="1" w:styleId="TitelChar">
    <w:name w:val="Titel Char"/>
    <w:basedOn w:val="Standaardalinea-lettertype"/>
    <w:link w:val="Titel"/>
    <w:uiPriority w:val="10"/>
    <w:rsid w:val="009A35EF"/>
    <w:rPr>
      <w:rFonts w:ascii="Arial" w:eastAsiaTheme="minorEastAsia" w:hAnsi="Arial" w:cstheme="minorBidi"/>
      <w:b/>
      <w:bCs/>
      <w:sz w:val="48"/>
      <w:szCs w:val="36"/>
      <w:lang w:val="nl-NL" w:eastAsia="nl-NL"/>
    </w:rPr>
  </w:style>
  <w:style w:type="paragraph" w:styleId="Ondertitel">
    <w:name w:val="Subtitle"/>
    <w:basedOn w:val="Heading"/>
    <w:next w:val="Textbody"/>
    <w:link w:val="OndertitelChar"/>
    <w:uiPriority w:val="11"/>
    <w:qFormat/>
    <w:rsid w:val="009A35EF"/>
    <w:pPr>
      <w:jc w:val="center"/>
    </w:pPr>
    <w:rPr>
      <w:i/>
      <w:iCs/>
    </w:rPr>
  </w:style>
  <w:style w:type="character" w:customStyle="1" w:styleId="OndertitelChar">
    <w:name w:val="Ondertitel Char"/>
    <w:basedOn w:val="Standaardalinea-lettertype"/>
    <w:link w:val="Ondertitel"/>
    <w:uiPriority w:val="11"/>
    <w:rsid w:val="009A35EF"/>
    <w:rPr>
      <w:rFonts w:ascii="Arial" w:eastAsiaTheme="minorEastAsia" w:hAnsi="Arial" w:cstheme="minorBidi"/>
      <w:i/>
      <w:iCs/>
      <w:sz w:val="28"/>
      <w:szCs w:val="28"/>
      <w:lang w:val="nl-NL" w:eastAsia="nl-NL"/>
    </w:rPr>
  </w:style>
  <w:style w:type="paragraph" w:customStyle="1" w:styleId="ContentsHeading">
    <w:name w:val="Contents Heading"/>
    <w:basedOn w:val="Heading"/>
    <w:rsid w:val="009A35EF"/>
    <w:pPr>
      <w:suppressLineNumbers/>
    </w:pPr>
    <w:rPr>
      <w:b/>
      <w:bCs/>
      <w:sz w:val="36"/>
      <w:szCs w:val="32"/>
    </w:rPr>
  </w:style>
  <w:style w:type="paragraph" w:customStyle="1" w:styleId="Contents1">
    <w:name w:val="Contents 1"/>
    <w:basedOn w:val="Index"/>
    <w:rsid w:val="009A35EF"/>
    <w:pPr>
      <w:tabs>
        <w:tab w:val="right" w:leader="dot" w:pos="9637"/>
      </w:tabs>
      <w:spacing w:before="170"/>
    </w:pPr>
    <w:rPr>
      <w:sz w:val="26"/>
    </w:rPr>
  </w:style>
  <w:style w:type="paragraph" w:customStyle="1" w:styleId="Contents2">
    <w:name w:val="Contents 2"/>
    <w:basedOn w:val="Index"/>
    <w:rsid w:val="009A35EF"/>
    <w:pPr>
      <w:tabs>
        <w:tab w:val="right" w:leader="dot" w:pos="9637"/>
      </w:tabs>
      <w:spacing w:before="57"/>
      <w:ind w:left="283"/>
    </w:pPr>
  </w:style>
  <w:style w:type="paragraph" w:customStyle="1" w:styleId="Contents3">
    <w:name w:val="Contents 3"/>
    <w:basedOn w:val="Index"/>
    <w:rsid w:val="009A35EF"/>
    <w:pPr>
      <w:tabs>
        <w:tab w:val="right" w:leader="dot" w:pos="9921"/>
      </w:tabs>
      <w:ind w:left="850"/>
    </w:pPr>
  </w:style>
  <w:style w:type="paragraph" w:customStyle="1" w:styleId="TableContents">
    <w:name w:val="Table Contents"/>
    <w:basedOn w:val="Standaard"/>
    <w:rsid w:val="009A35EF"/>
    <w:pPr>
      <w:suppressLineNumbers/>
      <w:spacing w:after="200" w:line="276" w:lineRule="auto"/>
    </w:pPr>
    <w:rPr>
      <w:rFonts w:asciiTheme="minorHAnsi" w:eastAsiaTheme="minorEastAsia" w:hAnsiTheme="minorHAnsi" w:cstheme="minorBidi"/>
      <w:sz w:val="22"/>
      <w:szCs w:val="22"/>
      <w:lang w:eastAsia="nl-NL"/>
    </w:rPr>
  </w:style>
  <w:style w:type="paragraph" w:customStyle="1" w:styleId="Huisstijl-Retouradres">
    <w:name w:val="Huisstijl - Retouradres"/>
    <w:basedOn w:val="Standaard"/>
    <w:next w:val="Huisstijl-Rubricering"/>
    <w:rsid w:val="009A35EF"/>
    <w:pPr>
      <w:spacing w:after="283" w:line="180" w:lineRule="exact"/>
    </w:pPr>
    <w:rPr>
      <w:rFonts w:asciiTheme="minorHAnsi" w:eastAsiaTheme="minorEastAsia" w:hAnsiTheme="minorHAnsi" w:cstheme="minorBidi"/>
      <w:sz w:val="13"/>
      <w:szCs w:val="22"/>
      <w:lang w:eastAsia="nl-NL"/>
    </w:rPr>
  </w:style>
  <w:style w:type="paragraph" w:customStyle="1" w:styleId="Huisstijl-Rubricering">
    <w:name w:val="Huisstijl - Rubricering"/>
    <w:basedOn w:val="Standaard"/>
    <w:next w:val="Huisstijl-Toezendgegevens"/>
    <w:rsid w:val="009A35EF"/>
    <w:pPr>
      <w:spacing w:after="200" w:line="180" w:lineRule="exact"/>
    </w:pPr>
    <w:rPr>
      <w:rFonts w:asciiTheme="minorHAnsi" w:eastAsiaTheme="minorEastAsia" w:hAnsiTheme="minorHAnsi" w:cstheme="minorBidi"/>
      <w:b/>
      <w:sz w:val="13"/>
      <w:szCs w:val="22"/>
      <w:lang w:eastAsia="nl-NL"/>
    </w:rPr>
  </w:style>
  <w:style w:type="paragraph" w:customStyle="1" w:styleId="Huisstijl-Toezendgegevens">
    <w:name w:val="Huisstijl - Toezendgegevens"/>
    <w:basedOn w:val="Standaard"/>
    <w:rsid w:val="009A35EF"/>
    <w:pPr>
      <w:spacing w:after="200" w:line="276" w:lineRule="auto"/>
    </w:pPr>
    <w:rPr>
      <w:rFonts w:asciiTheme="minorHAnsi" w:eastAsiaTheme="minorEastAsia" w:hAnsiTheme="minorHAnsi" w:cstheme="minorBidi"/>
      <w:sz w:val="22"/>
      <w:szCs w:val="22"/>
      <w:lang w:eastAsia="nl-NL"/>
    </w:rPr>
  </w:style>
  <w:style w:type="paragraph" w:customStyle="1" w:styleId="Huisstijl-Datumenbetreft">
    <w:name w:val="Huisstijl - Datum en betreft"/>
    <w:basedOn w:val="Standaard"/>
    <w:rsid w:val="009A35EF"/>
    <w:pPr>
      <w:tabs>
        <w:tab w:val="left" w:pos="737"/>
      </w:tabs>
      <w:spacing w:after="200" w:line="276" w:lineRule="auto"/>
    </w:pPr>
    <w:rPr>
      <w:rFonts w:asciiTheme="minorHAnsi" w:eastAsiaTheme="minorEastAsia" w:hAnsiTheme="minorHAnsi" w:cstheme="minorBidi"/>
      <w:sz w:val="22"/>
      <w:szCs w:val="22"/>
      <w:lang w:eastAsia="nl-NL"/>
    </w:rPr>
  </w:style>
  <w:style w:type="paragraph" w:customStyle="1" w:styleId="Huisstijl-Aanhef">
    <w:name w:val="Huisstijl - Aanhef"/>
    <w:basedOn w:val="Standaard"/>
    <w:rsid w:val="009A35EF"/>
    <w:pPr>
      <w:spacing w:before="100" w:after="240" w:line="276" w:lineRule="auto"/>
    </w:pPr>
    <w:rPr>
      <w:rFonts w:asciiTheme="minorHAnsi" w:eastAsiaTheme="minorEastAsia" w:hAnsiTheme="minorHAnsi" w:cstheme="minorBidi"/>
      <w:sz w:val="22"/>
      <w:szCs w:val="22"/>
      <w:lang w:eastAsia="nl-NL"/>
    </w:rPr>
  </w:style>
  <w:style w:type="paragraph" w:customStyle="1" w:styleId="Huisstijl-Slotzin">
    <w:name w:val="Huisstijl - Slotzin"/>
    <w:basedOn w:val="Standaard"/>
    <w:next w:val="Huisstijl-Ondertekening"/>
    <w:rsid w:val="009A35EF"/>
    <w:pPr>
      <w:spacing w:before="240" w:after="200" w:line="276" w:lineRule="auto"/>
    </w:pPr>
    <w:rPr>
      <w:rFonts w:asciiTheme="minorHAnsi" w:eastAsiaTheme="minorEastAsia" w:hAnsiTheme="minorHAnsi" w:cstheme="minorBidi"/>
      <w:sz w:val="22"/>
      <w:szCs w:val="22"/>
      <w:lang w:eastAsia="nl-NL"/>
    </w:rPr>
  </w:style>
  <w:style w:type="paragraph" w:customStyle="1" w:styleId="Header1">
    <w:name w:val="Header1"/>
    <w:basedOn w:val="Standaard"/>
    <w:rsid w:val="009A35EF"/>
    <w:pPr>
      <w:suppressLineNumbers/>
      <w:tabs>
        <w:tab w:val="center" w:pos="3742"/>
        <w:tab w:val="right" w:pos="7484"/>
      </w:tabs>
      <w:spacing w:after="200" w:line="276" w:lineRule="auto"/>
    </w:pPr>
    <w:rPr>
      <w:rFonts w:asciiTheme="minorHAnsi" w:eastAsiaTheme="minorEastAsia" w:hAnsiTheme="minorHAnsi" w:cstheme="minorBidi"/>
      <w:sz w:val="22"/>
      <w:szCs w:val="22"/>
      <w:lang w:eastAsia="nl-NL"/>
    </w:rPr>
  </w:style>
  <w:style w:type="paragraph" w:customStyle="1" w:styleId="Framecontents">
    <w:name w:val="Frame contents"/>
    <w:basedOn w:val="Textbody"/>
    <w:rsid w:val="009A35EF"/>
  </w:style>
  <w:style w:type="paragraph" w:customStyle="1" w:styleId="Huisstijl-Afzendgegevenskop">
    <w:name w:val="Huisstijl - Afzendgegevens kop"/>
    <w:basedOn w:val="Standaard"/>
    <w:rsid w:val="009A35EF"/>
    <w:pPr>
      <w:spacing w:after="200" w:line="180" w:lineRule="exact"/>
    </w:pPr>
    <w:rPr>
      <w:rFonts w:asciiTheme="minorHAnsi" w:eastAsiaTheme="minorEastAsia" w:hAnsiTheme="minorHAnsi" w:cstheme="minorBidi"/>
      <w:b/>
      <w:sz w:val="13"/>
      <w:szCs w:val="22"/>
      <w:lang w:eastAsia="nl-NL"/>
    </w:rPr>
  </w:style>
  <w:style w:type="paragraph" w:customStyle="1" w:styleId="Huisstijl-Afzendgegevens">
    <w:name w:val="Huisstijl - Afzendgegevens"/>
    <w:basedOn w:val="Standaard"/>
    <w:rsid w:val="009A35EF"/>
    <w:pPr>
      <w:tabs>
        <w:tab w:val="left" w:pos="170"/>
      </w:tabs>
      <w:spacing w:after="200" w:line="180" w:lineRule="exact"/>
    </w:pPr>
    <w:rPr>
      <w:rFonts w:asciiTheme="minorHAnsi" w:eastAsiaTheme="minorEastAsia" w:hAnsiTheme="minorHAnsi" w:cstheme="minorBidi"/>
      <w:sz w:val="13"/>
      <w:szCs w:val="22"/>
      <w:lang w:eastAsia="nl-NL"/>
    </w:rPr>
  </w:style>
  <w:style w:type="paragraph" w:customStyle="1" w:styleId="Huisstijl-AfzendgegevensW1">
    <w:name w:val="Huisstijl - Afzendgegevens W1"/>
    <w:basedOn w:val="Huisstijl-Afzendgegevens"/>
    <w:rsid w:val="009A35EF"/>
    <w:pPr>
      <w:spacing w:before="90"/>
    </w:pPr>
  </w:style>
  <w:style w:type="paragraph" w:customStyle="1" w:styleId="Huisstijl-ReferentiegegevenskopW1">
    <w:name w:val="Huisstijl - Referentiegegevens kop W1"/>
    <w:basedOn w:val="Standaard"/>
    <w:next w:val="Huisstijl-Referentiegegevens"/>
    <w:rsid w:val="009A35EF"/>
    <w:pPr>
      <w:spacing w:before="90" w:after="200" w:line="180" w:lineRule="exact"/>
    </w:pPr>
    <w:rPr>
      <w:rFonts w:asciiTheme="minorHAnsi" w:eastAsiaTheme="minorEastAsia" w:hAnsiTheme="minorHAnsi" w:cstheme="minorBidi"/>
      <w:b/>
      <w:sz w:val="13"/>
      <w:szCs w:val="22"/>
      <w:lang w:eastAsia="nl-NL"/>
    </w:rPr>
  </w:style>
  <w:style w:type="paragraph" w:customStyle="1" w:styleId="Huisstijl-Referentiegegevens">
    <w:name w:val="Huisstijl - Referentiegegevens"/>
    <w:basedOn w:val="Standaard"/>
    <w:rsid w:val="009A35EF"/>
    <w:pPr>
      <w:spacing w:after="200" w:line="180" w:lineRule="exact"/>
    </w:pPr>
    <w:rPr>
      <w:rFonts w:asciiTheme="minorHAnsi" w:eastAsiaTheme="minorEastAsia" w:hAnsiTheme="minorHAnsi" w:cstheme="minorBidi"/>
      <w:sz w:val="13"/>
      <w:szCs w:val="22"/>
      <w:lang w:eastAsia="nl-NL"/>
    </w:rPr>
  </w:style>
  <w:style w:type="paragraph" w:customStyle="1" w:styleId="Huisstijl-ReferentiegegevenskopW2">
    <w:name w:val="Huisstijl - Referentiegegevens kop W2"/>
    <w:basedOn w:val="Standaard"/>
    <w:next w:val="Huisstijl-Referentiegegevens"/>
    <w:rsid w:val="009A35EF"/>
    <w:pPr>
      <w:spacing w:before="270" w:after="200" w:line="180" w:lineRule="exact"/>
    </w:pPr>
    <w:rPr>
      <w:rFonts w:asciiTheme="minorHAnsi" w:eastAsiaTheme="minorEastAsia" w:hAnsiTheme="minorHAnsi" w:cstheme="minorBidi"/>
      <w:b/>
      <w:sz w:val="13"/>
      <w:szCs w:val="22"/>
      <w:lang w:eastAsia="nl-NL"/>
    </w:rPr>
  </w:style>
  <w:style w:type="paragraph" w:customStyle="1" w:styleId="Huisstijl-Algemenevoorwaarden">
    <w:name w:val="Huisstijl - Algemene voorwaarden"/>
    <w:basedOn w:val="Standaard"/>
    <w:rsid w:val="009A35EF"/>
    <w:pPr>
      <w:spacing w:before="90" w:after="200" w:line="180" w:lineRule="exact"/>
    </w:pPr>
    <w:rPr>
      <w:rFonts w:asciiTheme="minorHAnsi" w:eastAsiaTheme="minorEastAsia" w:hAnsiTheme="minorHAnsi" w:cstheme="minorBidi"/>
      <w:i/>
      <w:sz w:val="13"/>
      <w:szCs w:val="22"/>
      <w:lang w:eastAsia="nl-NL"/>
    </w:rPr>
  </w:style>
  <w:style w:type="paragraph" w:customStyle="1" w:styleId="Huisstijl-Ondertekening">
    <w:name w:val="Huisstijl - Ondertekening"/>
    <w:basedOn w:val="Standaard"/>
    <w:next w:val="Huisstijl-Ondertekeningvervolg"/>
    <w:rsid w:val="009A35EF"/>
    <w:pPr>
      <w:spacing w:after="200" w:line="276" w:lineRule="auto"/>
    </w:pPr>
    <w:rPr>
      <w:rFonts w:asciiTheme="minorHAnsi" w:eastAsiaTheme="minorEastAsia" w:hAnsiTheme="minorHAnsi" w:cstheme="minorBidi"/>
      <w:sz w:val="22"/>
      <w:szCs w:val="22"/>
      <w:lang w:eastAsia="nl-NL"/>
    </w:rPr>
  </w:style>
  <w:style w:type="paragraph" w:customStyle="1" w:styleId="Huisstijl-Ondertekeningvervolg">
    <w:name w:val="Huisstijl - Ondertekening vervolg"/>
    <w:basedOn w:val="Huisstijl-Ondertekening"/>
    <w:rsid w:val="009A35EF"/>
    <w:rPr>
      <w:i/>
    </w:rPr>
  </w:style>
  <w:style w:type="paragraph" w:customStyle="1" w:styleId="Footer1">
    <w:name w:val="Footer1"/>
    <w:basedOn w:val="Standaard"/>
    <w:rsid w:val="009A35EF"/>
    <w:pPr>
      <w:suppressLineNumbers/>
      <w:tabs>
        <w:tab w:val="center" w:pos="3742"/>
        <w:tab w:val="right" w:pos="7484"/>
      </w:tabs>
      <w:spacing w:after="200" w:line="276" w:lineRule="auto"/>
    </w:pPr>
    <w:rPr>
      <w:rFonts w:asciiTheme="minorHAnsi" w:eastAsiaTheme="minorEastAsia" w:hAnsiTheme="minorHAnsi" w:cstheme="minorBidi"/>
      <w:sz w:val="22"/>
      <w:szCs w:val="22"/>
      <w:lang w:eastAsia="nl-NL"/>
    </w:rPr>
  </w:style>
  <w:style w:type="paragraph" w:customStyle="1" w:styleId="Huisstijl-Paginanummer">
    <w:name w:val="Huisstijl - Paginanummer"/>
    <w:basedOn w:val="Standaard"/>
    <w:rsid w:val="009A35EF"/>
    <w:pPr>
      <w:spacing w:after="200" w:line="240" w:lineRule="auto"/>
    </w:pPr>
    <w:rPr>
      <w:rFonts w:asciiTheme="minorHAnsi" w:eastAsiaTheme="minorEastAsia" w:hAnsiTheme="minorHAnsi" w:cstheme="minorBidi"/>
      <w:sz w:val="13"/>
      <w:szCs w:val="22"/>
      <w:lang w:eastAsia="nl-NL"/>
    </w:rPr>
  </w:style>
  <w:style w:type="character" w:customStyle="1" w:styleId="Placeholder">
    <w:name w:val="Placeholder"/>
    <w:rsid w:val="009A35EF"/>
    <w:rPr>
      <w:smallCaps/>
      <w:color w:val="008080"/>
      <w:u w:val="dotted"/>
    </w:rPr>
  </w:style>
  <w:style w:type="character" w:customStyle="1" w:styleId="NumberingSymbols">
    <w:name w:val="Numbering Symbols"/>
    <w:rsid w:val="009A35EF"/>
    <w:rPr>
      <w:rFonts w:ascii="Verdana" w:hAnsi="Verdana"/>
      <w:sz w:val="18"/>
    </w:rPr>
  </w:style>
  <w:style w:type="character" w:customStyle="1" w:styleId="BulletSymbols">
    <w:name w:val="Bullet Symbols"/>
    <w:rsid w:val="009A35EF"/>
    <w:rPr>
      <w:rFonts w:ascii="Verdana" w:eastAsia="OpenSymbol" w:hAnsi="Verdana" w:cs="OpenSymbol"/>
      <w:sz w:val="26"/>
    </w:rPr>
  </w:style>
  <w:style w:type="character" w:customStyle="1" w:styleId="Huisstijl-Aankruisvakken">
    <w:name w:val="Huisstijl - Aankruisvakken"/>
    <w:rsid w:val="009A35EF"/>
    <w:rPr>
      <w:rFonts w:ascii="Verdana" w:hAnsi="Verdana"/>
      <w:sz w:val="26"/>
    </w:rPr>
  </w:style>
  <w:style w:type="paragraph" w:styleId="Koptekst">
    <w:name w:val="header"/>
    <w:basedOn w:val="Standaard"/>
    <w:link w:val="KoptekstChar"/>
    <w:uiPriority w:val="99"/>
    <w:unhideWhenUsed/>
    <w:rsid w:val="009A35EF"/>
    <w:pPr>
      <w:tabs>
        <w:tab w:val="center" w:pos="4536"/>
        <w:tab w:val="right" w:pos="9072"/>
      </w:tabs>
      <w:spacing w:after="200" w:line="276" w:lineRule="auto"/>
    </w:pPr>
    <w:rPr>
      <w:rFonts w:asciiTheme="minorHAnsi" w:eastAsiaTheme="minorEastAsia" w:hAnsiTheme="minorHAnsi" w:cs="Mangal"/>
      <w:sz w:val="22"/>
      <w:szCs w:val="21"/>
      <w:lang w:eastAsia="nl-NL"/>
    </w:rPr>
  </w:style>
  <w:style w:type="character" w:customStyle="1" w:styleId="KoptekstChar">
    <w:name w:val="Koptekst Char"/>
    <w:basedOn w:val="Standaardalinea-lettertype"/>
    <w:link w:val="Koptekst"/>
    <w:uiPriority w:val="99"/>
    <w:rsid w:val="009A35EF"/>
    <w:rPr>
      <w:rFonts w:asciiTheme="minorHAnsi" w:eastAsiaTheme="minorEastAsia" w:hAnsiTheme="minorHAnsi" w:cs="Mangal"/>
      <w:sz w:val="22"/>
      <w:szCs w:val="21"/>
      <w:lang w:val="nl-NL" w:eastAsia="nl-NL"/>
    </w:rPr>
  </w:style>
  <w:style w:type="paragraph" w:customStyle="1" w:styleId="Huisstijl-AfzendgegevenskopW1">
    <w:name w:val="Huisstijl - Afzendgegevens kop W1"/>
    <w:basedOn w:val="Huisstijl-Afzendgegevenskop"/>
    <w:qFormat/>
    <w:rsid w:val="009A35EF"/>
    <w:pPr>
      <w:spacing w:before="90"/>
    </w:pPr>
  </w:style>
  <w:style w:type="paragraph" w:customStyle="1" w:styleId="Huisstijl-AfzendgegevensC">
    <w:name w:val="Huisstijl - Afzendgegevens C"/>
    <w:basedOn w:val="Huisstijl-Afzendgegevens"/>
    <w:qFormat/>
    <w:rsid w:val="009A35EF"/>
    <w:rPr>
      <w:i/>
    </w:rPr>
  </w:style>
  <w:style w:type="paragraph" w:customStyle="1" w:styleId="Huisstijl-AfzendgegevensMdtn">
    <w:name w:val="Huisstijl - Afzendgegevens Mdtn"/>
    <w:basedOn w:val="Huisstijl-Afzendgegevens"/>
    <w:qFormat/>
    <w:rsid w:val="009A35EF"/>
    <w:pPr>
      <w:tabs>
        <w:tab w:val="clear" w:pos="170"/>
        <w:tab w:val="left" w:pos="482"/>
      </w:tabs>
    </w:pPr>
  </w:style>
  <w:style w:type="paragraph" w:customStyle="1" w:styleId="Huisstijl-Ondertekeningvervolgtitel">
    <w:name w:val="Huisstijl - Ondertekening vervolg titel"/>
    <w:basedOn w:val="Huisstijl-Ondertekeningvervolg"/>
    <w:qFormat/>
    <w:rsid w:val="009A35EF"/>
    <w:rPr>
      <w:i w:val="0"/>
      <w:noProof/>
    </w:rPr>
  </w:style>
  <w:style w:type="paragraph" w:customStyle="1" w:styleId="Huisstijl-InhoudMinistrieleRegeling">
    <w:name w:val="Huisstijl - Inhoud Ministriele Regeling"/>
    <w:basedOn w:val="Huisstijl-Aanhef"/>
    <w:qFormat/>
    <w:rsid w:val="009A35EF"/>
    <w:pPr>
      <w:spacing w:before="0" w:after="0" w:line="240" w:lineRule="atLeast"/>
    </w:pPr>
    <w:rPr>
      <w:szCs w:val="18"/>
    </w:rPr>
  </w:style>
  <w:style w:type="paragraph" w:customStyle="1" w:styleId="Standard">
    <w:name w:val="Standard"/>
    <w:rsid w:val="009A35EF"/>
    <w:pPr>
      <w:widowControl w:val="0"/>
      <w:suppressAutoHyphens/>
      <w:autoSpaceDN w:val="0"/>
      <w:spacing w:line="240" w:lineRule="exact"/>
      <w:textAlignment w:val="baseline"/>
    </w:pPr>
    <w:rPr>
      <w:rFonts w:ascii="Verdana" w:eastAsia="DejaVu Sans" w:hAnsi="Verdana" w:cs="Lohit Hindi"/>
      <w:kern w:val="3"/>
      <w:sz w:val="18"/>
      <w:szCs w:val="24"/>
      <w:lang w:val="nl-NL" w:eastAsia="zh-CN" w:bidi="hi-IN"/>
    </w:rPr>
  </w:style>
  <w:style w:type="character" w:styleId="Nadruk">
    <w:name w:val="Emphasis"/>
    <w:basedOn w:val="Standaardalinea-lettertype"/>
    <w:uiPriority w:val="20"/>
    <w:qFormat/>
    <w:rsid w:val="009A35EF"/>
    <w:rPr>
      <w:i/>
      <w:iCs/>
    </w:rPr>
  </w:style>
  <w:style w:type="paragraph" w:customStyle="1" w:styleId="labeled">
    <w:name w:val="labeled"/>
    <w:basedOn w:val="Standaard"/>
    <w:rsid w:val="009A35EF"/>
    <w:pPr>
      <w:spacing w:before="100" w:beforeAutospacing="1" w:after="100" w:afterAutospacing="1" w:line="240" w:lineRule="auto"/>
    </w:pPr>
    <w:rPr>
      <w:rFonts w:ascii="Times New Roman" w:hAnsi="Times New Roman"/>
      <w:sz w:val="24"/>
      <w:lang w:eastAsia="nl-NL"/>
    </w:rPr>
  </w:style>
  <w:style w:type="character" w:customStyle="1" w:styleId="ol">
    <w:name w:val="ol"/>
    <w:basedOn w:val="Standaardalinea-lettertype"/>
    <w:rsid w:val="009A35EF"/>
  </w:style>
  <w:style w:type="character" w:customStyle="1" w:styleId="GeenafstandChar">
    <w:name w:val="Geen afstand Char"/>
    <w:basedOn w:val="Standaardalinea-lettertype"/>
    <w:link w:val="Geenafstand"/>
    <w:uiPriority w:val="1"/>
    <w:rsid w:val="009A35EF"/>
    <w:rPr>
      <w:rFonts w:ascii="Arial" w:hAnsi="Arial"/>
      <w:szCs w:val="24"/>
      <w:lang w:val="nl-NL" w:eastAsia="en-AU"/>
    </w:rPr>
  </w:style>
  <w:style w:type="paragraph" w:customStyle="1" w:styleId="Lijstalinea1">
    <w:name w:val="Lijstalinea1"/>
    <w:basedOn w:val="Standaard"/>
    <w:uiPriority w:val="99"/>
    <w:rsid w:val="009A35EF"/>
    <w:pPr>
      <w:spacing w:after="200" w:line="276" w:lineRule="auto"/>
      <w:ind w:left="720"/>
      <w:contextualSpacing/>
    </w:pPr>
    <w:rPr>
      <w:rFonts w:ascii="Calibri" w:hAnsi="Calibri"/>
      <w:sz w:val="22"/>
      <w:szCs w:val="22"/>
      <w:lang w:eastAsia="en-US"/>
    </w:rPr>
  </w:style>
  <w:style w:type="paragraph" w:customStyle="1" w:styleId="default0">
    <w:name w:val="default"/>
    <w:basedOn w:val="Standaard"/>
    <w:rsid w:val="009A35EF"/>
    <w:pPr>
      <w:autoSpaceDE w:val="0"/>
      <w:autoSpaceDN w:val="0"/>
      <w:spacing w:line="240" w:lineRule="auto"/>
    </w:pPr>
    <w:rPr>
      <w:rFonts w:eastAsiaTheme="minorHAnsi" w:cs="Arial"/>
      <w:color w:val="000000"/>
      <w:sz w:val="24"/>
      <w:lang w:val="en-US" w:eastAsia="en-US"/>
    </w:rPr>
  </w:style>
  <w:style w:type="paragraph" w:styleId="Voetnoottekst">
    <w:name w:val="footnote text"/>
    <w:aliases w:val="Char Char,Voetnoot tekst,Voetnoottekst Char1,Voetnoottekst Char2 Char,Voetnoottekst Char1 Char Char,Voetnoottekst Char3 Char Char Char,Voetnoottekst Char2 Char Char Char Char,Voetnoottekst Char1 Char Char Char Char Char,Voetnoottekst Char2"/>
    <w:basedOn w:val="Standaard"/>
    <w:link w:val="VoetnoottekstChar"/>
    <w:uiPriority w:val="99"/>
    <w:unhideWhenUsed/>
    <w:rsid w:val="009A35EF"/>
    <w:pPr>
      <w:spacing w:line="240" w:lineRule="auto"/>
    </w:pPr>
    <w:rPr>
      <w:rFonts w:ascii="Calibri" w:eastAsia="Calibri" w:hAnsi="Calibri"/>
      <w:szCs w:val="20"/>
      <w:lang w:eastAsia="en-US"/>
    </w:rPr>
  </w:style>
  <w:style w:type="character" w:customStyle="1" w:styleId="VoetnoottekstChar">
    <w:name w:val="Voetnoottekst Char"/>
    <w:aliases w:val="Char Char Char,Voetnoot tekst Char,Voetnoottekst Char1 Char,Voetnoottekst Char2 Char Char,Voetnoottekst Char1 Char Char Char,Voetnoottekst Char3 Char Char Char Char,Voetnoottekst Char2 Char Char Char Char Char"/>
    <w:basedOn w:val="Standaardalinea-lettertype"/>
    <w:link w:val="Voetnoottekst"/>
    <w:uiPriority w:val="99"/>
    <w:rsid w:val="009A35EF"/>
    <w:rPr>
      <w:rFonts w:ascii="Calibri" w:eastAsia="Calibri" w:hAnsi="Calibri"/>
      <w:lang w:val="nl-NL"/>
    </w:rPr>
  </w:style>
  <w:style w:type="paragraph" w:customStyle="1" w:styleId="Plattetekstmidden">
    <w:name w:val="Platte tekst (midden)"/>
    <w:uiPriority w:val="99"/>
    <w:rsid w:val="009A35EF"/>
    <w:pPr>
      <w:widowControl w:val="0"/>
      <w:autoSpaceDE w:val="0"/>
      <w:autoSpaceDN w:val="0"/>
      <w:adjustRightInd w:val="0"/>
      <w:spacing w:after="240"/>
      <w:jc w:val="center"/>
    </w:pPr>
    <w:rPr>
      <w:rFonts w:ascii="Arial" w:hAnsi="Arial" w:cs="Arial"/>
      <w:lang w:val="nl-NL" w:eastAsia="nl-NL"/>
    </w:rPr>
  </w:style>
  <w:style w:type="paragraph" w:customStyle="1" w:styleId="Paragraafineenlijstdiepte0">
    <w:name w:val="Paragraaf in een lijst (diepte 0)"/>
    <w:rsid w:val="009A35EF"/>
    <w:pPr>
      <w:widowControl w:val="0"/>
      <w:autoSpaceDE w:val="0"/>
      <w:autoSpaceDN w:val="0"/>
      <w:adjustRightInd w:val="0"/>
      <w:ind w:left="640"/>
    </w:pPr>
    <w:rPr>
      <w:rFonts w:ascii="Arial" w:hAnsi="Arial" w:cs="Arial"/>
      <w:lang w:val="nl-NL" w:eastAsia="nl-NL"/>
    </w:rPr>
  </w:style>
  <w:style w:type="character" w:customStyle="1" w:styleId="LijstalineaChar">
    <w:name w:val="Lijstalinea Char"/>
    <w:link w:val="Lijstalinea"/>
    <w:uiPriority w:val="34"/>
    <w:locked/>
    <w:rsid w:val="009A35EF"/>
    <w:rPr>
      <w:rFonts w:ascii="Arial" w:hAnsi="Arial"/>
      <w:szCs w:val="24"/>
      <w:lang w:val="nl-NL" w:eastAsia="en-AU"/>
    </w:rPr>
  </w:style>
  <w:style w:type="paragraph" w:customStyle="1" w:styleId="font5">
    <w:name w:val="font5"/>
    <w:basedOn w:val="Standaard"/>
    <w:rsid w:val="009A35EF"/>
    <w:pPr>
      <w:spacing w:before="100" w:beforeAutospacing="1" w:after="100" w:afterAutospacing="1" w:line="240" w:lineRule="auto"/>
    </w:pPr>
    <w:rPr>
      <w:rFonts w:ascii="Tahoma" w:hAnsi="Tahoma" w:cs="Tahoma"/>
      <w:color w:val="000000"/>
      <w:sz w:val="18"/>
      <w:szCs w:val="18"/>
      <w:lang w:val="en-GB" w:eastAsia="en-GB"/>
    </w:rPr>
  </w:style>
  <w:style w:type="paragraph" w:customStyle="1" w:styleId="font6">
    <w:name w:val="font6"/>
    <w:basedOn w:val="Standaard"/>
    <w:rsid w:val="009A35EF"/>
    <w:pPr>
      <w:spacing w:before="100" w:beforeAutospacing="1" w:after="100" w:afterAutospacing="1" w:line="240" w:lineRule="auto"/>
    </w:pPr>
    <w:rPr>
      <w:rFonts w:ascii="Tahoma" w:hAnsi="Tahoma" w:cs="Tahoma"/>
      <w:b/>
      <w:bCs/>
      <w:color w:val="000000"/>
      <w:sz w:val="18"/>
      <w:szCs w:val="18"/>
      <w:lang w:val="en-GB" w:eastAsia="en-GB"/>
    </w:rPr>
  </w:style>
  <w:style w:type="paragraph" w:customStyle="1" w:styleId="xl63">
    <w:name w:val="xl63"/>
    <w:basedOn w:val="Standaard"/>
    <w:rsid w:val="009A35EF"/>
    <w:pPr>
      <w:pBdr>
        <w:top w:val="single" w:sz="8" w:space="0" w:color="auto"/>
        <w:left w:val="single" w:sz="8" w:space="0" w:color="auto"/>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4">
    <w:name w:val="xl64"/>
    <w:basedOn w:val="Standaard"/>
    <w:rsid w:val="009A35EF"/>
    <w:pPr>
      <w:pBdr>
        <w:top w:val="single" w:sz="8" w:space="0" w:color="auto"/>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5">
    <w:name w:val="xl65"/>
    <w:basedOn w:val="Standaard"/>
    <w:rsid w:val="009A35EF"/>
    <w:pPr>
      <w:pBdr>
        <w:top w:val="single" w:sz="8" w:space="0" w:color="auto"/>
        <w:left w:val="single" w:sz="4" w:space="0" w:color="D9D9D9"/>
        <w:bottom w:val="single" w:sz="4" w:space="0" w:color="D9D9D9"/>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6">
    <w:name w:val="xl66"/>
    <w:basedOn w:val="Standaard"/>
    <w:rsid w:val="009A35EF"/>
    <w:pPr>
      <w:pBdr>
        <w:top w:val="single" w:sz="4" w:space="0" w:color="D9D9D9"/>
        <w:left w:val="single" w:sz="8" w:space="0" w:color="auto"/>
        <w:bottom w:val="single" w:sz="8" w:space="0" w:color="auto"/>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7">
    <w:name w:val="xl67"/>
    <w:basedOn w:val="Standaard"/>
    <w:rsid w:val="009A35EF"/>
    <w:pPr>
      <w:pBdr>
        <w:top w:val="single" w:sz="4" w:space="0" w:color="D9D9D9"/>
        <w:left w:val="single" w:sz="4" w:space="0" w:color="D9D9D9"/>
        <w:bottom w:val="single" w:sz="8" w:space="0" w:color="auto"/>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8">
    <w:name w:val="xl68"/>
    <w:basedOn w:val="Standaard"/>
    <w:rsid w:val="009A35EF"/>
    <w:pPr>
      <w:pBdr>
        <w:top w:val="single" w:sz="4" w:space="0" w:color="D9D9D9"/>
        <w:left w:val="single" w:sz="4" w:space="0" w:color="D9D9D9"/>
        <w:bottom w:val="single" w:sz="8" w:space="0" w:color="auto"/>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9">
    <w:name w:val="xl69"/>
    <w:basedOn w:val="Standaard"/>
    <w:rsid w:val="009A35EF"/>
    <w:pPr>
      <w:pBdr>
        <w:top w:val="single" w:sz="4" w:space="0" w:color="D9D9D9"/>
        <w:left w:val="single" w:sz="8" w:space="0" w:color="auto"/>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0">
    <w:name w:val="xl70"/>
    <w:basedOn w:val="Standaard"/>
    <w:rsid w:val="009A35E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1">
    <w:name w:val="xl71"/>
    <w:basedOn w:val="Standaard"/>
    <w:rsid w:val="009A35EF"/>
    <w:pP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2">
    <w:name w:val="xl72"/>
    <w:basedOn w:val="Standaard"/>
    <w:rsid w:val="009A35EF"/>
    <w:pP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3">
    <w:name w:val="xl73"/>
    <w:basedOn w:val="Standaard"/>
    <w:rsid w:val="009A35EF"/>
    <w:pP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4">
    <w:name w:val="xl74"/>
    <w:basedOn w:val="Standaard"/>
    <w:rsid w:val="009A35EF"/>
    <w:pPr>
      <w:pBdr>
        <w:top w:val="single" w:sz="4" w:space="0" w:color="D9D9D9"/>
        <w:left w:val="single" w:sz="4" w:space="0" w:color="D9D9D9"/>
        <w:bottom w:val="single" w:sz="4" w:space="0" w:color="D9D9D9"/>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5">
    <w:name w:val="xl75"/>
    <w:basedOn w:val="Standaard"/>
    <w:rsid w:val="009A35EF"/>
    <w:pPr>
      <w:pBdr>
        <w:top w:val="single" w:sz="4" w:space="0" w:color="D9D9D9"/>
        <w:left w:val="single" w:sz="4" w:space="0" w:color="D9D9D9"/>
        <w:bottom w:val="single" w:sz="4" w:space="0" w:color="D9D9D9"/>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6">
    <w:name w:val="xl76"/>
    <w:basedOn w:val="Standaard"/>
    <w:rsid w:val="009A35EF"/>
    <w:pPr>
      <w:pBdr>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7">
    <w:name w:val="xl77"/>
    <w:basedOn w:val="Standaard"/>
    <w:rsid w:val="009A35EF"/>
    <w:pPr>
      <w:pBdr>
        <w:top w:val="single" w:sz="4" w:space="0" w:color="D9D9D9"/>
        <w:left w:val="single" w:sz="4" w:space="0" w:color="D9D9D9"/>
        <w:bottom w:val="single" w:sz="8" w:space="0" w:color="auto"/>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8">
    <w:name w:val="xl78"/>
    <w:basedOn w:val="Standaard"/>
    <w:rsid w:val="009A35E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top"/>
    </w:pPr>
    <w:rPr>
      <w:rFonts w:ascii="Helvetica" w:hAnsi="Helvetica" w:cs="Helvetica"/>
      <w:sz w:val="18"/>
      <w:szCs w:val="18"/>
      <w:lang w:val="en-GB" w:eastAsia="en-GB"/>
    </w:rPr>
  </w:style>
  <w:style w:type="paragraph" w:customStyle="1" w:styleId="xl79">
    <w:name w:val="xl79"/>
    <w:basedOn w:val="Standaard"/>
    <w:rsid w:val="009A35EF"/>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0">
    <w:name w:val="xl80"/>
    <w:basedOn w:val="Standaard"/>
    <w:rsid w:val="009A35EF"/>
    <w:pPr>
      <w:spacing w:before="100" w:beforeAutospacing="1" w:after="100" w:afterAutospacing="1" w:line="240" w:lineRule="auto"/>
      <w:textAlignment w:val="top"/>
    </w:pPr>
    <w:rPr>
      <w:rFonts w:ascii="Times New Roman" w:hAnsi="Times New Roman"/>
      <w:b/>
      <w:bCs/>
      <w:sz w:val="40"/>
      <w:szCs w:val="40"/>
      <w:lang w:val="en-GB" w:eastAsia="en-GB"/>
    </w:rPr>
  </w:style>
  <w:style w:type="paragraph" w:customStyle="1" w:styleId="xl81">
    <w:name w:val="xl81"/>
    <w:basedOn w:val="Standaard"/>
    <w:rsid w:val="009A35EF"/>
    <w:pPr>
      <w:pBdr>
        <w:top w:val="single" w:sz="4" w:space="0" w:color="D9D9D9"/>
        <w:left w:val="single" w:sz="8" w:space="0" w:color="auto"/>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2">
    <w:name w:val="xl82"/>
    <w:basedOn w:val="Standaard"/>
    <w:rsid w:val="009A35EF"/>
    <w:pPr>
      <w:pBdr>
        <w:top w:val="single" w:sz="4" w:space="0" w:color="D9D9D9"/>
        <w:left w:val="single" w:sz="4" w:space="0" w:color="BFBFBF"/>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3">
    <w:name w:val="xl83"/>
    <w:basedOn w:val="Standaard"/>
    <w:rsid w:val="009A35EF"/>
    <w:pPr>
      <w:pBdr>
        <w:top w:val="single" w:sz="4" w:space="0" w:color="D9D9D9"/>
        <w:left w:val="single" w:sz="4" w:space="0" w:color="BFBFBF"/>
        <w:bottom w:val="single" w:sz="4" w:space="0" w:color="BFBFBF"/>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4">
    <w:name w:val="xl84"/>
    <w:basedOn w:val="Standaard"/>
    <w:rsid w:val="009A35EF"/>
    <w:pPr>
      <w:pBdr>
        <w:top w:val="single" w:sz="4" w:space="0" w:color="BFBFBF"/>
        <w:left w:val="single" w:sz="8" w:space="0" w:color="auto"/>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5">
    <w:name w:val="xl85"/>
    <w:basedOn w:val="Standaard"/>
    <w:rsid w:val="009A35EF"/>
    <w:pPr>
      <w:pBdr>
        <w:top w:val="single" w:sz="4" w:space="0" w:color="BFBFBF"/>
        <w:left w:val="single" w:sz="4" w:space="0" w:color="BFBFBF"/>
        <w:bottom w:val="single" w:sz="4" w:space="0" w:color="BFBFBF"/>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6">
    <w:name w:val="xl86"/>
    <w:basedOn w:val="Standaard"/>
    <w:rsid w:val="009A35EF"/>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ascii="Helvetica" w:hAnsi="Helvetica" w:cs="Helvetica"/>
      <w:sz w:val="18"/>
      <w:szCs w:val="18"/>
      <w:lang w:val="en-GB" w:eastAsia="en-GB"/>
    </w:rPr>
  </w:style>
  <w:style w:type="paragraph" w:customStyle="1" w:styleId="xl87">
    <w:name w:val="xl87"/>
    <w:basedOn w:val="Standaard"/>
    <w:rsid w:val="009A35EF"/>
    <w:pPr>
      <w:pBdr>
        <w:top w:val="single" w:sz="4" w:space="0" w:color="BFBFBF"/>
        <w:left w:val="single" w:sz="8" w:space="0" w:color="auto"/>
        <w:bottom w:val="single" w:sz="8" w:space="0" w:color="auto"/>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8">
    <w:name w:val="xl88"/>
    <w:basedOn w:val="Standaard"/>
    <w:rsid w:val="009A35EF"/>
    <w:pPr>
      <w:pBdr>
        <w:top w:val="single" w:sz="4" w:space="0" w:color="BFBFBF"/>
        <w:left w:val="single" w:sz="4" w:space="0" w:color="BFBFBF"/>
        <w:bottom w:val="single" w:sz="8" w:space="0" w:color="auto"/>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9">
    <w:name w:val="xl89"/>
    <w:basedOn w:val="Standaard"/>
    <w:rsid w:val="009A35EF"/>
    <w:pPr>
      <w:pBdr>
        <w:top w:val="single" w:sz="4" w:space="0" w:color="BFBFBF"/>
        <w:left w:val="single" w:sz="4" w:space="0" w:color="BFBFBF"/>
        <w:bottom w:val="single" w:sz="8" w:space="0" w:color="auto"/>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90">
    <w:name w:val="xl90"/>
    <w:basedOn w:val="Standaard"/>
    <w:rsid w:val="009A35E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91">
    <w:name w:val="xl91"/>
    <w:basedOn w:val="Standaard"/>
    <w:rsid w:val="009A35EF"/>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92">
    <w:name w:val="xl92"/>
    <w:basedOn w:val="Standaard"/>
    <w:rsid w:val="009A35EF"/>
    <w:pPr>
      <w:spacing w:before="100" w:beforeAutospacing="1" w:after="100" w:afterAutospacing="1" w:line="240" w:lineRule="auto"/>
      <w:textAlignment w:val="top"/>
    </w:pPr>
    <w:rPr>
      <w:rFonts w:ascii="Times New Roman" w:hAnsi="Times New Roman"/>
      <w:sz w:val="18"/>
      <w:szCs w:val="18"/>
      <w:lang w:val="en-GB" w:eastAsia="en-GB"/>
    </w:rPr>
  </w:style>
  <w:style w:type="character" w:styleId="Zwaar">
    <w:name w:val="Strong"/>
    <w:basedOn w:val="Standaardalinea-lettertype"/>
    <w:uiPriority w:val="22"/>
    <w:qFormat/>
    <w:rsid w:val="009A35EF"/>
    <w:rPr>
      <w:b/>
      <w:bCs/>
    </w:rPr>
  </w:style>
  <w:style w:type="paragraph" w:styleId="Normaalweb">
    <w:name w:val="Normal (Web)"/>
    <w:basedOn w:val="Standaard"/>
    <w:uiPriority w:val="99"/>
    <w:unhideWhenUsed/>
    <w:rsid w:val="009A35EF"/>
    <w:pPr>
      <w:spacing w:before="100" w:beforeAutospacing="1" w:after="100" w:afterAutospacing="1" w:line="240" w:lineRule="auto"/>
    </w:pPr>
    <w:rPr>
      <w:rFonts w:ascii="Times New Roman" w:eastAsiaTheme="minorEastAsia" w:hAnsi="Times New Roman"/>
      <w:sz w:val="24"/>
      <w:lang w:eastAsia="nl-NL"/>
    </w:rPr>
  </w:style>
  <w:style w:type="numbering" w:customStyle="1" w:styleId="Geenlijst1">
    <w:name w:val="Geen lijst1"/>
    <w:next w:val="Geenlijst"/>
    <w:uiPriority w:val="99"/>
    <w:semiHidden/>
    <w:unhideWhenUsed/>
    <w:rsid w:val="009A35EF"/>
  </w:style>
  <w:style w:type="paragraph" w:styleId="Bijschrift">
    <w:name w:val="caption"/>
    <w:basedOn w:val="Standaard"/>
    <w:next w:val="Standaard"/>
    <w:uiPriority w:val="35"/>
    <w:unhideWhenUsed/>
    <w:qFormat/>
    <w:rsid w:val="009A35EF"/>
    <w:pPr>
      <w:spacing w:line="240" w:lineRule="auto"/>
      <w:ind w:firstLine="360"/>
    </w:pPr>
    <w:rPr>
      <w:rFonts w:asciiTheme="minorHAnsi" w:eastAsiaTheme="minorHAnsi" w:hAnsiTheme="minorHAnsi" w:cstheme="minorBidi"/>
      <w:b/>
      <w:bCs/>
      <w:sz w:val="18"/>
      <w:szCs w:val="18"/>
      <w:lang w:val="en-US" w:eastAsia="en-US" w:bidi="en-US"/>
    </w:rPr>
  </w:style>
  <w:style w:type="paragraph" w:styleId="Citaat">
    <w:name w:val="Quote"/>
    <w:basedOn w:val="Standaard"/>
    <w:next w:val="Standaard"/>
    <w:link w:val="CitaatChar"/>
    <w:uiPriority w:val="29"/>
    <w:qFormat/>
    <w:rsid w:val="009A35EF"/>
    <w:pPr>
      <w:spacing w:line="240" w:lineRule="auto"/>
      <w:ind w:firstLine="360"/>
    </w:pPr>
    <w:rPr>
      <w:rFonts w:asciiTheme="majorHAnsi" w:eastAsiaTheme="majorEastAsia" w:hAnsiTheme="majorHAnsi" w:cstheme="majorBidi"/>
      <w:i/>
      <w:iCs/>
      <w:color w:val="5A5A5A" w:themeColor="text1" w:themeTint="A5"/>
      <w:sz w:val="22"/>
      <w:szCs w:val="22"/>
      <w:lang w:val="en-US" w:eastAsia="en-US" w:bidi="en-US"/>
    </w:rPr>
  </w:style>
  <w:style w:type="character" w:customStyle="1" w:styleId="CitaatChar">
    <w:name w:val="Citaat Char"/>
    <w:basedOn w:val="Standaardalinea-lettertype"/>
    <w:link w:val="Citaat"/>
    <w:uiPriority w:val="29"/>
    <w:rsid w:val="009A35EF"/>
    <w:rPr>
      <w:rFonts w:asciiTheme="majorHAnsi" w:eastAsiaTheme="majorEastAsia" w:hAnsiTheme="majorHAnsi" w:cstheme="majorBidi"/>
      <w:i/>
      <w:iCs/>
      <w:color w:val="5A5A5A" w:themeColor="text1" w:themeTint="A5"/>
      <w:sz w:val="22"/>
      <w:szCs w:val="22"/>
      <w:lang w:bidi="en-US"/>
    </w:rPr>
  </w:style>
  <w:style w:type="paragraph" w:styleId="Duidelijkcitaat">
    <w:name w:val="Intense Quote"/>
    <w:basedOn w:val="Standaard"/>
    <w:next w:val="Standaard"/>
    <w:link w:val="DuidelijkcitaatChar"/>
    <w:uiPriority w:val="30"/>
    <w:qFormat/>
    <w:rsid w:val="009A35E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lang w:val="en-US" w:eastAsia="en-US" w:bidi="en-US"/>
    </w:rPr>
  </w:style>
  <w:style w:type="character" w:customStyle="1" w:styleId="DuidelijkcitaatChar">
    <w:name w:val="Duidelijk citaat Char"/>
    <w:basedOn w:val="Standaardalinea-lettertype"/>
    <w:link w:val="Duidelijkcitaat"/>
    <w:uiPriority w:val="30"/>
    <w:rsid w:val="009A35EF"/>
    <w:rPr>
      <w:rFonts w:asciiTheme="majorHAnsi" w:eastAsiaTheme="majorEastAsia" w:hAnsiTheme="majorHAnsi" w:cstheme="majorBidi"/>
      <w:i/>
      <w:iCs/>
      <w:color w:val="FFFFFF" w:themeColor="background1"/>
      <w:sz w:val="24"/>
      <w:szCs w:val="24"/>
      <w:shd w:val="clear" w:color="auto" w:fill="4F81BD" w:themeFill="accent1"/>
      <w:lang w:bidi="en-US"/>
    </w:rPr>
  </w:style>
  <w:style w:type="character" w:styleId="Subtielebenadrukking">
    <w:name w:val="Subtle Emphasis"/>
    <w:uiPriority w:val="19"/>
    <w:qFormat/>
    <w:rsid w:val="009A35EF"/>
    <w:rPr>
      <w:i/>
      <w:iCs/>
      <w:color w:val="5A5A5A" w:themeColor="text1" w:themeTint="A5"/>
    </w:rPr>
  </w:style>
  <w:style w:type="character" w:styleId="Intensievebenadrukking">
    <w:name w:val="Intense Emphasis"/>
    <w:uiPriority w:val="21"/>
    <w:qFormat/>
    <w:rsid w:val="009A35EF"/>
    <w:rPr>
      <w:b/>
      <w:bCs/>
      <w:i/>
      <w:iCs/>
      <w:color w:val="4F81BD" w:themeColor="accent1"/>
      <w:sz w:val="22"/>
      <w:szCs w:val="22"/>
    </w:rPr>
  </w:style>
  <w:style w:type="character" w:styleId="Subtieleverwijzing">
    <w:name w:val="Subtle Reference"/>
    <w:uiPriority w:val="31"/>
    <w:qFormat/>
    <w:rsid w:val="009A35EF"/>
    <w:rPr>
      <w:color w:val="auto"/>
      <w:u w:val="single" w:color="9BBB59" w:themeColor="accent3"/>
    </w:rPr>
  </w:style>
  <w:style w:type="character" w:styleId="Intensieveverwijzing">
    <w:name w:val="Intense Reference"/>
    <w:basedOn w:val="Standaardalinea-lettertype"/>
    <w:uiPriority w:val="32"/>
    <w:qFormat/>
    <w:rsid w:val="009A35EF"/>
    <w:rPr>
      <w:b/>
      <w:bCs/>
      <w:color w:val="76923C" w:themeColor="accent3" w:themeShade="BF"/>
      <w:u w:val="single" w:color="9BBB59" w:themeColor="accent3"/>
    </w:rPr>
  </w:style>
  <w:style w:type="character" w:styleId="Titelvanboek">
    <w:name w:val="Book Title"/>
    <w:basedOn w:val="Standaardalinea-lettertype"/>
    <w:uiPriority w:val="33"/>
    <w:qFormat/>
    <w:rsid w:val="009A35EF"/>
    <w:rPr>
      <w:rFonts w:asciiTheme="majorHAnsi" w:eastAsiaTheme="majorEastAsia" w:hAnsiTheme="majorHAnsi" w:cstheme="majorBidi"/>
      <w:b/>
      <w:bCs/>
      <w:i/>
      <w:iCs/>
      <w:color w:val="auto"/>
    </w:rPr>
  </w:style>
  <w:style w:type="paragraph" w:styleId="Inhopg1">
    <w:name w:val="toc 1"/>
    <w:basedOn w:val="Standaard"/>
    <w:next w:val="Standaard"/>
    <w:autoRedefine/>
    <w:uiPriority w:val="39"/>
    <w:unhideWhenUsed/>
    <w:rsid w:val="009A35EF"/>
    <w:pPr>
      <w:spacing w:after="100" w:line="276" w:lineRule="auto"/>
    </w:pPr>
    <w:rPr>
      <w:rFonts w:asciiTheme="minorHAnsi" w:eastAsiaTheme="minorEastAsia" w:hAnsiTheme="minorHAnsi" w:cstheme="minorBidi"/>
      <w:sz w:val="22"/>
      <w:szCs w:val="22"/>
      <w:lang w:eastAsia="nl-NL"/>
    </w:rPr>
  </w:style>
  <w:style w:type="paragraph" w:styleId="Inhopg2">
    <w:name w:val="toc 2"/>
    <w:basedOn w:val="Standaard"/>
    <w:next w:val="Standaard"/>
    <w:autoRedefine/>
    <w:uiPriority w:val="39"/>
    <w:unhideWhenUsed/>
    <w:rsid w:val="009A35EF"/>
    <w:pPr>
      <w:spacing w:after="100" w:line="276" w:lineRule="auto"/>
      <w:ind w:left="220"/>
    </w:pPr>
    <w:rPr>
      <w:rFonts w:asciiTheme="minorHAnsi" w:eastAsiaTheme="minorEastAsia" w:hAnsiTheme="minorHAnsi" w:cstheme="minorBidi"/>
      <w:sz w:val="22"/>
      <w:szCs w:val="22"/>
      <w:lang w:eastAsia="nl-NL"/>
    </w:rPr>
  </w:style>
  <w:style w:type="paragraph" w:styleId="Inhopg3">
    <w:name w:val="toc 3"/>
    <w:basedOn w:val="Standaard"/>
    <w:next w:val="Standaard"/>
    <w:autoRedefine/>
    <w:uiPriority w:val="39"/>
    <w:unhideWhenUsed/>
    <w:rsid w:val="009A35EF"/>
    <w:pPr>
      <w:spacing w:after="100" w:line="276" w:lineRule="auto"/>
      <w:ind w:left="440"/>
    </w:pPr>
    <w:rPr>
      <w:rFonts w:asciiTheme="minorHAnsi" w:eastAsiaTheme="minorEastAsia" w:hAnsiTheme="minorHAnsi" w:cstheme="minorBidi"/>
      <w:sz w:val="22"/>
      <w:szCs w:val="22"/>
      <w:lang w:eastAsia="nl-NL"/>
    </w:rPr>
  </w:style>
  <w:style w:type="paragraph" w:styleId="Inhopg4">
    <w:name w:val="toc 4"/>
    <w:basedOn w:val="Standaard"/>
    <w:next w:val="Standaard"/>
    <w:uiPriority w:val="39"/>
    <w:rsid w:val="009A35EF"/>
    <w:pPr>
      <w:tabs>
        <w:tab w:val="right" w:leader="dot" w:pos="7371"/>
      </w:tabs>
      <w:spacing w:line="280" w:lineRule="exact"/>
      <w:ind w:left="660"/>
    </w:pPr>
    <w:rPr>
      <w:rFonts w:ascii="Times New Roman" w:hAnsi="Times New Roman"/>
      <w:sz w:val="18"/>
      <w:szCs w:val="20"/>
      <w:lang w:val="nl" w:eastAsia="en-US"/>
    </w:rPr>
  </w:style>
  <w:style w:type="paragraph" w:customStyle="1" w:styleId="NormalA">
    <w:name w:val="Normal A"/>
    <w:basedOn w:val="Standaard"/>
    <w:rsid w:val="009A35EF"/>
    <w:pPr>
      <w:spacing w:line="240" w:lineRule="auto"/>
    </w:pPr>
    <w:rPr>
      <w:rFonts w:ascii="Helvetica" w:hAnsi="Helvetica"/>
      <w:i/>
      <w:szCs w:val="20"/>
      <w:lang w:val="nl" w:eastAsia="en-US"/>
    </w:rPr>
  </w:style>
  <w:style w:type="paragraph" w:customStyle="1" w:styleId="References">
    <w:name w:val="References"/>
    <w:basedOn w:val="Standaard"/>
    <w:rsid w:val="009A35EF"/>
    <w:pPr>
      <w:spacing w:line="280" w:lineRule="exact"/>
      <w:ind w:left="1080" w:hanging="1080"/>
    </w:pPr>
    <w:rPr>
      <w:rFonts w:ascii="Times New Roman" w:hAnsi="Times New Roman"/>
      <w:sz w:val="22"/>
      <w:szCs w:val="20"/>
      <w:lang w:val="nl" w:eastAsia="en-US"/>
    </w:rPr>
  </w:style>
  <w:style w:type="paragraph" w:customStyle="1" w:styleId="Head1noTOC">
    <w:name w:val="Head1noTOC"/>
    <w:basedOn w:val="Kop1"/>
    <w:next w:val="Standaard"/>
    <w:rsid w:val="009A35EF"/>
    <w:pPr>
      <w:keepLines/>
      <w:tabs>
        <w:tab w:val="left" w:pos="851"/>
      </w:tabs>
      <w:spacing w:before="0" w:after="500" w:line="240" w:lineRule="auto"/>
      <w:outlineLvl w:val="9"/>
    </w:pPr>
    <w:rPr>
      <w:rFonts w:ascii="Times New Roman" w:eastAsia="Times New Roman" w:hAnsi="Times New Roman"/>
      <w:bCs w:val="0"/>
      <w:kern w:val="28"/>
      <w:sz w:val="28"/>
      <w:szCs w:val="20"/>
      <w:lang w:val="nl" w:eastAsia="en-US"/>
    </w:rPr>
  </w:style>
  <w:style w:type="paragraph" w:customStyle="1" w:styleId="NormalB">
    <w:name w:val="Normal B"/>
    <w:basedOn w:val="NormalA"/>
    <w:rsid w:val="009A35EF"/>
    <w:rPr>
      <w:b/>
      <w:i w:val="0"/>
      <w:sz w:val="14"/>
    </w:rPr>
  </w:style>
  <w:style w:type="paragraph" w:customStyle="1" w:styleId="NormalC">
    <w:name w:val="Normal C"/>
    <w:basedOn w:val="NormalA"/>
    <w:rsid w:val="009A35EF"/>
    <w:rPr>
      <w:i w:val="0"/>
      <w:sz w:val="14"/>
    </w:rPr>
  </w:style>
  <w:style w:type="paragraph" w:styleId="Kopbronvermelding">
    <w:name w:val="toa heading"/>
    <w:basedOn w:val="Standaard"/>
    <w:next w:val="Standaard"/>
    <w:uiPriority w:val="99"/>
    <w:semiHidden/>
    <w:rsid w:val="009A35EF"/>
    <w:pPr>
      <w:spacing w:before="120" w:line="280" w:lineRule="exact"/>
    </w:pPr>
    <w:rPr>
      <w:b/>
      <w:sz w:val="24"/>
      <w:szCs w:val="20"/>
      <w:lang w:val="nl" w:eastAsia="en-US"/>
    </w:rPr>
  </w:style>
  <w:style w:type="paragraph" w:styleId="Lijst5">
    <w:name w:val="List 5"/>
    <w:basedOn w:val="Standaard"/>
    <w:uiPriority w:val="99"/>
    <w:rsid w:val="009A35EF"/>
    <w:pPr>
      <w:spacing w:line="280" w:lineRule="exact"/>
      <w:ind w:left="1415" w:hanging="283"/>
    </w:pPr>
    <w:rPr>
      <w:rFonts w:ascii="Times New Roman" w:hAnsi="Times New Roman"/>
      <w:sz w:val="22"/>
      <w:szCs w:val="20"/>
      <w:lang w:val="nl" w:eastAsia="en-US"/>
    </w:rPr>
  </w:style>
  <w:style w:type="paragraph" w:styleId="Inhopg5">
    <w:name w:val="toc 5"/>
    <w:basedOn w:val="Standaard"/>
    <w:next w:val="Standaard"/>
    <w:uiPriority w:val="39"/>
    <w:rsid w:val="009A35EF"/>
    <w:pPr>
      <w:tabs>
        <w:tab w:val="right" w:leader="dot" w:pos="7371"/>
      </w:tabs>
      <w:spacing w:line="280" w:lineRule="exact"/>
      <w:ind w:left="880"/>
    </w:pPr>
    <w:rPr>
      <w:rFonts w:ascii="Times New Roman" w:hAnsi="Times New Roman"/>
      <w:sz w:val="18"/>
      <w:szCs w:val="20"/>
      <w:lang w:val="nl" w:eastAsia="en-US"/>
    </w:rPr>
  </w:style>
  <w:style w:type="paragraph" w:customStyle="1" w:styleId="NormalD">
    <w:name w:val="Normal D"/>
    <w:basedOn w:val="NormalA"/>
    <w:rsid w:val="009A35EF"/>
    <w:rPr>
      <w:sz w:val="14"/>
    </w:rPr>
  </w:style>
  <w:style w:type="paragraph" w:customStyle="1" w:styleId="NormalE">
    <w:name w:val="Normal E"/>
    <w:basedOn w:val="NormalA"/>
    <w:rsid w:val="009A35EF"/>
    <w:rPr>
      <w:i w:val="0"/>
      <w:sz w:val="12"/>
    </w:rPr>
  </w:style>
  <w:style w:type="paragraph" w:customStyle="1" w:styleId="Bijlagen">
    <w:name w:val="Bijlagen"/>
    <w:basedOn w:val="Kop1"/>
    <w:next w:val="Standaard"/>
    <w:rsid w:val="009A35EF"/>
    <w:pPr>
      <w:keepLines/>
      <w:tabs>
        <w:tab w:val="left" w:pos="851"/>
      </w:tabs>
      <w:spacing w:before="0" w:after="500" w:line="240" w:lineRule="auto"/>
      <w:ind w:left="1701" w:hanging="1701"/>
      <w:outlineLvl w:val="9"/>
    </w:pPr>
    <w:rPr>
      <w:rFonts w:ascii="Times New Roman" w:eastAsia="Times New Roman" w:hAnsi="Times New Roman"/>
      <w:bCs w:val="0"/>
      <w:kern w:val="28"/>
      <w:sz w:val="28"/>
      <w:szCs w:val="20"/>
      <w:lang w:val="nl" w:eastAsia="en-US"/>
    </w:rPr>
  </w:style>
  <w:style w:type="paragraph" w:customStyle="1" w:styleId="Bijlagen2">
    <w:name w:val="Bijlagen 2"/>
    <w:basedOn w:val="Kop2"/>
    <w:next w:val="Standaard"/>
    <w:rsid w:val="009A35EF"/>
    <w:pPr>
      <w:keepLines/>
      <w:tabs>
        <w:tab w:val="left" w:pos="851"/>
      </w:tabs>
      <w:spacing w:before="560" w:after="260" w:line="300" w:lineRule="exact"/>
      <w:outlineLvl w:val="9"/>
    </w:pPr>
    <w:rPr>
      <w:rFonts w:ascii="Times New Roman" w:eastAsia="Times New Roman" w:hAnsi="Times New Roman"/>
      <w:bCs w:val="0"/>
      <w:i w:val="0"/>
      <w:iCs w:val="0"/>
      <w:sz w:val="24"/>
      <w:szCs w:val="20"/>
      <w:lang w:val="nl" w:eastAsia="en-US"/>
    </w:rPr>
  </w:style>
  <w:style w:type="paragraph" w:styleId="Inhopg6">
    <w:name w:val="toc 6"/>
    <w:basedOn w:val="Standaard"/>
    <w:next w:val="Standaard"/>
    <w:uiPriority w:val="39"/>
    <w:rsid w:val="009A35EF"/>
    <w:pPr>
      <w:tabs>
        <w:tab w:val="right" w:leader="dot" w:pos="7371"/>
      </w:tabs>
      <w:spacing w:line="280" w:lineRule="exact"/>
      <w:ind w:left="1100"/>
    </w:pPr>
    <w:rPr>
      <w:rFonts w:ascii="Times New Roman" w:hAnsi="Times New Roman"/>
      <w:sz w:val="18"/>
      <w:szCs w:val="20"/>
      <w:lang w:val="nl" w:eastAsia="en-US"/>
    </w:rPr>
  </w:style>
  <w:style w:type="paragraph" w:styleId="Inhopg7">
    <w:name w:val="toc 7"/>
    <w:basedOn w:val="Standaard"/>
    <w:next w:val="Standaard"/>
    <w:uiPriority w:val="39"/>
    <w:rsid w:val="009A35EF"/>
    <w:pPr>
      <w:tabs>
        <w:tab w:val="right" w:leader="dot" w:pos="7371"/>
      </w:tabs>
      <w:spacing w:line="280" w:lineRule="exact"/>
      <w:ind w:left="1320"/>
    </w:pPr>
    <w:rPr>
      <w:rFonts w:ascii="Times New Roman" w:hAnsi="Times New Roman"/>
      <w:sz w:val="18"/>
      <w:szCs w:val="20"/>
      <w:lang w:val="nl" w:eastAsia="en-US"/>
    </w:rPr>
  </w:style>
  <w:style w:type="paragraph" w:styleId="Inhopg8">
    <w:name w:val="toc 8"/>
    <w:basedOn w:val="Standaard"/>
    <w:next w:val="Standaard"/>
    <w:uiPriority w:val="39"/>
    <w:rsid w:val="009A35EF"/>
    <w:pPr>
      <w:tabs>
        <w:tab w:val="right" w:leader="dot" w:pos="7371"/>
      </w:tabs>
      <w:spacing w:line="280" w:lineRule="exact"/>
      <w:ind w:left="1540"/>
    </w:pPr>
    <w:rPr>
      <w:rFonts w:ascii="Times New Roman" w:hAnsi="Times New Roman"/>
      <w:sz w:val="18"/>
      <w:szCs w:val="20"/>
      <w:lang w:val="nl" w:eastAsia="en-US"/>
    </w:rPr>
  </w:style>
  <w:style w:type="paragraph" w:styleId="Inhopg9">
    <w:name w:val="toc 9"/>
    <w:basedOn w:val="Standaard"/>
    <w:next w:val="Standaard"/>
    <w:uiPriority w:val="39"/>
    <w:rsid w:val="009A35EF"/>
    <w:pPr>
      <w:tabs>
        <w:tab w:val="right" w:leader="dot" w:pos="7371"/>
      </w:tabs>
      <w:spacing w:line="280" w:lineRule="exact"/>
      <w:ind w:left="1760"/>
    </w:pPr>
    <w:rPr>
      <w:rFonts w:ascii="Times New Roman" w:hAnsi="Times New Roman"/>
      <w:sz w:val="18"/>
      <w:szCs w:val="20"/>
      <w:lang w:val="nl" w:eastAsia="en-US"/>
    </w:rPr>
  </w:style>
  <w:style w:type="character" w:customStyle="1" w:styleId="EquationCaption">
    <w:name w:val="_Equation Caption"/>
    <w:rsid w:val="009A35EF"/>
    <w:rPr>
      <w:b/>
    </w:rPr>
  </w:style>
  <w:style w:type="paragraph" w:customStyle="1" w:styleId="N3">
    <w:name w:val="N3"/>
    <w:rsid w:val="009A35EF"/>
    <w:pPr>
      <w:widowControl w:val="0"/>
      <w:tabs>
        <w:tab w:val="left" w:pos="1677"/>
      </w:tabs>
      <w:suppressAutoHyphens/>
      <w:ind w:left="1677" w:hanging="1677"/>
    </w:pPr>
    <w:rPr>
      <w:rFonts w:ascii="Helvetica" w:hAnsi="Helvetica"/>
      <w:b/>
      <w:sz w:val="21"/>
    </w:rPr>
  </w:style>
  <w:style w:type="paragraph" w:customStyle="1" w:styleId="bijschrift0">
    <w:name w:val="bijschrift"/>
    <w:basedOn w:val="Standaard"/>
    <w:rsid w:val="009A35EF"/>
    <w:pPr>
      <w:widowControl w:val="0"/>
      <w:spacing w:line="240" w:lineRule="auto"/>
    </w:pPr>
    <w:rPr>
      <w:rFonts w:ascii="Helvetica" w:hAnsi="Helvetica"/>
      <w:sz w:val="24"/>
      <w:szCs w:val="20"/>
      <w:lang w:val="nl" w:eastAsia="en-US"/>
    </w:rPr>
  </w:style>
  <w:style w:type="character" w:customStyle="1" w:styleId="Dokument3">
    <w:name w:val="Dokument 3"/>
    <w:rsid w:val="009A35EF"/>
    <w:rPr>
      <w:rFonts w:ascii="Helvetica" w:hAnsi="Helvetica"/>
      <w:noProof w:val="0"/>
      <w:sz w:val="21"/>
      <w:lang w:val="en-US"/>
    </w:rPr>
  </w:style>
  <w:style w:type="character" w:customStyle="1" w:styleId="Inhoudsopgav">
    <w:name w:val="Inhoudsopgav"/>
    <w:rsid w:val="009A35EF"/>
    <w:rPr>
      <w:sz w:val="21"/>
    </w:rPr>
  </w:style>
  <w:style w:type="paragraph" w:customStyle="1" w:styleId="Formule">
    <w:name w:val="Formule"/>
    <w:rsid w:val="009A35EF"/>
    <w:pPr>
      <w:keepNext/>
      <w:keepLines/>
      <w:widowControl w:val="0"/>
      <w:tabs>
        <w:tab w:val="left" w:pos="651"/>
        <w:tab w:val="left" w:pos="1502"/>
        <w:tab w:val="left" w:pos="2353"/>
        <w:tab w:val="left" w:pos="3204"/>
        <w:tab w:val="left" w:pos="4054"/>
        <w:tab w:val="left" w:pos="4905"/>
        <w:tab w:val="left" w:pos="5756"/>
        <w:tab w:val="left" w:pos="6607"/>
        <w:tab w:val="left" w:pos="7458"/>
        <w:tab w:val="left" w:pos="8308"/>
        <w:tab w:val="left" w:pos="9159"/>
      </w:tabs>
      <w:suppressAutoHyphens/>
    </w:pPr>
    <w:rPr>
      <w:rFonts w:ascii="Playbill" w:hAnsi="Playbill"/>
      <w:sz w:val="23"/>
    </w:rPr>
  </w:style>
  <w:style w:type="paragraph" w:customStyle="1" w:styleId="N4">
    <w:name w:val="N4"/>
    <w:rsid w:val="009A35EF"/>
    <w:pPr>
      <w:widowControl w:val="0"/>
      <w:tabs>
        <w:tab w:val="left" w:pos="1677"/>
      </w:tabs>
      <w:suppressAutoHyphens/>
      <w:ind w:left="1677" w:hanging="1677"/>
    </w:pPr>
    <w:rPr>
      <w:rFonts w:ascii="Helvetica" w:hAnsi="Helvetica"/>
      <w:b/>
      <w:sz w:val="21"/>
    </w:rPr>
  </w:style>
  <w:style w:type="paragraph" w:customStyle="1" w:styleId="N5">
    <w:name w:val="N5"/>
    <w:rsid w:val="009A35EF"/>
    <w:pPr>
      <w:widowControl w:val="0"/>
      <w:tabs>
        <w:tab w:val="left" w:pos="1677"/>
      </w:tabs>
      <w:suppressAutoHyphens/>
      <w:ind w:left="1677" w:hanging="1677"/>
    </w:pPr>
    <w:rPr>
      <w:rFonts w:ascii="Helvetica" w:hAnsi="Helvetica"/>
      <w:b/>
      <w:sz w:val="21"/>
    </w:rPr>
  </w:style>
  <w:style w:type="paragraph" w:customStyle="1" w:styleId="N2">
    <w:name w:val="N2"/>
    <w:rsid w:val="009A35EF"/>
    <w:pPr>
      <w:widowControl w:val="0"/>
      <w:tabs>
        <w:tab w:val="left" w:pos="1677"/>
      </w:tabs>
      <w:suppressAutoHyphens/>
      <w:ind w:left="1677" w:hanging="1677"/>
    </w:pPr>
    <w:rPr>
      <w:rFonts w:ascii="Helvetica" w:hAnsi="Helvetica"/>
      <w:b/>
      <w:sz w:val="21"/>
    </w:rPr>
  </w:style>
  <w:style w:type="paragraph" w:customStyle="1" w:styleId="N1">
    <w:name w:val="N1"/>
    <w:rsid w:val="009A35EF"/>
    <w:pPr>
      <w:widowControl w:val="0"/>
      <w:tabs>
        <w:tab w:val="left" w:pos="1677"/>
      </w:tabs>
      <w:suppressAutoHyphens/>
      <w:ind w:left="1677" w:hanging="1677"/>
    </w:pPr>
    <w:rPr>
      <w:rFonts w:ascii="Helvetica" w:hAnsi="Helvetica"/>
      <w:b/>
      <w:sz w:val="21"/>
    </w:rPr>
  </w:style>
  <w:style w:type="paragraph" w:customStyle="1" w:styleId="Tabel">
    <w:name w:val="Tabel"/>
    <w:rsid w:val="009A35EF"/>
    <w:pPr>
      <w:keepNext/>
      <w:keepLines/>
      <w:widowControl w:val="0"/>
      <w:tabs>
        <w:tab w:val="left" w:pos="-720"/>
      </w:tabs>
      <w:suppressAutoHyphens/>
    </w:pPr>
    <w:rPr>
      <w:rFonts w:ascii="AvantGarde" w:hAnsi="AvantGarde"/>
      <w:sz w:val="24"/>
    </w:rPr>
  </w:style>
  <w:style w:type="character" w:customStyle="1" w:styleId="vbrapport">
    <w:name w:val="vb_rapport"/>
    <w:rsid w:val="009A35EF"/>
    <w:rPr>
      <w:rFonts w:ascii="Arial" w:hAnsi="Arial"/>
      <w:noProof w:val="0"/>
      <w:sz w:val="21"/>
      <w:lang w:val="en-US"/>
    </w:rPr>
  </w:style>
  <w:style w:type="paragraph" w:customStyle="1" w:styleId="vbadres">
    <w:name w:val="vb_adres"/>
    <w:rsid w:val="009A35EF"/>
    <w:pPr>
      <w:keepNext/>
      <w:keepLines/>
      <w:widowControl w:val="0"/>
      <w:tabs>
        <w:tab w:val="left" w:pos="-720"/>
      </w:tabs>
      <w:suppressAutoHyphens/>
    </w:pPr>
    <w:rPr>
      <w:rFonts w:ascii="Helvetica" w:hAnsi="Helvetica"/>
      <w:sz w:val="21"/>
    </w:rPr>
  </w:style>
  <w:style w:type="character" w:customStyle="1" w:styleId="Bibliografie1">
    <w:name w:val="Bibliografie1"/>
    <w:basedOn w:val="Standaardalinea-lettertype"/>
    <w:rsid w:val="009A35EF"/>
  </w:style>
  <w:style w:type="character" w:customStyle="1" w:styleId="Techninit">
    <w:name w:val="Techn init"/>
    <w:rsid w:val="009A35EF"/>
    <w:rPr>
      <w:rFonts w:ascii="Helvetica" w:hAnsi="Helvetica"/>
      <w:noProof w:val="0"/>
      <w:sz w:val="21"/>
      <w:lang w:val="en-US"/>
    </w:rPr>
  </w:style>
  <w:style w:type="character" w:customStyle="1" w:styleId="Technisch1">
    <w:name w:val="Technisch 1"/>
    <w:rsid w:val="009A35EF"/>
    <w:rPr>
      <w:rFonts w:ascii="Helvetica" w:hAnsi="Helvetica"/>
      <w:noProof w:val="0"/>
      <w:sz w:val="21"/>
      <w:lang w:val="en-US"/>
    </w:rPr>
  </w:style>
  <w:style w:type="character" w:customStyle="1" w:styleId="Technisch2">
    <w:name w:val="Technisch 2"/>
    <w:rsid w:val="009A35EF"/>
    <w:rPr>
      <w:rFonts w:ascii="Helvetica" w:hAnsi="Helvetica"/>
      <w:noProof w:val="0"/>
      <w:sz w:val="21"/>
      <w:lang w:val="en-US"/>
    </w:rPr>
  </w:style>
  <w:style w:type="character" w:customStyle="1" w:styleId="Technisch3">
    <w:name w:val="Technisch 3"/>
    <w:rsid w:val="009A35EF"/>
    <w:rPr>
      <w:rFonts w:ascii="Helvetica" w:hAnsi="Helvetica"/>
      <w:noProof w:val="0"/>
      <w:sz w:val="21"/>
      <w:lang w:val="en-US"/>
    </w:rPr>
  </w:style>
  <w:style w:type="character" w:customStyle="1" w:styleId="Technisch4">
    <w:name w:val="Technisch 4"/>
    <w:basedOn w:val="Standaardalinea-lettertype"/>
    <w:rsid w:val="009A35EF"/>
  </w:style>
  <w:style w:type="character" w:customStyle="1" w:styleId="Technisch5">
    <w:name w:val="Technisch 5"/>
    <w:basedOn w:val="Standaardalinea-lettertype"/>
    <w:rsid w:val="009A35EF"/>
  </w:style>
  <w:style w:type="character" w:customStyle="1" w:styleId="Technisch6">
    <w:name w:val="Technisch 6"/>
    <w:basedOn w:val="Standaardalinea-lettertype"/>
    <w:rsid w:val="009A35EF"/>
  </w:style>
  <w:style w:type="character" w:customStyle="1" w:styleId="Technisch7">
    <w:name w:val="Technisch 7"/>
    <w:basedOn w:val="Standaardalinea-lettertype"/>
    <w:rsid w:val="009A35EF"/>
  </w:style>
  <w:style w:type="character" w:customStyle="1" w:styleId="Technisch8">
    <w:name w:val="Technisch 8"/>
    <w:basedOn w:val="Standaardalinea-lettertype"/>
    <w:rsid w:val="009A35EF"/>
  </w:style>
  <w:style w:type="character" w:customStyle="1" w:styleId="Dokuinit">
    <w:name w:val="Doku init"/>
    <w:basedOn w:val="Standaardalinea-lettertype"/>
    <w:rsid w:val="009A35EF"/>
  </w:style>
  <w:style w:type="paragraph" w:customStyle="1" w:styleId="Dokument1">
    <w:name w:val="Dokument 1"/>
    <w:rsid w:val="009A35EF"/>
    <w:pPr>
      <w:keepNext/>
      <w:keepLines/>
      <w:widowControl w:val="0"/>
      <w:tabs>
        <w:tab w:val="left" w:pos="-720"/>
      </w:tabs>
      <w:suppressAutoHyphens/>
    </w:pPr>
    <w:rPr>
      <w:rFonts w:ascii="Helvetica" w:hAnsi="Helvetica"/>
      <w:sz w:val="21"/>
    </w:rPr>
  </w:style>
  <w:style w:type="character" w:customStyle="1" w:styleId="Dokument2">
    <w:name w:val="Dokument 2"/>
    <w:rsid w:val="009A35EF"/>
    <w:rPr>
      <w:rFonts w:ascii="Helvetica" w:hAnsi="Helvetica"/>
      <w:noProof w:val="0"/>
      <w:sz w:val="21"/>
      <w:lang w:val="en-US"/>
    </w:rPr>
  </w:style>
  <w:style w:type="character" w:customStyle="1" w:styleId="Dokument4">
    <w:name w:val="Dokument 4"/>
    <w:rsid w:val="009A35EF"/>
    <w:rPr>
      <w:b/>
      <w:i/>
      <w:sz w:val="21"/>
    </w:rPr>
  </w:style>
  <w:style w:type="character" w:customStyle="1" w:styleId="Dokument5">
    <w:name w:val="Dokument 5"/>
    <w:basedOn w:val="Standaardalinea-lettertype"/>
    <w:rsid w:val="009A35EF"/>
  </w:style>
  <w:style w:type="character" w:customStyle="1" w:styleId="Dokument6">
    <w:name w:val="Dokument 6"/>
    <w:basedOn w:val="Standaardalinea-lettertype"/>
    <w:rsid w:val="009A35EF"/>
  </w:style>
  <w:style w:type="character" w:customStyle="1" w:styleId="Dokument7">
    <w:name w:val="Dokument 7"/>
    <w:basedOn w:val="Standaardalinea-lettertype"/>
    <w:rsid w:val="009A35EF"/>
  </w:style>
  <w:style w:type="character" w:customStyle="1" w:styleId="Dokument8">
    <w:name w:val="Dokument 8"/>
    <w:basedOn w:val="Standaardalinea-lettertype"/>
    <w:rsid w:val="009A35EF"/>
  </w:style>
  <w:style w:type="paragraph" w:customStyle="1" w:styleId="memorandum">
    <w:name w:val="memorandum"/>
    <w:rsid w:val="009A35EF"/>
    <w:pPr>
      <w:widowControl w:val="0"/>
      <w:tabs>
        <w:tab w:val="left" w:pos="-720"/>
      </w:tabs>
      <w:suppressAutoHyphens/>
    </w:pPr>
    <w:rPr>
      <w:sz w:val="22"/>
      <w:lang w:val="nl-NL"/>
    </w:rPr>
  </w:style>
  <w:style w:type="character" w:customStyle="1" w:styleId="footnotebod">
    <w:name w:val="footnote bod"/>
    <w:rsid w:val="009A35EF"/>
    <w:rPr>
      <w:rFonts w:ascii="Arial" w:hAnsi="Arial"/>
      <w:noProof w:val="0"/>
      <w:sz w:val="20"/>
      <w:lang w:val="en-US"/>
    </w:rPr>
  </w:style>
  <w:style w:type="paragraph" w:customStyle="1" w:styleId="paragraph">
    <w:name w:val="paragraph"/>
    <w:rsid w:val="009A35EF"/>
    <w:pPr>
      <w:widowControl w:val="0"/>
      <w:tabs>
        <w:tab w:val="left" w:pos="339"/>
        <w:tab w:val="left" w:pos="680"/>
      </w:tabs>
      <w:suppressAutoHyphens/>
      <w:spacing w:after="134"/>
    </w:pPr>
    <w:rPr>
      <w:rFonts w:ascii="Helvetica" w:hAnsi="Helvetica"/>
      <w:sz w:val="21"/>
    </w:rPr>
  </w:style>
  <w:style w:type="paragraph" w:customStyle="1" w:styleId="Memo">
    <w:name w:val="Memo"/>
    <w:rsid w:val="009A35EF"/>
    <w:pPr>
      <w:widowControl w:val="0"/>
      <w:tabs>
        <w:tab w:val="left" w:pos="0"/>
        <w:tab w:val="left" w:pos="817"/>
        <w:tab w:val="left" w:pos="1668"/>
        <w:tab w:val="left" w:pos="1929"/>
        <w:tab w:val="left" w:pos="2519"/>
        <w:tab w:val="left" w:pos="3370"/>
        <w:tab w:val="left" w:pos="4221"/>
        <w:tab w:val="left" w:pos="5071"/>
        <w:tab w:val="left" w:pos="5922"/>
        <w:tab w:val="left" w:pos="6773"/>
      </w:tabs>
      <w:suppressAutoHyphens/>
    </w:pPr>
    <w:rPr>
      <w:sz w:val="22"/>
    </w:rPr>
  </w:style>
  <w:style w:type="character" w:customStyle="1" w:styleId="TPDbrief">
    <w:name w:val="TPD brief"/>
    <w:basedOn w:val="Standaardalinea-lettertype"/>
    <w:rsid w:val="009A35EF"/>
  </w:style>
  <w:style w:type="paragraph" w:customStyle="1" w:styleId="verslag">
    <w:name w:val="verslag"/>
    <w:rsid w:val="009A35EF"/>
    <w:pPr>
      <w:widowControl w:val="0"/>
      <w:tabs>
        <w:tab w:val="left" w:pos="0"/>
        <w:tab w:val="left" w:pos="817"/>
        <w:tab w:val="left" w:pos="1668"/>
        <w:tab w:val="left" w:pos="1929"/>
        <w:tab w:val="left" w:pos="2519"/>
        <w:tab w:val="left" w:pos="3370"/>
        <w:tab w:val="left" w:pos="4221"/>
        <w:tab w:val="left" w:pos="5071"/>
        <w:tab w:val="left" w:pos="5922"/>
        <w:tab w:val="left" w:pos="6055"/>
        <w:tab w:val="left" w:pos="6293"/>
        <w:tab w:val="left" w:pos="6773"/>
        <w:tab w:val="left" w:pos="7047"/>
        <w:tab w:val="left" w:pos="7624"/>
        <w:tab w:val="left" w:pos="8475"/>
      </w:tabs>
      <w:suppressAutoHyphens/>
    </w:pPr>
    <w:rPr>
      <w:rFonts w:ascii="Arial" w:hAnsi="Arial"/>
      <w:sz w:val="21"/>
    </w:rPr>
  </w:style>
  <w:style w:type="character" w:customStyle="1" w:styleId="Hoofdstukti">
    <w:name w:val="Hoofdstuk ti"/>
    <w:basedOn w:val="Standaardalinea-lettertype"/>
    <w:rsid w:val="009A35EF"/>
  </w:style>
  <w:style w:type="character" w:customStyle="1" w:styleId="Sub-paragraa">
    <w:name w:val="Sub-paragraa"/>
    <w:basedOn w:val="Standaardalinea-lettertype"/>
    <w:rsid w:val="009A35EF"/>
  </w:style>
  <w:style w:type="character" w:customStyle="1" w:styleId="Paragraafti">
    <w:name w:val="Paragraaf ti"/>
    <w:basedOn w:val="Standaardalinea-lettertype"/>
    <w:rsid w:val="009A35EF"/>
  </w:style>
  <w:style w:type="character" w:customStyle="1" w:styleId="Alineanummer1">
    <w:name w:val="Alineanummer 1"/>
    <w:basedOn w:val="Standaardalinea-lettertype"/>
    <w:rsid w:val="009A35EF"/>
  </w:style>
  <w:style w:type="character" w:customStyle="1" w:styleId="Alineanummer2">
    <w:name w:val="Alineanummer 2"/>
    <w:basedOn w:val="Standaardalinea-lettertype"/>
    <w:rsid w:val="009A35EF"/>
  </w:style>
  <w:style w:type="character" w:customStyle="1" w:styleId="Alineanummer3">
    <w:name w:val="Alineanummer 3"/>
    <w:basedOn w:val="Standaardalinea-lettertype"/>
    <w:rsid w:val="009A35EF"/>
  </w:style>
  <w:style w:type="character" w:customStyle="1" w:styleId="Alineanummer4">
    <w:name w:val="Alineanummer 4"/>
    <w:basedOn w:val="Standaardalinea-lettertype"/>
    <w:rsid w:val="009A35EF"/>
  </w:style>
  <w:style w:type="character" w:customStyle="1" w:styleId="Alineanummer5">
    <w:name w:val="Alineanummer 5"/>
    <w:basedOn w:val="Standaardalinea-lettertype"/>
    <w:rsid w:val="009A35EF"/>
  </w:style>
  <w:style w:type="character" w:customStyle="1" w:styleId="Alineanummer6">
    <w:name w:val="Alineanummer 6"/>
    <w:basedOn w:val="Standaardalinea-lettertype"/>
    <w:rsid w:val="009A35EF"/>
  </w:style>
  <w:style w:type="character" w:customStyle="1" w:styleId="Alineanummer7">
    <w:name w:val="Alineanummer 7"/>
    <w:basedOn w:val="Standaardalinea-lettertype"/>
    <w:rsid w:val="009A35EF"/>
  </w:style>
  <w:style w:type="character" w:customStyle="1" w:styleId="Alineanummer8">
    <w:name w:val="Alineanummer 8"/>
    <w:basedOn w:val="Standaardalinea-lettertype"/>
    <w:rsid w:val="009A35EF"/>
  </w:style>
  <w:style w:type="paragraph" w:customStyle="1" w:styleId="brief">
    <w:name w:val="brief"/>
    <w:rsid w:val="009A35EF"/>
    <w:pPr>
      <w:widowControl w:val="0"/>
      <w:tabs>
        <w:tab w:val="left" w:pos="-720"/>
      </w:tabs>
      <w:suppressAutoHyphens/>
    </w:pPr>
    <w:rPr>
      <w:rFonts w:ascii="Bookman" w:hAnsi="Bookman"/>
      <w:sz w:val="22"/>
      <w:lang w:val="nl-NL"/>
    </w:rPr>
  </w:style>
  <w:style w:type="character" w:customStyle="1" w:styleId="DefaultParagraphFo">
    <w:name w:val="Default Paragraph Fo"/>
    <w:basedOn w:val="Standaardalinea-lettertype"/>
    <w:rsid w:val="009A35EF"/>
  </w:style>
  <w:style w:type="paragraph" w:customStyle="1" w:styleId="inhopg10">
    <w:name w:val="inhopg 1"/>
    <w:basedOn w:val="Standaard"/>
    <w:rsid w:val="009A35EF"/>
    <w:pPr>
      <w:widowControl w:val="0"/>
      <w:tabs>
        <w:tab w:val="right" w:pos="8710"/>
      </w:tabs>
      <w:suppressAutoHyphens/>
      <w:spacing w:before="480" w:line="240" w:lineRule="exact"/>
      <w:ind w:left="33" w:right="33" w:hanging="33"/>
      <w:jc w:val="both"/>
    </w:pPr>
    <w:rPr>
      <w:rFonts w:ascii="Times New Roman" w:hAnsi="Times New Roman"/>
      <w:sz w:val="21"/>
      <w:szCs w:val="20"/>
      <w:lang w:val="en-US" w:eastAsia="en-US"/>
    </w:rPr>
  </w:style>
  <w:style w:type="paragraph" w:customStyle="1" w:styleId="inhopg20">
    <w:name w:val="inhopg 2"/>
    <w:basedOn w:val="Standaard"/>
    <w:rsid w:val="009A35EF"/>
    <w:pPr>
      <w:widowControl w:val="0"/>
      <w:tabs>
        <w:tab w:val="right" w:pos="8710"/>
      </w:tabs>
      <w:suppressAutoHyphens/>
      <w:spacing w:line="240" w:lineRule="exact"/>
      <w:ind w:left="850" w:right="33" w:hanging="817"/>
      <w:jc w:val="both"/>
    </w:pPr>
    <w:rPr>
      <w:rFonts w:ascii="Times New Roman" w:hAnsi="Times New Roman"/>
      <w:sz w:val="21"/>
      <w:szCs w:val="20"/>
      <w:lang w:val="en-US" w:eastAsia="en-US"/>
    </w:rPr>
  </w:style>
  <w:style w:type="paragraph" w:customStyle="1" w:styleId="inhopg30">
    <w:name w:val="inhopg 3"/>
    <w:basedOn w:val="Standaard"/>
    <w:rsid w:val="009A35EF"/>
    <w:pPr>
      <w:widowControl w:val="0"/>
      <w:tabs>
        <w:tab w:val="right" w:pos="8710"/>
      </w:tabs>
      <w:suppressAutoHyphens/>
      <w:spacing w:line="240" w:lineRule="exact"/>
      <w:ind w:left="1701" w:right="33" w:hanging="851"/>
      <w:jc w:val="both"/>
    </w:pPr>
    <w:rPr>
      <w:rFonts w:ascii="Times New Roman" w:hAnsi="Times New Roman"/>
      <w:sz w:val="21"/>
      <w:szCs w:val="20"/>
      <w:lang w:val="en-US" w:eastAsia="en-US"/>
    </w:rPr>
  </w:style>
  <w:style w:type="paragraph" w:customStyle="1" w:styleId="inhopg40">
    <w:name w:val="inhopg 4"/>
    <w:basedOn w:val="Standaard"/>
    <w:rsid w:val="009A35EF"/>
    <w:pPr>
      <w:widowControl w:val="0"/>
      <w:tabs>
        <w:tab w:val="right" w:pos="8710"/>
      </w:tabs>
      <w:suppressAutoHyphens/>
      <w:spacing w:line="240" w:lineRule="exact"/>
      <w:ind w:left="1962" w:right="33" w:hanging="261"/>
      <w:jc w:val="both"/>
    </w:pPr>
    <w:rPr>
      <w:rFonts w:ascii="Times New Roman" w:hAnsi="Times New Roman"/>
      <w:sz w:val="21"/>
      <w:szCs w:val="20"/>
      <w:lang w:val="en-US" w:eastAsia="en-US"/>
    </w:rPr>
  </w:style>
  <w:style w:type="paragraph" w:customStyle="1" w:styleId="inhopg50">
    <w:name w:val="inhopg 5"/>
    <w:basedOn w:val="Standaard"/>
    <w:rsid w:val="009A35EF"/>
    <w:pPr>
      <w:widowControl w:val="0"/>
      <w:tabs>
        <w:tab w:val="right" w:pos="8710"/>
      </w:tabs>
      <w:suppressAutoHyphens/>
      <w:spacing w:line="240" w:lineRule="exact"/>
      <w:ind w:left="2552" w:right="33" w:hanging="590"/>
      <w:jc w:val="both"/>
    </w:pPr>
    <w:rPr>
      <w:rFonts w:ascii="Times New Roman" w:hAnsi="Times New Roman"/>
      <w:sz w:val="21"/>
      <w:szCs w:val="20"/>
      <w:lang w:val="en-US" w:eastAsia="en-US"/>
    </w:rPr>
  </w:style>
  <w:style w:type="paragraph" w:customStyle="1" w:styleId="inhopg60">
    <w:name w:val="inhopg 6"/>
    <w:basedOn w:val="Standaard"/>
    <w:rsid w:val="009A35EF"/>
    <w:pPr>
      <w:widowControl w:val="0"/>
      <w:tabs>
        <w:tab w:val="right" w:pos="9360"/>
      </w:tabs>
      <w:suppressAutoHyphens/>
      <w:spacing w:line="240" w:lineRule="auto"/>
      <w:ind w:left="720" w:hanging="720"/>
    </w:pPr>
    <w:rPr>
      <w:rFonts w:ascii="Helvetica" w:hAnsi="Helvetica"/>
      <w:sz w:val="21"/>
      <w:szCs w:val="20"/>
      <w:lang w:val="en-US" w:eastAsia="en-US"/>
    </w:rPr>
  </w:style>
  <w:style w:type="paragraph" w:customStyle="1" w:styleId="inhopg70">
    <w:name w:val="inhopg 7"/>
    <w:basedOn w:val="Standaard"/>
    <w:rsid w:val="009A35EF"/>
    <w:pPr>
      <w:widowControl w:val="0"/>
      <w:suppressAutoHyphens/>
      <w:spacing w:line="240" w:lineRule="auto"/>
      <w:ind w:left="720" w:hanging="720"/>
    </w:pPr>
    <w:rPr>
      <w:rFonts w:ascii="Helvetica" w:hAnsi="Helvetica"/>
      <w:sz w:val="21"/>
      <w:szCs w:val="20"/>
      <w:lang w:val="en-US" w:eastAsia="en-US"/>
    </w:rPr>
  </w:style>
  <w:style w:type="paragraph" w:customStyle="1" w:styleId="inhopg80">
    <w:name w:val="inhopg 8"/>
    <w:basedOn w:val="Standaard"/>
    <w:rsid w:val="009A35EF"/>
    <w:pPr>
      <w:widowControl w:val="0"/>
      <w:tabs>
        <w:tab w:val="right" w:pos="9360"/>
      </w:tabs>
      <w:suppressAutoHyphens/>
      <w:spacing w:line="240" w:lineRule="auto"/>
      <w:ind w:left="720" w:hanging="720"/>
    </w:pPr>
    <w:rPr>
      <w:rFonts w:ascii="Helvetica" w:hAnsi="Helvetica"/>
      <w:sz w:val="21"/>
      <w:szCs w:val="20"/>
      <w:lang w:val="en-US" w:eastAsia="en-US"/>
    </w:rPr>
  </w:style>
  <w:style w:type="paragraph" w:customStyle="1" w:styleId="inhopg90">
    <w:name w:val="inhopg 9"/>
    <w:basedOn w:val="Standaard"/>
    <w:rsid w:val="009A35EF"/>
    <w:pPr>
      <w:widowControl w:val="0"/>
      <w:tabs>
        <w:tab w:val="right" w:leader="dot" w:pos="9360"/>
      </w:tabs>
      <w:suppressAutoHyphens/>
      <w:spacing w:line="240" w:lineRule="auto"/>
      <w:ind w:left="720" w:hanging="720"/>
    </w:pPr>
    <w:rPr>
      <w:rFonts w:ascii="Helvetica" w:hAnsi="Helvetica"/>
      <w:sz w:val="21"/>
      <w:szCs w:val="20"/>
      <w:lang w:val="en-US" w:eastAsia="en-US"/>
    </w:rPr>
  </w:style>
  <w:style w:type="paragraph" w:customStyle="1" w:styleId="bronvermelding">
    <w:name w:val="bronvermelding"/>
    <w:basedOn w:val="Standaard"/>
    <w:rsid w:val="009A35EF"/>
    <w:pPr>
      <w:widowControl w:val="0"/>
      <w:tabs>
        <w:tab w:val="right" w:pos="9360"/>
      </w:tabs>
      <w:suppressAutoHyphens/>
      <w:spacing w:line="240" w:lineRule="auto"/>
    </w:pPr>
    <w:rPr>
      <w:rFonts w:ascii="Helvetica" w:hAnsi="Helvetica"/>
      <w:sz w:val="21"/>
      <w:szCs w:val="20"/>
      <w:lang w:val="en-US" w:eastAsia="en-US"/>
    </w:rPr>
  </w:style>
  <w:style w:type="character" w:styleId="Paginanummer">
    <w:name w:val="page number"/>
    <w:basedOn w:val="Standaardalinea-lettertype"/>
    <w:uiPriority w:val="99"/>
    <w:rsid w:val="009A35EF"/>
  </w:style>
  <w:style w:type="paragraph" w:styleId="Index1">
    <w:name w:val="index 1"/>
    <w:basedOn w:val="Standaard"/>
    <w:next w:val="Standaard"/>
    <w:uiPriority w:val="99"/>
    <w:semiHidden/>
    <w:rsid w:val="009A35EF"/>
    <w:pPr>
      <w:tabs>
        <w:tab w:val="right" w:leader="dot" w:pos="7371"/>
      </w:tabs>
      <w:spacing w:line="280" w:lineRule="exact"/>
      <w:ind w:left="220" w:hanging="220"/>
    </w:pPr>
    <w:rPr>
      <w:rFonts w:ascii="Times New Roman" w:hAnsi="Times New Roman"/>
      <w:szCs w:val="20"/>
      <w:lang w:val="nl" w:eastAsia="en-US"/>
    </w:rPr>
  </w:style>
  <w:style w:type="paragraph" w:styleId="Index2">
    <w:name w:val="index 2"/>
    <w:basedOn w:val="Standaard"/>
    <w:next w:val="Standaard"/>
    <w:uiPriority w:val="99"/>
    <w:semiHidden/>
    <w:rsid w:val="009A35EF"/>
    <w:pPr>
      <w:tabs>
        <w:tab w:val="right" w:leader="dot" w:pos="7371"/>
      </w:tabs>
      <w:spacing w:line="280" w:lineRule="exact"/>
      <w:ind w:left="440" w:hanging="220"/>
    </w:pPr>
    <w:rPr>
      <w:rFonts w:ascii="Times New Roman" w:hAnsi="Times New Roman"/>
      <w:szCs w:val="20"/>
      <w:lang w:val="nl" w:eastAsia="en-US"/>
    </w:rPr>
  </w:style>
  <w:style w:type="paragraph" w:styleId="Index3">
    <w:name w:val="index 3"/>
    <w:basedOn w:val="Standaard"/>
    <w:next w:val="Standaard"/>
    <w:uiPriority w:val="99"/>
    <w:semiHidden/>
    <w:rsid w:val="009A35EF"/>
    <w:pPr>
      <w:tabs>
        <w:tab w:val="right" w:leader="dot" w:pos="7371"/>
      </w:tabs>
      <w:spacing w:line="280" w:lineRule="exact"/>
      <w:ind w:left="660" w:hanging="220"/>
    </w:pPr>
    <w:rPr>
      <w:rFonts w:ascii="Times New Roman" w:hAnsi="Times New Roman"/>
      <w:szCs w:val="20"/>
      <w:lang w:val="nl" w:eastAsia="en-US"/>
    </w:rPr>
  </w:style>
  <w:style w:type="paragraph" w:styleId="Index4">
    <w:name w:val="index 4"/>
    <w:basedOn w:val="Standaard"/>
    <w:next w:val="Standaard"/>
    <w:uiPriority w:val="99"/>
    <w:semiHidden/>
    <w:rsid w:val="009A35EF"/>
    <w:pPr>
      <w:tabs>
        <w:tab w:val="right" w:leader="dot" w:pos="7371"/>
      </w:tabs>
      <w:spacing w:line="280" w:lineRule="exact"/>
      <w:ind w:left="880" w:hanging="220"/>
    </w:pPr>
    <w:rPr>
      <w:rFonts w:ascii="Times New Roman" w:hAnsi="Times New Roman"/>
      <w:szCs w:val="20"/>
      <w:lang w:val="nl" w:eastAsia="en-US"/>
    </w:rPr>
  </w:style>
  <w:style w:type="paragraph" w:styleId="Index5">
    <w:name w:val="index 5"/>
    <w:basedOn w:val="Standaard"/>
    <w:next w:val="Standaard"/>
    <w:uiPriority w:val="99"/>
    <w:semiHidden/>
    <w:rsid w:val="009A35EF"/>
    <w:pPr>
      <w:tabs>
        <w:tab w:val="right" w:leader="dot" w:pos="7371"/>
      </w:tabs>
      <w:spacing w:line="280" w:lineRule="exact"/>
      <w:ind w:left="1100" w:hanging="220"/>
    </w:pPr>
    <w:rPr>
      <w:rFonts w:ascii="Times New Roman" w:hAnsi="Times New Roman"/>
      <w:szCs w:val="20"/>
      <w:lang w:val="nl" w:eastAsia="en-US"/>
    </w:rPr>
  </w:style>
  <w:style w:type="paragraph" w:styleId="Index6">
    <w:name w:val="index 6"/>
    <w:basedOn w:val="Standaard"/>
    <w:next w:val="Standaard"/>
    <w:uiPriority w:val="99"/>
    <w:semiHidden/>
    <w:rsid w:val="009A35EF"/>
    <w:pPr>
      <w:tabs>
        <w:tab w:val="right" w:leader="dot" w:pos="7371"/>
      </w:tabs>
      <w:spacing w:line="280" w:lineRule="exact"/>
      <w:ind w:left="1320" w:hanging="220"/>
    </w:pPr>
    <w:rPr>
      <w:rFonts w:ascii="Times New Roman" w:hAnsi="Times New Roman"/>
      <w:szCs w:val="20"/>
      <w:lang w:val="nl" w:eastAsia="en-US"/>
    </w:rPr>
  </w:style>
  <w:style w:type="paragraph" w:styleId="Index7">
    <w:name w:val="index 7"/>
    <w:basedOn w:val="Standaard"/>
    <w:next w:val="Standaard"/>
    <w:uiPriority w:val="99"/>
    <w:semiHidden/>
    <w:rsid w:val="009A35EF"/>
    <w:pPr>
      <w:tabs>
        <w:tab w:val="right" w:leader="dot" w:pos="7371"/>
      </w:tabs>
      <w:spacing w:line="280" w:lineRule="exact"/>
      <w:ind w:left="1540" w:hanging="220"/>
    </w:pPr>
    <w:rPr>
      <w:rFonts w:ascii="Times New Roman" w:hAnsi="Times New Roman"/>
      <w:szCs w:val="20"/>
      <w:lang w:val="nl" w:eastAsia="en-US"/>
    </w:rPr>
  </w:style>
  <w:style w:type="paragraph" w:styleId="Index8">
    <w:name w:val="index 8"/>
    <w:basedOn w:val="Standaard"/>
    <w:next w:val="Standaard"/>
    <w:uiPriority w:val="99"/>
    <w:semiHidden/>
    <w:rsid w:val="009A35EF"/>
    <w:pPr>
      <w:tabs>
        <w:tab w:val="right" w:leader="dot" w:pos="7371"/>
      </w:tabs>
      <w:spacing w:line="280" w:lineRule="exact"/>
      <w:ind w:left="1760" w:hanging="220"/>
    </w:pPr>
    <w:rPr>
      <w:rFonts w:ascii="Times New Roman" w:hAnsi="Times New Roman"/>
      <w:szCs w:val="20"/>
      <w:lang w:val="nl" w:eastAsia="en-US"/>
    </w:rPr>
  </w:style>
  <w:style w:type="paragraph" w:styleId="Index9">
    <w:name w:val="index 9"/>
    <w:basedOn w:val="Standaard"/>
    <w:next w:val="Standaard"/>
    <w:uiPriority w:val="99"/>
    <w:semiHidden/>
    <w:rsid w:val="009A35EF"/>
    <w:pPr>
      <w:tabs>
        <w:tab w:val="right" w:leader="dot" w:pos="7371"/>
      </w:tabs>
      <w:spacing w:line="280" w:lineRule="exact"/>
      <w:ind w:left="1980" w:hanging="220"/>
    </w:pPr>
    <w:rPr>
      <w:rFonts w:ascii="Times New Roman" w:hAnsi="Times New Roman"/>
      <w:szCs w:val="20"/>
      <w:lang w:val="nl" w:eastAsia="en-US"/>
    </w:rPr>
  </w:style>
  <w:style w:type="paragraph" w:styleId="Indexkop">
    <w:name w:val="index heading"/>
    <w:basedOn w:val="Standaard"/>
    <w:next w:val="Index1"/>
    <w:uiPriority w:val="99"/>
    <w:semiHidden/>
    <w:rsid w:val="009A35EF"/>
    <w:pPr>
      <w:spacing w:before="120" w:after="120" w:line="280" w:lineRule="exact"/>
    </w:pPr>
    <w:rPr>
      <w:rFonts w:ascii="Times New Roman" w:hAnsi="Times New Roman"/>
      <w:b/>
      <w:i/>
      <w:szCs w:val="20"/>
      <w:lang w:val="nl" w:eastAsia="en-US"/>
    </w:rPr>
  </w:style>
  <w:style w:type="paragraph" w:styleId="Eindnoottekst">
    <w:name w:val="endnote text"/>
    <w:basedOn w:val="Standaard"/>
    <w:link w:val="EindnoottekstChar"/>
    <w:uiPriority w:val="99"/>
    <w:semiHidden/>
    <w:rsid w:val="009A35EF"/>
    <w:pPr>
      <w:spacing w:line="280" w:lineRule="exact"/>
    </w:pPr>
    <w:rPr>
      <w:rFonts w:ascii="Times New Roman" w:hAnsi="Times New Roman"/>
      <w:szCs w:val="20"/>
      <w:lang w:val="nl" w:eastAsia="en-US"/>
    </w:rPr>
  </w:style>
  <w:style w:type="character" w:customStyle="1" w:styleId="EindnoottekstChar">
    <w:name w:val="Eindnoottekst Char"/>
    <w:basedOn w:val="Standaardalinea-lettertype"/>
    <w:link w:val="Eindnoottekst"/>
    <w:uiPriority w:val="99"/>
    <w:semiHidden/>
    <w:rsid w:val="009A35EF"/>
    <w:rPr>
      <w:lang w:val="nl"/>
    </w:rPr>
  </w:style>
  <w:style w:type="character" w:styleId="Eindnootmarkering">
    <w:name w:val="endnote reference"/>
    <w:uiPriority w:val="99"/>
    <w:semiHidden/>
    <w:rsid w:val="009A35EF"/>
    <w:rPr>
      <w:vertAlign w:val="superscript"/>
    </w:rPr>
  </w:style>
  <w:style w:type="paragraph" w:styleId="Plattetekstinspringen">
    <w:name w:val="Body Text Indent"/>
    <w:basedOn w:val="Standaard"/>
    <w:link w:val="PlattetekstinspringenChar"/>
    <w:uiPriority w:val="99"/>
    <w:rsid w:val="009A35EF"/>
    <w:pPr>
      <w:spacing w:line="280" w:lineRule="exact"/>
      <w:ind w:firstLine="1"/>
    </w:pPr>
    <w:rPr>
      <w:rFonts w:ascii="Times New Roman" w:hAnsi="Times New Roman"/>
      <w:sz w:val="22"/>
      <w:szCs w:val="20"/>
      <w:lang w:val="nl" w:eastAsia="en-US"/>
    </w:rPr>
  </w:style>
  <w:style w:type="character" w:customStyle="1" w:styleId="PlattetekstinspringenChar">
    <w:name w:val="Platte tekst inspringen Char"/>
    <w:basedOn w:val="Standaardalinea-lettertype"/>
    <w:link w:val="Plattetekstinspringen"/>
    <w:uiPriority w:val="99"/>
    <w:rsid w:val="009A35EF"/>
    <w:rPr>
      <w:sz w:val="22"/>
      <w:lang w:val="nl"/>
    </w:rPr>
  </w:style>
  <w:style w:type="paragraph" w:customStyle="1" w:styleId="Body">
    <w:name w:val="Body"/>
    <w:basedOn w:val="Standaard"/>
    <w:rsid w:val="009A35EF"/>
    <w:rPr>
      <w:rFonts w:ascii="Times New Roman" w:hAnsi="Times New Roman"/>
      <w:sz w:val="21"/>
      <w:szCs w:val="20"/>
      <w:lang w:eastAsia="en-US"/>
    </w:rPr>
  </w:style>
  <w:style w:type="paragraph" w:customStyle="1" w:styleId="Marge">
    <w:name w:val="Marge"/>
    <w:basedOn w:val="Standaard"/>
    <w:rsid w:val="009A35EF"/>
    <w:pPr>
      <w:tabs>
        <w:tab w:val="left" w:pos="198"/>
      </w:tabs>
      <w:spacing w:line="210" w:lineRule="exact"/>
    </w:pPr>
    <w:rPr>
      <w:rFonts w:ascii="Times New Roman" w:hAnsi="Times New Roman"/>
      <w:sz w:val="17"/>
      <w:szCs w:val="20"/>
      <w:lang w:eastAsia="en-US"/>
    </w:rPr>
  </w:style>
  <w:style w:type="paragraph" w:customStyle="1" w:styleId="Margebold">
    <w:name w:val="Marge bold"/>
    <w:basedOn w:val="Marge"/>
    <w:next w:val="Marge"/>
    <w:rsid w:val="009A35EF"/>
    <w:rPr>
      <w:b/>
    </w:rPr>
  </w:style>
  <w:style w:type="paragraph" w:customStyle="1" w:styleId="Margewitregel">
    <w:name w:val="Marge witregel"/>
    <w:basedOn w:val="Marge"/>
    <w:next w:val="Marge"/>
    <w:rsid w:val="009A35EF"/>
    <w:pPr>
      <w:spacing w:line="140" w:lineRule="exact"/>
    </w:pPr>
  </w:style>
  <w:style w:type="paragraph" w:customStyle="1" w:styleId="Rubricering">
    <w:name w:val="Rubricering"/>
    <w:basedOn w:val="Standaard"/>
    <w:next w:val="Body"/>
    <w:rsid w:val="009A35EF"/>
    <w:rPr>
      <w:rFonts w:ascii="Times New Roman" w:hAnsi="Times New Roman"/>
      <w:b/>
      <w:caps/>
      <w:sz w:val="17"/>
      <w:szCs w:val="20"/>
      <w:lang w:eastAsia="en-US"/>
    </w:rPr>
  </w:style>
  <w:style w:type="paragraph" w:customStyle="1" w:styleId="TNO-naam">
    <w:name w:val="TNO-naam"/>
    <w:basedOn w:val="Standaard"/>
    <w:next w:val="Body"/>
    <w:rsid w:val="009A35EF"/>
    <w:pPr>
      <w:spacing w:line="160" w:lineRule="exact"/>
    </w:pPr>
    <w:rPr>
      <w:rFonts w:ascii="Times New Roman" w:hAnsi="Times New Roman"/>
      <w:vanish/>
      <w:sz w:val="13"/>
      <w:szCs w:val="20"/>
      <w:lang w:eastAsia="en-US"/>
    </w:rPr>
  </w:style>
  <w:style w:type="paragraph" w:customStyle="1" w:styleId="Status">
    <w:name w:val="Status"/>
    <w:basedOn w:val="Standaard"/>
    <w:next w:val="Body"/>
    <w:rsid w:val="009A35EF"/>
    <w:rPr>
      <w:rFonts w:ascii="Times New Roman" w:hAnsi="Times New Roman"/>
      <w:color w:val="C0C0C0"/>
      <w:sz w:val="140"/>
      <w:szCs w:val="20"/>
      <w:lang w:eastAsia="en-US"/>
    </w:rPr>
  </w:style>
  <w:style w:type="paragraph" w:customStyle="1" w:styleId="Bodyboldklein">
    <w:name w:val="Body bold klein"/>
    <w:basedOn w:val="Body"/>
    <w:next w:val="Body"/>
    <w:rsid w:val="009A35EF"/>
    <w:rPr>
      <w:b/>
      <w:sz w:val="17"/>
    </w:rPr>
  </w:style>
  <w:style w:type="paragraph" w:customStyle="1" w:styleId="Rapportinfo">
    <w:name w:val="Rapportinfo"/>
    <w:basedOn w:val="Standaard"/>
    <w:rsid w:val="009A35EF"/>
    <w:pPr>
      <w:spacing w:line="210" w:lineRule="exact"/>
    </w:pPr>
    <w:rPr>
      <w:rFonts w:eastAsia="Arial Unicode MS"/>
      <w:noProof/>
      <w:sz w:val="16"/>
      <w:szCs w:val="20"/>
      <w:lang w:eastAsia="en-US"/>
    </w:rPr>
  </w:style>
  <w:style w:type="paragraph" w:customStyle="1" w:styleId="dossiertitel">
    <w:name w:val="dossiertitel"/>
    <w:basedOn w:val="Standaard"/>
    <w:rsid w:val="009A35EF"/>
    <w:pPr>
      <w:spacing w:before="100" w:beforeAutospacing="1" w:after="100" w:afterAutospacing="1" w:line="240" w:lineRule="auto"/>
    </w:pPr>
    <w:rPr>
      <w:rFonts w:ascii="Times New Roman" w:hAnsi="Times New Roman"/>
      <w:sz w:val="24"/>
      <w:lang w:eastAsia="nl-NL"/>
    </w:rPr>
  </w:style>
  <w:style w:type="character" w:customStyle="1" w:styleId="tekstbrowser">
    <w:name w:val="tekstbrowser"/>
    <w:basedOn w:val="Standaardalinea-lettertype"/>
    <w:rsid w:val="009A35EF"/>
  </w:style>
  <w:style w:type="paragraph" w:customStyle="1" w:styleId="Lijstalinea2">
    <w:name w:val="Lijstalinea2"/>
    <w:basedOn w:val="Standaard"/>
    <w:qFormat/>
    <w:rsid w:val="009A35EF"/>
    <w:pPr>
      <w:spacing w:after="200" w:line="276" w:lineRule="auto"/>
      <w:ind w:left="720"/>
      <w:contextualSpacing/>
    </w:pPr>
    <w:rPr>
      <w:rFonts w:ascii="Calibri" w:hAnsi="Calibri" w:cs="Calibri"/>
      <w:sz w:val="22"/>
      <w:szCs w:val="22"/>
      <w:lang w:eastAsia="en-US"/>
    </w:rPr>
  </w:style>
  <w:style w:type="paragraph" w:styleId="Lijstopsomteken2">
    <w:name w:val="List Bullet 2"/>
    <w:basedOn w:val="Standaard"/>
    <w:uiPriority w:val="99"/>
    <w:rsid w:val="009A35EF"/>
    <w:pPr>
      <w:numPr>
        <w:numId w:val="25"/>
      </w:numPr>
      <w:tabs>
        <w:tab w:val="clear" w:pos="200"/>
        <w:tab w:val="num" w:pos="360"/>
        <w:tab w:val="left" w:pos="440"/>
      </w:tabs>
      <w:spacing w:line="240" w:lineRule="atLeast"/>
      <w:ind w:left="0" w:firstLine="0"/>
    </w:pPr>
    <w:rPr>
      <w:rFonts w:ascii="Verdana" w:hAnsi="Verdana"/>
      <w:noProof/>
      <w:sz w:val="18"/>
      <w:lang w:eastAsia="nl-NL"/>
    </w:rPr>
  </w:style>
  <w:style w:type="paragraph" w:styleId="Lijstopsomteken">
    <w:name w:val="List Bullet"/>
    <w:basedOn w:val="Standaard"/>
    <w:uiPriority w:val="99"/>
    <w:rsid w:val="009A35EF"/>
    <w:pPr>
      <w:numPr>
        <w:numId w:val="24"/>
      </w:numPr>
      <w:spacing w:line="240" w:lineRule="atLeast"/>
      <w:ind w:left="0" w:firstLine="0"/>
    </w:pPr>
    <w:rPr>
      <w:rFonts w:ascii="Verdana" w:hAnsi="Verdana"/>
      <w:noProof/>
      <w:sz w:val="18"/>
      <w:lang w:eastAsia="nl-NL"/>
    </w:rPr>
  </w:style>
  <w:style w:type="paragraph" w:customStyle="1" w:styleId="Huisstijl-Rubricering0">
    <w:name w:val="Huisstijl-Rubricering"/>
    <w:basedOn w:val="Standaard"/>
    <w:rsid w:val="009A35EF"/>
    <w:pPr>
      <w:adjustRightInd w:val="0"/>
      <w:spacing w:line="180" w:lineRule="exact"/>
    </w:pPr>
    <w:rPr>
      <w:rFonts w:ascii="Verdana" w:hAnsi="Verdana" w:cs="Verdana-Bold"/>
      <w:b/>
      <w:bCs/>
      <w:smallCaps/>
      <w:noProof/>
      <w:sz w:val="13"/>
      <w:szCs w:val="13"/>
      <w:lang w:eastAsia="nl-NL"/>
    </w:rPr>
  </w:style>
  <w:style w:type="paragraph" w:customStyle="1" w:styleId="Huisstijl-Adres">
    <w:name w:val="Huisstijl-Adres"/>
    <w:basedOn w:val="Standaard"/>
    <w:rsid w:val="009A35EF"/>
    <w:pPr>
      <w:tabs>
        <w:tab w:val="left" w:pos="192"/>
      </w:tabs>
      <w:adjustRightInd w:val="0"/>
      <w:spacing w:after="90" w:line="180" w:lineRule="exact"/>
    </w:pPr>
    <w:rPr>
      <w:rFonts w:ascii="Verdana" w:hAnsi="Verdana" w:cs="Verdana"/>
      <w:noProof/>
      <w:sz w:val="13"/>
      <w:szCs w:val="13"/>
      <w:lang w:eastAsia="nl-NL"/>
    </w:rPr>
  </w:style>
  <w:style w:type="paragraph" w:customStyle="1" w:styleId="Huisstijl-NotaGegeven">
    <w:name w:val="Huisstijl-NotaGegeven"/>
    <w:basedOn w:val="Standaard"/>
    <w:rsid w:val="009A35EF"/>
    <w:pPr>
      <w:adjustRightInd w:val="0"/>
      <w:spacing w:line="180" w:lineRule="exact"/>
    </w:pPr>
    <w:rPr>
      <w:rFonts w:ascii="Verdana" w:hAnsi="Verdana" w:cs="Verdana"/>
      <w:noProof/>
      <w:sz w:val="13"/>
      <w:szCs w:val="18"/>
      <w:lang w:eastAsia="nl-NL"/>
    </w:rPr>
  </w:style>
  <w:style w:type="paragraph" w:styleId="Lijstnummering">
    <w:name w:val="List Number"/>
    <w:basedOn w:val="Standaard"/>
    <w:uiPriority w:val="99"/>
    <w:rsid w:val="009A35EF"/>
    <w:pPr>
      <w:numPr>
        <w:numId w:val="26"/>
      </w:numPr>
      <w:tabs>
        <w:tab w:val="clear" w:pos="400"/>
        <w:tab w:val="num" w:pos="360"/>
      </w:tabs>
      <w:spacing w:line="240" w:lineRule="atLeast"/>
      <w:ind w:left="0" w:firstLine="0"/>
    </w:pPr>
    <w:rPr>
      <w:rFonts w:ascii="Verdana" w:hAnsi="Verdana"/>
      <w:sz w:val="18"/>
      <w:lang w:eastAsia="nl-NL"/>
    </w:rPr>
  </w:style>
  <w:style w:type="paragraph" w:styleId="Lijstnummering2">
    <w:name w:val="List Number 2"/>
    <w:basedOn w:val="Standaard"/>
    <w:uiPriority w:val="99"/>
    <w:rsid w:val="009A35EF"/>
    <w:pPr>
      <w:numPr>
        <w:numId w:val="23"/>
      </w:numPr>
      <w:tabs>
        <w:tab w:val="clear" w:pos="580"/>
        <w:tab w:val="num" w:pos="360"/>
      </w:tabs>
      <w:spacing w:line="240" w:lineRule="atLeast"/>
      <w:ind w:left="0" w:firstLine="0"/>
    </w:pPr>
    <w:rPr>
      <w:rFonts w:ascii="Verdana" w:hAnsi="Verdana"/>
      <w:sz w:val="18"/>
      <w:lang w:eastAsia="nl-NL"/>
    </w:rPr>
  </w:style>
  <w:style w:type="paragraph" w:customStyle="1" w:styleId="Huisstijl-NotaKopje">
    <w:name w:val="Huisstijl-NotaKopje"/>
    <w:basedOn w:val="Huisstijl-NotaGegeven"/>
    <w:next w:val="Huisstijl-NotaGegeven"/>
    <w:rsid w:val="009A35EF"/>
    <w:pPr>
      <w:spacing w:before="160" w:line="240" w:lineRule="exact"/>
    </w:pPr>
  </w:style>
  <w:style w:type="paragraph" w:customStyle="1" w:styleId="Huisstijl-Paginanummering">
    <w:name w:val="Huisstijl-Paginanummering"/>
    <w:basedOn w:val="Standaard"/>
    <w:rsid w:val="009A35EF"/>
    <w:pPr>
      <w:spacing w:line="180" w:lineRule="exact"/>
    </w:pPr>
    <w:rPr>
      <w:rFonts w:ascii="Verdana" w:hAnsi="Verdana"/>
      <w:sz w:val="13"/>
      <w:lang w:eastAsia="nl-NL"/>
    </w:rPr>
  </w:style>
  <w:style w:type="paragraph" w:customStyle="1" w:styleId="Huisstijl-NAW">
    <w:name w:val="Huisstijl-NAW"/>
    <w:basedOn w:val="Standaard"/>
    <w:rsid w:val="009A35EF"/>
    <w:pPr>
      <w:adjustRightInd w:val="0"/>
      <w:spacing w:line="240" w:lineRule="atLeast"/>
    </w:pPr>
    <w:rPr>
      <w:rFonts w:ascii="Verdana" w:hAnsi="Verdana" w:cs="Verdana"/>
      <w:noProof/>
      <w:sz w:val="18"/>
      <w:szCs w:val="18"/>
      <w:lang w:eastAsia="nl-NL"/>
    </w:rPr>
  </w:style>
  <w:style w:type="character" w:customStyle="1" w:styleId="Huisstijl-GegevenCharChar">
    <w:name w:val="Huisstijl-Gegeven Char Char"/>
    <w:basedOn w:val="Standaardalinea-lettertype"/>
    <w:link w:val="Huisstijl-Gegeven"/>
    <w:locked/>
    <w:rsid w:val="009A35EF"/>
    <w:rPr>
      <w:rFonts w:ascii="Verdana" w:hAnsi="Verdana"/>
      <w:noProof/>
    </w:rPr>
  </w:style>
  <w:style w:type="paragraph" w:customStyle="1" w:styleId="Huisstijl-Gegeven">
    <w:name w:val="Huisstijl-Gegeven"/>
    <w:basedOn w:val="Standaard"/>
    <w:link w:val="Huisstijl-GegevenCharChar"/>
    <w:rsid w:val="009A35EF"/>
    <w:pPr>
      <w:spacing w:after="92" w:line="180" w:lineRule="exact"/>
    </w:pPr>
    <w:rPr>
      <w:rFonts w:ascii="Verdana" w:hAnsi="Verdana"/>
      <w:noProof/>
      <w:szCs w:val="20"/>
      <w:lang w:val="en-US" w:eastAsia="en-US"/>
    </w:rPr>
  </w:style>
  <w:style w:type="paragraph" w:customStyle="1" w:styleId="Huisstijl-Kopje">
    <w:name w:val="Huisstijl-Kopje"/>
    <w:basedOn w:val="Huisstijl-Gegeven"/>
    <w:link w:val="Huisstijl-KopjeChar"/>
    <w:rsid w:val="009A35EF"/>
    <w:pPr>
      <w:spacing w:after="0"/>
    </w:pPr>
    <w:rPr>
      <w:b/>
    </w:rPr>
  </w:style>
  <w:style w:type="character" w:customStyle="1" w:styleId="Huisstijl-KopjeChar">
    <w:name w:val="Huisstijl-Kopje Char"/>
    <w:basedOn w:val="Huisstijl-GegevenCharChar"/>
    <w:link w:val="Huisstijl-Kopje"/>
    <w:locked/>
    <w:rsid w:val="009A35EF"/>
    <w:rPr>
      <w:rFonts w:ascii="Verdana" w:hAnsi="Verdana"/>
      <w:b/>
      <w:noProof/>
    </w:rPr>
  </w:style>
  <w:style w:type="paragraph" w:customStyle="1" w:styleId="Huisstijl-Voorwaarden">
    <w:name w:val="Huisstijl-Voorwaarden"/>
    <w:basedOn w:val="Standaard"/>
    <w:rsid w:val="009A35EF"/>
    <w:pPr>
      <w:spacing w:line="180" w:lineRule="exact"/>
    </w:pPr>
    <w:rPr>
      <w:rFonts w:ascii="Verdana" w:hAnsi="Verdana"/>
      <w:i/>
      <w:noProof/>
      <w:sz w:val="13"/>
      <w:lang w:eastAsia="nl-NL"/>
    </w:rPr>
  </w:style>
  <w:style w:type="paragraph" w:customStyle="1" w:styleId="Inhoud">
    <w:name w:val="Inhoud"/>
    <w:basedOn w:val="Standaard"/>
    <w:next w:val="Standaard"/>
    <w:autoRedefine/>
    <w:rsid w:val="009A35EF"/>
    <w:pPr>
      <w:spacing w:before="240" w:after="240" w:line="288" w:lineRule="auto"/>
    </w:pPr>
    <w:rPr>
      <w:b/>
      <w:color w:val="333333"/>
      <w:sz w:val="26"/>
      <w:lang w:eastAsia="en-US"/>
    </w:rPr>
  </w:style>
  <w:style w:type="paragraph" w:customStyle="1" w:styleId="Voorblad">
    <w:name w:val="Voorblad"/>
    <w:basedOn w:val="Standaard"/>
    <w:rsid w:val="009A35EF"/>
    <w:pPr>
      <w:spacing w:line="288" w:lineRule="auto"/>
    </w:pPr>
    <w:rPr>
      <w:color w:val="333333"/>
      <w:lang w:eastAsia="en-US"/>
    </w:rPr>
  </w:style>
  <w:style w:type="paragraph" w:customStyle="1" w:styleId="Voorbladgrijs">
    <w:name w:val="Voorbladgrijs"/>
    <w:basedOn w:val="Voorblad"/>
    <w:next w:val="Voorblad"/>
    <w:rsid w:val="009A35EF"/>
    <w:rPr>
      <w:color w:val="808080"/>
    </w:rPr>
  </w:style>
  <w:style w:type="paragraph" w:customStyle="1" w:styleId="TabelCelKolom1">
    <w:name w:val="TabelCelKolom1"/>
    <w:basedOn w:val="Standaard"/>
    <w:rsid w:val="009A35EF"/>
    <w:pPr>
      <w:spacing w:line="288" w:lineRule="auto"/>
      <w:ind w:left="181"/>
    </w:pPr>
    <w:rPr>
      <w:color w:val="333333"/>
      <w:sz w:val="16"/>
      <w:szCs w:val="20"/>
      <w:lang w:eastAsia="en-US"/>
    </w:rPr>
  </w:style>
  <w:style w:type="paragraph" w:customStyle="1" w:styleId="TabelCelKolom2">
    <w:name w:val="TabelCelKolom2"/>
    <w:basedOn w:val="Standaard"/>
    <w:rsid w:val="009A35EF"/>
    <w:pPr>
      <w:spacing w:line="288" w:lineRule="auto"/>
      <w:ind w:left="181"/>
      <w:jc w:val="center"/>
    </w:pPr>
    <w:rPr>
      <w:color w:val="333333"/>
      <w:sz w:val="16"/>
      <w:szCs w:val="20"/>
      <w:lang w:eastAsia="en-US"/>
    </w:rPr>
  </w:style>
  <w:style w:type="character" w:customStyle="1" w:styleId="grijsgrootvet">
    <w:name w:val="grijsgrootvet"/>
    <w:rsid w:val="009A35EF"/>
    <w:rPr>
      <w:color w:val="808080"/>
      <w:sz w:val="22"/>
    </w:rPr>
  </w:style>
  <w:style w:type="paragraph" w:customStyle="1" w:styleId="Aanwezig">
    <w:name w:val="Aanwezig"/>
    <w:basedOn w:val="Standaard"/>
    <w:rsid w:val="009A35EF"/>
    <w:pPr>
      <w:tabs>
        <w:tab w:val="left" w:pos="3895"/>
        <w:tab w:val="left" w:pos="7796"/>
      </w:tabs>
      <w:spacing w:line="288" w:lineRule="auto"/>
    </w:pPr>
    <w:rPr>
      <w:color w:val="333333"/>
      <w:sz w:val="16"/>
      <w:szCs w:val="16"/>
      <w:lang w:eastAsia="en-US"/>
    </w:rPr>
  </w:style>
  <w:style w:type="paragraph" w:customStyle="1" w:styleId="Aanwezigkop">
    <w:name w:val="Aanwezigkop"/>
    <w:basedOn w:val="Aanwezig"/>
    <w:next w:val="Aanwezig"/>
    <w:rsid w:val="009A35EF"/>
    <w:rPr>
      <w:b/>
    </w:rPr>
  </w:style>
  <w:style w:type="paragraph" w:customStyle="1" w:styleId="LijstAgenda">
    <w:name w:val="LijstAgenda"/>
    <w:basedOn w:val="Standaard"/>
    <w:autoRedefine/>
    <w:rsid w:val="009A35EF"/>
    <w:pPr>
      <w:numPr>
        <w:numId w:val="27"/>
      </w:numPr>
      <w:tabs>
        <w:tab w:val="clear" w:pos="360"/>
        <w:tab w:val="num" w:pos="425"/>
      </w:tabs>
      <w:spacing w:line="288" w:lineRule="auto"/>
      <w:ind w:left="425" w:hanging="425"/>
    </w:pPr>
    <w:rPr>
      <w:color w:val="333333"/>
      <w:lang w:eastAsia="en-US"/>
    </w:rPr>
  </w:style>
  <w:style w:type="character" w:customStyle="1" w:styleId="CharChar1">
    <w:name w:val="Char Char1"/>
    <w:rsid w:val="009A35EF"/>
    <w:rPr>
      <w:rFonts w:ascii="Arial" w:hAnsi="Arial"/>
      <w:b/>
      <w:color w:val="333333"/>
      <w:sz w:val="22"/>
      <w:lang w:val="nl-NL" w:eastAsia="en-US"/>
    </w:rPr>
  </w:style>
  <w:style w:type="character" w:customStyle="1" w:styleId="65pt">
    <w:name w:val="6.5 pt"/>
    <w:basedOn w:val="Standaardalinea-lettertype"/>
    <w:uiPriority w:val="99"/>
    <w:rsid w:val="009A35EF"/>
    <w:rPr>
      <w:rFonts w:cs="Times New Roman"/>
      <w:sz w:val="13"/>
    </w:rPr>
  </w:style>
  <w:style w:type="character" w:customStyle="1" w:styleId="Cursief">
    <w:name w:val="Cursief"/>
    <w:basedOn w:val="Standaardalinea-lettertype"/>
    <w:uiPriority w:val="99"/>
    <w:rsid w:val="009A35EF"/>
    <w:rPr>
      <w:rFonts w:cs="Times New Roman"/>
      <w:i/>
    </w:rPr>
  </w:style>
  <w:style w:type="character" w:customStyle="1" w:styleId="Huisstijl-GegevenChar">
    <w:name w:val="Huisstijl-Gegeven Char"/>
    <w:basedOn w:val="Standaardalinea-lettertype"/>
    <w:uiPriority w:val="99"/>
    <w:locked/>
    <w:rsid w:val="009A35EF"/>
    <w:rPr>
      <w:rFonts w:ascii="Verdana" w:eastAsia="Times New Roman" w:hAnsi="Verdana" w:cs="Times New Roman"/>
      <w:noProof/>
      <w:sz w:val="13"/>
      <w:lang w:eastAsia="en-US"/>
    </w:rPr>
  </w:style>
  <w:style w:type="paragraph" w:customStyle="1" w:styleId="Huisstijl-Kopie">
    <w:name w:val="Huisstijl-Kopie"/>
    <w:basedOn w:val="Huisstijl-Gegeven"/>
    <w:uiPriority w:val="99"/>
    <w:rsid w:val="009A35EF"/>
    <w:pPr>
      <w:spacing w:after="0"/>
    </w:pPr>
    <w:rPr>
      <w:b/>
      <w:sz w:val="13"/>
      <w:szCs w:val="22"/>
    </w:rPr>
  </w:style>
  <w:style w:type="paragraph" w:customStyle="1" w:styleId="Geenafstand1">
    <w:name w:val="Geen afstand1"/>
    <w:link w:val="NoSpacingChar"/>
    <w:qFormat/>
    <w:rsid w:val="009A35EF"/>
    <w:rPr>
      <w:rFonts w:ascii="Calibri" w:hAnsi="Calibri"/>
      <w:sz w:val="22"/>
      <w:lang w:val="nl-NL" w:eastAsia="nl-NL"/>
    </w:rPr>
  </w:style>
  <w:style w:type="character" w:customStyle="1" w:styleId="NoSpacingChar">
    <w:name w:val="No Spacing Char"/>
    <w:link w:val="Geenafstand1"/>
    <w:locked/>
    <w:rsid w:val="009A35EF"/>
    <w:rPr>
      <w:rFonts w:ascii="Calibri" w:hAnsi="Calibri"/>
      <w:sz w:val="22"/>
      <w:lang w:val="nl-NL" w:eastAsia="nl-NL"/>
    </w:rPr>
  </w:style>
  <w:style w:type="paragraph" w:customStyle="1" w:styleId="Citaat1">
    <w:name w:val="Citaat1"/>
    <w:basedOn w:val="Standaard"/>
    <w:next w:val="Standaard"/>
    <w:link w:val="QuoteChar"/>
    <w:qFormat/>
    <w:rsid w:val="009A35EF"/>
    <w:pPr>
      <w:spacing w:line="240" w:lineRule="auto"/>
      <w:ind w:firstLine="360"/>
    </w:pPr>
    <w:rPr>
      <w:rFonts w:ascii="Cambria" w:hAnsi="Cambria"/>
      <w:i/>
      <w:color w:val="5A5A5A"/>
      <w:szCs w:val="20"/>
      <w:lang w:val="en-US" w:eastAsia="nl-NL"/>
    </w:rPr>
  </w:style>
  <w:style w:type="character" w:customStyle="1" w:styleId="QuoteChar">
    <w:name w:val="Quote Char"/>
    <w:link w:val="Citaat1"/>
    <w:locked/>
    <w:rsid w:val="009A35EF"/>
    <w:rPr>
      <w:rFonts w:ascii="Cambria" w:hAnsi="Cambria"/>
      <w:i/>
      <w:color w:val="5A5A5A"/>
      <w:lang w:eastAsia="nl-NL"/>
    </w:rPr>
  </w:style>
  <w:style w:type="paragraph" w:customStyle="1" w:styleId="Duidelijkcitaat1">
    <w:name w:val="Duidelijk citaat1"/>
    <w:basedOn w:val="Standaard"/>
    <w:next w:val="Standaard"/>
    <w:link w:val="IntenseQuoteChar"/>
    <w:qFormat/>
    <w:rsid w:val="009A35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color w:val="FFFFFF"/>
      <w:sz w:val="24"/>
      <w:szCs w:val="20"/>
      <w:lang w:val="en-US" w:eastAsia="nl-NL"/>
    </w:rPr>
  </w:style>
  <w:style w:type="character" w:customStyle="1" w:styleId="IntenseQuoteChar">
    <w:name w:val="Intense Quote Char"/>
    <w:link w:val="Duidelijkcitaat1"/>
    <w:locked/>
    <w:rsid w:val="009A35EF"/>
    <w:rPr>
      <w:rFonts w:ascii="Cambria" w:hAnsi="Cambria"/>
      <w:i/>
      <w:color w:val="FFFFFF"/>
      <w:sz w:val="24"/>
      <w:shd w:val="clear" w:color="auto" w:fill="4F81BD"/>
      <w:lang w:eastAsia="nl-NL"/>
    </w:rPr>
  </w:style>
  <w:style w:type="character" w:customStyle="1" w:styleId="Subtielebenadrukking1">
    <w:name w:val="Subtiele benadrukking1"/>
    <w:qFormat/>
    <w:rsid w:val="009A35EF"/>
    <w:rPr>
      <w:i/>
      <w:color w:val="5A5A5A"/>
    </w:rPr>
  </w:style>
  <w:style w:type="character" w:customStyle="1" w:styleId="Intensievebenadrukking1">
    <w:name w:val="Intensieve benadrukking1"/>
    <w:qFormat/>
    <w:rsid w:val="009A35EF"/>
    <w:rPr>
      <w:b/>
      <w:i/>
      <w:color w:val="4F81BD"/>
      <w:sz w:val="22"/>
    </w:rPr>
  </w:style>
  <w:style w:type="character" w:customStyle="1" w:styleId="Subtieleverwijzing1">
    <w:name w:val="Subtiele verwijzing1"/>
    <w:qFormat/>
    <w:rsid w:val="009A35EF"/>
    <w:rPr>
      <w:color w:val="auto"/>
      <w:u w:val="single" w:color="9BBB59"/>
    </w:rPr>
  </w:style>
  <w:style w:type="character" w:customStyle="1" w:styleId="Intensieveverwijzing1">
    <w:name w:val="Intensieve verwijzing1"/>
    <w:qFormat/>
    <w:rsid w:val="009A35EF"/>
    <w:rPr>
      <w:b/>
      <w:color w:val="76923C"/>
      <w:u w:val="single" w:color="9BBB59"/>
    </w:rPr>
  </w:style>
  <w:style w:type="character" w:customStyle="1" w:styleId="Titelvanboek1">
    <w:name w:val="Titel van boek1"/>
    <w:qFormat/>
    <w:rsid w:val="009A35EF"/>
    <w:rPr>
      <w:rFonts w:ascii="Cambria" w:hAnsi="Cambria"/>
      <w:b/>
      <w:i/>
      <w:color w:val="auto"/>
    </w:rPr>
  </w:style>
  <w:style w:type="paragraph" w:customStyle="1" w:styleId="Kopvaninhoudsopgave1">
    <w:name w:val="Kop van inhoudsopgave1"/>
    <w:basedOn w:val="Kop1"/>
    <w:next w:val="Standaard"/>
    <w:semiHidden/>
    <w:unhideWhenUsed/>
    <w:qFormat/>
    <w:rsid w:val="009A35EF"/>
    <w:pPr>
      <w:keepNext w:val="0"/>
      <w:pBdr>
        <w:bottom w:val="single" w:sz="12" w:space="1" w:color="365F91"/>
      </w:pBdr>
      <w:spacing w:before="600" w:after="80" w:line="240" w:lineRule="auto"/>
      <w:outlineLvl w:val="9"/>
    </w:pPr>
    <w:rPr>
      <w:rFonts w:eastAsia="Times New Roman"/>
      <w:color w:val="365F91"/>
      <w:kern w:val="0"/>
      <w:sz w:val="24"/>
      <w:szCs w:val="24"/>
      <w:lang w:val="en-US" w:eastAsia="nl-NL"/>
    </w:rPr>
  </w:style>
  <w:style w:type="paragraph" w:customStyle="1" w:styleId="Revisie1">
    <w:name w:val="Revisie1"/>
    <w:hidden/>
    <w:semiHidden/>
    <w:rsid w:val="009A35EF"/>
    <w:rPr>
      <w:sz w:val="22"/>
      <w:lang w:val="nl" w:eastAsia="nl-NL"/>
    </w:rPr>
  </w:style>
  <w:style w:type="paragraph" w:customStyle="1" w:styleId="Lijstalinea21">
    <w:name w:val="Lijstalinea21"/>
    <w:basedOn w:val="Standaard"/>
    <w:rsid w:val="009A35EF"/>
    <w:pPr>
      <w:spacing w:after="200" w:line="276" w:lineRule="auto"/>
      <w:ind w:left="720"/>
      <w:contextualSpacing/>
    </w:pPr>
    <w:rPr>
      <w:rFonts w:ascii="Calibri" w:hAnsi="Calibri" w:cs="Calibri"/>
      <w:sz w:val="22"/>
      <w:szCs w:val="22"/>
      <w:lang w:eastAsia="en-US"/>
    </w:rPr>
  </w:style>
  <w:style w:type="paragraph" w:customStyle="1" w:styleId="Revisie2">
    <w:name w:val="Revisie2"/>
    <w:hidden/>
    <w:uiPriority w:val="99"/>
    <w:semiHidden/>
    <w:rsid w:val="009A35EF"/>
    <w:rPr>
      <w:rFonts w:ascii="Calibri" w:hAnsi="Calibri"/>
      <w:sz w:val="22"/>
      <w:szCs w:val="22"/>
      <w:lang w:val="nl-NL" w:eastAsia="nl-NL"/>
    </w:rPr>
  </w:style>
  <w:style w:type="paragraph" w:customStyle="1" w:styleId="Lijstalinea3">
    <w:name w:val="Lijstalinea3"/>
    <w:basedOn w:val="Standaard"/>
    <w:link w:val="ListParagraphChar"/>
    <w:uiPriority w:val="34"/>
    <w:qFormat/>
    <w:rsid w:val="009A35EF"/>
    <w:pPr>
      <w:spacing w:after="200" w:line="276" w:lineRule="auto"/>
      <w:ind w:left="708"/>
    </w:pPr>
    <w:rPr>
      <w:rFonts w:ascii="Calibri" w:hAnsi="Calibri"/>
      <w:sz w:val="22"/>
      <w:szCs w:val="20"/>
      <w:lang w:eastAsia="nl-NL"/>
    </w:rPr>
  </w:style>
  <w:style w:type="character" w:customStyle="1" w:styleId="ListParagraphChar">
    <w:name w:val="List Paragraph Char"/>
    <w:link w:val="Lijstalinea3"/>
    <w:uiPriority w:val="34"/>
    <w:locked/>
    <w:rsid w:val="009A35EF"/>
    <w:rPr>
      <w:rFonts w:ascii="Calibri" w:hAnsi="Calibri"/>
      <w:sz w:val="22"/>
      <w:lang w:val="nl-NL" w:eastAsia="nl-NL"/>
    </w:rPr>
  </w:style>
  <w:style w:type="character" w:customStyle="1" w:styleId="description">
    <w:name w:val="description"/>
    <w:rsid w:val="009A35EF"/>
  </w:style>
  <w:style w:type="paragraph" w:customStyle="1" w:styleId="Plattetekstinspringen1">
    <w:name w:val="Platte tekst inspringen1"/>
    <w:basedOn w:val="Standaard"/>
    <w:link w:val="BodyTextIndentChar"/>
    <w:rsid w:val="009A35EF"/>
    <w:pPr>
      <w:spacing w:line="280" w:lineRule="exact"/>
      <w:ind w:firstLine="1"/>
    </w:pPr>
    <w:rPr>
      <w:rFonts w:ascii="Times New Roman" w:hAnsi="Times New Roman"/>
      <w:szCs w:val="20"/>
      <w:lang w:val="nl" w:eastAsia="nl-NL"/>
    </w:rPr>
  </w:style>
  <w:style w:type="character" w:customStyle="1" w:styleId="BodyTextIndentChar">
    <w:name w:val="Body Text Indent Char"/>
    <w:link w:val="Plattetekstinspringen1"/>
    <w:locked/>
    <w:rsid w:val="009A35EF"/>
    <w:rPr>
      <w:lang w:val="nl" w:eastAsia="nl-NL"/>
    </w:rPr>
  </w:style>
  <w:style w:type="paragraph" w:customStyle="1" w:styleId="tussenkop1">
    <w:name w:val="tussenkop1"/>
    <w:basedOn w:val="Standaard"/>
    <w:uiPriority w:val="99"/>
    <w:rsid w:val="009A35EF"/>
    <w:pPr>
      <w:spacing w:before="240" w:after="240" w:line="240" w:lineRule="auto"/>
    </w:pPr>
    <w:rPr>
      <w:rFonts w:ascii="Times New Roman" w:hAnsi="Times New Roman"/>
      <w:sz w:val="24"/>
      <w:lang w:eastAsia="nl-NL"/>
    </w:rPr>
  </w:style>
  <w:style w:type="paragraph" w:customStyle="1" w:styleId="Noteinitalic">
    <w:name w:val="Note in italic"/>
    <w:basedOn w:val="Standaard"/>
    <w:uiPriority w:val="99"/>
    <w:rsid w:val="009A35EF"/>
    <w:pPr>
      <w:spacing w:before="120" w:after="240" w:line="288" w:lineRule="auto"/>
    </w:pPr>
    <w:rPr>
      <w:rFonts w:cs="Arial"/>
      <w:i/>
      <w:iCs/>
      <w:sz w:val="18"/>
      <w:szCs w:val="18"/>
      <w:lang w:eastAsia="en-US"/>
    </w:rPr>
  </w:style>
  <w:style w:type="paragraph" w:customStyle="1" w:styleId="CM4">
    <w:name w:val="CM4"/>
    <w:basedOn w:val="Default"/>
    <w:next w:val="Default"/>
    <w:uiPriority w:val="99"/>
    <w:rsid w:val="009A35EF"/>
    <w:pPr>
      <w:widowControl/>
      <w:tabs>
        <w:tab w:val="clear" w:pos="454"/>
      </w:tabs>
      <w:spacing w:line="240" w:lineRule="auto"/>
    </w:pPr>
    <w:rPr>
      <w:rFonts w:ascii="EUAlbertina" w:eastAsia="Calibri" w:hAnsi="EUAlbertina" w:cs="Times New Roman"/>
      <w:color w:val="auto"/>
      <w:sz w:val="24"/>
    </w:rPr>
  </w:style>
  <w:style w:type="character" w:customStyle="1" w:styleId="ol1">
    <w:name w:val="ol1"/>
    <w:basedOn w:val="Standaardalinea-lettertype"/>
    <w:rsid w:val="001774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footnote reference" w:uiPriority="0"/>
    <w:lsdException w:name="annotation reference" w:unhideWhenUsed="0"/>
    <w:lsdException w:name="List" w:uiPriority="0"/>
    <w:lsdException w:name="Title" w:semiHidden="0" w:uiPriority="10" w:unhideWhenUsed="0" w:qFormat="1"/>
    <w:lsdException w:name="Default Paragraph Font" w:uiPriority="1" w:unhideWhenUsed="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line="260" w:lineRule="atLeast"/>
    </w:pPr>
    <w:rPr>
      <w:rFonts w:ascii="Arial" w:hAnsi="Arial"/>
      <w:szCs w:val="24"/>
      <w:lang w:val="nl-NL" w:eastAsia="en-AU"/>
    </w:rPr>
  </w:style>
  <w:style w:type="paragraph" w:styleId="Kop1">
    <w:name w:val="heading 1"/>
    <w:basedOn w:val="Standaard"/>
    <w:next w:val="Standaard"/>
    <w:link w:val="Kop1Char"/>
    <w:uiPriority w:val="9"/>
    <w:qFormat/>
    <w:pPr>
      <w:keepNext/>
      <w:spacing w:before="240" w:after="60"/>
      <w:outlineLvl w:val="0"/>
    </w:pPr>
    <w:rPr>
      <w:rFonts w:ascii="Cambria" w:eastAsiaTheme="minorEastAsia" w:hAnsi="Cambria"/>
      <w:b/>
      <w:bCs/>
      <w:kern w:val="32"/>
      <w:sz w:val="32"/>
      <w:szCs w:val="32"/>
    </w:rPr>
  </w:style>
  <w:style w:type="paragraph" w:styleId="Kop2">
    <w:name w:val="heading 2"/>
    <w:basedOn w:val="Standaard"/>
    <w:next w:val="Standaard"/>
    <w:link w:val="Kop2Char"/>
    <w:uiPriority w:val="9"/>
    <w:unhideWhenUsed/>
    <w:qFormat/>
    <w:pPr>
      <w:keepNext/>
      <w:spacing w:before="240" w:after="60"/>
      <w:outlineLvl w:val="1"/>
    </w:pPr>
    <w:rPr>
      <w:rFonts w:ascii="Cambria" w:eastAsiaTheme="minorEastAsia" w:hAnsi="Cambria"/>
      <w:b/>
      <w:bCs/>
      <w:i/>
      <w:iCs/>
      <w:sz w:val="28"/>
      <w:szCs w:val="28"/>
    </w:rPr>
  </w:style>
  <w:style w:type="paragraph" w:styleId="Kop3">
    <w:name w:val="heading 3"/>
    <w:basedOn w:val="Standaard"/>
    <w:next w:val="Standaard"/>
    <w:link w:val="Kop3Char"/>
    <w:uiPriority w:val="9"/>
    <w:unhideWhenUsed/>
    <w:qFormat/>
    <w:pPr>
      <w:keepNext/>
      <w:spacing w:before="240" w:after="60"/>
      <w:outlineLvl w:val="2"/>
    </w:pPr>
    <w:rPr>
      <w:rFonts w:ascii="Cambria" w:eastAsiaTheme="minorEastAsia" w:hAnsi="Cambria" w:cs="Arial"/>
      <w:b/>
      <w:bCs/>
      <w:sz w:val="26"/>
      <w:szCs w:val="26"/>
    </w:rPr>
  </w:style>
  <w:style w:type="paragraph" w:styleId="Kop4">
    <w:name w:val="heading 4"/>
    <w:basedOn w:val="Standaard"/>
    <w:next w:val="Standaard"/>
    <w:link w:val="Kop4Char"/>
    <w:uiPriority w:val="9"/>
    <w:unhideWhenUsed/>
    <w:qFormat/>
    <w:pPr>
      <w:keepNext/>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unhideWhenUsed/>
    <w:qFormat/>
    <w:p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
    <w:unhideWhenUsed/>
    <w:qFormat/>
    <w:pPr>
      <w:spacing w:before="240" w:after="60"/>
      <w:outlineLvl w:val="5"/>
    </w:pPr>
    <w:rPr>
      <w:rFonts w:asciiTheme="minorHAnsi" w:eastAsiaTheme="minorEastAsia" w:hAnsiTheme="minorHAnsi" w:cstheme="minorBidi"/>
      <w:b/>
      <w:bCs/>
      <w:sz w:val="22"/>
      <w:szCs w:val="22"/>
    </w:rPr>
  </w:style>
  <w:style w:type="paragraph" w:styleId="Kop7">
    <w:name w:val="heading 7"/>
    <w:basedOn w:val="Standaard"/>
    <w:next w:val="Standaard"/>
    <w:link w:val="Kop7Char"/>
    <w:uiPriority w:val="9"/>
    <w:unhideWhenUsed/>
    <w:qFormat/>
    <w:pPr>
      <w:spacing w:before="240" w:after="60"/>
      <w:outlineLvl w:val="6"/>
    </w:pPr>
    <w:rPr>
      <w:rFonts w:asciiTheme="minorHAnsi" w:eastAsiaTheme="minorEastAsia" w:hAnsiTheme="minorHAnsi" w:cstheme="minorBidi"/>
      <w:sz w:val="24"/>
    </w:rPr>
  </w:style>
  <w:style w:type="paragraph" w:styleId="Kop8">
    <w:name w:val="heading 8"/>
    <w:basedOn w:val="Standaard"/>
    <w:next w:val="Standaard"/>
    <w:link w:val="Kop8Char"/>
    <w:uiPriority w:val="9"/>
    <w:unhideWhenUsed/>
    <w:qFormat/>
    <w:pPr>
      <w:spacing w:before="240" w:after="60"/>
      <w:outlineLvl w:val="7"/>
    </w:pPr>
    <w:rPr>
      <w:rFonts w:asciiTheme="minorHAnsi" w:eastAsiaTheme="minorEastAsia" w:hAnsiTheme="minorHAnsi" w:cstheme="minorBidi"/>
      <w:i/>
      <w:iCs/>
      <w:sz w:val="24"/>
    </w:rPr>
  </w:style>
  <w:style w:type="paragraph" w:styleId="Kop9">
    <w:name w:val="heading 9"/>
    <w:basedOn w:val="Standaard"/>
    <w:next w:val="Standaard"/>
    <w:link w:val="Kop9Char"/>
    <w:uiPriority w:val="9"/>
    <w:unhideWhenUsed/>
    <w:qFormat/>
    <w:p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000FF"/>
      <w:u w:val="single"/>
    </w:rPr>
  </w:style>
  <w:style w:type="character" w:styleId="GevolgdeHyperlink">
    <w:name w:val="FollowedHyperlink"/>
    <w:basedOn w:val="Standaardalinea-lettertype"/>
    <w:uiPriority w:val="99"/>
    <w:unhideWhenUsed/>
    <w:rPr>
      <w:color w:val="800080" w:themeColor="followedHyperlink"/>
      <w:u w:val="single"/>
    </w:rPr>
  </w:style>
  <w:style w:type="character" w:customStyle="1" w:styleId="Kop1Char">
    <w:name w:val="Kop 1 Char"/>
    <w:basedOn w:val="Standaardalinea-lettertype"/>
    <w:link w:val="Kop1"/>
    <w:uiPriority w:val="9"/>
    <w:locked/>
    <w:rPr>
      <w:rFonts w:ascii="Cambria" w:eastAsia="Times New Roman" w:hAnsi="Cambria" w:cs="Times New Roman" w:hint="default"/>
      <w:b/>
      <w:bCs/>
      <w:kern w:val="32"/>
      <w:sz w:val="32"/>
      <w:szCs w:val="32"/>
      <w:lang w:val="nl-NL" w:eastAsia="en-AU"/>
    </w:rPr>
  </w:style>
  <w:style w:type="character" w:customStyle="1" w:styleId="Kop2Char">
    <w:name w:val="Kop 2 Char"/>
    <w:basedOn w:val="Standaardalinea-lettertype"/>
    <w:link w:val="Kop2"/>
    <w:uiPriority w:val="9"/>
    <w:locked/>
    <w:rPr>
      <w:rFonts w:ascii="Cambria" w:hAnsi="Cambria" w:hint="default"/>
      <w:b/>
      <w:bCs/>
      <w:i/>
      <w:iCs/>
      <w:sz w:val="28"/>
      <w:szCs w:val="28"/>
      <w:lang w:val="nl-NL" w:eastAsia="en-AU"/>
    </w:rPr>
  </w:style>
  <w:style w:type="character" w:customStyle="1" w:styleId="Kop3Char">
    <w:name w:val="Kop 3 Char"/>
    <w:basedOn w:val="Standaardalinea-lettertype"/>
    <w:link w:val="Kop3"/>
    <w:uiPriority w:val="9"/>
    <w:locked/>
    <w:rPr>
      <w:rFonts w:ascii="Cambria" w:hAnsi="Cambria" w:cs="Arial" w:hint="default"/>
      <w:b/>
      <w:bCs/>
      <w:sz w:val="26"/>
      <w:szCs w:val="26"/>
      <w:lang w:val="nl-NL" w:eastAsia="en-AU"/>
    </w:rPr>
  </w:style>
  <w:style w:type="character" w:customStyle="1" w:styleId="Kop4Char">
    <w:name w:val="Kop 4 Char"/>
    <w:basedOn w:val="Standaardalinea-lettertype"/>
    <w:link w:val="Kop4"/>
    <w:uiPriority w:val="9"/>
    <w:locked/>
    <w:rPr>
      <w:rFonts w:asciiTheme="minorHAnsi" w:eastAsiaTheme="minorEastAsia" w:hAnsiTheme="minorHAnsi" w:cstheme="minorBidi" w:hint="default"/>
      <w:b/>
      <w:bCs/>
      <w:sz w:val="28"/>
      <w:szCs w:val="28"/>
      <w:lang w:val="nl-NL" w:eastAsia="en-AU"/>
    </w:rPr>
  </w:style>
  <w:style w:type="character" w:customStyle="1" w:styleId="Kop5Char">
    <w:name w:val="Kop 5 Char"/>
    <w:basedOn w:val="Standaardalinea-lettertype"/>
    <w:link w:val="Kop5"/>
    <w:uiPriority w:val="9"/>
    <w:locked/>
    <w:rPr>
      <w:rFonts w:asciiTheme="minorHAnsi" w:eastAsiaTheme="minorEastAsia" w:hAnsiTheme="minorHAnsi" w:cstheme="minorBidi" w:hint="default"/>
      <w:b/>
      <w:bCs/>
      <w:i/>
      <w:iCs/>
      <w:sz w:val="26"/>
      <w:szCs w:val="26"/>
      <w:lang w:val="nl-NL" w:eastAsia="en-AU"/>
    </w:rPr>
  </w:style>
  <w:style w:type="character" w:customStyle="1" w:styleId="Kop6Char">
    <w:name w:val="Kop 6 Char"/>
    <w:basedOn w:val="Standaardalinea-lettertype"/>
    <w:link w:val="Kop6"/>
    <w:uiPriority w:val="9"/>
    <w:locked/>
    <w:rPr>
      <w:rFonts w:asciiTheme="minorHAnsi" w:eastAsiaTheme="minorEastAsia" w:hAnsiTheme="minorHAnsi" w:cstheme="minorBidi" w:hint="default"/>
      <w:b/>
      <w:bCs/>
      <w:sz w:val="22"/>
      <w:szCs w:val="22"/>
      <w:lang w:val="nl-NL" w:eastAsia="en-AU"/>
    </w:rPr>
  </w:style>
  <w:style w:type="character" w:customStyle="1" w:styleId="Kop7Char">
    <w:name w:val="Kop 7 Char"/>
    <w:basedOn w:val="Standaardalinea-lettertype"/>
    <w:link w:val="Kop7"/>
    <w:uiPriority w:val="9"/>
    <w:locked/>
    <w:rPr>
      <w:rFonts w:asciiTheme="minorHAnsi" w:eastAsiaTheme="minorEastAsia" w:hAnsiTheme="minorHAnsi" w:cstheme="minorBidi" w:hint="default"/>
      <w:sz w:val="24"/>
      <w:szCs w:val="24"/>
      <w:lang w:val="nl-NL" w:eastAsia="en-AU"/>
    </w:rPr>
  </w:style>
  <w:style w:type="character" w:customStyle="1" w:styleId="Kop8Char">
    <w:name w:val="Kop 8 Char"/>
    <w:basedOn w:val="Standaardalinea-lettertype"/>
    <w:link w:val="Kop8"/>
    <w:uiPriority w:val="9"/>
    <w:locked/>
    <w:rPr>
      <w:rFonts w:asciiTheme="minorHAnsi" w:eastAsiaTheme="minorEastAsia" w:hAnsiTheme="minorHAnsi" w:cstheme="minorBidi" w:hint="default"/>
      <w:i/>
      <w:iCs/>
      <w:sz w:val="24"/>
      <w:szCs w:val="24"/>
      <w:lang w:val="nl-NL" w:eastAsia="en-AU"/>
    </w:rPr>
  </w:style>
  <w:style w:type="character" w:customStyle="1" w:styleId="Kop9Char">
    <w:name w:val="Kop 9 Char"/>
    <w:basedOn w:val="Standaardalinea-lettertype"/>
    <w:link w:val="Kop9"/>
    <w:uiPriority w:val="9"/>
    <w:locked/>
    <w:rPr>
      <w:rFonts w:asciiTheme="majorHAnsi" w:eastAsiaTheme="majorEastAsia" w:hAnsiTheme="majorHAnsi" w:cstheme="majorBidi" w:hint="default"/>
      <w:sz w:val="22"/>
      <w:szCs w:val="22"/>
      <w:lang w:val="nl-NL" w:eastAsia="en-AU"/>
    </w:rPr>
  </w:style>
  <w:style w:type="paragraph" w:styleId="Tekstopmerking">
    <w:name w:val="annotation text"/>
    <w:basedOn w:val="Standaard"/>
    <w:link w:val="TekstopmerkingChar"/>
    <w:uiPriority w:val="99"/>
    <w:rPr>
      <w:szCs w:val="20"/>
    </w:rPr>
  </w:style>
  <w:style w:type="character" w:customStyle="1" w:styleId="TekstopmerkingChar">
    <w:name w:val="Tekst opmerking Char"/>
    <w:basedOn w:val="Standaardalinea-lettertype"/>
    <w:link w:val="Tekstopmerking"/>
    <w:uiPriority w:val="99"/>
    <w:locked/>
    <w:rPr>
      <w:sz w:val="20"/>
      <w:szCs w:val="20"/>
      <w:lang w:val="nl-NL" w:eastAsia="nl-NL"/>
    </w:rPr>
  </w:style>
  <w:style w:type="paragraph" w:styleId="Voettekst">
    <w:name w:val="footer"/>
    <w:basedOn w:val="Standaard"/>
    <w:link w:val="VoettekstChar"/>
    <w:uiPriority w:val="99"/>
    <w:unhideWhenUsed/>
    <w:pPr>
      <w:tabs>
        <w:tab w:val="right" w:pos="8299"/>
      </w:tabs>
      <w:spacing w:before="144" w:line="240" w:lineRule="auto"/>
    </w:pPr>
    <w:rPr>
      <w:rFonts w:ascii="DejaVu Sans" w:eastAsia="MS Mincho" w:hAnsi="DejaVu Sans"/>
      <w:sz w:val="18"/>
      <w:szCs w:val="20"/>
      <w:lang w:val="en-US" w:eastAsia="en-US"/>
    </w:rPr>
  </w:style>
  <w:style w:type="character" w:customStyle="1" w:styleId="VoettekstChar">
    <w:name w:val="Voettekst Char"/>
    <w:basedOn w:val="Standaardalinea-lettertype"/>
    <w:link w:val="Voettekst"/>
    <w:uiPriority w:val="99"/>
    <w:locked/>
    <w:rPr>
      <w:rFonts w:ascii="DejaVu Sans" w:eastAsia="MS Mincho" w:hAnsi="DejaVu Sans" w:cs="DejaVu Sans" w:hint="default"/>
      <w:sz w:val="18"/>
    </w:rPr>
  </w:style>
  <w:style w:type="paragraph" w:styleId="Plattetekst">
    <w:name w:val="Body Text"/>
    <w:basedOn w:val="Standaard"/>
    <w:link w:val="PlattetekstChar"/>
    <w:uiPriority w:val="99"/>
    <w:unhideWhenUsed/>
    <w:pPr>
      <w:overflowPunct w:val="0"/>
      <w:autoSpaceDE w:val="0"/>
      <w:autoSpaceDN w:val="0"/>
      <w:adjustRightInd w:val="0"/>
      <w:spacing w:line="247" w:lineRule="exact"/>
    </w:pPr>
    <w:rPr>
      <w:rFonts w:ascii="V&amp;W Syntax (Adobe)" w:hAnsi="V&amp;W Syntax (Adobe)"/>
      <w:b/>
      <w:sz w:val="19"/>
      <w:szCs w:val="20"/>
      <w:lang w:val="nl" w:eastAsia="nl-NL"/>
    </w:rPr>
  </w:style>
  <w:style w:type="character" w:customStyle="1" w:styleId="PlattetekstChar">
    <w:name w:val="Platte tekst Char"/>
    <w:basedOn w:val="Standaardalinea-lettertype"/>
    <w:link w:val="Plattetekst"/>
    <w:uiPriority w:val="99"/>
    <w:locked/>
    <w:rPr>
      <w:rFonts w:ascii="V&amp;W Syntax (Adobe)" w:hAnsi="V&amp;W Syntax (Adobe)" w:hint="default"/>
      <w:b/>
      <w:bCs w:val="0"/>
      <w:sz w:val="19"/>
      <w:lang w:val="nl" w:eastAsia="nl-NL"/>
    </w:rPr>
  </w:style>
  <w:style w:type="paragraph" w:styleId="Documentstructuur">
    <w:name w:val="Document Map"/>
    <w:basedOn w:val="Standaard"/>
    <w:link w:val="DocumentstructuurChar"/>
    <w:uiPriority w:val="99"/>
    <w:semiHidden/>
    <w:unhideWhenUsed/>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locked/>
    <w:rPr>
      <w:rFonts w:ascii="Tahoma" w:hAnsi="Tahoma" w:cs="Tahoma" w:hint="default"/>
      <w:sz w:val="16"/>
      <w:szCs w:val="16"/>
      <w:lang w:val="nl-NL" w:eastAsia="nl-NL"/>
    </w:rPr>
  </w:style>
  <w:style w:type="paragraph" w:styleId="Tekstzonderopmaak">
    <w:name w:val="Plain Text"/>
    <w:basedOn w:val="Standaard"/>
    <w:link w:val="TekstzonderopmaakChar"/>
    <w:uiPriority w:val="99"/>
    <w:semiHidden/>
    <w:unhideWhenUsed/>
    <w:pPr>
      <w:spacing w:line="240" w:lineRule="auto"/>
    </w:pPr>
    <w:rPr>
      <w:rFonts w:ascii="Verdana" w:eastAsia="Calibri" w:hAnsi="Verdana"/>
      <w:sz w:val="18"/>
      <w:szCs w:val="21"/>
      <w:lang w:eastAsia="en-US"/>
    </w:rPr>
  </w:style>
  <w:style w:type="character" w:customStyle="1" w:styleId="TekstzonderopmaakChar">
    <w:name w:val="Tekst zonder opmaak Char"/>
    <w:basedOn w:val="Standaardalinea-lettertype"/>
    <w:link w:val="Tekstzonderopmaak"/>
    <w:uiPriority w:val="99"/>
    <w:semiHidden/>
    <w:locked/>
    <w:rPr>
      <w:rFonts w:ascii="Verdana" w:eastAsia="Calibri" w:hAnsi="Verdana" w:hint="default"/>
      <w:sz w:val="18"/>
      <w:szCs w:val="21"/>
      <w:lang w:val="nl-NL"/>
    </w:rPr>
  </w:style>
  <w:style w:type="paragraph" w:styleId="Onderwerpvanopmerking">
    <w:name w:val="annotation subject"/>
    <w:basedOn w:val="Tekstopmerking"/>
    <w:next w:val="Tekstopmerking"/>
    <w:link w:val="OnderwerpvanopmerkingChar"/>
    <w:uiPriority w:val="99"/>
    <w:pPr>
      <w:spacing w:line="240" w:lineRule="auto"/>
    </w:pPr>
    <w:rPr>
      <w:b/>
      <w:bCs/>
    </w:rPr>
  </w:style>
  <w:style w:type="character" w:customStyle="1" w:styleId="OnderwerpvanopmerkingChar">
    <w:name w:val="Onderwerp van opmerking Char"/>
    <w:basedOn w:val="TekstopmerkingChar"/>
    <w:link w:val="Onderwerpvanopmerking"/>
    <w:uiPriority w:val="99"/>
    <w:locked/>
    <w:rPr>
      <w:rFonts w:ascii="Arial" w:hAnsi="Arial" w:cs="Arial" w:hint="default"/>
      <w:b/>
      <w:bCs/>
      <w:sz w:val="20"/>
      <w:szCs w:val="20"/>
      <w:lang w:val="nl-NL" w:eastAsia="en-AU"/>
    </w:rPr>
  </w:style>
  <w:style w:type="paragraph" w:styleId="Ballontekst">
    <w:name w:val="Balloon Text"/>
    <w:basedOn w:val="Standaard"/>
    <w:link w:val="BallontekstChar"/>
    <w:uiPriority w:val="99"/>
    <w:semiHidden/>
    <w:rPr>
      <w:rFonts w:ascii="Tahoma" w:hAnsi="Tahoma" w:cs="Tahoma"/>
      <w:sz w:val="16"/>
      <w:szCs w:val="16"/>
    </w:rPr>
  </w:style>
  <w:style w:type="character" w:customStyle="1" w:styleId="BallontekstChar">
    <w:name w:val="Ballontekst Char"/>
    <w:basedOn w:val="Standaardalinea-lettertype"/>
    <w:link w:val="Ballontekst"/>
    <w:uiPriority w:val="99"/>
    <w:semiHidden/>
    <w:locked/>
    <w:rPr>
      <w:rFonts w:ascii="Tahoma" w:hAnsi="Tahoma" w:cs="Tahoma" w:hint="default"/>
      <w:sz w:val="16"/>
      <w:szCs w:val="16"/>
      <w:lang w:val="nl-NL" w:eastAsia="nl-NL"/>
    </w:rPr>
  </w:style>
  <w:style w:type="paragraph" w:styleId="Revisie">
    <w:name w:val="Revision"/>
    <w:uiPriority w:val="99"/>
    <w:semiHidden/>
    <w:rPr>
      <w:rFonts w:ascii="Arial" w:hAnsi="Arial"/>
      <w:szCs w:val="24"/>
      <w:lang w:val="nl-NL" w:eastAsia="en-AU"/>
    </w:rPr>
  </w:style>
  <w:style w:type="paragraph" w:styleId="Lijstalinea">
    <w:name w:val="List Paragraph"/>
    <w:basedOn w:val="Standaard"/>
    <w:link w:val="LijstalineaChar"/>
    <w:uiPriority w:val="34"/>
    <w:qFormat/>
    <w:pPr>
      <w:ind w:left="720"/>
      <w:contextualSpacing/>
    </w:pPr>
  </w:style>
  <w:style w:type="paragraph" w:styleId="Kopvaninhoudsopgave">
    <w:name w:val="TOC Heading"/>
    <w:basedOn w:val="Kop1"/>
    <w:next w:val="Standaard"/>
    <w:uiPriority w:val="39"/>
    <w:semiHidden/>
    <w:unhideWhenUsed/>
    <w:qFormat/>
    <w:pPr>
      <w:outlineLvl w:val="9"/>
    </w:pPr>
    <w:rPr>
      <w:rFonts w:asciiTheme="majorHAnsi" w:eastAsiaTheme="majorEastAsia" w:hAnsiTheme="majorHAnsi" w:cstheme="majorBidi"/>
    </w:rPr>
  </w:style>
  <w:style w:type="paragraph" w:customStyle="1" w:styleId="Tabeltekst">
    <w:name w:val="Tabeltekst"/>
    <w:basedOn w:val="Standaard"/>
    <w:pPr>
      <w:spacing w:before="40" w:after="40" w:line="240" w:lineRule="auto"/>
    </w:pPr>
    <w:rPr>
      <w:sz w:val="18"/>
      <w:szCs w:val="17"/>
      <w:lang w:eastAsia="en-US"/>
    </w:rPr>
  </w:style>
  <w:style w:type="character" w:customStyle="1" w:styleId="paragraafChar">
    <w:name w:val="paragraaf Char"/>
    <w:basedOn w:val="Standaardalinea-lettertype"/>
    <w:link w:val="paragraaf"/>
    <w:locked/>
    <w:rPr>
      <w:rFonts w:ascii="Arial" w:hAnsi="Arial" w:cs="Arial" w:hint="default"/>
      <w:b/>
      <w:bCs w:val="0"/>
      <w:szCs w:val="24"/>
      <w:lang w:val="nl-NL" w:eastAsia="en-AU"/>
    </w:rPr>
  </w:style>
  <w:style w:type="paragraph" w:customStyle="1" w:styleId="paragraaf">
    <w:name w:val="paragraaf"/>
    <w:basedOn w:val="Standaard"/>
    <w:link w:val="paragraafChar"/>
    <w:uiPriority w:val="99"/>
    <w:qFormat/>
    <w:pPr>
      <w:keepNext/>
      <w:keepLines/>
      <w:tabs>
        <w:tab w:val="left" w:pos="1134"/>
      </w:tabs>
      <w:spacing w:before="240"/>
      <w:ind w:left="1134" w:hanging="1134"/>
      <w:outlineLvl w:val="2"/>
    </w:pPr>
    <w:rPr>
      <w:b/>
    </w:rPr>
  </w:style>
  <w:style w:type="character" w:customStyle="1" w:styleId="tabelkopChar">
    <w:name w:val="tabelkop Char"/>
    <w:basedOn w:val="Standaardalinea-lettertype"/>
    <w:link w:val="tabelkop"/>
    <w:locked/>
    <w:rPr>
      <w:rFonts w:ascii="Arial" w:hAnsi="Arial" w:cs="Arial" w:hint="default"/>
      <w:b/>
      <w:bCs w:val="0"/>
      <w:szCs w:val="24"/>
      <w:lang w:val="nl-NL" w:eastAsia="en-AU"/>
    </w:rPr>
  </w:style>
  <w:style w:type="paragraph" w:customStyle="1" w:styleId="tabelkop">
    <w:name w:val="tabelkop"/>
    <w:basedOn w:val="Standaard"/>
    <w:link w:val="tabelkopChar"/>
    <w:uiPriority w:val="99"/>
    <w:qFormat/>
    <w:pPr>
      <w:keepNext/>
      <w:spacing w:before="240" w:after="120"/>
    </w:pPr>
    <w:rPr>
      <w:b/>
    </w:rPr>
  </w:style>
  <w:style w:type="character" w:customStyle="1" w:styleId="begripChar">
    <w:name w:val="begrip Char"/>
    <w:basedOn w:val="Standaardalinea-lettertype"/>
    <w:link w:val="begrip"/>
    <w:locked/>
    <w:rPr>
      <w:rFonts w:ascii="Arial" w:hAnsi="Arial" w:cs="Arial" w:hint="default"/>
      <w:szCs w:val="24"/>
      <w:lang w:val="nl-NL" w:eastAsia="en-AU"/>
    </w:rPr>
  </w:style>
  <w:style w:type="paragraph" w:customStyle="1" w:styleId="begrip">
    <w:name w:val="begrip"/>
    <w:basedOn w:val="Standaard"/>
    <w:link w:val="begripChar"/>
    <w:qFormat/>
    <w:pPr>
      <w:tabs>
        <w:tab w:val="left" w:pos="426"/>
      </w:tabs>
      <w:spacing w:before="120"/>
      <w:ind w:left="425"/>
      <w:outlineLvl w:val="4"/>
    </w:pPr>
  </w:style>
  <w:style w:type="character" w:customStyle="1" w:styleId="afdelingChar">
    <w:name w:val="afdeling Char"/>
    <w:basedOn w:val="Kop2Char"/>
    <w:link w:val="afdeling"/>
    <w:uiPriority w:val="99"/>
    <w:locked/>
    <w:rsid w:val="00C667E9"/>
    <w:rPr>
      <w:rFonts w:ascii="Arial" w:hAnsi="Arial" w:hint="default"/>
      <w:b/>
      <w:bCs/>
      <w:i/>
      <w:iCs/>
      <w:caps/>
      <w:sz w:val="22"/>
      <w:szCs w:val="28"/>
      <w:lang w:val="nl-NL" w:eastAsia="en-AU"/>
    </w:rPr>
  </w:style>
  <w:style w:type="paragraph" w:customStyle="1" w:styleId="afdeling">
    <w:name w:val="afdeling"/>
    <w:basedOn w:val="Kop2"/>
    <w:link w:val="afdelingChar"/>
    <w:uiPriority w:val="99"/>
    <w:qFormat/>
    <w:rsid w:val="00C667E9"/>
    <w:rPr>
      <w:rFonts w:ascii="Arial" w:eastAsia="Times New Roman" w:hAnsi="Arial"/>
      <w:caps/>
      <w:sz w:val="22"/>
    </w:rPr>
  </w:style>
  <w:style w:type="character" w:customStyle="1" w:styleId="hoofdstukChar">
    <w:name w:val="hoofdstuk Char"/>
    <w:basedOn w:val="Kop1Char"/>
    <w:link w:val="hoofdstuk"/>
    <w:locked/>
    <w:rPr>
      <w:rFonts w:ascii="Arial" w:eastAsia="Times New Roman" w:hAnsi="Arial" w:cs="Times New Roman" w:hint="default"/>
      <w:b/>
      <w:bCs/>
      <w:kern w:val="32"/>
      <w:sz w:val="22"/>
      <w:szCs w:val="32"/>
      <w:lang w:val="nl-NL" w:eastAsia="en-AU"/>
    </w:rPr>
  </w:style>
  <w:style w:type="paragraph" w:customStyle="1" w:styleId="hoofdstuk">
    <w:name w:val="hoofdstuk"/>
    <w:basedOn w:val="Kop1"/>
    <w:link w:val="hoofdstukChar"/>
    <w:qFormat/>
    <w:rPr>
      <w:rFonts w:ascii="Arial" w:eastAsia="Times New Roman" w:hAnsi="Arial"/>
      <w:sz w:val="22"/>
    </w:rPr>
  </w:style>
  <w:style w:type="character" w:customStyle="1" w:styleId="artikelkopChar">
    <w:name w:val="artikel kop Char"/>
    <w:basedOn w:val="Standaardalinea-lettertype"/>
    <w:link w:val="artikelkop"/>
    <w:locked/>
    <w:rPr>
      <w:rFonts w:ascii="Arial" w:hAnsi="Arial" w:cs="Arial" w:hint="default"/>
      <w:b/>
      <w:bCs w:val="0"/>
      <w:szCs w:val="24"/>
      <w:lang w:val="nl-NL" w:eastAsia="en-AU"/>
    </w:rPr>
  </w:style>
  <w:style w:type="paragraph" w:customStyle="1" w:styleId="artikelkop">
    <w:name w:val="artikel kop"/>
    <w:basedOn w:val="Standaard"/>
    <w:next w:val="Standaard"/>
    <w:link w:val="artikelkopChar"/>
    <w:uiPriority w:val="99"/>
    <w:qFormat/>
    <w:pPr>
      <w:keepNext/>
      <w:spacing w:before="240"/>
      <w:outlineLvl w:val="3"/>
    </w:pPr>
    <w:rPr>
      <w:b/>
    </w:rPr>
  </w:style>
  <w:style w:type="paragraph" w:customStyle="1" w:styleId="Default">
    <w:name w:val="Default"/>
    <w:uiPriority w:val="99"/>
    <w:pPr>
      <w:widowControl w:val="0"/>
      <w:tabs>
        <w:tab w:val="left" w:pos="454"/>
      </w:tabs>
      <w:autoSpaceDE w:val="0"/>
      <w:autoSpaceDN w:val="0"/>
      <w:adjustRightInd w:val="0"/>
      <w:spacing w:line="240" w:lineRule="atLeast"/>
    </w:pPr>
    <w:rPr>
      <w:rFonts w:ascii="Arial" w:hAnsi="Arial" w:cs="Univers"/>
      <w:color w:val="000000"/>
      <w:szCs w:val="24"/>
      <w:lang w:val="nl-NL"/>
    </w:rPr>
  </w:style>
  <w:style w:type="character" w:customStyle="1" w:styleId="art2enivoChar">
    <w:name w:val="art 2e nivo Char"/>
    <w:basedOn w:val="Standaardalinea-lettertype"/>
    <w:link w:val="art2enivo"/>
    <w:locked/>
    <w:rPr>
      <w:rFonts w:ascii="Arial" w:hAnsi="Arial" w:cs="Arial" w:hint="default"/>
      <w:szCs w:val="24"/>
      <w:lang w:val="nl-NL" w:eastAsia="en-AU"/>
    </w:rPr>
  </w:style>
  <w:style w:type="paragraph" w:customStyle="1" w:styleId="art2enivo">
    <w:name w:val="art 2e nivo"/>
    <w:basedOn w:val="Standaard"/>
    <w:link w:val="art2enivoChar"/>
    <w:uiPriority w:val="99"/>
    <w:qFormat/>
    <w:pPr>
      <w:ind w:left="850" w:hanging="425"/>
    </w:pPr>
  </w:style>
  <w:style w:type="character" w:customStyle="1" w:styleId="art3enivoChar">
    <w:name w:val="art 3e nivo Char"/>
    <w:basedOn w:val="Standaardalinea-lettertype"/>
    <w:link w:val="art3enivo"/>
    <w:locked/>
    <w:rPr>
      <w:rFonts w:ascii="Arial" w:hAnsi="Arial" w:cs="Arial" w:hint="default"/>
      <w:lang w:val="nl-NL" w:eastAsia="en-AU"/>
    </w:rPr>
  </w:style>
  <w:style w:type="paragraph" w:customStyle="1" w:styleId="art3enivo">
    <w:name w:val="art 3e nivo"/>
    <w:basedOn w:val="Standaard"/>
    <w:link w:val="art3enivoChar"/>
    <w:uiPriority w:val="99"/>
    <w:qFormat/>
    <w:pPr>
      <w:widowControl w:val="0"/>
      <w:tabs>
        <w:tab w:val="left" w:pos="1134"/>
      </w:tabs>
      <w:autoSpaceDE w:val="0"/>
      <w:autoSpaceDN w:val="0"/>
      <w:adjustRightInd w:val="0"/>
      <w:ind w:left="1134" w:hanging="283"/>
    </w:pPr>
    <w:rPr>
      <w:rFonts w:cs="Arial"/>
      <w:szCs w:val="20"/>
    </w:rPr>
  </w:style>
  <w:style w:type="character" w:customStyle="1" w:styleId="artplatletterChar">
    <w:name w:val="art plat letter Char"/>
    <w:basedOn w:val="art2enivoChar"/>
    <w:link w:val="artplatletter"/>
    <w:locked/>
    <w:rPr>
      <w:rFonts w:ascii="Arial" w:hAnsi="Arial" w:cs="Arial" w:hint="default"/>
      <w:szCs w:val="24"/>
      <w:lang w:val="nl-NL" w:eastAsia="en-AU"/>
    </w:rPr>
  </w:style>
  <w:style w:type="paragraph" w:customStyle="1" w:styleId="artplatletter">
    <w:name w:val="art plat letter"/>
    <w:basedOn w:val="art2enivo"/>
    <w:link w:val="artplatletterChar"/>
    <w:uiPriority w:val="99"/>
    <w:qFormat/>
    <w:pPr>
      <w:ind w:left="426" w:hanging="426"/>
    </w:pPr>
  </w:style>
  <w:style w:type="character" w:customStyle="1" w:styleId="art1enivoChar">
    <w:name w:val="art 1e nivo Char"/>
    <w:basedOn w:val="Standaardalinea-lettertype"/>
    <w:link w:val="art1enivo"/>
    <w:locked/>
    <w:rPr>
      <w:rFonts w:ascii="Arial" w:hAnsi="Arial" w:cs="Arial" w:hint="default"/>
      <w:szCs w:val="24"/>
      <w:lang w:val="nl-NL" w:eastAsia="en-AU"/>
    </w:rPr>
  </w:style>
  <w:style w:type="paragraph" w:customStyle="1" w:styleId="art1enivo">
    <w:name w:val="art 1e nivo"/>
    <w:basedOn w:val="Standaard"/>
    <w:next w:val="Standaard"/>
    <w:link w:val="art1enivoChar"/>
    <w:uiPriority w:val="99"/>
    <w:qFormat/>
    <w:pPr>
      <w:keepLines/>
      <w:spacing w:before="120"/>
      <w:ind w:left="425" w:hanging="425"/>
    </w:pPr>
  </w:style>
  <w:style w:type="character" w:customStyle="1" w:styleId="artplatChar">
    <w:name w:val="art plat Char"/>
    <w:basedOn w:val="Standaardalinea-lettertype"/>
    <w:link w:val="artplat"/>
    <w:locked/>
    <w:rPr>
      <w:rFonts w:ascii="Arial" w:hAnsi="Arial" w:cs="Arial" w:hint="default"/>
      <w:szCs w:val="24"/>
      <w:lang w:val="nl-NL" w:eastAsia="en-AU"/>
    </w:rPr>
  </w:style>
  <w:style w:type="paragraph" w:customStyle="1" w:styleId="artplat">
    <w:name w:val="art plat"/>
    <w:basedOn w:val="Standaard"/>
    <w:link w:val="artplatChar"/>
    <w:uiPriority w:val="99"/>
    <w:qFormat/>
    <w:pPr>
      <w:keepLines/>
      <w:spacing w:before="60"/>
    </w:pPr>
  </w:style>
  <w:style w:type="paragraph" w:customStyle="1" w:styleId="Basis">
    <w:name w:val="Basis"/>
    <w:basedOn w:val="Standaard"/>
    <w:pPr>
      <w:spacing w:line="240" w:lineRule="auto"/>
    </w:pPr>
    <w:rPr>
      <w:rFonts w:ascii="DejaVu Sans" w:eastAsia="MS Mincho" w:hAnsi="DejaVu Sans"/>
      <w:sz w:val="18"/>
      <w:szCs w:val="20"/>
      <w:lang w:val="en-US" w:eastAsia="en-US"/>
    </w:rPr>
  </w:style>
  <w:style w:type="paragraph" w:customStyle="1" w:styleId="textcell7left">
    <w:name w:val="text.cell.7.left"/>
    <w:pPr>
      <w:widowControl w:val="0"/>
      <w:autoSpaceDN w:val="0"/>
    </w:pPr>
    <w:rPr>
      <w:rFonts w:ascii="DejaVu Sans" w:eastAsiaTheme="minorEastAsia" w:hAnsi="DejaVu Sans" w:cstheme="minorBidi"/>
      <w:kern w:val="3"/>
      <w:sz w:val="14"/>
      <w:lang w:val="nl-NL" w:eastAsia="nl-NL"/>
    </w:rPr>
  </w:style>
  <w:style w:type="paragraph" w:customStyle="1" w:styleId="lid">
    <w:name w:val="lid"/>
    <w:basedOn w:val="Standaard"/>
    <w:uiPriority w:val="99"/>
    <w:pPr>
      <w:spacing w:before="100" w:beforeAutospacing="1" w:after="100" w:afterAutospacing="1" w:line="240" w:lineRule="auto"/>
    </w:pPr>
    <w:rPr>
      <w:rFonts w:ascii="Times New Roman" w:hAnsi="Times New Roman"/>
      <w:sz w:val="24"/>
      <w:lang w:eastAsia="nl-NL"/>
    </w:rPr>
  </w:style>
  <w:style w:type="paragraph" w:customStyle="1" w:styleId="wij">
    <w:name w:val="wij"/>
    <w:basedOn w:val="Standaard"/>
    <w:pPr>
      <w:spacing w:before="100" w:beforeAutospacing="1" w:after="100" w:afterAutospacing="1" w:line="240" w:lineRule="auto"/>
    </w:pPr>
    <w:rPr>
      <w:rFonts w:ascii="Times New Roman" w:hAnsi="Times New Roman"/>
      <w:sz w:val="24"/>
      <w:lang w:eastAsia="nl-NL"/>
    </w:rPr>
  </w:style>
  <w:style w:type="paragraph" w:customStyle="1" w:styleId="consideransal">
    <w:name w:val="considerans.al"/>
    <w:basedOn w:val="Standaard"/>
    <w:pPr>
      <w:spacing w:before="100" w:beforeAutospacing="1" w:after="100" w:afterAutospacing="1" w:line="240" w:lineRule="auto"/>
    </w:pPr>
    <w:rPr>
      <w:rFonts w:ascii="Times New Roman" w:hAnsi="Times New Roman"/>
      <w:sz w:val="24"/>
      <w:lang w:eastAsia="nl-NL"/>
    </w:rPr>
  </w:style>
  <w:style w:type="paragraph" w:customStyle="1" w:styleId="al">
    <w:name w:val="al"/>
    <w:basedOn w:val="Standaard"/>
    <w:pPr>
      <w:spacing w:before="100" w:beforeAutospacing="1" w:after="100" w:afterAutospacing="1" w:line="240" w:lineRule="auto"/>
    </w:pPr>
    <w:rPr>
      <w:rFonts w:ascii="Times New Roman" w:hAnsi="Times New Roman"/>
      <w:sz w:val="24"/>
      <w:lang w:eastAsia="nl-NL"/>
    </w:rPr>
  </w:style>
  <w:style w:type="character" w:styleId="Voetnootmarkering">
    <w:name w:val="footnote reference"/>
    <w:basedOn w:val="Standaardalinea-lettertype"/>
    <w:unhideWhenUsed/>
    <w:rPr>
      <w:vertAlign w:val="superscript"/>
    </w:rPr>
  </w:style>
  <w:style w:type="character" w:styleId="Verwijzingopmerking">
    <w:name w:val="annotation reference"/>
    <w:basedOn w:val="Standaardalinea-lettertype"/>
    <w:uiPriority w:val="99"/>
    <w:rPr>
      <w:sz w:val="16"/>
      <w:szCs w:val="16"/>
    </w:rPr>
  </w:style>
  <w:style w:type="character" w:customStyle="1" w:styleId="lidnr">
    <w:name w:val="lidnr"/>
    <w:basedOn w:val="Standaardalinea-lettertype"/>
  </w:style>
  <w:style w:type="table" w:styleId="Tabelraster">
    <w:name w:val="Table Grid"/>
    <w:basedOn w:val="Standaardtabel"/>
    <w:uiPriority w:val="59"/>
    <w:rPr>
      <w:rFonts w:ascii="Arial" w:hAnsi="Arial"/>
      <w:sz w:val="18"/>
    </w:rPr>
    <w:tblPr>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57" w:type="dxa"/>
        <w:bottom w:w="57" w:type="dxa"/>
        <w:right w:w="57" w:type="dxa"/>
      </w:tblCellMar>
    </w:tblPr>
    <w:tblStylePr w:type="firstRow">
      <w:rPr>
        <w:b/>
      </w:rPr>
    </w:tblStylePr>
  </w:style>
  <w:style w:type="paragraph" w:styleId="Geenafstand">
    <w:name w:val="No Spacing"/>
    <w:link w:val="GeenafstandChar"/>
    <w:uiPriority w:val="1"/>
    <w:qFormat/>
    <w:rsid w:val="005468BF"/>
    <w:rPr>
      <w:rFonts w:ascii="Arial" w:hAnsi="Arial"/>
      <w:szCs w:val="24"/>
      <w:lang w:val="nl-NL" w:eastAsia="en-AU"/>
    </w:rPr>
  </w:style>
  <w:style w:type="character" w:customStyle="1" w:styleId="apple-style-span">
    <w:name w:val="apple-style-span"/>
    <w:basedOn w:val="Standaardalinea-lettertype"/>
    <w:rsid w:val="001114BD"/>
  </w:style>
  <w:style w:type="character" w:customStyle="1" w:styleId="art4enivoChar">
    <w:name w:val="art 4e nivo Char"/>
    <w:basedOn w:val="art3enivoChar"/>
    <w:link w:val="art4enivo"/>
    <w:locked/>
    <w:rsid w:val="00624A65"/>
    <w:rPr>
      <w:rFonts w:ascii="Arial" w:hAnsi="Arial" w:cs="Arial" w:hint="default"/>
      <w:lang w:val="nl-NL" w:eastAsia="en-AU"/>
    </w:rPr>
  </w:style>
  <w:style w:type="paragraph" w:customStyle="1" w:styleId="art4enivo">
    <w:name w:val="art 4e nivo"/>
    <w:basedOn w:val="art3enivo"/>
    <w:link w:val="art4enivoChar"/>
    <w:uiPriority w:val="99"/>
    <w:rsid w:val="00624A65"/>
    <w:pPr>
      <w:tabs>
        <w:tab w:val="clear" w:pos="1134"/>
        <w:tab w:val="left" w:pos="1418"/>
      </w:tabs>
      <w:ind w:left="1418" w:hanging="284"/>
    </w:pPr>
    <w:rPr>
      <w:lang w:val="en-US"/>
    </w:rPr>
  </w:style>
  <w:style w:type="paragraph" w:customStyle="1" w:styleId="Heading">
    <w:name w:val="Heading"/>
    <w:basedOn w:val="Standaard"/>
    <w:next w:val="Textbody"/>
    <w:rsid w:val="009A35EF"/>
    <w:pPr>
      <w:keepNext/>
      <w:spacing w:before="240" w:after="120" w:line="276" w:lineRule="auto"/>
    </w:pPr>
    <w:rPr>
      <w:rFonts w:eastAsiaTheme="minorEastAsia" w:cstheme="minorBidi"/>
      <w:sz w:val="28"/>
      <w:szCs w:val="28"/>
      <w:lang w:eastAsia="nl-NL"/>
    </w:rPr>
  </w:style>
  <w:style w:type="paragraph" w:customStyle="1" w:styleId="Textbody">
    <w:name w:val="Text body"/>
    <w:basedOn w:val="Standaard"/>
    <w:rsid w:val="009A35EF"/>
    <w:pPr>
      <w:spacing w:after="120" w:line="276" w:lineRule="auto"/>
    </w:pPr>
    <w:rPr>
      <w:rFonts w:asciiTheme="minorHAnsi" w:eastAsiaTheme="minorEastAsia" w:hAnsiTheme="minorHAnsi" w:cstheme="minorBidi"/>
      <w:sz w:val="22"/>
      <w:szCs w:val="22"/>
      <w:lang w:eastAsia="nl-NL"/>
    </w:rPr>
  </w:style>
  <w:style w:type="paragraph" w:styleId="Lijst">
    <w:name w:val="List"/>
    <w:basedOn w:val="Textbody"/>
    <w:rsid w:val="009A35EF"/>
  </w:style>
  <w:style w:type="paragraph" w:customStyle="1" w:styleId="Caption1">
    <w:name w:val="Caption1"/>
    <w:basedOn w:val="Standaard"/>
    <w:rsid w:val="009A35EF"/>
    <w:pPr>
      <w:suppressLineNumbers/>
      <w:spacing w:before="120" w:after="120" w:line="276" w:lineRule="auto"/>
    </w:pPr>
    <w:rPr>
      <w:rFonts w:asciiTheme="minorHAnsi" w:eastAsiaTheme="minorEastAsia" w:hAnsiTheme="minorHAnsi" w:cstheme="minorBidi"/>
      <w:i/>
      <w:iCs/>
      <w:sz w:val="24"/>
      <w:szCs w:val="22"/>
      <w:lang w:eastAsia="nl-NL"/>
    </w:rPr>
  </w:style>
  <w:style w:type="paragraph" w:customStyle="1" w:styleId="Index">
    <w:name w:val="Index"/>
    <w:basedOn w:val="Standaard"/>
    <w:rsid w:val="009A35EF"/>
    <w:pPr>
      <w:suppressLineNumbers/>
      <w:spacing w:after="200" w:line="276" w:lineRule="auto"/>
    </w:pPr>
    <w:rPr>
      <w:rFonts w:asciiTheme="minorHAnsi" w:eastAsiaTheme="minorEastAsia" w:hAnsiTheme="minorHAnsi" w:cstheme="minorBidi"/>
      <w:sz w:val="22"/>
      <w:szCs w:val="22"/>
      <w:lang w:eastAsia="nl-NL"/>
    </w:rPr>
  </w:style>
  <w:style w:type="paragraph" w:customStyle="1" w:styleId="Heading11">
    <w:name w:val="Heading 11"/>
    <w:basedOn w:val="Heading"/>
    <w:next w:val="Textbody"/>
    <w:rsid w:val="009A35EF"/>
    <w:pPr>
      <w:pageBreakBefore/>
      <w:spacing w:before="340" w:after="170"/>
      <w:ind w:left="-850"/>
    </w:pPr>
    <w:rPr>
      <w:b/>
      <w:bCs/>
      <w:sz w:val="40"/>
    </w:rPr>
  </w:style>
  <w:style w:type="paragraph" w:customStyle="1" w:styleId="Heading21">
    <w:name w:val="Heading 21"/>
    <w:basedOn w:val="Heading"/>
    <w:next w:val="Textbody"/>
    <w:rsid w:val="009A35EF"/>
    <w:pPr>
      <w:spacing w:before="340" w:after="170"/>
      <w:ind w:left="-850"/>
    </w:pPr>
    <w:rPr>
      <w:b/>
      <w:bCs/>
      <w:i/>
      <w:iCs/>
      <w:sz w:val="32"/>
    </w:rPr>
  </w:style>
  <w:style w:type="paragraph" w:customStyle="1" w:styleId="Heading31">
    <w:name w:val="Heading 31"/>
    <w:basedOn w:val="Heading"/>
    <w:next w:val="Textbody"/>
    <w:rsid w:val="009A35EF"/>
    <w:pPr>
      <w:spacing w:before="340" w:after="170"/>
      <w:ind w:left="-850"/>
    </w:pPr>
    <w:rPr>
      <w:b/>
      <w:bCs/>
    </w:rPr>
  </w:style>
  <w:style w:type="paragraph" w:styleId="Titel">
    <w:name w:val="Title"/>
    <w:basedOn w:val="Heading"/>
    <w:next w:val="Ondertitel"/>
    <w:link w:val="TitelChar"/>
    <w:uiPriority w:val="10"/>
    <w:qFormat/>
    <w:rsid w:val="009A35EF"/>
    <w:rPr>
      <w:b/>
      <w:bCs/>
      <w:sz w:val="48"/>
      <w:szCs w:val="36"/>
    </w:rPr>
  </w:style>
  <w:style w:type="character" w:customStyle="1" w:styleId="TitelChar">
    <w:name w:val="Titel Char"/>
    <w:basedOn w:val="Standaardalinea-lettertype"/>
    <w:link w:val="Titel"/>
    <w:uiPriority w:val="10"/>
    <w:rsid w:val="009A35EF"/>
    <w:rPr>
      <w:rFonts w:ascii="Arial" w:eastAsiaTheme="minorEastAsia" w:hAnsi="Arial" w:cstheme="minorBidi"/>
      <w:b/>
      <w:bCs/>
      <w:sz w:val="48"/>
      <w:szCs w:val="36"/>
      <w:lang w:val="nl-NL" w:eastAsia="nl-NL"/>
    </w:rPr>
  </w:style>
  <w:style w:type="paragraph" w:styleId="Ondertitel">
    <w:name w:val="Subtitle"/>
    <w:basedOn w:val="Heading"/>
    <w:next w:val="Textbody"/>
    <w:link w:val="OndertitelChar"/>
    <w:uiPriority w:val="11"/>
    <w:qFormat/>
    <w:rsid w:val="009A35EF"/>
    <w:pPr>
      <w:jc w:val="center"/>
    </w:pPr>
    <w:rPr>
      <w:i/>
      <w:iCs/>
    </w:rPr>
  </w:style>
  <w:style w:type="character" w:customStyle="1" w:styleId="OndertitelChar">
    <w:name w:val="Ondertitel Char"/>
    <w:basedOn w:val="Standaardalinea-lettertype"/>
    <w:link w:val="Ondertitel"/>
    <w:uiPriority w:val="11"/>
    <w:rsid w:val="009A35EF"/>
    <w:rPr>
      <w:rFonts w:ascii="Arial" w:eastAsiaTheme="minorEastAsia" w:hAnsi="Arial" w:cstheme="minorBidi"/>
      <w:i/>
      <w:iCs/>
      <w:sz w:val="28"/>
      <w:szCs w:val="28"/>
      <w:lang w:val="nl-NL" w:eastAsia="nl-NL"/>
    </w:rPr>
  </w:style>
  <w:style w:type="paragraph" w:customStyle="1" w:styleId="ContentsHeading">
    <w:name w:val="Contents Heading"/>
    <w:basedOn w:val="Heading"/>
    <w:rsid w:val="009A35EF"/>
    <w:pPr>
      <w:suppressLineNumbers/>
    </w:pPr>
    <w:rPr>
      <w:b/>
      <w:bCs/>
      <w:sz w:val="36"/>
      <w:szCs w:val="32"/>
    </w:rPr>
  </w:style>
  <w:style w:type="paragraph" w:customStyle="1" w:styleId="Contents1">
    <w:name w:val="Contents 1"/>
    <w:basedOn w:val="Index"/>
    <w:rsid w:val="009A35EF"/>
    <w:pPr>
      <w:tabs>
        <w:tab w:val="right" w:leader="dot" w:pos="9637"/>
      </w:tabs>
      <w:spacing w:before="170"/>
    </w:pPr>
    <w:rPr>
      <w:sz w:val="26"/>
    </w:rPr>
  </w:style>
  <w:style w:type="paragraph" w:customStyle="1" w:styleId="Contents2">
    <w:name w:val="Contents 2"/>
    <w:basedOn w:val="Index"/>
    <w:rsid w:val="009A35EF"/>
    <w:pPr>
      <w:tabs>
        <w:tab w:val="right" w:leader="dot" w:pos="9637"/>
      </w:tabs>
      <w:spacing w:before="57"/>
      <w:ind w:left="283"/>
    </w:pPr>
  </w:style>
  <w:style w:type="paragraph" w:customStyle="1" w:styleId="Contents3">
    <w:name w:val="Contents 3"/>
    <w:basedOn w:val="Index"/>
    <w:rsid w:val="009A35EF"/>
    <w:pPr>
      <w:tabs>
        <w:tab w:val="right" w:leader="dot" w:pos="9921"/>
      </w:tabs>
      <w:ind w:left="850"/>
    </w:pPr>
  </w:style>
  <w:style w:type="paragraph" w:customStyle="1" w:styleId="TableContents">
    <w:name w:val="Table Contents"/>
    <w:basedOn w:val="Standaard"/>
    <w:rsid w:val="009A35EF"/>
    <w:pPr>
      <w:suppressLineNumbers/>
      <w:spacing w:after="200" w:line="276" w:lineRule="auto"/>
    </w:pPr>
    <w:rPr>
      <w:rFonts w:asciiTheme="minorHAnsi" w:eastAsiaTheme="minorEastAsia" w:hAnsiTheme="minorHAnsi" w:cstheme="minorBidi"/>
      <w:sz w:val="22"/>
      <w:szCs w:val="22"/>
      <w:lang w:eastAsia="nl-NL"/>
    </w:rPr>
  </w:style>
  <w:style w:type="paragraph" w:customStyle="1" w:styleId="Huisstijl-Retouradres">
    <w:name w:val="Huisstijl - Retouradres"/>
    <w:basedOn w:val="Standaard"/>
    <w:next w:val="Huisstijl-Rubricering"/>
    <w:rsid w:val="009A35EF"/>
    <w:pPr>
      <w:spacing w:after="283" w:line="180" w:lineRule="exact"/>
    </w:pPr>
    <w:rPr>
      <w:rFonts w:asciiTheme="minorHAnsi" w:eastAsiaTheme="minorEastAsia" w:hAnsiTheme="minorHAnsi" w:cstheme="minorBidi"/>
      <w:sz w:val="13"/>
      <w:szCs w:val="22"/>
      <w:lang w:eastAsia="nl-NL"/>
    </w:rPr>
  </w:style>
  <w:style w:type="paragraph" w:customStyle="1" w:styleId="Huisstijl-Rubricering">
    <w:name w:val="Huisstijl - Rubricering"/>
    <w:basedOn w:val="Standaard"/>
    <w:next w:val="Huisstijl-Toezendgegevens"/>
    <w:rsid w:val="009A35EF"/>
    <w:pPr>
      <w:spacing w:after="200" w:line="180" w:lineRule="exact"/>
    </w:pPr>
    <w:rPr>
      <w:rFonts w:asciiTheme="minorHAnsi" w:eastAsiaTheme="minorEastAsia" w:hAnsiTheme="minorHAnsi" w:cstheme="minorBidi"/>
      <w:b/>
      <w:sz w:val="13"/>
      <w:szCs w:val="22"/>
      <w:lang w:eastAsia="nl-NL"/>
    </w:rPr>
  </w:style>
  <w:style w:type="paragraph" w:customStyle="1" w:styleId="Huisstijl-Toezendgegevens">
    <w:name w:val="Huisstijl - Toezendgegevens"/>
    <w:basedOn w:val="Standaard"/>
    <w:rsid w:val="009A35EF"/>
    <w:pPr>
      <w:spacing w:after="200" w:line="276" w:lineRule="auto"/>
    </w:pPr>
    <w:rPr>
      <w:rFonts w:asciiTheme="minorHAnsi" w:eastAsiaTheme="minorEastAsia" w:hAnsiTheme="minorHAnsi" w:cstheme="minorBidi"/>
      <w:sz w:val="22"/>
      <w:szCs w:val="22"/>
      <w:lang w:eastAsia="nl-NL"/>
    </w:rPr>
  </w:style>
  <w:style w:type="paragraph" w:customStyle="1" w:styleId="Huisstijl-Datumenbetreft">
    <w:name w:val="Huisstijl - Datum en betreft"/>
    <w:basedOn w:val="Standaard"/>
    <w:rsid w:val="009A35EF"/>
    <w:pPr>
      <w:tabs>
        <w:tab w:val="left" w:pos="737"/>
      </w:tabs>
      <w:spacing w:after="200" w:line="276" w:lineRule="auto"/>
    </w:pPr>
    <w:rPr>
      <w:rFonts w:asciiTheme="minorHAnsi" w:eastAsiaTheme="minorEastAsia" w:hAnsiTheme="minorHAnsi" w:cstheme="minorBidi"/>
      <w:sz w:val="22"/>
      <w:szCs w:val="22"/>
      <w:lang w:eastAsia="nl-NL"/>
    </w:rPr>
  </w:style>
  <w:style w:type="paragraph" w:customStyle="1" w:styleId="Huisstijl-Aanhef">
    <w:name w:val="Huisstijl - Aanhef"/>
    <w:basedOn w:val="Standaard"/>
    <w:rsid w:val="009A35EF"/>
    <w:pPr>
      <w:spacing w:before="100" w:after="240" w:line="276" w:lineRule="auto"/>
    </w:pPr>
    <w:rPr>
      <w:rFonts w:asciiTheme="minorHAnsi" w:eastAsiaTheme="minorEastAsia" w:hAnsiTheme="minorHAnsi" w:cstheme="minorBidi"/>
      <w:sz w:val="22"/>
      <w:szCs w:val="22"/>
      <w:lang w:eastAsia="nl-NL"/>
    </w:rPr>
  </w:style>
  <w:style w:type="paragraph" w:customStyle="1" w:styleId="Huisstijl-Slotzin">
    <w:name w:val="Huisstijl - Slotzin"/>
    <w:basedOn w:val="Standaard"/>
    <w:next w:val="Huisstijl-Ondertekening"/>
    <w:rsid w:val="009A35EF"/>
    <w:pPr>
      <w:spacing w:before="240" w:after="200" w:line="276" w:lineRule="auto"/>
    </w:pPr>
    <w:rPr>
      <w:rFonts w:asciiTheme="minorHAnsi" w:eastAsiaTheme="minorEastAsia" w:hAnsiTheme="minorHAnsi" w:cstheme="minorBidi"/>
      <w:sz w:val="22"/>
      <w:szCs w:val="22"/>
      <w:lang w:eastAsia="nl-NL"/>
    </w:rPr>
  </w:style>
  <w:style w:type="paragraph" w:customStyle="1" w:styleId="Header1">
    <w:name w:val="Header1"/>
    <w:basedOn w:val="Standaard"/>
    <w:rsid w:val="009A35EF"/>
    <w:pPr>
      <w:suppressLineNumbers/>
      <w:tabs>
        <w:tab w:val="center" w:pos="3742"/>
        <w:tab w:val="right" w:pos="7484"/>
      </w:tabs>
      <w:spacing w:after="200" w:line="276" w:lineRule="auto"/>
    </w:pPr>
    <w:rPr>
      <w:rFonts w:asciiTheme="minorHAnsi" w:eastAsiaTheme="minorEastAsia" w:hAnsiTheme="minorHAnsi" w:cstheme="minorBidi"/>
      <w:sz w:val="22"/>
      <w:szCs w:val="22"/>
      <w:lang w:eastAsia="nl-NL"/>
    </w:rPr>
  </w:style>
  <w:style w:type="paragraph" w:customStyle="1" w:styleId="Framecontents">
    <w:name w:val="Frame contents"/>
    <w:basedOn w:val="Textbody"/>
    <w:rsid w:val="009A35EF"/>
  </w:style>
  <w:style w:type="paragraph" w:customStyle="1" w:styleId="Huisstijl-Afzendgegevenskop">
    <w:name w:val="Huisstijl - Afzendgegevens kop"/>
    <w:basedOn w:val="Standaard"/>
    <w:rsid w:val="009A35EF"/>
    <w:pPr>
      <w:spacing w:after="200" w:line="180" w:lineRule="exact"/>
    </w:pPr>
    <w:rPr>
      <w:rFonts w:asciiTheme="minorHAnsi" w:eastAsiaTheme="minorEastAsia" w:hAnsiTheme="minorHAnsi" w:cstheme="minorBidi"/>
      <w:b/>
      <w:sz w:val="13"/>
      <w:szCs w:val="22"/>
      <w:lang w:eastAsia="nl-NL"/>
    </w:rPr>
  </w:style>
  <w:style w:type="paragraph" w:customStyle="1" w:styleId="Huisstijl-Afzendgegevens">
    <w:name w:val="Huisstijl - Afzendgegevens"/>
    <w:basedOn w:val="Standaard"/>
    <w:rsid w:val="009A35EF"/>
    <w:pPr>
      <w:tabs>
        <w:tab w:val="left" w:pos="170"/>
      </w:tabs>
      <w:spacing w:after="200" w:line="180" w:lineRule="exact"/>
    </w:pPr>
    <w:rPr>
      <w:rFonts w:asciiTheme="minorHAnsi" w:eastAsiaTheme="minorEastAsia" w:hAnsiTheme="minorHAnsi" w:cstheme="minorBidi"/>
      <w:sz w:val="13"/>
      <w:szCs w:val="22"/>
      <w:lang w:eastAsia="nl-NL"/>
    </w:rPr>
  </w:style>
  <w:style w:type="paragraph" w:customStyle="1" w:styleId="Huisstijl-AfzendgegevensW1">
    <w:name w:val="Huisstijl - Afzendgegevens W1"/>
    <w:basedOn w:val="Huisstijl-Afzendgegevens"/>
    <w:rsid w:val="009A35EF"/>
    <w:pPr>
      <w:spacing w:before="90"/>
    </w:pPr>
  </w:style>
  <w:style w:type="paragraph" w:customStyle="1" w:styleId="Huisstijl-ReferentiegegevenskopW1">
    <w:name w:val="Huisstijl - Referentiegegevens kop W1"/>
    <w:basedOn w:val="Standaard"/>
    <w:next w:val="Huisstijl-Referentiegegevens"/>
    <w:rsid w:val="009A35EF"/>
    <w:pPr>
      <w:spacing w:before="90" w:after="200" w:line="180" w:lineRule="exact"/>
    </w:pPr>
    <w:rPr>
      <w:rFonts w:asciiTheme="minorHAnsi" w:eastAsiaTheme="minorEastAsia" w:hAnsiTheme="minorHAnsi" w:cstheme="minorBidi"/>
      <w:b/>
      <w:sz w:val="13"/>
      <w:szCs w:val="22"/>
      <w:lang w:eastAsia="nl-NL"/>
    </w:rPr>
  </w:style>
  <w:style w:type="paragraph" w:customStyle="1" w:styleId="Huisstijl-Referentiegegevens">
    <w:name w:val="Huisstijl - Referentiegegevens"/>
    <w:basedOn w:val="Standaard"/>
    <w:rsid w:val="009A35EF"/>
    <w:pPr>
      <w:spacing w:after="200" w:line="180" w:lineRule="exact"/>
    </w:pPr>
    <w:rPr>
      <w:rFonts w:asciiTheme="minorHAnsi" w:eastAsiaTheme="minorEastAsia" w:hAnsiTheme="minorHAnsi" w:cstheme="minorBidi"/>
      <w:sz w:val="13"/>
      <w:szCs w:val="22"/>
      <w:lang w:eastAsia="nl-NL"/>
    </w:rPr>
  </w:style>
  <w:style w:type="paragraph" w:customStyle="1" w:styleId="Huisstijl-ReferentiegegevenskopW2">
    <w:name w:val="Huisstijl - Referentiegegevens kop W2"/>
    <w:basedOn w:val="Standaard"/>
    <w:next w:val="Huisstijl-Referentiegegevens"/>
    <w:rsid w:val="009A35EF"/>
    <w:pPr>
      <w:spacing w:before="270" w:after="200" w:line="180" w:lineRule="exact"/>
    </w:pPr>
    <w:rPr>
      <w:rFonts w:asciiTheme="minorHAnsi" w:eastAsiaTheme="minorEastAsia" w:hAnsiTheme="minorHAnsi" w:cstheme="minorBidi"/>
      <w:b/>
      <w:sz w:val="13"/>
      <w:szCs w:val="22"/>
      <w:lang w:eastAsia="nl-NL"/>
    </w:rPr>
  </w:style>
  <w:style w:type="paragraph" w:customStyle="1" w:styleId="Huisstijl-Algemenevoorwaarden">
    <w:name w:val="Huisstijl - Algemene voorwaarden"/>
    <w:basedOn w:val="Standaard"/>
    <w:rsid w:val="009A35EF"/>
    <w:pPr>
      <w:spacing w:before="90" w:after="200" w:line="180" w:lineRule="exact"/>
    </w:pPr>
    <w:rPr>
      <w:rFonts w:asciiTheme="minorHAnsi" w:eastAsiaTheme="minorEastAsia" w:hAnsiTheme="minorHAnsi" w:cstheme="minorBidi"/>
      <w:i/>
      <w:sz w:val="13"/>
      <w:szCs w:val="22"/>
      <w:lang w:eastAsia="nl-NL"/>
    </w:rPr>
  </w:style>
  <w:style w:type="paragraph" w:customStyle="1" w:styleId="Huisstijl-Ondertekening">
    <w:name w:val="Huisstijl - Ondertekening"/>
    <w:basedOn w:val="Standaard"/>
    <w:next w:val="Huisstijl-Ondertekeningvervolg"/>
    <w:rsid w:val="009A35EF"/>
    <w:pPr>
      <w:spacing w:after="200" w:line="276" w:lineRule="auto"/>
    </w:pPr>
    <w:rPr>
      <w:rFonts w:asciiTheme="minorHAnsi" w:eastAsiaTheme="minorEastAsia" w:hAnsiTheme="minorHAnsi" w:cstheme="minorBidi"/>
      <w:sz w:val="22"/>
      <w:szCs w:val="22"/>
      <w:lang w:eastAsia="nl-NL"/>
    </w:rPr>
  </w:style>
  <w:style w:type="paragraph" w:customStyle="1" w:styleId="Huisstijl-Ondertekeningvervolg">
    <w:name w:val="Huisstijl - Ondertekening vervolg"/>
    <w:basedOn w:val="Huisstijl-Ondertekening"/>
    <w:rsid w:val="009A35EF"/>
    <w:rPr>
      <w:i/>
    </w:rPr>
  </w:style>
  <w:style w:type="paragraph" w:customStyle="1" w:styleId="Footer1">
    <w:name w:val="Footer1"/>
    <w:basedOn w:val="Standaard"/>
    <w:rsid w:val="009A35EF"/>
    <w:pPr>
      <w:suppressLineNumbers/>
      <w:tabs>
        <w:tab w:val="center" w:pos="3742"/>
        <w:tab w:val="right" w:pos="7484"/>
      </w:tabs>
      <w:spacing w:after="200" w:line="276" w:lineRule="auto"/>
    </w:pPr>
    <w:rPr>
      <w:rFonts w:asciiTheme="minorHAnsi" w:eastAsiaTheme="minorEastAsia" w:hAnsiTheme="minorHAnsi" w:cstheme="minorBidi"/>
      <w:sz w:val="22"/>
      <w:szCs w:val="22"/>
      <w:lang w:eastAsia="nl-NL"/>
    </w:rPr>
  </w:style>
  <w:style w:type="paragraph" w:customStyle="1" w:styleId="Huisstijl-Paginanummer">
    <w:name w:val="Huisstijl - Paginanummer"/>
    <w:basedOn w:val="Standaard"/>
    <w:rsid w:val="009A35EF"/>
    <w:pPr>
      <w:spacing w:after="200" w:line="240" w:lineRule="auto"/>
    </w:pPr>
    <w:rPr>
      <w:rFonts w:asciiTheme="minorHAnsi" w:eastAsiaTheme="minorEastAsia" w:hAnsiTheme="minorHAnsi" w:cstheme="minorBidi"/>
      <w:sz w:val="13"/>
      <w:szCs w:val="22"/>
      <w:lang w:eastAsia="nl-NL"/>
    </w:rPr>
  </w:style>
  <w:style w:type="character" w:customStyle="1" w:styleId="Placeholder">
    <w:name w:val="Placeholder"/>
    <w:rsid w:val="009A35EF"/>
    <w:rPr>
      <w:smallCaps/>
      <w:color w:val="008080"/>
      <w:u w:val="dotted"/>
    </w:rPr>
  </w:style>
  <w:style w:type="character" w:customStyle="1" w:styleId="NumberingSymbols">
    <w:name w:val="Numbering Symbols"/>
    <w:rsid w:val="009A35EF"/>
    <w:rPr>
      <w:rFonts w:ascii="Verdana" w:hAnsi="Verdana"/>
      <w:sz w:val="18"/>
    </w:rPr>
  </w:style>
  <w:style w:type="character" w:customStyle="1" w:styleId="BulletSymbols">
    <w:name w:val="Bullet Symbols"/>
    <w:rsid w:val="009A35EF"/>
    <w:rPr>
      <w:rFonts w:ascii="Verdana" w:eastAsia="OpenSymbol" w:hAnsi="Verdana" w:cs="OpenSymbol"/>
      <w:sz w:val="26"/>
    </w:rPr>
  </w:style>
  <w:style w:type="character" w:customStyle="1" w:styleId="Huisstijl-Aankruisvakken">
    <w:name w:val="Huisstijl - Aankruisvakken"/>
    <w:rsid w:val="009A35EF"/>
    <w:rPr>
      <w:rFonts w:ascii="Verdana" w:hAnsi="Verdana"/>
      <w:sz w:val="26"/>
    </w:rPr>
  </w:style>
  <w:style w:type="paragraph" w:styleId="Koptekst">
    <w:name w:val="header"/>
    <w:basedOn w:val="Standaard"/>
    <w:link w:val="KoptekstChar"/>
    <w:uiPriority w:val="99"/>
    <w:unhideWhenUsed/>
    <w:rsid w:val="009A35EF"/>
    <w:pPr>
      <w:tabs>
        <w:tab w:val="center" w:pos="4536"/>
        <w:tab w:val="right" w:pos="9072"/>
      </w:tabs>
      <w:spacing w:after="200" w:line="276" w:lineRule="auto"/>
    </w:pPr>
    <w:rPr>
      <w:rFonts w:asciiTheme="minorHAnsi" w:eastAsiaTheme="minorEastAsia" w:hAnsiTheme="minorHAnsi" w:cs="Mangal"/>
      <w:sz w:val="22"/>
      <w:szCs w:val="21"/>
      <w:lang w:eastAsia="nl-NL"/>
    </w:rPr>
  </w:style>
  <w:style w:type="character" w:customStyle="1" w:styleId="KoptekstChar">
    <w:name w:val="Koptekst Char"/>
    <w:basedOn w:val="Standaardalinea-lettertype"/>
    <w:link w:val="Koptekst"/>
    <w:uiPriority w:val="99"/>
    <w:rsid w:val="009A35EF"/>
    <w:rPr>
      <w:rFonts w:asciiTheme="minorHAnsi" w:eastAsiaTheme="minorEastAsia" w:hAnsiTheme="minorHAnsi" w:cs="Mangal"/>
      <w:sz w:val="22"/>
      <w:szCs w:val="21"/>
      <w:lang w:val="nl-NL" w:eastAsia="nl-NL"/>
    </w:rPr>
  </w:style>
  <w:style w:type="paragraph" w:customStyle="1" w:styleId="Huisstijl-AfzendgegevenskopW1">
    <w:name w:val="Huisstijl - Afzendgegevens kop W1"/>
    <w:basedOn w:val="Huisstijl-Afzendgegevenskop"/>
    <w:qFormat/>
    <w:rsid w:val="009A35EF"/>
    <w:pPr>
      <w:spacing w:before="90"/>
    </w:pPr>
  </w:style>
  <w:style w:type="paragraph" w:customStyle="1" w:styleId="Huisstijl-AfzendgegevensC">
    <w:name w:val="Huisstijl - Afzendgegevens C"/>
    <w:basedOn w:val="Huisstijl-Afzendgegevens"/>
    <w:qFormat/>
    <w:rsid w:val="009A35EF"/>
    <w:rPr>
      <w:i/>
    </w:rPr>
  </w:style>
  <w:style w:type="paragraph" w:customStyle="1" w:styleId="Huisstijl-AfzendgegevensMdtn">
    <w:name w:val="Huisstijl - Afzendgegevens Mdtn"/>
    <w:basedOn w:val="Huisstijl-Afzendgegevens"/>
    <w:qFormat/>
    <w:rsid w:val="009A35EF"/>
    <w:pPr>
      <w:tabs>
        <w:tab w:val="clear" w:pos="170"/>
        <w:tab w:val="left" w:pos="482"/>
      </w:tabs>
    </w:pPr>
  </w:style>
  <w:style w:type="paragraph" w:customStyle="1" w:styleId="Huisstijl-Ondertekeningvervolgtitel">
    <w:name w:val="Huisstijl - Ondertekening vervolg titel"/>
    <w:basedOn w:val="Huisstijl-Ondertekeningvervolg"/>
    <w:qFormat/>
    <w:rsid w:val="009A35EF"/>
    <w:rPr>
      <w:i w:val="0"/>
      <w:noProof/>
    </w:rPr>
  </w:style>
  <w:style w:type="paragraph" w:customStyle="1" w:styleId="Huisstijl-InhoudMinistrieleRegeling">
    <w:name w:val="Huisstijl - Inhoud Ministriele Regeling"/>
    <w:basedOn w:val="Huisstijl-Aanhef"/>
    <w:qFormat/>
    <w:rsid w:val="009A35EF"/>
    <w:pPr>
      <w:spacing w:before="0" w:after="0" w:line="240" w:lineRule="atLeast"/>
    </w:pPr>
    <w:rPr>
      <w:szCs w:val="18"/>
    </w:rPr>
  </w:style>
  <w:style w:type="paragraph" w:customStyle="1" w:styleId="Standard">
    <w:name w:val="Standard"/>
    <w:rsid w:val="009A35EF"/>
    <w:pPr>
      <w:widowControl w:val="0"/>
      <w:suppressAutoHyphens/>
      <w:autoSpaceDN w:val="0"/>
      <w:spacing w:line="240" w:lineRule="exact"/>
      <w:textAlignment w:val="baseline"/>
    </w:pPr>
    <w:rPr>
      <w:rFonts w:ascii="Verdana" w:eastAsia="DejaVu Sans" w:hAnsi="Verdana" w:cs="Lohit Hindi"/>
      <w:kern w:val="3"/>
      <w:sz w:val="18"/>
      <w:szCs w:val="24"/>
      <w:lang w:val="nl-NL" w:eastAsia="zh-CN" w:bidi="hi-IN"/>
    </w:rPr>
  </w:style>
  <w:style w:type="character" w:styleId="Nadruk">
    <w:name w:val="Emphasis"/>
    <w:basedOn w:val="Standaardalinea-lettertype"/>
    <w:uiPriority w:val="20"/>
    <w:qFormat/>
    <w:rsid w:val="009A35EF"/>
    <w:rPr>
      <w:i/>
      <w:iCs/>
    </w:rPr>
  </w:style>
  <w:style w:type="paragraph" w:customStyle="1" w:styleId="labeled">
    <w:name w:val="labeled"/>
    <w:basedOn w:val="Standaard"/>
    <w:rsid w:val="009A35EF"/>
    <w:pPr>
      <w:spacing w:before="100" w:beforeAutospacing="1" w:after="100" w:afterAutospacing="1" w:line="240" w:lineRule="auto"/>
    </w:pPr>
    <w:rPr>
      <w:rFonts w:ascii="Times New Roman" w:hAnsi="Times New Roman"/>
      <w:sz w:val="24"/>
      <w:lang w:eastAsia="nl-NL"/>
    </w:rPr>
  </w:style>
  <w:style w:type="character" w:customStyle="1" w:styleId="ol">
    <w:name w:val="ol"/>
    <w:basedOn w:val="Standaardalinea-lettertype"/>
    <w:rsid w:val="009A35EF"/>
  </w:style>
  <w:style w:type="character" w:customStyle="1" w:styleId="GeenafstandChar">
    <w:name w:val="Geen afstand Char"/>
    <w:basedOn w:val="Standaardalinea-lettertype"/>
    <w:link w:val="Geenafstand"/>
    <w:uiPriority w:val="1"/>
    <w:rsid w:val="009A35EF"/>
    <w:rPr>
      <w:rFonts w:ascii="Arial" w:hAnsi="Arial"/>
      <w:szCs w:val="24"/>
      <w:lang w:val="nl-NL" w:eastAsia="en-AU"/>
    </w:rPr>
  </w:style>
  <w:style w:type="paragraph" w:customStyle="1" w:styleId="Lijstalinea1">
    <w:name w:val="Lijstalinea1"/>
    <w:basedOn w:val="Standaard"/>
    <w:uiPriority w:val="99"/>
    <w:rsid w:val="009A35EF"/>
    <w:pPr>
      <w:spacing w:after="200" w:line="276" w:lineRule="auto"/>
      <w:ind w:left="720"/>
      <w:contextualSpacing/>
    </w:pPr>
    <w:rPr>
      <w:rFonts w:ascii="Calibri" w:hAnsi="Calibri"/>
      <w:sz w:val="22"/>
      <w:szCs w:val="22"/>
      <w:lang w:eastAsia="en-US"/>
    </w:rPr>
  </w:style>
  <w:style w:type="paragraph" w:customStyle="1" w:styleId="default0">
    <w:name w:val="default"/>
    <w:basedOn w:val="Standaard"/>
    <w:rsid w:val="009A35EF"/>
    <w:pPr>
      <w:autoSpaceDE w:val="0"/>
      <w:autoSpaceDN w:val="0"/>
      <w:spacing w:line="240" w:lineRule="auto"/>
    </w:pPr>
    <w:rPr>
      <w:rFonts w:eastAsiaTheme="minorHAnsi" w:cs="Arial"/>
      <w:color w:val="000000"/>
      <w:sz w:val="24"/>
      <w:lang w:val="en-US" w:eastAsia="en-US"/>
    </w:rPr>
  </w:style>
  <w:style w:type="paragraph" w:styleId="Voetnoottekst">
    <w:name w:val="footnote text"/>
    <w:aliases w:val="Char Char,Voetnoot tekst,Voetnoottekst Char1,Voetnoottekst Char2 Char,Voetnoottekst Char1 Char Char,Voetnoottekst Char3 Char Char Char,Voetnoottekst Char2 Char Char Char Char,Voetnoottekst Char1 Char Char Char Char Char,Voetnoottekst Char2"/>
    <w:basedOn w:val="Standaard"/>
    <w:link w:val="VoetnoottekstChar"/>
    <w:uiPriority w:val="99"/>
    <w:unhideWhenUsed/>
    <w:rsid w:val="009A35EF"/>
    <w:pPr>
      <w:spacing w:line="240" w:lineRule="auto"/>
    </w:pPr>
    <w:rPr>
      <w:rFonts w:ascii="Calibri" w:eastAsia="Calibri" w:hAnsi="Calibri"/>
      <w:szCs w:val="20"/>
      <w:lang w:eastAsia="en-US"/>
    </w:rPr>
  </w:style>
  <w:style w:type="character" w:customStyle="1" w:styleId="VoetnoottekstChar">
    <w:name w:val="Voetnoottekst Char"/>
    <w:aliases w:val="Char Char Char,Voetnoot tekst Char,Voetnoottekst Char1 Char,Voetnoottekst Char2 Char Char,Voetnoottekst Char1 Char Char Char,Voetnoottekst Char3 Char Char Char Char,Voetnoottekst Char2 Char Char Char Char Char"/>
    <w:basedOn w:val="Standaardalinea-lettertype"/>
    <w:link w:val="Voetnoottekst"/>
    <w:uiPriority w:val="99"/>
    <w:rsid w:val="009A35EF"/>
    <w:rPr>
      <w:rFonts w:ascii="Calibri" w:eastAsia="Calibri" w:hAnsi="Calibri"/>
      <w:lang w:val="nl-NL"/>
    </w:rPr>
  </w:style>
  <w:style w:type="paragraph" w:customStyle="1" w:styleId="Plattetekstmidden">
    <w:name w:val="Platte tekst (midden)"/>
    <w:uiPriority w:val="99"/>
    <w:rsid w:val="009A35EF"/>
    <w:pPr>
      <w:widowControl w:val="0"/>
      <w:autoSpaceDE w:val="0"/>
      <w:autoSpaceDN w:val="0"/>
      <w:adjustRightInd w:val="0"/>
      <w:spacing w:after="240"/>
      <w:jc w:val="center"/>
    </w:pPr>
    <w:rPr>
      <w:rFonts w:ascii="Arial" w:hAnsi="Arial" w:cs="Arial"/>
      <w:lang w:val="nl-NL" w:eastAsia="nl-NL"/>
    </w:rPr>
  </w:style>
  <w:style w:type="paragraph" w:customStyle="1" w:styleId="Paragraafineenlijstdiepte0">
    <w:name w:val="Paragraaf in een lijst (diepte 0)"/>
    <w:rsid w:val="009A35EF"/>
    <w:pPr>
      <w:widowControl w:val="0"/>
      <w:autoSpaceDE w:val="0"/>
      <w:autoSpaceDN w:val="0"/>
      <w:adjustRightInd w:val="0"/>
      <w:ind w:left="640"/>
    </w:pPr>
    <w:rPr>
      <w:rFonts w:ascii="Arial" w:hAnsi="Arial" w:cs="Arial"/>
      <w:lang w:val="nl-NL" w:eastAsia="nl-NL"/>
    </w:rPr>
  </w:style>
  <w:style w:type="character" w:customStyle="1" w:styleId="LijstalineaChar">
    <w:name w:val="Lijstalinea Char"/>
    <w:link w:val="Lijstalinea"/>
    <w:uiPriority w:val="34"/>
    <w:locked/>
    <w:rsid w:val="009A35EF"/>
    <w:rPr>
      <w:rFonts w:ascii="Arial" w:hAnsi="Arial"/>
      <w:szCs w:val="24"/>
      <w:lang w:val="nl-NL" w:eastAsia="en-AU"/>
    </w:rPr>
  </w:style>
  <w:style w:type="paragraph" w:customStyle="1" w:styleId="font5">
    <w:name w:val="font5"/>
    <w:basedOn w:val="Standaard"/>
    <w:rsid w:val="009A35EF"/>
    <w:pPr>
      <w:spacing w:before="100" w:beforeAutospacing="1" w:after="100" w:afterAutospacing="1" w:line="240" w:lineRule="auto"/>
    </w:pPr>
    <w:rPr>
      <w:rFonts w:ascii="Tahoma" w:hAnsi="Tahoma" w:cs="Tahoma"/>
      <w:color w:val="000000"/>
      <w:sz w:val="18"/>
      <w:szCs w:val="18"/>
      <w:lang w:val="en-GB" w:eastAsia="en-GB"/>
    </w:rPr>
  </w:style>
  <w:style w:type="paragraph" w:customStyle="1" w:styleId="font6">
    <w:name w:val="font6"/>
    <w:basedOn w:val="Standaard"/>
    <w:rsid w:val="009A35EF"/>
    <w:pPr>
      <w:spacing w:before="100" w:beforeAutospacing="1" w:after="100" w:afterAutospacing="1" w:line="240" w:lineRule="auto"/>
    </w:pPr>
    <w:rPr>
      <w:rFonts w:ascii="Tahoma" w:hAnsi="Tahoma" w:cs="Tahoma"/>
      <w:b/>
      <w:bCs/>
      <w:color w:val="000000"/>
      <w:sz w:val="18"/>
      <w:szCs w:val="18"/>
      <w:lang w:val="en-GB" w:eastAsia="en-GB"/>
    </w:rPr>
  </w:style>
  <w:style w:type="paragraph" w:customStyle="1" w:styleId="xl63">
    <w:name w:val="xl63"/>
    <w:basedOn w:val="Standaard"/>
    <w:rsid w:val="009A35EF"/>
    <w:pPr>
      <w:pBdr>
        <w:top w:val="single" w:sz="8" w:space="0" w:color="auto"/>
        <w:left w:val="single" w:sz="8" w:space="0" w:color="auto"/>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4">
    <w:name w:val="xl64"/>
    <w:basedOn w:val="Standaard"/>
    <w:rsid w:val="009A35EF"/>
    <w:pPr>
      <w:pBdr>
        <w:top w:val="single" w:sz="8" w:space="0" w:color="auto"/>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5">
    <w:name w:val="xl65"/>
    <w:basedOn w:val="Standaard"/>
    <w:rsid w:val="009A35EF"/>
    <w:pPr>
      <w:pBdr>
        <w:top w:val="single" w:sz="8" w:space="0" w:color="auto"/>
        <w:left w:val="single" w:sz="4" w:space="0" w:color="D9D9D9"/>
        <w:bottom w:val="single" w:sz="4" w:space="0" w:color="D9D9D9"/>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6">
    <w:name w:val="xl66"/>
    <w:basedOn w:val="Standaard"/>
    <w:rsid w:val="009A35EF"/>
    <w:pPr>
      <w:pBdr>
        <w:top w:val="single" w:sz="4" w:space="0" w:color="D9D9D9"/>
        <w:left w:val="single" w:sz="8" w:space="0" w:color="auto"/>
        <w:bottom w:val="single" w:sz="8" w:space="0" w:color="auto"/>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7">
    <w:name w:val="xl67"/>
    <w:basedOn w:val="Standaard"/>
    <w:rsid w:val="009A35EF"/>
    <w:pPr>
      <w:pBdr>
        <w:top w:val="single" w:sz="4" w:space="0" w:color="D9D9D9"/>
        <w:left w:val="single" w:sz="4" w:space="0" w:color="D9D9D9"/>
        <w:bottom w:val="single" w:sz="8" w:space="0" w:color="auto"/>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8">
    <w:name w:val="xl68"/>
    <w:basedOn w:val="Standaard"/>
    <w:rsid w:val="009A35EF"/>
    <w:pPr>
      <w:pBdr>
        <w:top w:val="single" w:sz="4" w:space="0" w:color="D9D9D9"/>
        <w:left w:val="single" w:sz="4" w:space="0" w:color="D9D9D9"/>
        <w:bottom w:val="single" w:sz="8" w:space="0" w:color="auto"/>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69">
    <w:name w:val="xl69"/>
    <w:basedOn w:val="Standaard"/>
    <w:rsid w:val="009A35EF"/>
    <w:pPr>
      <w:pBdr>
        <w:top w:val="single" w:sz="4" w:space="0" w:color="D9D9D9"/>
        <w:left w:val="single" w:sz="8" w:space="0" w:color="auto"/>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0">
    <w:name w:val="xl70"/>
    <w:basedOn w:val="Standaard"/>
    <w:rsid w:val="009A35E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1">
    <w:name w:val="xl71"/>
    <w:basedOn w:val="Standaard"/>
    <w:rsid w:val="009A35EF"/>
    <w:pP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2">
    <w:name w:val="xl72"/>
    <w:basedOn w:val="Standaard"/>
    <w:rsid w:val="009A35EF"/>
    <w:pP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3">
    <w:name w:val="xl73"/>
    <w:basedOn w:val="Standaard"/>
    <w:rsid w:val="009A35EF"/>
    <w:pP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4">
    <w:name w:val="xl74"/>
    <w:basedOn w:val="Standaard"/>
    <w:rsid w:val="009A35EF"/>
    <w:pPr>
      <w:pBdr>
        <w:top w:val="single" w:sz="4" w:space="0" w:color="D9D9D9"/>
        <w:left w:val="single" w:sz="4" w:space="0" w:color="D9D9D9"/>
        <w:bottom w:val="single" w:sz="4" w:space="0" w:color="D9D9D9"/>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5">
    <w:name w:val="xl75"/>
    <w:basedOn w:val="Standaard"/>
    <w:rsid w:val="009A35EF"/>
    <w:pPr>
      <w:pBdr>
        <w:top w:val="single" w:sz="4" w:space="0" w:color="D9D9D9"/>
        <w:left w:val="single" w:sz="4" w:space="0" w:color="D9D9D9"/>
        <w:bottom w:val="single" w:sz="4" w:space="0" w:color="D9D9D9"/>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6">
    <w:name w:val="xl76"/>
    <w:basedOn w:val="Standaard"/>
    <w:rsid w:val="009A35EF"/>
    <w:pPr>
      <w:pBdr>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7">
    <w:name w:val="xl77"/>
    <w:basedOn w:val="Standaard"/>
    <w:rsid w:val="009A35EF"/>
    <w:pPr>
      <w:pBdr>
        <w:top w:val="single" w:sz="4" w:space="0" w:color="D9D9D9"/>
        <w:left w:val="single" w:sz="4" w:space="0" w:color="D9D9D9"/>
        <w:bottom w:val="single" w:sz="8" w:space="0" w:color="auto"/>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78">
    <w:name w:val="xl78"/>
    <w:basedOn w:val="Standaard"/>
    <w:rsid w:val="009A35E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top"/>
    </w:pPr>
    <w:rPr>
      <w:rFonts w:ascii="Helvetica" w:hAnsi="Helvetica" w:cs="Helvetica"/>
      <w:sz w:val="18"/>
      <w:szCs w:val="18"/>
      <w:lang w:val="en-GB" w:eastAsia="en-GB"/>
    </w:rPr>
  </w:style>
  <w:style w:type="paragraph" w:customStyle="1" w:styleId="xl79">
    <w:name w:val="xl79"/>
    <w:basedOn w:val="Standaard"/>
    <w:rsid w:val="009A35EF"/>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0">
    <w:name w:val="xl80"/>
    <w:basedOn w:val="Standaard"/>
    <w:rsid w:val="009A35EF"/>
    <w:pPr>
      <w:spacing w:before="100" w:beforeAutospacing="1" w:after="100" w:afterAutospacing="1" w:line="240" w:lineRule="auto"/>
      <w:textAlignment w:val="top"/>
    </w:pPr>
    <w:rPr>
      <w:rFonts w:ascii="Times New Roman" w:hAnsi="Times New Roman"/>
      <w:b/>
      <w:bCs/>
      <w:sz w:val="40"/>
      <w:szCs w:val="40"/>
      <w:lang w:val="en-GB" w:eastAsia="en-GB"/>
    </w:rPr>
  </w:style>
  <w:style w:type="paragraph" w:customStyle="1" w:styleId="xl81">
    <w:name w:val="xl81"/>
    <w:basedOn w:val="Standaard"/>
    <w:rsid w:val="009A35EF"/>
    <w:pPr>
      <w:pBdr>
        <w:top w:val="single" w:sz="4" w:space="0" w:color="D9D9D9"/>
        <w:left w:val="single" w:sz="8" w:space="0" w:color="auto"/>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2">
    <w:name w:val="xl82"/>
    <w:basedOn w:val="Standaard"/>
    <w:rsid w:val="009A35EF"/>
    <w:pPr>
      <w:pBdr>
        <w:top w:val="single" w:sz="4" w:space="0" w:color="D9D9D9"/>
        <w:left w:val="single" w:sz="4" w:space="0" w:color="BFBFBF"/>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3">
    <w:name w:val="xl83"/>
    <w:basedOn w:val="Standaard"/>
    <w:rsid w:val="009A35EF"/>
    <w:pPr>
      <w:pBdr>
        <w:top w:val="single" w:sz="4" w:space="0" w:color="D9D9D9"/>
        <w:left w:val="single" w:sz="4" w:space="0" w:color="BFBFBF"/>
        <w:bottom w:val="single" w:sz="4" w:space="0" w:color="BFBFBF"/>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4">
    <w:name w:val="xl84"/>
    <w:basedOn w:val="Standaard"/>
    <w:rsid w:val="009A35EF"/>
    <w:pPr>
      <w:pBdr>
        <w:top w:val="single" w:sz="4" w:space="0" w:color="BFBFBF"/>
        <w:left w:val="single" w:sz="8" w:space="0" w:color="auto"/>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5">
    <w:name w:val="xl85"/>
    <w:basedOn w:val="Standaard"/>
    <w:rsid w:val="009A35EF"/>
    <w:pPr>
      <w:pBdr>
        <w:top w:val="single" w:sz="4" w:space="0" w:color="BFBFBF"/>
        <w:left w:val="single" w:sz="4" w:space="0" w:color="BFBFBF"/>
        <w:bottom w:val="single" w:sz="4" w:space="0" w:color="BFBFBF"/>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6">
    <w:name w:val="xl86"/>
    <w:basedOn w:val="Standaard"/>
    <w:rsid w:val="009A35EF"/>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ascii="Helvetica" w:hAnsi="Helvetica" w:cs="Helvetica"/>
      <w:sz w:val="18"/>
      <w:szCs w:val="18"/>
      <w:lang w:val="en-GB" w:eastAsia="en-GB"/>
    </w:rPr>
  </w:style>
  <w:style w:type="paragraph" w:customStyle="1" w:styleId="xl87">
    <w:name w:val="xl87"/>
    <w:basedOn w:val="Standaard"/>
    <w:rsid w:val="009A35EF"/>
    <w:pPr>
      <w:pBdr>
        <w:top w:val="single" w:sz="4" w:space="0" w:color="BFBFBF"/>
        <w:left w:val="single" w:sz="8" w:space="0" w:color="auto"/>
        <w:bottom w:val="single" w:sz="8" w:space="0" w:color="auto"/>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8">
    <w:name w:val="xl88"/>
    <w:basedOn w:val="Standaard"/>
    <w:rsid w:val="009A35EF"/>
    <w:pPr>
      <w:pBdr>
        <w:top w:val="single" w:sz="4" w:space="0" w:color="BFBFBF"/>
        <w:left w:val="single" w:sz="4" w:space="0" w:color="BFBFBF"/>
        <w:bottom w:val="single" w:sz="8" w:space="0" w:color="auto"/>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89">
    <w:name w:val="xl89"/>
    <w:basedOn w:val="Standaard"/>
    <w:rsid w:val="009A35EF"/>
    <w:pPr>
      <w:pBdr>
        <w:top w:val="single" w:sz="4" w:space="0" w:color="BFBFBF"/>
        <w:left w:val="single" w:sz="4" w:space="0" w:color="BFBFBF"/>
        <w:bottom w:val="single" w:sz="8" w:space="0" w:color="auto"/>
        <w:right w:val="single" w:sz="8" w:space="0" w:color="auto"/>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90">
    <w:name w:val="xl90"/>
    <w:basedOn w:val="Standaard"/>
    <w:rsid w:val="009A35E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91">
    <w:name w:val="xl91"/>
    <w:basedOn w:val="Standaard"/>
    <w:rsid w:val="009A35EF"/>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18"/>
      <w:szCs w:val="18"/>
      <w:lang w:val="en-GB" w:eastAsia="en-GB"/>
    </w:rPr>
  </w:style>
  <w:style w:type="paragraph" w:customStyle="1" w:styleId="xl92">
    <w:name w:val="xl92"/>
    <w:basedOn w:val="Standaard"/>
    <w:rsid w:val="009A35EF"/>
    <w:pPr>
      <w:spacing w:before="100" w:beforeAutospacing="1" w:after="100" w:afterAutospacing="1" w:line="240" w:lineRule="auto"/>
      <w:textAlignment w:val="top"/>
    </w:pPr>
    <w:rPr>
      <w:rFonts w:ascii="Times New Roman" w:hAnsi="Times New Roman"/>
      <w:sz w:val="18"/>
      <w:szCs w:val="18"/>
      <w:lang w:val="en-GB" w:eastAsia="en-GB"/>
    </w:rPr>
  </w:style>
  <w:style w:type="character" w:styleId="Zwaar">
    <w:name w:val="Strong"/>
    <w:basedOn w:val="Standaardalinea-lettertype"/>
    <w:uiPriority w:val="22"/>
    <w:qFormat/>
    <w:rsid w:val="009A35EF"/>
    <w:rPr>
      <w:b/>
      <w:bCs/>
    </w:rPr>
  </w:style>
  <w:style w:type="paragraph" w:styleId="Normaalweb">
    <w:name w:val="Normal (Web)"/>
    <w:basedOn w:val="Standaard"/>
    <w:uiPriority w:val="99"/>
    <w:unhideWhenUsed/>
    <w:rsid w:val="009A35EF"/>
    <w:pPr>
      <w:spacing w:before="100" w:beforeAutospacing="1" w:after="100" w:afterAutospacing="1" w:line="240" w:lineRule="auto"/>
    </w:pPr>
    <w:rPr>
      <w:rFonts w:ascii="Times New Roman" w:eastAsiaTheme="minorEastAsia" w:hAnsi="Times New Roman"/>
      <w:sz w:val="24"/>
      <w:lang w:eastAsia="nl-NL"/>
    </w:rPr>
  </w:style>
  <w:style w:type="numbering" w:customStyle="1" w:styleId="Geenlijst1">
    <w:name w:val="Geen lijst1"/>
    <w:next w:val="Geenlijst"/>
    <w:uiPriority w:val="99"/>
    <w:semiHidden/>
    <w:unhideWhenUsed/>
    <w:rsid w:val="009A35EF"/>
  </w:style>
  <w:style w:type="paragraph" w:styleId="Bijschrift">
    <w:name w:val="caption"/>
    <w:basedOn w:val="Standaard"/>
    <w:next w:val="Standaard"/>
    <w:uiPriority w:val="35"/>
    <w:unhideWhenUsed/>
    <w:qFormat/>
    <w:rsid w:val="009A35EF"/>
    <w:pPr>
      <w:spacing w:line="240" w:lineRule="auto"/>
      <w:ind w:firstLine="360"/>
    </w:pPr>
    <w:rPr>
      <w:rFonts w:asciiTheme="minorHAnsi" w:eastAsiaTheme="minorHAnsi" w:hAnsiTheme="minorHAnsi" w:cstheme="minorBidi"/>
      <w:b/>
      <w:bCs/>
      <w:sz w:val="18"/>
      <w:szCs w:val="18"/>
      <w:lang w:val="en-US" w:eastAsia="en-US" w:bidi="en-US"/>
    </w:rPr>
  </w:style>
  <w:style w:type="paragraph" w:styleId="Citaat">
    <w:name w:val="Quote"/>
    <w:basedOn w:val="Standaard"/>
    <w:next w:val="Standaard"/>
    <w:link w:val="CitaatChar"/>
    <w:uiPriority w:val="29"/>
    <w:qFormat/>
    <w:rsid w:val="009A35EF"/>
    <w:pPr>
      <w:spacing w:line="240" w:lineRule="auto"/>
      <w:ind w:firstLine="360"/>
    </w:pPr>
    <w:rPr>
      <w:rFonts w:asciiTheme="majorHAnsi" w:eastAsiaTheme="majorEastAsia" w:hAnsiTheme="majorHAnsi" w:cstheme="majorBidi"/>
      <w:i/>
      <w:iCs/>
      <w:color w:val="5A5A5A" w:themeColor="text1" w:themeTint="A5"/>
      <w:sz w:val="22"/>
      <w:szCs w:val="22"/>
      <w:lang w:val="en-US" w:eastAsia="en-US" w:bidi="en-US"/>
    </w:rPr>
  </w:style>
  <w:style w:type="character" w:customStyle="1" w:styleId="CitaatChar">
    <w:name w:val="Citaat Char"/>
    <w:basedOn w:val="Standaardalinea-lettertype"/>
    <w:link w:val="Citaat"/>
    <w:uiPriority w:val="29"/>
    <w:rsid w:val="009A35EF"/>
    <w:rPr>
      <w:rFonts w:asciiTheme="majorHAnsi" w:eastAsiaTheme="majorEastAsia" w:hAnsiTheme="majorHAnsi" w:cstheme="majorBidi"/>
      <w:i/>
      <w:iCs/>
      <w:color w:val="5A5A5A" w:themeColor="text1" w:themeTint="A5"/>
      <w:sz w:val="22"/>
      <w:szCs w:val="22"/>
      <w:lang w:bidi="en-US"/>
    </w:rPr>
  </w:style>
  <w:style w:type="paragraph" w:styleId="Duidelijkcitaat">
    <w:name w:val="Intense Quote"/>
    <w:basedOn w:val="Standaard"/>
    <w:next w:val="Standaard"/>
    <w:link w:val="DuidelijkcitaatChar"/>
    <w:uiPriority w:val="30"/>
    <w:qFormat/>
    <w:rsid w:val="009A35E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lang w:val="en-US" w:eastAsia="en-US" w:bidi="en-US"/>
    </w:rPr>
  </w:style>
  <w:style w:type="character" w:customStyle="1" w:styleId="DuidelijkcitaatChar">
    <w:name w:val="Duidelijk citaat Char"/>
    <w:basedOn w:val="Standaardalinea-lettertype"/>
    <w:link w:val="Duidelijkcitaat"/>
    <w:uiPriority w:val="30"/>
    <w:rsid w:val="009A35EF"/>
    <w:rPr>
      <w:rFonts w:asciiTheme="majorHAnsi" w:eastAsiaTheme="majorEastAsia" w:hAnsiTheme="majorHAnsi" w:cstheme="majorBidi"/>
      <w:i/>
      <w:iCs/>
      <w:color w:val="FFFFFF" w:themeColor="background1"/>
      <w:sz w:val="24"/>
      <w:szCs w:val="24"/>
      <w:shd w:val="clear" w:color="auto" w:fill="4F81BD" w:themeFill="accent1"/>
      <w:lang w:bidi="en-US"/>
    </w:rPr>
  </w:style>
  <w:style w:type="character" w:styleId="Subtielebenadrukking">
    <w:name w:val="Subtle Emphasis"/>
    <w:uiPriority w:val="19"/>
    <w:qFormat/>
    <w:rsid w:val="009A35EF"/>
    <w:rPr>
      <w:i/>
      <w:iCs/>
      <w:color w:val="5A5A5A" w:themeColor="text1" w:themeTint="A5"/>
    </w:rPr>
  </w:style>
  <w:style w:type="character" w:styleId="Intensievebenadrukking">
    <w:name w:val="Intense Emphasis"/>
    <w:uiPriority w:val="21"/>
    <w:qFormat/>
    <w:rsid w:val="009A35EF"/>
    <w:rPr>
      <w:b/>
      <w:bCs/>
      <w:i/>
      <w:iCs/>
      <w:color w:val="4F81BD" w:themeColor="accent1"/>
      <w:sz w:val="22"/>
      <w:szCs w:val="22"/>
    </w:rPr>
  </w:style>
  <w:style w:type="character" w:styleId="Subtieleverwijzing">
    <w:name w:val="Subtle Reference"/>
    <w:uiPriority w:val="31"/>
    <w:qFormat/>
    <w:rsid w:val="009A35EF"/>
    <w:rPr>
      <w:color w:val="auto"/>
      <w:u w:val="single" w:color="9BBB59" w:themeColor="accent3"/>
    </w:rPr>
  </w:style>
  <w:style w:type="character" w:styleId="Intensieveverwijzing">
    <w:name w:val="Intense Reference"/>
    <w:basedOn w:val="Standaardalinea-lettertype"/>
    <w:uiPriority w:val="32"/>
    <w:qFormat/>
    <w:rsid w:val="009A35EF"/>
    <w:rPr>
      <w:b/>
      <w:bCs/>
      <w:color w:val="76923C" w:themeColor="accent3" w:themeShade="BF"/>
      <w:u w:val="single" w:color="9BBB59" w:themeColor="accent3"/>
    </w:rPr>
  </w:style>
  <w:style w:type="character" w:styleId="Titelvanboek">
    <w:name w:val="Book Title"/>
    <w:basedOn w:val="Standaardalinea-lettertype"/>
    <w:uiPriority w:val="33"/>
    <w:qFormat/>
    <w:rsid w:val="009A35EF"/>
    <w:rPr>
      <w:rFonts w:asciiTheme="majorHAnsi" w:eastAsiaTheme="majorEastAsia" w:hAnsiTheme="majorHAnsi" w:cstheme="majorBidi"/>
      <w:b/>
      <w:bCs/>
      <w:i/>
      <w:iCs/>
      <w:color w:val="auto"/>
    </w:rPr>
  </w:style>
  <w:style w:type="paragraph" w:styleId="Inhopg1">
    <w:name w:val="toc 1"/>
    <w:basedOn w:val="Standaard"/>
    <w:next w:val="Standaard"/>
    <w:autoRedefine/>
    <w:uiPriority w:val="39"/>
    <w:unhideWhenUsed/>
    <w:rsid w:val="009A35EF"/>
    <w:pPr>
      <w:spacing w:after="100" w:line="276" w:lineRule="auto"/>
    </w:pPr>
    <w:rPr>
      <w:rFonts w:asciiTheme="minorHAnsi" w:eastAsiaTheme="minorEastAsia" w:hAnsiTheme="minorHAnsi" w:cstheme="minorBidi"/>
      <w:sz w:val="22"/>
      <w:szCs w:val="22"/>
      <w:lang w:eastAsia="nl-NL"/>
    </w:rPr>
  </w:style>
  <w:style w:type="paragraph" w:styleId="Inhopg2">
    <w:name w:val="toc 2"/>
    <w:basedOn w:val="Standaard"/>
    <w:next w:val="Standaard"/>
    <w:autoRedefine/>
    <w:uiPriority w:val="39"/>
    <w:unhideWhenUsed/>
    <w:rsid w:val="009A35EF"/>
    <w:pPr>
      <w:spacing w:after="100" w:line="276" w:lineRule="auto"/>
      <w:ind w:left="220"/>
    </w:pPr>
    <w:rPr>
      <w:rFonts w:asciiTheme="minorHAnsi" w:eastAsiaTheme="minorEastAsia" w:hAnsiTheme="minorHAnsi" w:cstheme="minorBidi"/>
      <w:sz w:val="22"/>
      <w:szCs w:val="22"/>
      <w:lang w:eastAsia="nl-NL"/>
    </w:rPr>
  </w:style>
  <w:style w:type="paragraph" w:styleId="Inhopg3">
    <w:name w:val="toc 3"/>
    <w:basedOn w:val="Standaard"/>
    <w:next w:val="Standaard"/>
    <w:autoRedefine/>
    <w:uiPriority w:val="39"/>
    <w:unhideWhenUsed/>
    <w:rsid w:val="009A35EF"/>
    <w:pPr>
      <w:spacing w:after="100" w:line="276" w:lineRule="auto"/>
      <w:ind w:left="440"/>
    </w:pPr>
    <w:rPr>
      <w:rFonts w:asciiTheme="minorHAnsi" w:eastAsiaTheme="minorEastAsia" w:hAnsiTheme="minorHAnsi" w:cstheme="minorBidi"/>
      <w:sz w:val="22"/>
      <w:szCs w:val="22"/>
      <w:lang w:eastAsia="nl-NL"/>
    </w:rPr>
  </w:style>
  <w:style w:type="paragraph" w:styleId="Inhopg4">
    <w:name w:val="toc 4"/>
    <w:basedOn w:val="Standaard"/>
    <w:next w:val="Standaard"/>
    <w:uiPriority w:val="39"/>
    <w:rsid w:val="009A35EF"/>
    <w:pPr>
      <w:tabs>
        <w:tab w:val="right" w:leader="dot" w:pos="7371"/>
      </w:tabs>
      <w:spacing w:line="280" w:lineRule="exact"/>
      <w:ind w:left="660"/>
    </w:pPr>
    <w:rPr>
      <w:rFonts w:ascii="Times New Roman" w:hAnsi="Times New Roman"/>
      <w:sz w:val="18"/>
      <w:szCs w:val="20"/>
      <w:lang w:val="nl" w:eastAsia="en-US"/>
    </w:rPr>
  </w:style>
  <w:style w:type="paragraph" w:customStyle="1" w:styleId="NormalA">
    <w:name w:val="Normal A"/>
    <w:basedOn w:val="Standaard"/>
    <w:rsid w:val="009A35EF"/>
    <w:pPr>
      <w:spacing w:line="240" w:lineRule="auto"/>
    </w:pPr>
    <w:rPr>
      <w:rFonts w:ascii="Helvetica" w:hAnsi="Helvetica"/>
      <w:i/>
      <w:szCs w:val="20"/>
      <w:lang w:val="nl" w:eastAsia="en-US"/>
    </w:rPr>
  </w:style>
  <w:style w:type="paragraph" w:customStyle="1" w:styleId="References">
    <w:name w:val="References"/>
    <w:basedOn w:val="Standaard"/>
    <w:rsid w:val="009A35EF"/>
    <w:pPr>
      <w:spacing w:line="280" w:lineRule="exact"/>
      <w:ind w:left="1080" w:hanging="1080"/>
    </w:pPr>
    <w:rPr>
      <w:rFonts w:ascii="Times New Roman" w:hAnsi="Times New Roman"/>
      <w:sz w:val="22"/>
      <w:szCs w:val="20"/>
      <w:lang w:val="nl" w:eastAsia="en-US"/>
    </w:rPr>
  </w:style>
  <w:style w:type="paragraph" w:customStyle="1" w:styleId="Head1noTOC">
    <w:name w:val="Head1noTOC"/>
    <w:basedOn w:val="Kop1"/>
    <w:next w:val="Standaard"/>
    <w:rsid w:val="009A35EF"/>
    <w:pPr>
      <w:keepLines/>
      <w:tabs>
        <w:tab w:val="left" w:pos="851"/>
      </w:tabs>
      <w:spacing w:before="0" w:after="500" w:line="240" w:lineRule="auto"/>
      <w:outlineLvl w:val="9"/>
    </w:pPr>
    <w:rPr>
      <w:rFonts w:ascii="Times New Roman" w:eastAsia="Times New Roman" w:hAnsi="Times New Roman"/>
      <w:bCs w:val="0"/>
      <w:kern w:val="28"/>
      <w:sz w:val="28"/>
      <w:szCs w:val="20"/>
      <w:lang w:val="nl" w:eastAsia="en-US"/>
    </w:rPr>
  </w:style>
  <w:style w:type="paragraph" w:customStyle="1" w:styleId="NormalB">
    <w:name w:val="Normal B"/>
    <w:basedOn w:val="NormalA"/>
    <w:rsid w:val="009A35EF"/>
    <w:rPr>
      <w:b/>
      <w:i w:val="0"/>
      <w:sz w:val="14"/>
    </w:rPr>
  </w:style>
  <w:style w:type="paragraph" w:customStyle="1" w:styleId="NormalC">
    <w:name w:val="Normal C"/>
    <w:basedOn w:val="NormalA"/>
    <w:rsid w:val="009A35EF"/>
    <w:rPr>
      <w:i w:val="0"/>
      <w:sz w:val="14"/>
    </w:rPr>
  </w:style>
  <w:style w:type="paragraph" w:styleId="Kopbronvermelding">
    <w:name w:val="toa heading"/>
    <w:basedOn w:val="Standaard"/>
    <w:next w:val="Standaard"/>
    <w:uiPriority w:val="99"/>
    <w:semiHidden/>
    <w:rsid w:val="009A35EF"/>
    <w:pPr>
      <w:spacing w:before="120" w:line="280" w:lineRule="exact"/>
    </w:pPr>
    <w:rPr>
      <w:b/>
      <w:sz w:val="24"/>
      <w:szCs w:val="20"/>
      <w:lang w:val="nl" w:eastAsia="en-US"/>
    </w:rPr>
  </w:style>
  <w:style w:type="paragraph" w:styleId="Lijst5">
    <w:name w:val="List 5"/>
    <w:basedOn w:val="Standaard"/>
    <w:uiPriority w:val="99"/>
    <w:rsid w:val="009A35EF"/>
    <w:pPr>
      <w:spacing w:line="280" w:lineRule="exact"/>
      <w:ind w:left="1415" w:hanging="283"/>
    </w:pPr>
    <w:rPr>
      <w:rFonts w:ascii="Times New Roman" w:hAnsi="Times New Roman"/>
      <w:sz w:val="22"/>
      <w:szCs w:val="20"/>
      <w:lang w:val="nl" w:eastAsia="en-US"/>
    </w:rPr>
  </w:style>
  <w:style w:type="paragraph" w:styleId="Inhopg5">
    <w:name w:val="toc 5"/>
    <w:basedOn w:val="Standaard"/>
    <w:next w:val="Standaard"/>
    <w:uiPriority w:val="39"/>
    <w:rsid w:val="009A35EF"/>
    <w:pPr>
      <w:tabs>
        <w:tab w:val="right" w:leader="dot" w:pos="7371"/>
      </w:tabs>
      <w:spacing w:line="280" w:lineRule="exact"/>
      <w:ind w:left="880"/>
    </w:pPr>
    <w:rPr>
      <w:rFonts w:ascii="Times New Roman" w:hAnsi="Times New Roman"/>
      <w:sz w:val="18"/>
      <w:szCs w:val="20"/>
      <w:lang w:val="nl" w:eastAsia="en-US"/>
    </w:rPr>
  </w:style>
  <w:style w:type="paragraph" w:customStyle="1" w:styleId="NormalD">
    <w:name w:val="Normal D"/>
    <w:basedOn w:val="NormalA"/>
    <w:rsid w:val="009A35EF"/>
    <w:rPr>
      <w:sz w:val="14"/>
    </w:rPr>
  </w:style>
  <w:style w:type="paragraph" w:customStyle="1" w:styleId="NormalE">
    <w:name w:val="Normal E"/>
    <w:basedOn w:val="NormalA"/>
    <w:rsid w:val="009A35EF"/>
    <w:rPr>
      <w:i w:val="0"/>
      <w:sz w:val="12"/>
    </w:rPr>
  </w:style>
  <w:style w:type="paragraph" w:customStyle="1" w:styleId="Bijlagen">
    <w:name w:val="Bijlagen"/>
    <w:basedOn w:val="Kop1"/>
    <w:next w:val="Standaard"/>
    <w:rsid w:val="009A35EF"/>
    <w:pPr>
      <w:keepLines/>
      <w:tabs>
        <w:tab w:val="left" w:pos="851"/>
      </w:tabs>
      <w:spacing w:before="0" w:after="500" w:line="240" w:lineRule="auto"/>
      <w:ind w:left="1701" w:hanging="1701"/>
      <w:outlineLvl w:val="9"/>
    </w:pPr>
    <w:rPr>
      <w:rFonts w:ascii="Times New Roman" w:eastAsia="Times New Roman" w:hAnsi="Times New Roman"/>
      <w:bCs w:val="0"/>
      <w:kern w:val="28"/>
      <w:sz w:val="28"/>
      <w:szCs w:val="20"/>
      <w:lang w:val="nl" w:eastAsia="en-US"/>
    </w:rPr>
  </w:style>
  <w:style w:type="paragraph" w:customStyle="1" w:styleId="Bijlagen2">
    <w:name w:val="Bijlagen 2"/>
    <w:basedOn w:val="Kop2"/>
    <w:next w:val="Standaard"/>
    <w:rsid w:val="009A35EF"/>
    <w:pPr>
      <w:keepLines/>
      <w:tabs>
        <w:tab w:val="left" w:pos="851"/>
      </w:tabs>
      <w:spacing w:before="560" w:after="260" w:line="300" w:lineRule="exact"/>
      <w:outlineLvl w:val="9"/>
    </w:pPr>
    <w:rPr>
      <w:rFonts w:ascii="Times New Roman" w:eastAsia="Times New Roman" w:hAnsi="Times New Roman"/>
      <w:bCs w:val="0"/>
      <w:i w:val="0"/>
      <w:iCs w:val="0"/>
      <w:sz w:val="24"/>
      <w:szCs w:val="20"/>
      <w:lang w:val="nl" w:eastAsia="en-US"/>
    </w:rPr>
  </w:style>
  <w:style w:type="paragraph" w:styleId="Inhopg6">
    <w:name w:val="toc 6"/>
    <w:basedOn w:val="Standaard"/>
    <w:next w:val="Standaard"/>
    <w:uiPriority w:val="39"/>
    <w:rsid w:val="009A35EF"/>
    <w:pPr>
      <w:tabs>
        <w:tab w:val="right" w:leader="dot" w:pos="7371"/>
      </w:tabs>
      <w:spacing w:line="280" w:lineRule="exact"/>
      <w:ind w:left="1100"/>
    </w:pPr>
    <w:rPr>
      <w:rFonts w:ascii="Times New Roman" w:hAnsi="Times New Roman"/>
      <w:sz w:val="18"/>
      <w:szCs w:val="20"/>
      <w:lang w:val="nl" w:eastAsia="en-US"/>
    </w:rPr>
  </w:style>
  <w:style w:type="paragraph" w:styleId="Inhopg7">
    <w:name w:val="toc 7"/>
    <w:basedOn w:val="Standaard"/>
    <w:next w:val="Standaard"/>
    <w:uiPriority w:val="39"/>
    <w:rsid w:val="009A35EF"/>
    <w:pPr>
      <w:tabs>
        <w:tab w:val="right" w:leader="dot" w:pos="7371"/>
      </w:tabs>
      <w:spacing w:line="280" w:lineRule="exact"/>
      <w:ind w:left="1320"/>
    </w:pPr>
    <w:rPr>
      <w:rFonts w:ascii="Times New Roman" w:hAnsi="Times New Roman"/>
      <w:sz w:val="18"/>
      <w:szCs w:val="20"/>
      <w:lang w:val="nl" w:eastAsia="en-US"/>
    </w:rPr>
  </w:style>
  <w:style w:type="paragraph" w:styleId="Inhopg8">
    <w:name w:val="toc 8"/>
    <w:basedOn w:val="Standaard"/>
    <w:next w:val="Standaard"/>
    <w:uiPriority w:val="39"/>
    <w:rsid w:val="009A35EF"/>
    <w:pPr>
      <w:tabs>
        <w:tab w:val="right" w:leader="dot" w:pos="7371"/>
      </w:tabs>
      <w:spacing w:line="280" w:lineRule="exact"/>
      <w:ind w:left="1540"/>
    </w:pPr>
    <w:rPr>
      <w:rFonts w:ascii="Times New Roman" w:hAnsi="Times New Roman"/>
      <w:sz w:val="18"/>
      <w:szCs w:val="20"/>
      <w:lang w:val="nl" w:eastAsia="en-US"/>
    </w:rPr>
  </w:style>
  <w:style w:type="paragraph" w:styleId="Inhopg9">
    <w:name w:val="toc 9"/>
    <w:basedOn w:val="Standaard"/>
    <w:next w:val="Standaard"/>
    <w:uiPriority w:val="39"/>
    <w:rsid w:val="009A35EF"/>
    <w:pPr>
      <w:tabs>
        <w:tab w:val="right" w:leader="dot" w:pos="7371"/>
      </w:tabs>
      <w:spacing w:line="280" w:lineRule="exact"/>
      <w:ind w:left="1760"/>
    </w:pPr>
    <w:rPr>
      <w:rFonts w:ascii="Times New Roman" w:hAnsi="Times New Roman"/>
      <w:sz w:val="18"/>
      <w:szCs w:val="20"/>
      <w:lang w:val="nl" w:eastAsia="en-US"/>
    </w:rPr>
  </w:style>
  <w:style w:type="character" w:customStyle="1" w:styleId="EquationCaption">
    <w:name w:val="_Equation Caption"/>
    <w:rsid w:val="009A35EF"/>
    <w:rPr>
      <w:b/>
    </w:rPr>
  </w:style>
  <w:style w:type="paragraph" w:customStyle="1" w:styleId="N3">
    <w:name w:val="N3"/>
    <w:rsid w:val="009A35EF"/>
    <w:pPr>
      <w:widowControl w:val="0"/>
      <w:tabs>
        <w:tab w:val="left" w:pos="1677"/>
      </w:tabs>
      <w:suppressAutoHyphens/>
      <w:ind w:left="1677" w:hanging="1677"/>
    </w:pPr>
    <w:rPr>
      <w:rFonts w:ascii="Helvetica" w:hAnsi="Helvetica"/>
      <w:b/>
      <w:sz w:val="21"/>
    </w:rPr>
  </w:style>
  <w:style w:type="paragraph" w:customStyle="1" w:styleId="bijschrift0">
    <w:name w:val="bijschrift"/>
    <w:basedOn w:val="Standaard"/>
    <w:rsid w:val="009A35EF"/>
    <w:pPr>
      <w:widowControl w:val="0"/>
      <w:spacing w:line="240" w:lineRule="auto"/>
    </w:pPr>
    <w:rPr>
      <w:rFonts w:ascii="Helvetica" w:hAnsi="Helvetica"/>
      <w:sz w:val="24"/>
      <w:szCs w:val="20"/>
      <w:lang w:val="nl" w:eastAsia="en-US"/>
    </w:rPr>
  </w:style>
  <w:style w:type="character" w:customStyle="1" w:styleId="Dokument3">
    <w:name w:val="Dokument 3"/>
    <w:rsid w:val="009A35EF"/>
    <w:rPr>
      <w:rFonts w:ascii="Helvetica" w:hAnsi="Helvetica"/>
      <w:noProof w:val="0"/>
      <w:sz w:val="21"/>
      <w:lang w:val="en-US"/>
    </w:rPr>
  </w:style>
  <w:style w:type="character" w:customStyle="1" w:styleId="Inhoudsopgav">
    <w:name w:val="Inhoudsopgav"/>
    <w:rsid w:val="009A35EF"/>
    <w:rPr>
      <w:sz w:val="21"/>
    </w:rPr>
  </w:style>
  <w:style w:type="paragraph" w:customStyle="1" w:styleId="Formule">
    <w:name w:val="Formule"/>
    <w:rsid w:val="009A35EF"/>
    <w:pPr>
      <w:keepNext/>
      <w:keepLines/>
      <w:widowControl w:val="0"/>
      <w:tabs>
        <w:tab w:val="left" w:pos="651"/>
        <w:tab w:val="left" w:pos="1502"/>
        <w:tab w:val="left" w:pos="2353"/>
        <w:tab w:val="left" w:pos="3204"/>
        <w:tab w:val="left" w:pos="4054"/>
        <w:tab w:val="left" w:pos="4905"/>
        <w:tab w:val="left" w:pos="5756"/>
        <w:tab w:val="left" w:pos="6607"/>
        <w:tab w:val="left" w:pos="7458"/>
        <w:tab w:val="left" w:pos="8308"/>
        <w:tab w:val="left" w:pos="9159"/>
      </w:tabs>
      <w:suppressAutoHyphens/>
    </w:pPr>
    <w:rPr>
      <w:rFonts w:ascii="Playbill" w:hAnsi="Playbill"/>
      <w:sz w:val="23"/>
    </w:rPr>
  </w:style>
  <w:style w:type="paragraph" w:customStyle="1" w:styleId="N4">
    <w:name w:val="N4"/>
    <w:rsid w:val="009A35EF"/>
    <w:pPr>
      <w:widowControl w:val="0"/>
      <w:tabs>
        <w:tab w:val="left" w:pos="1677"/>
      </w:tabs>
      <w:suppressAutoHyphens/>
      <w:ind w:left="1677" w:hanging="1677"/>
    </w:pPr>
    <w:rPr>
      <w:rFonts w:ascii="Helvetica" w:hAnsi="Helvetica"/>
      <w:b/>
      <w:sz w:val="21"/>
    </w:rPr>
  </w:style>
  <w:style w:type="paragraph" w:customStyle="1" w:styleId="N5">
    <w:name w:val="N5"/>
    <w:rsid w:val="009A35EF"/>
    <w:pPr>
      <w:widowControl w:val="0"/>
      <w:tabs>
        <w:tab w:val="left" w:pos="1677"/>
      </w:tabs>
      <w:suppressAutoHyphens/>
      <w:ind w:left="1677" w:hanging="1677"/>
    </w:pPr>
    <w:rPr>
      <w:rFonts w:ascii="Helvetica" w:hAnsi="Helvetica"/>
      <w:b/>
      <w:sz w:val="21"/>
    </w:rPr>
  </w:style>
  <w:style w:type="paragraph" w:customStyle="1" w:styleId="N2">
    <w:name w:val="N2"/>
    <w:rsid w:val="009A35EF"/>
    <w:pPr>
      <w:widowControl w:val="0"/>
      <w:tabs>
        <w:tab w:val="left" w:pos="1677"/>
      </w:tabs>
      <w:suppressAutoHyphens/>
      <w:ind w:left="1677" w:hanging="1677"/>
    </w:pPr>
    <w:rPr>
      <w:rFonts w:ascii="Helvetica" w:hAnsi="Helvetica"/>
      <w:b/>
      <w:sz w:val="21"/>
    </w:rPr>
  </w:style>
  <w:style w:type="paragraph" w:customStyle="1" w:styleId="N1">
    <w:name w:val="N1"/>
    <w:rsid w:val="009A35EF"/>
    <w:pPr>
      <w:widowControl w:val="0"/>
      <w:tabs>
        <w:tab w:val="left" w:pos="1677"/>
      </w:tabs>
      <w:suppressAutoHyphens/>
      <w:ind w:left="1677" w:hanging="1677"/>
    </w:pPr>
    <w:rPr>
      <w:rFonts w:ascii="Helvetica" w:hAnsi="Helvetica"/>
      <w:b/>
      <w:sz w:val="21"/>
    </w:rPr>
  </w:style>
  <w:style w:type="paragraph" w:customStyle="1" w:styleId="Tabel">
    <w:name w:val="Tabel"/>
    <w:rsid w:val="009A35EF"/>
    <w:pPr>
      <w:keepNext/>
      <w:keepLines/>
      <w:widowControl w:val="0"/>
      <w:tabs>
        <w:tab w:val="left" w:pos="-720"/>
      </w:tabs>
      <w:suppressAutoHyphens/>
    </w:pPr>
    <w:rPr>
      <w:rFonts w:ascii="AvantGarde" w:hAnsi="AvantGarde"/>
      <w:sz w:val="24"/>
    </w:rPr>
  </w:style>
  <w:style w:type="character" w:customStyle="1" w:styleId="vbrapport">
    <w:name w:val="vb_rapport"/>
    <w:rsid w:val="009A35EF"/>
    <w:rPr>
      <w:rFonts w:ascii="Arial" w:hAnsi="Arial"/>
      <w:noProof w:val="0"/>
      <w:sz w:val="21"/>
      <w:lang w:val="en-US"/>
    </w:rPr>
  </w:style>
  <w:style w:type="paragraph" w:customStyle="1" w:styleId="vbadres">
    <w:name w:val="vb_adres"/>
    <w:rsid w:val="009A35EF"/>
    <w:pPr>
      <w:keepNext/>
      <w:keepLines/>
      <w:widowControl w:val="0"/>
      <w:tabs>
        <w:tab w:val="left" w:pos="-720"/>
      </w:tabs>
      <w:suppressAutoHyphens/>
    </w:pPr>
    <w:rPr>
      <w:rFonts w:ascii="Helvetica" w:hAnsi="Helvetica"/>
      <w:sz w:val="21"/>
    </w:rPr>
  </w:style>
  <w:style w:type="character" w:customStyle="1" w:styleId="Bibliografie1">
    <w:name w:val="Bibliografie1"/>
    <w:basedOn w:val="Standaardalinea-lettertype"/>
    <w:rsid w:val="009A35EF"/>
  </w:style>
  <w:style w:type="character" w:customStyle="1" w:styleId="Techninit">
    <w:name w:val="Techn init"/>
    <w:rsid w:val="009A35EF"/>
    <w:rPr>
      <w:rFonts w:ascii="Helvetica" w:hAnsi="Helvetica"/>
      <w:noProof w:val="0"/>
      <w:sz w:val="21"/>
      <w:lang w:val="en-US"/>
    </w:rPr>
  </w:style>
  <w:style w:type="character" w:customStyle="1" w:styleId="Technisch1">
    <w:name w:val="Technisch 1"/>
    <w:rsid w:val="009A35EF"/>
    <w:rPr>
      <w:rFonts w:ascii="Helvetica" w:hAnsi="Helvetica"/>
      <w:noProof w:val="0"/>
      <w:sz w:val="21"/>
      <w:lang w:val="en-US"/>
    </w:rPr>
  </w:style>
  <w:style w:type="character" w:customStyle="1" w:styleId="Technisch2">
    <w:name w:val="Technisch 2"/>
    <w:rsid w:val="009A35EF"/>
    <w:rPr>
      <w:rFonts w:ascii="Helvetica" w:hAnsi="Helvetica"/>
      <w:noProof w:val="0"/>
      <w:sz w:val="21"/>
      <w:lang w:val="en-US"/>
    </w:rPr>
  </w:style>
  <w:style w:type="character" w:customStyle="1" w:styleId="Technisch3">
    <w:name w:val="Technisch 3"/>
    <w:rsid w:val="009A35EF"/>
    <w:rPr>
      <w:rFonts w:ascii="Helvetica" w:hAnsi="Helvetica"/>
      <w:noProof w:val="0"/>
      <w:sz w:val="21"/>
      <w:lang w:val="en-US"/>
    </w:rPr>
  </w:style>
  <w:style w:type="character" w:customStyle="1" w:styleId="Technisch4">
    <w:name w:val="Technisch 4"/>
    <w:basedOn w:val="Standaardalinea-lettertype"/>
    <w:rsid w:val="009A35EF"/>
  </w:style>
  <w:style w:type="character" w:customStyle="1" w:styleId="Technisch5">
    <w:name w:val="Technisch 5"/>
    <w:basedOn w:val="Standaardalinea-lettertype"/>
    <w:rsid w:val="009A35EF"/>
  </w:style>
  <w:style w:type="character" w:customStyle="1" w:styleId="Technisch6">
    <w:name w:val="Technisch 6"/>
    <w:basedOn w:val="Standaardalinea-lettertype"/>
    <w:rsid w:val="009A35EF"/>
  </w:style>
  <w:style w:type="character" w:customStyle="1" w:styleId="Technisch7">
    <w:name w:val="Technisch 7"/>
    <w:basedOn w:val="Standaardalinea-lettertype"/>
    <w:rsid w:val="009A35EF"/>
  </w:style>
  <w:style w:type="character" w:customStyle="1" w:styleId="Technisch8">
    <w:name w:val="Technisch 8"/>
    <w:basedOn w:val="Standaardalinea-lettertype"/>
    <w:rsid w:val="009A35EF"/>
  </w:style>
  <w:style w:type="character" w:customStyle="1" w:styleId="Dokuinit">
    <w:name w:val="Doku init"/>
    <w:basedOn w:val="Standaardalinea-lettertype"/>
    <w:rsid w:val="009A35EF"/>
  </w:style>
  <w:style w:type="paragraph" w:customStyle="1" w:styleId="Dokument1">
    <w:name w:val="Dokument 1"/>
    <w:rsid w:val="009A35EF"/>
    <w:pPr>
      <w:keepNext/>
      <w:keepLines/>
      <w:widowControl w:val="0"/>
      <w:tabs>
        <w:tab w:val="left" w:pos="-720"/>
      </w:tabs>
      <w:suppressAutoHyphens/>
    </w:pPr>
    <w:rPr>
      <w:rFonts w:ascii="Helvetica" w:hAnsi="Helvetica"/>
      <w:sz w:val="21"/>
    </w:rPr>
  </w:style>
  <w:style w:type="character" w:customStyle="1" w:styleId="Dokument2">
    <w:name w:val="Dokument 2"/>
    <w:rsid w:val="009A35EF"/>
    <w:rPr>
      <w:rFonts w:ascii="Helvetica" w:hAnsi="Helvetica"/>
      <w:noProof w:val="0"/>
      <w:sz w:val="21"/>
      <w:lang w:val="en-US"/>
    </w:rPr>
  </w:style>
  <w:style w:type="character" w:customStyle="1" w:styleId="Dokument4">
    <w:name w:val="Dokument 4"/>
    <w:rsid w:val="009A35EF"/>
    <w:rPr>
      <w:b/>
      <w:i/>
      <w:sz w:val="21"/>
    </w:rPr>
  </w:style>
  <w:style w:type="character" w:customStyle="1" w:styleId="Dokument5">
    <w:name w:val="Dokument 5"/>
    <w:basedOn w:val="Standaardalinea-lettertype"/>
    <w:rsid w:val="009A35EF"/>
  </w:style>
  <w:style w:type="character" w:customStyle="1" w:styleId="Dokument6">
    <w:name w:val="Dokument 6"/>
    <w:basedOn w:val="Standaardalinea-lettertype"/>
    <w:rsid w:val="009A35EF"/>
  </w:style>
  <w:style w:type="character" w:customStyle="1" w:styleId="Dokument7">
    <w:name w:val="Dokument 7"/>
    <w:basedOn w:val="Standaardalinea-lettertype"/>
    <w:rsid w:val="009A35EF"/>
  </w:style>
  <w:style w:type="character" w:customStyle="1" w:styleId="Dokument8">
    <w:name w:val="Dokument 8"/>
    <w:basedOn w:val="Standaardalinea-lettertype"/>
    <w:rsid w:val="009A35EF"/>
  </w:style>
  <w:style w:type="paragraph" w:customStyle="1" w:styleId="memorandum">
    <w:name w:val="memorandum"/>
    <w:rsid w:val="009A35EF"/>
    <w:pPr>
      <w:widowControl w:val="0"/>
      <w:tabs>
        <w:tab w:val="left" w:pos="-720"/>
      </w:tabs>
      <w:suppressAutoHyphens/>
    </w:pPr>
    <w:rPr>
      <w:sz w:val="22"/>
      <w:lang w:val="nl-NL"/>
    </w:rPr>
  </w:style>
  <w:style w:type="character" w:customStyle="1" w:styleId="footnotebod">
    <w:name w:val="footnote bod"/>
    <w:rsid w:val="009A35EF"/>
    <w:rPr>
      <w:rFonts w:ascii="Arial" w:hAnsi="Arial"/>
      <w:noProof w:val="0"/>
      <w:sz w:val="20"/>
      <w:lang w:val="en-US"/>
    </w:rPr>
  </w:style>
  <w:style w:type="paragraph" w:customStyle="1" w:styleId="paragraph">
    <w:name w:val="paragraph"/>
    <w:rsid w:val="009A35EF"/>
    <w:pPr>
      <w:widowControl w:val="0"/>
      <w:tabs>
        <w:tab w:val="left" w:pos="339"/>
        <w:tab w:val="left" w:pos="680"/>
      </w:tabs>
      <w:suppressAutoHyphens/>
      <w:spacing w:after="134"/>
    </w:pPr>
    <w:rPr>
      <w:rFonts w:ascii="Helvetica" w:hAnsi="Helvetica"/>
      <w:sz w:val="21"/>
    </w:rPr>
  </w:style>
  <w:style w:type="paragraph" w:customStyle="1" w:styleId="Memo">
    <w:name w:val="Memo"/>
    <w:rsid w:val="009A35EF"/>
    <w:pPr>
      <w:widowControl w:val="0"/>
      <w:tabs>
        <w:tab w:val="left" w:pos="0"/>
        <w:tab w:val="left" w:pos="817"/>
        <w:tab w:val="left" w:pos="1668"/>
        <w:tab w:val="left" w:pos="1929"/>
        <w:tab w:val="left" w:pos="2519"/>
        <w:tab w:val="left" w:pos="3370"/>
        <w:tab w:val="left" w:pos="4221"/>
        <w:tab w:val="left" w:pos="5071"/>
        <w:tab w:val="left" w:pos="5922"/>
        <w:tab w:val="left" w:pos="6773"/>
      </w:tabs>
      <w:suppressAutoHyphens/>
    </w:pPr>
    <w:rPr>
      <w:sz w:val="22"/>
    </w:rPr>
  </w:style>
  <w:style w:type="character" w:customStyle="1" w:styleId="TPDbrief">
    <w:name w:val="TPD brief"/>
    <w:basedOn w:val="Standaardalinea-lettertype"/>
    <w:rsid w:val="009A35EF"/>
  </w:style>
  <w:style w:type="paragraph" w:customStyle="1" w:styleId="verslag">
    <w:name w:val="verslag"/>
    <w:rsid w:val="009A35EF"/>
    <w:pPr>
      <w:widowControl w:val="0"/>
      <w:tabs>
        <w:tab w:val="left" w:pos="0"/>
        <w:tab w:val="left" w:pos="817"/>
        <w:tab w:val="left" w:pos="1668"/>
        <w:tab w:val="left" w:pos="1929"/>
        <w:tab w:val="left" w:pos="2519"/>
        <w:tab w:val="left" w:pos="3370"/>
        <w:tab w:val="left" w:pos="4221"/>
        <w:tab w:val="left" w:pos="5071"/>
        <w:tab w:val="left" w:pos="5922"/>
        <w:tab w:val="left" w:pos="6055"/>
        <w:tab w:val="left" w:pos="6293"/>
        <w:tab w:val="left" w:pos="6773"/>
        <w:tab w:val="left" w:pos="7047"/>
        <w:tab w:val="left" w:pos="7624"/>
        <w:tab w:val="left" w:pos="8475"/>
      </w:tabs>
      <w:suppressAutoHyphens/>
    </w:pPr>
    <w:rPr>
      <w:rFonts w:ascii="Arial" w:hAnsi="Arial"/>
      <w:sz w:val="21"/>
    </w:rPr>
  </w:style>
  <w:style w:type="character" w:customStyle="1" w:styleId="Hoofdstukti">
    <w:name w:val="Hoofdstuk ti"/>
    <w:basedOn w:val="Standaardalinea-lettertype"/>
    <w:rsid w:val="009A35EF"/>
  </w:style>
  <w:style w:type="character" w:customStyle="1" w:styleId="Sub-paragraa">
    <w:name w:val="Sub-paragraa"/>
    <w:basedOn w:val="Standaardalinea-lettertype"/>
    <w:rsid w:val="009A35EF"/>
  </w:style>
  <w:style w:type="character" w:customStyle="1" w:styleId="Paragraafti">
    <w:name w:val="Paragraaf ti"/>
    <w:basedOn w:val="Standaardalinea-lettertype"/>
    <w:rsid w:val="009A35EF"/>
  </w:style>
  <w:style w:type="character" w:customStyle="1" w:styleId="Alineanummer1">
    <w:name w:val="Alineanummer 1"/>
    <w:basedOn w:val="Standaardalinea-lettertype"/>
    <w:rsid w:val="009A35EF"/>
  </w:style>
  <w:style w:type="character" w:customStyle="1" w:styleId="Alineanummer2">
    <w:name w:val="Alineanummer 2"/>
    <w:basedOn w:val="Standaardalinea-lettertype"/>
    <w:rsid w:val="009A35EF"/>
  </w:style>
  <w:style w:type="character" w:customStyle="1" w:styleId="Alineanummer3">
    <w:name w:val="Alineanummer 3"/>
    <w:basedOn w:val="Standaardalinea-lettertype"/>
    <w:rsid w:val="009A35EF"/>
  </w:style>
  <w:style w:type="character" w:customStyle="1" w:styleId="Alineanummer4">
    <w:name w:val="Alineanummer 4"/>
    <w:basedOn w:val="Standaardalinea-lettertype"/>
    <w:rsid w:val="009A35EF"/>
  </w:style>
  <w:style w:type="character" w:customStyle="1" w:styleId="Alineanummer5">
    <w:name w:val="Alineanummer 5"/>
    <w:basedOn w:val="Standaardalinea-lettertype"/>
    <w:rsid w:val="009A35EF"/>
  </w:style>
  <w:style w:type="character" w:customStyle="1" w:styleId="Alineanummer6">
    <w:name w:val="Alineanummer 6"/>
    <w:basedOn w:val="Standaardalinea-lettertype"/>
    <w:rsid w:val="009A35EF"/>
  </w:style>
  <w:style w:type="character" w:customStyle="1" w:styleId="Alineanummer7">
    <w:name w:val="Alineanummer 7"/>
    <w:basedOn w:val="Standaardalinea-lettertype"/>
    <w:rsid w:val="009A35EF"/>
  </w:style>
  <w:style w:type="character" w:customStyle="1" w:styleId="Alineanummer8">
    <w:name w:val="Alineanummer 8"/>
    <w:basedOn w:val="Standaardalinea-lettertype"/>
    <w:rsid w:val="009A35EF"/>
  </w:style>
  <w:style w:type="paragraph" w:customStyle="1" w:styleId="brief">
    <w:name w:val="brief"/>
    <w:rsid w:val="009A35EF"/>
    <w:pPr>
      <w:widowControl w:val="0"/>
      <w:tabs>
        <w:tab w:val="left" w:pos="-720"/>
      </w:tabs>
      <w:suppressAutoHyphens/>
    </w:pPr>
    <w:rPr>
      <w:rFonts w:ascii="Bookman" w:hAnsi="Bookman"/>
      <w:sz w:val="22"/>
      <w:lang w:val="nl-NL"/>
    </w:rPr>
  </w:style>
  <w:style w:type="character" w:customStyle="1" w:styleId="DefaultParagraphFo">
    <w:name w:val="Default Paragraph Fo"/>
    <w:basedOn w:val="Standaardalinea-lettertype"/>
    <w:rsid w:val="009A35EF"/>
  </w:style>
  <w:style w:type="paragraph" w:customStyle="1" w:styleId="inhopg10">
    <w:name w:val="inhopg 1"/>
    <w:basedOn w:val="Standaard"/>
    <w:rsid w:val="009A35EF"/>
    <w:pPr>
      <w:widowControl w:val="0"/>
      <w:tabs>
        <w:tab w:val="right" w:pos="8710"/>
      </w:tabs>
      <w:suppressAutoHyphens/>
      <w:spacing w:before="480" w:line="240" w:lineRule="exact"/>
      <w:ind w:left="33" w:right="33" w:hanging="33"/>
      <w:jc w:val="both"/>
    </w:pPr>
    <w:rPr>
      <w:rFonts w:ascii="Times New Roman" w:hAnsi="Times New Roman"/>
      <w:sz w:val="21"/>
      <w:szCs w:val="20"/>
      <w:lang w:val="en-US" w:eastAsia="en-US"/>
    </w:rPr>
  </w:style>
  <w:style w:type="paragraph" w:customStyle="1" w:styleId="inhopg20">
    <w:name w:val="inhopg 2"/>
    <w:basedOn w:val="Standaard"/>
    <w:rsid w:val="009A35EF"/>
    <w:pPr>
      <w:widowControl w:val="0"/>
      <w:tabs>
        <w:tab w:val="right" w:pos="8710"/>
      </w:tabs>
      <w:suppressAutoHyphens/>
      <w:spacing w:line="240" w:lineRule="exact"/>
      <w:ind w:left="850" w:right="33" w:hanging="817"/>
      <w:jc w:val="both"/>
    </w:pPr>
    <w:rPr>
      <w:rFonts w:ascii="Times New Roman" w:hAnsi="Times New Roman"/>
      <w:sz w:val="21"/>
      <w:szCs w:val="20"/>
      <w:lang w:val="en-US" w:eastAsia="en-US"/>
    </w:rPr>
  </w:style>
  <w:style w:type="paragraph" w:customStyle="1" w:styleId="inhopg30">
    <w:name w:val="inhopg 3"/>
    <w:basedOn w:val="Standaard"/>
    <w:rsid w:val="009A35EF"/>
    <w:pPr>
      <w:widowControl w:val="0"/>
      <w:tabs>
        <w:tab w:val="right" w:pos="8710"/>
      </w:tabs>
      <w:suppressAutoHyphens/>
      <w:spacing w:line="240" w:lineRule="exact"/>
      <w:ind w:left="1701" w:right="33" w:hanging="851"/>
      <w:jc w:val="both"/>
    </w:pPr>
    <w:rPr>
      <w:rFonts w:ascii="Times New Roman" w:hAnsi="Times New Roman"/>
      <w:sz w:val="21"/>
      <w:szCs w:val="20"/>
      <w:lang w:val="en-US" w:eastAsia="en-US"/>
    </w:rPr>
  </w:style>
  <w:style w:type="paragraph" w:customStyle="1" w:styleId="inhopg40">
    <w:name w:val="inhopg 4"/>
    <w:basedOn w:val="Standaard"/>
    <w:rsid w:val="009A35EF"/>
    <w:pPr>
      <w:widowControl w:val="0"/>
      <w:tabs>
        <w:tab w:val="right" w:pos="8710"/>
      </w:tabs>
      <w:suppressAutoHyphens/>
      <w:spacing w:line="240" w:lineRule="exact"/>
      <w:ind w:left="1962" w:right="33" w:hanging="261"/>
      <w:jc w:val="both"/>
    </w:pPr>
    <w:rPr>
      <w:rFonts w:ascii="Times New Roman" w:hAnsi="Times New Roman"/>
      <w:sz w:val="21"/>
      <w:szCs w:val="20"/>
      <w:lang w:val="en-US" w:eastAsia="en-US"/>
    </w:rPr>
  </w:style>
  <w:style w:type="paragraph" w:customStyle="1" w:styleId="inhopg50">
    <w:name w:val="inhopg 5"/>
    <w:basedOn w:val="Standaard"/>
    <w:rsid w:val="009A35EF"/>
    <w:pPr>
      <w:widowControl w:val="0"/>
      <w:tabs>
        <w:tab w:val="right" w:pos="8710"/>
      </w:tabs>
      <w:suppressAutoHyphens/>
      <w:spacing w:line="240" w:lineRule="exact"/>
      <w:ind w:left="2552" w:right="33" w:hanging="590"/>
      <w:jc w:val="both"/>
    </w:pPr>
    <w:rPr>
      <w:rFonts w:ascii="Times New Roman" w:hAnsi="Times New Roman"/>
      <w:sz w:val="21"/>
      <w:szCs w:val="20"/>
      <w:lang w:val="en-US" w:eastAsia="en-US"/>
    </w:rPr>
  </w:style>
  <w:style w:type="paragraph" w:customStyle="1" w:styleId="inhopg60">
    <w:name w:val="inhopg 6"/>
    <w:basedOn w:val="Standaard"/>
    <w:rsid w:val="009A35EF"/>
    <w:pPr>
      <w:widowControl w:val="0"/>
      <w:tabs>
        <w:tab w:val="right" w:pos="9360"/>
      </w:tabs>
      <w:suppressAutoHyphens/>
      <w:spacing w:line="240" w:lineRule="auto"/>
      <w:ind w:left="720" w:hanging="720"/>
    </w:pPr>
    <w:rPr>
      <w:rFonts w:ascii="Helvetica" w:hAnsi="Helvetica"/>
      <w:sz w:val="21"/>
      <w:szCs w:val="20"/>
      <w:lang w:val="en-US" w:eastAsia="en-US"/>
    </w:rPr>
  </w:style>
  <w:style w:type="paragraph" w:customStyle="1" w:styleId="inhopg70">
    <w:name w:val="inhopg 7"/>
    <w:basedOn w:val="Standaard"/>
    <w:rsid w:val="009A35EF"/>
    <w:pPr>
      <w:widowControl w:val="0"/>
      <w:suppressAutoHyphens/>
      <w:spacing w:line="240" w:lineRule="auto"/>
      <w:ind w:left="720" w:hanging="720"/>
    </w:pPr>
    <w:rPr>
      <w:rFonts w:ascii="Helvetica" w:hAnsi="Helvetica"/>
      <w:sz w:val="21"/>
      <w:szCs w:val="20"/>
      <w:lang w:val="en-US" w:eastAsia="en-US"/>
    </w:rPr>
  </w:style>
  <w:style w:type="paragraph" w:customStyle="1" w:styleId="inhopg80">
    <w:name w:val="inhopg 8"/>
    <w:basedOn w:val="Standaard"/>
    <w:rsid w:val="009A35EF"/>
    <w:pPr>
      <w:widowControl w:val="0"/>
      <w:tabs>
        <w:tab w:val="right" w:pos="9360"/>
      </w:tabs>
      <w:suppressAutoHyphens/>
      <w:spacing w:line="240" w:lineRule="auto"/>
      <w:ind w:left="720" w:hanging="720"/>
    </w:pPr>
    <w:rPr>
      <w:rFonts w:ascii="Helvetica" w:hAnsi="Helvetica"/>
      <w:sz w:val="21"/>
      <w:szCs w:val="20"/>
      <w:lang w:val="en-US" w:eastAsia="en-US"/>
    </w:rPr>
  </w:style>
  <w:style w:type="paragraph" w:customStyle="1" w:styleId="inhopg90">
    <w:name w:val="inhopg 9"/>
    <w:basedOn w:val="Standaard"/>
    <w:rsid w:val="009A35EF"/>
    <w:pPr>
      <w:widowControl w:val="0"/>
      <w:tabs>
        <w:tab w:val="right" w:leader="dot" w:pos="9360"/>
      </w:tabs>
      <w:suppressAutoHyphens/>
      <w:spacing w:line="240" w:lineRule="auto"/>
      <w:ind w:left="720" w:hanging="720"/>
    </w:pPr>
    <w:rPr>
      <w:rFonts w:ascii="Helvetica" w:hAnsi="Helvetica"/>
      <w:sz w:val="21"/>
      <w:szCs w:val="20"/>
      <w:lang w:val="en-US" w:eastAsia="en-US"/>
    </w:rPr>
  </w:style>
  <w:style w:type="paragraph" w:customStyle="1" w:styleId="bronvermelding">
    <w:name w:val="bronvermelding"/>
    <w:basedOn w:val="Standaard"/>
    <w:rsid w:val="009A35EF"/>
    <w:pPr>
      <w:widowControl w:val="0"/>
      <w:tabs>
        <w:tab w:val="right" w:pos="9360"/>
      </w:tabs>
      <w:suppressAutoHyphens/>
      <w:spacing w:line="240" w:lineRule="auto"/>
    </w:pPr>
    <w:rPr>
      <w:rFonts w:ascii="Helvetica" w:hAnsi="Helvetica"/>
      <w:sz w:val="21"/>
      <w:szCs w:val="20"/>
      <w:lang w:val="en-US" w:eastAsia="en-US"/>
    </w:rPr>
  </w:style>
  <w:style w:type="character" w:styleId="Paginanummer">
    <w:name w:val="page number"/>
    <w:basedOn w:val="Standaardalinea-lettertype"/>
    <w:uiPriority w:val="99"/>
    <w:rsid w:val="009A35EF"/>
  </w:style>
  <w:style w:type="paragraph" w:styleId="Index1">
    <w:name w:val="index 1"/>
    <w:basedOn w:val="Standaard"/>
    <w:next w:val="Standaard"/>
    <w:uiPriority w:val="99"/>
    <w:semiHidden/>
    <w:rsid w:val="009A35EF"/>
    <w:pPr>
      <w:tabs>
        <w:tab w:val="right" w:leader="dot" w:pos="7371"/>
      </w:tabs>
      <w:spacing w:line="280" w:lineRule="exact"/>
      <w:ind w:left="220" w:hanging="220"/>
    </w:pPr>
    <w:rPr>
      <w:rFonts w:ascii="Times New Roman" w:hAnsi="Times New Roman"/>
      <w:szCs w:val="20"/>
      <w:lang w:val="nl" w:eastAsia="en-US"/>
    </w:rPr>
  </w:style>
  <w:style w:type="paragraph" w:styleId="Index2">
    <w:name w:val="index 2"/>
    <w:basedOn w:val="Standaard"/>
    <w:next w:val="Standaard"/>
    <w:uiPriority w:val="99"/>
    <w:semiHidden/>
    <w:rsid w:val="009A35EF"/>
    <w:pPr>
      <w:tabs>
        <w:tab w:val="right" w:leader="dot" w:pos="7371"/>
      </w:tabs>
      <w:spacing w:line="280" w:lineRule="exact"/>
      <w:ind w:left="440" w:hanging="220"/>
    </w:pPr>
    <w:rPr>
      <w:rFonts w:ascii="Times New Roman" w:hAnsi="Times New Roman"/>
      <w:szCs w:val="20"/>
      <w:lang w:val="nl" w:eastAsia="en-US"/>
    </w:rPr>
  </w:style>
  <w:style w:type="paragraph" w:styleId="Index3">
    <w:name w:val="index 3"/>
    <w:basedOn w:val="Standaard"/>
    <w:next w:val="Standaard"/>
    <w:uiPriority w:val="99"/>
    <w:semiHidden/>
    <w:rsid w:val="009A35EF"/>
    <w:pPr>
      <w:tabs>
        <w:tab w:val="right" w:leader="dot" w:pos="7371"/>
      </w:tabs>
      <w:spacing w:line="280" w:lineRule="exact"/>
      <w:ind w:left="660" w:hanging="220"/>
    </w:pPr>
    <w:rPr>
      <w:rFonts w:ascii="Times New Roman" w:hAnsi="Times New Roman"/>
      <w:szCs w:val="20"/>
      <w:lang w:val="nl" w:eastAsia="en-US"/>
    </w:rPr>
  </w:style>
  <w:style w:type="paragraph" w:styleId="Index4">
    <w:name w:val="index 4"/>
    <w:basedOn w:val="Standaard"/>
    <w:next w:val="Standaard"/>
    <w:uiPriority w:val="99"/>
    <w:semiHidden/>
    <w:rsid w:val="009A35EF"/>
    <w:pPr>
      <w:tabs>
        <w:tab w:val="right" w:leader="dot" w:pos="7371"/>
      </w:tabs>
      <w:spacing w:line="280" w:lineRule="exact"/>
      <w:ind w:left="880" w:hanging="220"/>
    </w:pPr>
    <w:rPr>
      <w:rFonts w:ascii="Times New Roman" w:hAnsi="Times New Roman"/>
      <w:szCs w:val="20"/>
      <w:lang w:val="nl" w:eastAsia="en-US"/>
    </w:rPr>
  </w:style>
  <w:style w:type="paragraph" w:styleId="Index5">
    <w:name w:val="index 5"/>
    <w:basedOn w:val="Standaard"/>
    <w:next w:val="Standaard"/>
    <w:uiPriority w:val="99"/>
    <w:semiHidden/>
    <w:rsid w:val="009A35EF"/>
    <w:pPr>
      <w:tabs>
        <w:tab w:val="right" w:leader="dot" w:pos="7371"/>
      </w:tabs>
      <w:spacing w:line="280" w:lineRule="exact"/>
      <w:ind w:left="1100" w:hanging="220"/>
    </w:pPr>
    <w:rPr>
      <w:rFonts w:ascii="Times New Roman" w:hAnsi="Times New Roman"/>
      <w:szCs w:val="20"/>
      <w:lang w:val="nl" w:eastAsia="en-US"/>
    </w:rPr>
  </w:style>
  <w:style w:type="paragraph" w:styleId="Index6">
    <w:name w:val="index 6"/>
    <w:basedOn w:val="Standaard"/>
    <w:next w:val="Standaard"/>
    <w:uiPriority w:val="99"/>
    <w:semiHidden/>
    <w:rsid w:val="009A35EF"/>
    <w:pPr>
      <w:tabs>
        <w:tab w:val="right" w:leader="dot" w:pos="7371"/>
      </w:tabs>
      <w:spacing w:line="280" w:lineRule="exact"/>
      <w:ind w:left="1320" w:hanging="220"/>
    </w:pPr>
    <w:rPr>
      <w:rFonts w:ascii="Times New Roman" w:hAnsi="Times New Roman"/>
      <w:szCs w:val="20"/>
      <w:lang w:val="nl" w:eastAsia="en-US"/>
    </w:rPr>
  </w:style>
  <w:style w:type="paragraph" w:styleId="Index7">
    <w:name w:val="index 7"/>
    <w:basedOn w:val="Standaard"/>
    <w:next w:val="Standaard"/>
    <w:uiPriority w:val="99"/>
    <w:semiHidden/>
    <w:rsid w:val="009A35EF"/>
    <w:pPr>
      <w:tabs>
        <w:tab w:val="right" w:leader="dot" w:pos="7371"/>
      </w:tabs>
      <w:spacing w:line="280" w:lineRule="exact"/>
      <w:ind w:left="1540" w:hanging="220"/>
    </w:pPr>
    <w:rPr>
      <w:rFonts w:ascii="Times New Roman" w:hAnsi="Times New Roman"/>
      <w:szCs w:val="20"/>
      <w:lang w:val="nl" w:eastAsia="en-US"/>
    </w:rPr>
  </w:style>
  <w:style w:type="paragraph" w:styleId="Index8">
    <w:name w:val="index 8"/>
    <w:basedOn w:val="Standaard"/>
    <w:next w:val="Standaard"/>
    <w:uiPriority w:val="99"/>
    <w:semiHidden/>
    <w:rsid w:val="009A35EF"/>
    <w:pPr>
      <w:tabs>
        <w:tab w:val="right" w:leader="dot" w:pos="7371"/>
      </w:tabs>
      <w:spacing w:line="280" w:lineRule="exact"/>
      <w:ind w:left="1760" w:hanging="220"/>
    </w:pPr>
    <w:rPr>
      <w:rFonts w:ascii="Times New Roman" w:hAnsi="Times New Roman"/>
      <w:szCs w:val="20"/>
      <w:lang w:val="nl" w:eastAsia="en-US"/>
    </w:rPr>
  </w:style>
  <w:style w:type="paragraph" w:styleId="Index9">
    <w:name w:val="index 9"/>
    <w:basedOn w:val="Standaard"/>
    <w:next w:val="Standaard"/>
    <w:uiPriority w:val="99"/>
    <w:semiHidden/>
    <w:rsid w:val="009A35EF"/>
    <w:pPr>
      <w:tabs>
        <w:tab w:val="right" w:leader="dot" w:pos="7371"/>
      </w:tabs>
      <w:spacing w:line="280" w:lineRule="exact"/>
      <w:ind w:left="1980" w:hanging="220"/>
    </w:pPr>
    <w:rPr>
      <w:rFonts w:ascii="Times New Roman" w:hAnsi="Times New Roman"/>
      <w:szCs w:val="20"/>
      <w:lang w:val="nl" w:eastAsia="en-US"/>
    </w:rPr>
  </w:style>
  <w:style w:type="paragraph" w:styleId="Indexkop">
    <w:name w:val="index heading"/>
    <w:basedOn w:val="Standaard"/>
    <w:next w:val="Index1"/>
    <w:uiPriority w:val="99"/>
    <w:semiHidden/>
    <w:rsid w:val="009A35EF"/>
    <w:pPr>
      <w:spacing w:before="120" w:after="120" w:line="280" w:lineRule="exact"/>
    </w:pPr>
    <w:rPr>
      <w:rFonts w:ascii="Times New Roman" w:hAnsi="Times New Roman"/>
      <w:b/>
      <w:i/>
      <w:szCs w:val="20"/>
      <w:lang w:val="nl" w:eastAsia="en-US"/>
    </w:rPr>
  </w:style>
  <w:style w:type="paragraph" w:styleId="Eindnoottekst">
    <w:name w:val="endnote text"/>
    <w:basedOn w:val="Standaard"/>
    <w:link w:val="EindnoottekstChar"/>
    <w:uiPriority w:val="99"/>
    <w:semiHidden/>
    <w:rsid w:val="009A35EF"/>
    <w:pPr>
      <w:spacing w:line="280" w:lineRule="exact"/>
    </w:pPr>
    <w:rPr>
      <w:rFonts w:ascii="Times New Roman" w:hAnsi="Times New Roman"/>
      <w:szCs w:val="20"/>
      <w:lang w:val="nl" w:eastAsia="en-US"/>
    </w:rPr>
  </w:style>
  <w:style w:type="character" w:customStyle="1" w:styleId="EindnoottekstChar">
    <w:name w:val="Eindnoottekst Char"/>
    <w:basedOn w:val="Standaardalinea-lettertype"/>
    <w:link w:val="Eindnoottekst"/>
    <w:uiPriority w:val="99"/>
    <w:semiHidden/>
    <w:rsid w:val="009A35EF"/>
    <w:rPr>
      <w:lang w:val="nl"/>
    </w:rPr>
  </w:style>
  <w:style w:type="character" w:styleId="Eindnootmarkering">
    <w:name w:val="endnote reference"/>
    <w:uiPriority w:val="99"/>
    <w:semiHidden/>
    <w:rsid w:val="009A35EF"/>
    <w:rPr>
      <w:vertAlign w:val="superscript"/>
    </w:rPr>
  </w:style>
  <w:style w:type="paragraph" w:styleId="Plattetekstinspringen">
    <w:name w:val="Body Text Indent"/>
    <w:basedOn w:val="Standaard"/>
    <w:link w:val="PlattetekstinspringenChar"/>
    <w:uiPriority w:val="99"/>
    <w:rsid w:val="009A35EF"/>
    <w:pPr>
      <w:spacing w:line="280" w:lineRule="exact"/>
      <w:ind w:firstLine="1"/>
    </w:pPr>
    <w:rPr>
      <w:rFonts w:ascii="Times New Roman" w:hAnsi="Times New Roman"/>
      <w:sz w:val="22"/>
      <w:szCs w:val="20"/>
      <w:lang w:val="nl" w:eastAsia="en-US"/>
    </w:rPr>
  </w:style>
  <w:style w:type="character" w:customStyle="1" w:styleId="PlattetekstinspringenChar">
    <w:name w:val="Platte tekst inspringen Char"/>
    <w:basedOn w:val="Standaardalinea-lettertype"/>
    <w:link w:val="Plattetekstinspringen"/>
    <w:uiPriority w:val="99"/>
    <w:rsid w:val="009A35EF"/>
    <w:rPr>
      <w:sz w:val="22"/>
      <w:lang w:val="nl"/>
    </w:rPr>
  </w:style>
  <w:style w:type="paragraph" w:customStyle="1" w:styleId="Body">
    <w:name w:val="Body"/>
    <w:basedOn w:val="Standaard"/>
    <w:rsid w:val="009A35EF"/>
    <w:rPr>
      <w:rFonts w:ascii="Times New Roman" w:hAnsi="Times New Roman"/>
      <w:sz w:val="21"/>
      <w:szCs w:val="20"/>
      <w:lang w:eastAsia="en-US"/>
    </w:rPr>
  </w:style>
  <w:style w:type="paragraph" w:customStyle="1" w:styleId="Marge">
    <w:name w:val="Marge"/>
    <w:basedOn w:val="Standaard"/>
    <w:rsid w:val="009A35EF"/>
    <w:pPr>
      <w:tabs>
        <w:tab w:val="left" w:pos="198"/>
      </w:tabs>
      <w:spacing w:line="210" w:lineRule="exact"/>
    </w:pPr>
    <w:rPr>
      <w:rFonts w:ascii="Times New Roman" w:hAnsi="Times New Roman"/>
      <w:sz w:val="17"/>
      <w:szCs w:val="20"/>
      <w:lang w:eastAsia="en-US"/>
    </w:rPr>
  </w:style>
  <w:style w:type="paragraph" w:customStyle="1" w:styleId="Margebold">
    <w:name w:val="Marge bold"/>
    <w:basedOn w:val="Marge"/>
    <w:next w:val="Marge"/>
    <w:rsid w:val="009A35EF"/>
    <w:rPr>
      <w:b/>
    </w:rPr>
  </w:style>
  <w:style w:type="paragraph" w:customStyle="1" w:styleId="Margewitregel">
    <w:name w:val="Marge witregel"/>
    <w:basedOn w:val="Marge"/>
    <w:next w:val="Marge"/>
    <w:rsid w:val="009A35EF"/>
    <w:pPr>
      <w:spacing w:line="140" w:lineRule="exact"/>
    </w:pPr>
  </w:style>
  <w:style w:type="paragraph" w:customStyle="1" w:styleId="Rubricering">
    <w:name w:val="Rubricering"/>
    <w:basedOn w:val="Standaard"/>
    <w:next w:val="Body"/>
    <w:rsid w:val="009A35EF"/>
    <w:rPr>
      <w:rFonts w:ascii="Times New Roman" w:hAnsi="Times New Roman"/>
      <w:b/>
      <w:caps/>
      <w:sz w:val="17"/>
      <w:szCs w:val="20"/>
      <w:lang w:eastAsia="en-US"/>
    </w:rPr>
  </w:style>
  <w:style w:type="paragraph" w:customStyle="1" w:styleId="TNO-naam">
    <w:name w:val="TNO-naam"/>
    <w:basedOn w:val="Standaard"/>
    <w:next w:val="Body"/>
    <w:rsid w:val="009A35EF"/>
    <w:pPr>
      <w:spacing w:line="160" w:lineRule="exact"/>
    </w:pPr>
    <w:rPr>
      <w:rFonts w:ascii="Times New Roman" w:hAnsi="Times New Roman"/>
      <w:vanish/>
      <w:sz w:val="13"/>
      <w:szCs w:val="20"/>
      <w:lang w:eastAsia="en-US"/>
    </w:rPr>
  </w:style>
  <w:style w:type="paragraph" w:customStyle="1" w:styleId="Status">
    <w:name w:val="Status"/>
    <w:basedOn w:val="Standaard"/>
    <w:next w:val="Body"/>
    <w:rsid w:val="009A35EF"/>
    <w:rPr>
      <w:rFonts w:ascii="Times New Roman" w:hAnsi="Times New Roman"/>
      <w:color w:val="C0C0C0"/>
      <w:sz w:val="140"/>
      <w:szCs w:val="20"/>
      <w:lang w:eastAsia="en-US"/>
    </w:rPr>
  </w:style>
  <w:style w:type="paragraph" w:customStyle="1" w:styleId="Bodyboldklein">
    <w:name w:val="Body bold klein"/>
    <w:basedOn w:val="Body"/>
    <w:next w:val="Body"/>
    <w:rsid w:val="009A35EF"/>
    <w:rPr>
      <w:b/>
      <w:sz w:val="17"/>
    </w:rPr>
  </w:style>
  <w:style w:type="paragraph" w:customStyle="1" w:styleId="Rapportinfo">
    <w:name w:val="Rapportinfo"/>
    <w:basedOn w:val="Standaard"/>
    <w:rsid w:val="009A35EF"/>
    <w:pPr>
      <w:spacing w:line="210" w:lineRule="exact"/>
    </w:pPr>
    <w:rPr>
      <w:rFonts w:eastAsia="Arial Unicode MS"/>
      <w:noProof/>
      <w:sz w:val="16"/>
      <w:szCs w:val="20"/>
      <w:lang w:eastAsia="en-US"/>
    </w:rPr>
  </w:style>
  <w:style w:type="paragraph" w:customStyle="1" w:styleId="dossiertitel">
    <w:name w:val="dossiertitel"/>
    <w:basedOn w:val="Standaard"/>
    <w:rsid w:val="009A35EF"/>
    <w:pPr>
      <w:spacing w:before="100" w:beforeAutospacing="1" w:after="100" w:afterAutospacing="1" w:line="240" w:lineRule="auto"/>
    </w:pPr>
    <w:rPr>
      <w:rFonts w:ascii="Times New Roman" w:hAnsi="Times New Roman"/>
      <w:sz w:val="24"/>
      <w:lang w:eastAsia="nl-NL"/>
    </w:rPr>
  </w:style>
  <w:style w:type="character" w:customStyle="1" w:styleId="tekstbrowser">
    <w:name w:val="tekstbrowser"/>
    <w:basedOn w:val="Standaardalinea-lettertype"/>
    <w:rsid w:val="009A35EF"/>
  </w:style>
  <w:style w:type="paragraph" w:customStyle="1" w:styleId="Lijstalinea2">
    <w:name w:val="Lijstalinea2"/>
    <w:basedOn w:val="Standaard"/>
    <w:qFormat/>
    <w:rsid w:val="009A35EF"/>
    <w:pPr>
      <w:spacing w:after="200" w:line="276" w:lineRule="auto"/>
      <w:ind w:left="720"/>
      <w:contextualSpacing/>
    </w:pPr>
    <w:rPr>
      <w:rFonts w:ascii="Calibri" w:hAnsi="Calibri" w:cs="Calibri"/>
      <w:sz w:val="22"/>
      <w:szCs w:val="22"/>
      <w:lang w:eastAsia="en-US"/>
    </w:rPr>
  </w:style>
  <w:style w:type="paragraph" w:styleId="Lijstopsomteken2">
    <w:name w:val="List Bullet 2"/>
    <w:basedOn w:val="Standaard"/>
    <w:uiPriority w:val="99"/>
    <w:rsid w:val="009A35EF"/>
    <w:pPr>
      <w:numPr>
        <w:numId w:val="25"/>
      </w:numPr>
      <w:tabs>
        <w:tab w:val="clear" w:pos="200"/>
        <w:tab w:val="num" w:pos="360"/>
        <w:tab w:val="left" w:pos="440"/>
      </w:tabs>
      <w:spacing w:line="240" w:lineRule="atLeast"/>
      <w:ind w:left="0" w:firstLine="0"/>
    </w:pPr>
    <w:rPr>
      <w:rFonts w:ascii="Verdana" w:hAnsi="Verdana"/>
      <w:noProof/>
      <w:sz w:val="18"/>
      <w:lang w:eastAsia="nl-NL"/>
    </w:rPr>
  </w:style>
  <w:style w:type="paragraph" w:styleId="Lijstopsomteken">
    <w:name w:val="List Bullet"/>
    <w:basedOn w:val="Standaard"/>
    <w:uiPriority w:val="99"/>
    <w:rsid w:val="009A35EF"/>
    <w:pPr>
      <w:numPr>
        <w:numId w:val="24"/>
      </w:numPr>
      <w:spacing w:line="240" w:lineRule="atLeast"/>
      <w:ind w:left="0" w:firstLine="0"/>
    </w:pPr>
    <w:rPr>
      <w:rFonts w:ascii="Verdana" w:hAnsi="Verdana"/>
      <w:noProof/>
      <w:sz w:val="18"/>
      <w:lang w:eastAsia="nl-NL"/>
    </w:rPr>
  </w:style>
  <w:style w:type="paragraph" w:customStyle="1" w:styleId="Huisstijl-Rubricering0">
    <w:name w:val="Huisstijl-Rubricering"/>
    <w:basedOn w:val="Standaard"/>
    <w:rsid w:val="009A35EF"/>
    <w:pPr>
      <w:adjustRightInd w:val="0"/>
      <w:spacing w:line="180" w:lineRule="exact"/>
    </w:pPr>
    <w:rPr>
      <w:rFonts w:ascii="Verdana" w:hAnsi="Verdana" w:cs="Verdana-Bold"/>
      <w:b/>
      <w:bCs/>
      <w:smallCaps/>
      <w:noProof/>
      <w:sz w:val="13"/>
      <w:szCs w:val="13"/>
      <w:lang w:eastAsia="nl-NL"/>
    </w:rPr>
  </w:style>
  <w:style w:type="paragraph" w:customStyle="1" w:styleId="Huisstijl-Adres">
    <w:name w:val="Huisstijl-Adres"/>
    <w:basedOn w:val="Standaard"/>
    <w:rsid w:val="009A35EF"/>
    <w:pPr>
      <w:tabs>
        <w:tab w:val="left" w:pos="192"/>
      </w:tabs>
      <w:adjustRightInd w:val="0"/>
      <w:spacing w:after="90" w:line="180" w:lineRule="exact"/>
    </w:pPr>
    <w:rPr>
      <w:rFonts w:ascii="Verdana" w:hAnsi="Verdana" w:cs="Verdana"/>
      <w:noProof/>
      <w:sz w:val="13"/>
      <w:szCs w:val="13"/>
      <w:lang w:eastAsia="nl-NL"/>
    </w:rPr>
  </w:style>
  <w:style w:type="paragraph" w:customStyle="1" w:styleId="Huisstijl-NotaGegeven">
    <w:name w:val="Huisstijl-NotaGegeven"/>
    <w:basedOn w:val="Standaard"/>
    <w:rsid w:val="009A35EF"/>
    <w:pPr>
      <w:adjustRightInd w:val="0"/>
      <w:spacing w:line="180" w:lineRule="exact"/>
    </w:pPr>
    <w:rPr>
      <w:rFonts w:ascii="Verdana" w:hAnsi="Verdana" w:cs="Verdana"/>
      <w:noProof/>
      <w:sz w:val="13"/>
      <w:szCs w:val="18"/>
      <w:lang w:eastAsia="nl-NL"/>
    </w:rPr>
  </w:style>
  <w:style w:type="paragraph" w:styleId="Lijstnummering">
    <w:name w:val="List Number"/>
    <w:basedOn w:val="Standaard"/>
    <w:uiPriority w:val="99"/>
    <w:rsid w:val="009A35EF"/>
    <w:pPr>
      <w:numPr>
        <w:numId w:val="26"/>
      </w:numPr>
      <w:tabs>
        <w:tab w:val="clear" w:pos="400"/>
        <w:tab w:val="num" w:pos="360"/>
      </w:tabs>
      <w:spacing w:line="240" w:lineRule="atLeast"/>
      <w:ind w:left="0" w:firstLine="0"/>
    </w:pPr>
    <w:rPr>
      <w:rFonts w:ascii="Verdana" w:hAnsi="Verdana"/>
      <w:sz w:val="18"/>
      <w:lang w:eastAsia="nl-NL"/>
    </w:rPr>
  </w:style>
  <w:style w:type="paragraph" w:styleId="Lijstnummering2">
    <w:name w:val="List Number 2"/>
    <w:basedOn w:val="Standaard"/>
    <w:uiPriority w:val="99"/>
    <w:rsid w:val="009A35EF"/>
    <w:pPr>
      <w:numPr>
        <w:numId w:val="23"/>
      </w:numPr>
      <w:tabs>
        <w:tab w:val="clear" w:pos="580"/>
        <w:tab w:val="num" w:pos="360"/>
      </w:tabs>
      <w:spacing w:line="240" w:lineRule="atLeast"/>
      <w:ind w:left="0" w:firstLine="0"/>
    </w:pPr>
    <w:rPr>
      <w:rFonts w:ascii="Verdana" w:hAnsi="Verdana"/>
      <w:sz w:val="18"/>
      <w:lang w:eastAsia="nl-NL"/>
    </w:rPr>
  </w:style>
  <w:style w:type="paragraph" w:customStyle="1" w:styleId="Huisstijl-NotaKopje">
    <w:name w:val="Huisstijl-NotaKopje"/>
    <w:basedOn w:val="Huisstijl-NotaGegeven"/>
    <w:next w:val="Huisstijl-NotaGegeven"/>
    <w:rsid w:val="009A35EF"/>
    <w:pPr>
      <w:spacing w:before="160" w:line="240" w:lineRule="exact"/>
    </w:pPr>
  </w:style>
  <w:style w:type="paragraph" w:customStyle="1" w:styleId="Huisstijl-Paginanummering">
    <w:name w:val="Huisstijl-Paginanummering"/>
    <w:basedOn w:val="Standaard"/>
    <w:rsid w:val="009A35EF"/>
    <w:pPr>
      <w:spacing w:line="180" w:lineRule="exact"/>
    </w:pPr>
    <w:rPr>
      <w:rFonts w:ascii="Verdana" w:hAnsi="Verdana"/>
      <w:sz w:val="13"/>
      <w:lang w:eastAsia="nl-NL"/>
    </w:rPr>
  </w:style>
  <w:style w:type="paragraph" w:customStyle="1" w:styleId="Huisstijl-NAW">
    <w:name w:val="Huisstijl-NAW"/>
    <w:basedOn w:val="Standaard"/>
    <w:rsid w:val="009A35EF"/>
    <w:pPr>
      <w:adjustRightInd w:val="0"/>
      <w:spacing w:line="240" w:lineRule="atLeast"/>
    </w:pPr>
    <w:rPr>
      <w:rFonts w:ascii="Verdana" w:hAnsi="Verdana" w:cs="Verdana"/>
      <w:noProof/>
      <w:sz w:val="18"/>
      <w:szCs w:val="18"/>
      <w:lang w:eastAsia="nl-NL"/>
    </w:rPr>
  </w:style>
  <w:style w:type="character" w:customStyle="1" w:styleId="Huisstijl-GegevenCharChar">
    <w:name w:val="Huisstijl-Gegeven Char Char"/>
    <w:basedOn w:val="Standaardalinea-lettertype"/>
    <w:link w:val="Huisstijl-Gegeven"/>
    <w:locked/>
    <w:rsid w:val="009A35EF"/>
    <w:rPr>
      <w:rFonts w:ascii="Verdana" w:hAnsi="Verdana"/>
      <w:noProof/>
    </w:rPr>
  </w:style>
  <w:style w:type="paragraph" w:customStyle="1" w:styleId="Huisstijl-Gegeven">
    <w:name w:val="Huisstijl-Gegeven"/>
    <w:basedOn w:val="Standaard"/>
    <w:link w:val="Huisstijl-GegevenCharChar"/>
    <w:rsid w:val="009A35EF"/>
    <w:pPr>
      <w:spacing w:after="92" w:line="180" w:lineRule="exact"/>
    </w:pPr>
    <w:rPr>
      <w:rFonts w:ascii="Verdana" w:hAnsi="Verdana"/>
      <w:noProof/>
      <w:szCs w:val="20"/>
      <w:lang w:val="en-US" w:eastAsia="en-US"/>
    </w:rPr>
  </w:style>
  <w:style w:type="paragraph" w:customStyle="1" w:styleId="Huisstijl-Kopje">
    <w:name w:val="Huisstijl-Kopje"/>
    <w:basedOn w:val="Huisstijl-Gegeven"/>
    <w:link w:val="Huisstijl-KopjeChar"/>
    <w:rsid w:val="009A35EF"/>
    <w:pPr>
      <w:spacing w:after="0"/>
    </w:pPr>
    <w:rPr>
      <w:b/>
    </w:rPr>
  </w:style>
  <w:style w:type="character" w:customStyle="1" w:styleId="Huisstijl-KopjeChar">
    <w:name w:val="Huisstijl-Kopje Char"/>
    <w:basedOn w:val="Huisstijl-GegevenCharChar"/>
    <w:link w:val="Huisstijl-Kopje"/>
    <w:locked/>
    <w:rsid w:val="009A35EF"/>
    <w:rPr>
      <w:rFonts w:ascii="Verdana" w:hAnsi="Verdana"/>
      <w:b/>
      <w:noProof/>
    </w:rPr>
  </w:style>
  <w:style w:type="paragraph" w:customStyle="1" w:styleId="Huisstijl-Voorwaarden">
    <w:name w:val="Huisstijl-Voorwaarden"/>
    <w:basedOn w:val="Standaard"/>
    <w:rsid w:val="009A35EF"/>
    <w:pPr>
      <w:spacing w:line="180" w:lineRule="exact"/>
    </w:pPr>
    <w:rPr>
      <w:rFonts w:ascii="Verdana" w:hAnsi="Verdana"/>
      <w:i/>
      <w:noProof/>
      <w:sz w:val="13"/>
      <w:lang w:eastAsia="nl-NL"/>
    </w:rPr>
  </w:style>
  <w:style w:type="paragraph" w:customStyle="1" w:styleId="Inhoud">
    <w:name w:val="Inhoud"/>
    <w:basedOn w:val="Standaard"/>
    <w:next w:val="Standaard"/>
    <w:autoRedefine/>
    <w:rsid w:val="009A35EF"/>
    <w:pPr>
      <w:spacing w:before="240" w:after="240" w:line="288" w:lineRule="auto"/>
    </w:pPr>
    <w:rPr>
      <w:b/>
      <w:color w:val="333333"/>
      <w:sz w:val="26"/>
      <w:lang w:eastAsia="en-US"/>
    </w:rPr>
  </w:style>
  <w:style w:type="paragraph" w:customStyle="1" w:styleId="Voorblad">
    <w:name w:val="Voorblad"/>
    <w:basedOn w:val="Standaard"/>
    <w:rsid w:val="009A35EF"/>
    <w:pPr>
      <w:spacing w:line="288" w:lineRule="auto"/>
    </w:pPr>
    <w:rPr>
      <w:color w:val="333333"/>
      <w:lang w:eastAsia="en-US"/>
    </w:rPr>
  </w:style>
  <w:style w:type="paragraph" w:customStyle="1" w:styleId="Voorbladgrijs">
    <w:name w:val="Voorbladgrijs"/>
    <w:basedOn w:val="Voorblad"/>
    <w:next w:val="Voorblad"/>
    <w:rsid w:val="009A35EF"/>
    <w:rPr>
      <w:color w:val="808080"/>
    </w:rPr>
  </w:style>
  <w:style w:type="paragraph" w:customStyle="1" w:styleId="TabelCelKolom1">
    <w:name w:val="TabelCelKolom1"/>
    <w:basedOn w:val="Standaard"/>
    <w:rsid w:val="009A35EF"/>
    <w:pPr>
      <w:spacing w:line="288" w:lineRule="auto"/>
      <w:ind w:left="181"/>
    </w:pPr>
    <w:rPr>
      <w:color w:val="333333"/>
      <w:sz w:val="16"/>
      <w:szCs w:val="20"/>
      <w:lang w:eastAsia="en-US"/>
    </w:rPr>
  </w:style>
  <w:style w:type="paragraph" w:customStyle="1" w:styleId="TabelCelKolom2">
    <w:name w:val="TabelCelKolom2"/>
    <w:basedOn w:val="Standaard"/>
    <w:rsid w:val="009A35EF"/>
    <w:pPr>
      <w:spacing w:line="288" w:lineRule="auto"/>
      <w:ind w:left="181"/>
      <w:jc w:val="center"/>
    </w:pPr>
    <w:rPr>
      <w:color w:val="333333"/>
      <w:sz w:val="16"/>
      <w:szCs w:val="20"/>
      <w:lang w:eastAsia="en-US"/>
    </w:rPr>
  </w:style>
  <w:style w:type="character" w:customStyle="1" w:styleId="grijsgrootvet">
    <w:name w:val="grijsgrootvet"/>
    <w:rsid w:val="009A35EF"/>
    <w:rPr>
      <w:color w:val="808080"/>
      <w:sz w:val="22"/>
    </w:rPr>
  </w:style>
  <w:style w:type="paragraph" w:customStyle="1" w:styleId="Aanwezig">
    <w:name w:val="Aanwezig"/>
    <w:basedOn w:val="Standaard"/>
    <w:rsid w:val="009A35EF"/>
    <w:pPr>
      <w:tabs>
        <w:tab w:val="left" w:pos="3895"/>
        <w:tab w:val="left" w:pos="7796"/>
      </w:tabs>
      <w:spacing w:line="288" w:lineRule="auto"/>
    </w:pPr>
    <w:rPr>
      <w:color w:val="333333"/>
      <w:sz w:val="16"/>
      <w:szCs w:val="16"/>
      <w:lang w:eastAsia="en-US"/>
    </w:rPr>
  </w:style>
  <w:style w:type="paragraph" w:customStyle="1" w:styleId="Aanwezigkop">
    <w:name w:val="Aanwezigkop"/>
    <w:basedOn w:val="Aanwezig"/>
    <w:next w:val="Aanwezig"/>
    <w:rsid w:val="009A35EF"/>
    <w:rPr>
      <w:b/>
    </w:rPr>
  </w:style>
  <w:style w:type="paragraph" w:customStyle="1" w:styleId="LijstAgenda">
    <w:name w:val="LijstAgenda"/>
    <w:basedOn w:val="Standaard"/>
    <w:autoRedefine/>
    <w:rsid w:val="009A35EF"/>
    <w:pPr>
      <w:numPr>
        <w:numId w:val="27"/>
      </w:numPr>
      <w:tabs>
        <w:tab w:val="clear" w:pos="360"/>
        <w:tab w:val="num" w:pos="425"/>
      </w:tabs>
      <w:spacing w:line="288" w:lineRule="auto"/>
      <w:ind w:left="425" w:hanging="425"/>
    </w:pPr>
    <w:rPr>
      <w:color w:val="333333"/>
      <w:lang w:eastAsia="en-US"/>
    </w:rPr>
  </w:style>
  <w:style w:type="character" w:customStyle="1" w:styleId="CharChar1">
    <w:name w:val="Char Char1"/>
    <w:rsid w:val="009A35EF"/>
    <w:rPr>
      <w:rFonts w:ascii="Arial" w:hAnsi="Arial"/>
      <w:b/>
      <w:color w:val="333333"/>
      <w:sz w:val="22"/>
      <w:lang w:val="nl-NL" w:eastAsia="en-US"/>
    </w:rPr>
  </w:style>
  <w:style w:type="character" w:customStyle="1" w:styleId="65pt">
    <w:name w:val="6.5 pt"/>
    <w:basedOn w:val="Standaardalinea-lettertype"/>
    <w:uiPriority w:val="99"/>
    <w:rsid w:val="009A35EF"/>
    <w:rPr>
      <w:rFonts w:cs="Times New Roman"/>
      <w:sz w:val="13"/>
    </w:rPr>
  </w:style>
  <w:style w:type="character" w:customStyle="1" w:styleId="Cursief">
    <w:name w:val="Cursief"/>
    <w:basedOn w:val="Standaardalinea-lettertype"/>
    <w:uiPriority w:val="99"/>
    <w:rsid w:val="009A35EF"/>
    <w:rPr>
      <w:rFonts w:cs="Times New Roman"/>
      <w:i/>
    </w:rPr>
  </w:style>
  <w:style w:type="character" w:customStyle="1" w:styleId="Huisstijl-GegevenChar">
    <w:name w:val="Huisstijl-Gegeven Char"/>
    <w:basedOn w:val="Standaardalinea-lettertype"/>
    <w:uiPriority w:val="99"/>
    <w:locked/>
    <w:rsid w:val="009A35EF"/>
    <w:rPr>
      <w:rFonts w:ascii="Verdana" w:eastAsia="Times New Roman" w:hAnsi="Verdana" w:cs="Times New Roman"/>
      <w:noProof/>
      <w:sz w:val="13"/>
      <w:lang w:eastAsia="en-US"/>
    </w:rPr>
  </w:style>
  <w:style w:type="paragraph" w:customStyle="1" w:styleId="Huisstijl-Kopie">
    <w:name w:val="Huisstijl-Kopie"/>
    <w:basedOn w:val="Huisstijl-Gegeven"/>
    <w:uiPriority w:val="99"/>
    <w:rsid w:val="009A35EF"/>
    <w:pPr>
      <w:spacing w:after="0"/>
    </w:pPr>
    <w:rPr>
      <w:b/>
      <w:sz w:val="13"/>
      <w:szCs w:val="22"/>
    </w:rPr>
  </w:style>
  <w:style w:type="paragraph" w:customStyle="1" w:styleId="Geenafstand1">
    <w:name w:val="Geen afstand1"/>
    <w:link w:val="NoSpacingChar"/>
    <w:qFormat/>
    <w:rsid w:val="009A35EF"/>
    <w:rPr>
      <w:rFonts w:ascii="Calibri" w:hAnsi="Calibri"/>
      <w:sz w:val="22"/>
      <w:lang w:val="nl-NL" w:eastAsia="nl-NL"/>
    </w:rPr>
  </w:style>
  <w:style w:type="character" w:customStyle="1" w:styleId="NoSpacingChar">
    <w:name w:val="No Spacing Char"/>
    <w:link w:val="Geenafstand1"/>
    <w:locked/>
    <w:rsid w:val="009A35EF"/>
    <w:rPr>
      <w:rFonts w:ascii="Calibri" w:hAnsi="Calibri"/>
      <w:sz w:val="22"/>
      <w:lang w:val="nl-NL" w:eastAsia="nl-NL"/>
    </w:rPr>
  </w:style>
  <w:style w:type="paragraph" w:customStyle="1" w:styleId="Citaat1">
    <w:name w:val="Citaat1"/>
    <w:basedOn w:val="Standaard"/>
    <w:next w:val="Standaard"/>
    <w:link w:val="QuoteChar"/>
    <w:qFormat/>
    <w:rsid w:val="009A35EF"/>
    <w:pPr>
      <w:spacing w:line="240" w:lineRule="auto"/>
      <w:ind w:firstLine="360"/>
    </w:pPr>
    <w:rPr>
      <w:rFonts w:ascii="Cambria" w:hAnsi="Cambria"/>
      <w:i/>
      <w:color w:val="5A5A5A"/>
      <w:szCs w:val="20"/>
      <w:lang w:val="en-US" w:eastAsia="nl-NL"/>
    </w:rPr>
  </w:style>
  <w:style w:type="character" w:customStyle="1" w:styleId="QuoteChar">
    <w:name w:val="Quote Char"/>
    <w:link w:val="Citaat1"/>
    <w:locked/>
    <w:rsid w:val="009A35EF"/>
    <w:rPr>
      <w:rFonts w:ascii="Cambria" w:hAnsi="Cambria"/>
      <w:i/>
      <w:color w:val="5A5A5A"/>
      <w:lang w:eastAsia="nl-NL"/>
    </w:rPr>
  </w:style>
  <w:style w:type="paragraph" w:customStyle="1" w:styleId="Duidelijkcitaat1">
    <w:name w:val="Duidelijk citaat1"/>
    <w:basedOn w:val="Standaard"/>
    <w:next w:val="Standaard"/>
    <w:link w:val="IntenseQuoteChar"/>
    <w:qFormat/>
    <w:rsid w:val="009A35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color w:val="FFFFFF"/>
      <w:sz w:val="24"/>
      <w:szCs w:val="20"/>
      <w:lang w:val="en-US" w:eastAsia="nl-NL"/>
    </w:rPr>
  </w:style>
  <w:style w:type="character" w:customStyle="1" w:styleId="IntenseQuoteChar">
    <w:name w:val="Intense Quote Char"/>
    <w:link w:val="Duidelijkcitaat1"/>
    <w:locked/>
    <w:rsid w:val="009A35EF"/>
    <w:rPr>
      <w:rFonts w:ascii="Cambria" w:hAnsi="Cambria"/>
      <w:i/>
      <w:color w:val="FFFFFF"/>
      <w:sz w:val="24"/>
      <w:shd w:val="clear" w:color="auto" w:fill="4F81BD"/>
      <w:lang w:eastAsia="nl-NL"/>
    </w:rPr>
  </w:style>
  <w:style w:type="character" w:customStyle="1" w:styleId="Subtielebenadrukking1">
    <w:name w:val="Subtiele benadrukking1"/>
    <w:qFormat/>
    <w:rsid w:val="009A35EF"/>
    <w:rPr>
      <w:i/>
      <w:color w:val="5A5A5A"/>
    </w:rPr>
  </w:style>
  <w:style w:type="character" w:customStyle="1" w:styleId="Intensievebenadrukking1">
    <w:name w:val="Intensieve benadrukking1"/>
    <w:qFormat/>
    <w:rsid w:val="009A35EF"/>
    <w:rPr>
      <w:b/>
      <w:i/>
      <w:color w:val="4F81BD"/>
      <w:sz w:val="22"/>
    </w:rPr>
  </w:style>
  <w:style w:type="character" w:customStyle="1" w:styleId="Subtieleverwijzing1">
    <w:name w:val="Subtiele verwijzing1"/>
    <w:qFormat/>
    <w:rsid w:val="009A35EF"/>
    <w:rPr>
      <w:color w:val="auto"/>
      <w:u w:val="single" w:color="9BBB59"/>
    </w:rPr>
  </w:style>
  <w:style w:type="character" w:customStyle="1" w:styleId="Intensieveverwijzing1">
    <w:name w:val="Intensieve verwijzing1"/>
    <w:qFormat/>
    <w:rsid w:val="009A35EF"/>
    <w:rPr>
      <w:b/>
      <w:color w:val="76923C"/>
      <w:u w:val="single" w:color="9BBB59"/>
    </w:rPr>
  </w:style>
  <w:style w:type="character" w:customStyle="1" w:styleId="Titelvanboek1">
    <w:name w:val="Titel van boek1"/>
    <w:qFormat/>
    <w:rsid w:val="009A35EF"/>
    <w:rPr>
      <w:rFonts w:ascii="Cambria" w:hAnsi="Cambria"/>
      <w:b/>
      <w:i/>
      <w:color w:val="auto"/>
    </w:rPr>
  </w:style>
  <w:style w:type="paragraph" w:customStyle="1" w:styleId="Kopvaninhoudsopgave1">
    <w:name w:val="Kop van inhoudsopgave1"/>
    <w:basedOn w:val="Kop1"/>
    <w:next w:val="Standaard"/>
    <w:semiHidden/>
    <w:unhideWhenUsed/>
    <w:qFormat/>
    <w:rsid w:val="009A35EF"/>
    <w:pPr>
      <w:keepNext w:val="0"/>
      <w:pBdr>
        <w:bottom w:val="single" w:sz="12" w:space="1" w:color="365F91"/>
      </w:pBdr>
      <w:spacing w:before="600" w:after="80" w:line="240" w:lineRule="auto"/>
      <w:outlineLvl w:val="9"/>
    </w:pPr>
    <w:rPr>
      <w:rFonts w:eastAsia="Times New Roman"/>
      <w:color w:val="365F91"/>
      <w:kern w:val="0"/>
      <w:sz w:val="24"/>
      <w:szCs w:val="24"/>
      <w:lang w:val="en-US" w:eastAsia="nl-NL"/>
    </w:rPr>
  </w:style>
  <w:style w:type="paragraph" w:customStyle="1" w:styleId="Revisie1">
    <w:name w:val="Revisie1"/>
    <w:hidden/>
    <w:semiHidden/>
    <w:rsid w:val="009A35EF"/>
    <w:rPr>
      <w:sz w:val="22"/>
      <w:lang w:val="nl" w:eastAsia="nl-NL"/>
    </w:rPr>
  </w:style>
  <w:style w:type="paragraph" w:customStyle="1" w:styleId="Lijstalinea21">
    <w:name w:val="Lijstalinea21"/>
    <w:basedOn w:val="Standaard"/>
    <w:rsid w:val="009A35EF"/>
    <w:pPr>
      <w:spacing w:after="200" w:line="276" w:lineRule="auto"/>
      <w:ind w:left="720"/>
      <w:contextualSpacing/>
    </w:pPr>
    <w:rPr>
      <w:rFonts w:ascii="Calibri" w:hAnsi="Calibri" w:cs="Calibri"/>
      <w:sz w:val="22"/>
      <w:szCs w:val="22"/>
      <w:lang w:eastAsia="en-US"/>
    </w:rPr>
  </w:style>
  <w:style w:type="paragraph" w:customStyle="1" w:styleId="Revisie2">
    <w:name w:val="Revisie2"/>
    <w:hidden/>
    <w:uiPriority w:val="99"/>
    <w:semiHidden/>
    <w:rsid w:val="009A35EF"/>
    <w:rPr>
      <w:rFonts w:ascii="Calibri" w:hAnsi="Calibri"/>
      <w:sz w:val="22"/>
      <w:szCs w:val="22"/>
      <w:lang w:val="nl-NL" w:eastAsia="nl-NL"/>
    </w:rPr>
  </w:style>
  <w:style w:type="paragraph" w:customStyle="1" w:styleId="Lijstalinea3">
    <w:name w:val="Lijstalinea3"/>
    <w:basedOn w:val="Standaard"/>
    <w:link w:val="ListParagraphChar"/>
    <w:uiPriority w:val="34"/>
    <w:qFormat/>
    <w:rsid w:val="009A35EF"/>
    <w:pPr>
      <w:spacing w:after="200" w:line="276" w:lineRule="auto"/>
      <w:ind w:left="708"/>
    </w:pPr>
    <w:rPr>
      <w:rFonts w:ascii="Calibri" w:hAnsi="Calibri"/>
      <w:sz w:val="22"/>
      <w:szCs w:val="20"/>
      <w:lang w:eastAsia="nl-NL"/>
    </w:rPr>
  </w:style>
  <w:style w:type="character" w:customStyle="1" w:styleId="ListParagraphChar">
    <w:name w:val="List Paragraph Char"/>
    <w:link w:val="Lijstalinea3"/>
    <w:uiPriority w:val="34"/>
    <w:locked/>
    <w:rsid w:val="009A35EF"/>
    <w:rPr>
      <w:rFonts w:ascii="Calibri" w:hAnsi="Calibri"/>
      <w:sz w:val="22"/>
      <w:lang w:val="nl-NL" w:eastAsia="nl-NL"/>
    </w:rPr>
  </w:style>
  <w:style w:type="character" w:customStyle="1" w:styleId="description">
    <w:name w:val="description"/>
    <w:rsid w:val="009A35EF"/>
  </w:style>
  <w:style w:type="paragraph" w:customStyle="1" w:styleId="Plattetekstinspringen1">
    <w:name w:val="Platte tekst inspringen1"/>
    <w:basedOn w:val="Standaard"/>
    <w:link w:val="BodyTextIndentChar"/>
    <w:rsid w:val="009A35EF"/>
    <w:pPr>
      <w:spacing w:line="280" w:lineRule="exact"/>
      <w:ind w:firstLine="1"/>
    </w:pPr>
    <w:rPr>
      <w:rFonts w:ascii="Times New Roman" w:hAnsi="Times New Roman"/>
      <w:szCs w:val="20"/>
      <w:lang w:val="nl" w:eastAsia="nl-NL"/>
    </w:rPr>
  </w:style>
  <w:style w:type="character" w:customStyle="1" w:styleId="BodyTextIndentChar">
    <w:name w:val="Body Text Indent Char"/>
    <w:link w:val="Plattetekstinspringen1"/>
    <w:locked/>
    <w:rsid w:val="009A35EF"/>
    <w:rPr>
      <w:lang w:val="nl" w:eastAsia="nl-NL"/>
    </w:rPr>
  </w:style>
  <w:style w:type="paragraph" w:customStyle="1" w:styleId="tussenkop1">
    <w:name w:val="tussenkop1"/>
    <w:basedOn w:val="Standaard"/>
    <w:uiPriority w:val="99"/>
    <w:rsid w:val="009A35EF"/>
    <w:pPr>
      <w:spacing w:before="240" w:after="240" w:line="240" w:lineRule="auto"/>
    </w:pPr>
    <w:rPr>
      <w:rFonts w:ascii="Times New Roman" w:hAnsi="Times New Roman"/>
      <w:sz w:val="24"/>
      <w:lang w:eastAsia="nl-NL"/>
    </w:rPr>
  </w:style>
  <w:style w:type="paragraph" w:customStyle="1" w:styleId="Noteinitalic">
    <w:name w:val="Note in italic"/>
    <w:basedOn w:val="Standaard"/>
    <w:uiPriority w:val="99"/>
    <w:rsid w:val="009A35EF"/>
    <w:pPr>
      <w:spacing w:before="120" w:after="240" w:line="288" w:lineRule="auto"/>
    </w:pPr>
    <w:rPr>
      <w:rFonts w:cs="Arial"/>
      <w:i/>
      <w:iCs/>
      <w:sz w:val="18"/>
      <w:szCs w:val="18"/>
      <w:lang w:eastAsia="en-US"/>
    </w:rPr>
  </w:style>
  <w:style w:type="paragraph" w:customStyle="1" w:styleId="CM4">
    <w:name w:val="CM4"/>
    <w:basedOn w:val="Default"/>
    <w:next w:val="Default"/>
    <w:uiPriority w:val="99"/>
    <w:rsid w:val="009A35EF"/>
    <w:pPr>
      <w:widowControl/>
      <w:tabs>
        <w:tab w:val="clear" w:pos="454"/>
      </w:tabs>
      <w:spacing w:line="240" w:lineRule="auto"/>
    </w:pPr>
    <w:rPr>
      <w:rFonts w:ascii="EUAlbertina" w:eastAsia="Calibri" w:hAnsi="EUAlbertina" w:cs="Times New Roman"/>
      <w:color w:val="auto"/>
      <w:sz w:val="24"/>
    </w:rPr>
  </w:style>
  <w:style w:type="character" w:customStyle="1" w:styleId="ol1">
    <w:name w:val="ol1"/>
    <w:basedOn w:val="Standaardalinea-lettertype"/>
    <w:rsid w:val="00177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92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wmf"/><Relationship Id="rId299" Type="http://schemas.openxmlformats.org/officeDocument/2006/relationships/oleObject" Target="embeddings/oleObject106.bin"/><Relationship Id="rId303" Type="http://schemas.openxmlformats.org/officeDocument/2006/relationships/image" Target="media/image181.wmf"/><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0.wmf"/><Relationship Id="rId84" Type="http://schemas.openxmlformats.org/officeDocument/2006/relationships/image" Target="media/image60.wmf"/><Relationship Id="rId138" Type="http://schemas.openxmlformats.org/officeDocument/2006/relationships/oleObject" Target="embeddings/oleObject31.bin"/><Relationship Id="rId159" Type="http://schemas.openxmlformats.org/officeDocument/2006/relationships/image" Target="media/image104.wmf"/><Relationship Id="rId324" Type="http://schemas.openxmlformats.org/officeDocument/2006/relationships/image" Target="media/image193.wmf"/><Relationship Id="rId170" Type="http://schemas.openxmlformats.org/officeDocument/2006/relationships/image" Target="media/image110.wmf"/><Relationship Id="rId191" Type="http://schemas.openxmlformats.org/officeDocument/2006/relationships/oleObject" Target="embeddings/oleObject54.bin"/><Relationship Id="rId205" Type="http://schemas.openxmlformats.org/officeDocument/2006/relationships/oleObject" Target="embeddings/oleObject61.bin"/><Relationship Id="rId226" Type="http://schemas.openxmlformats.org/officeDocument/2006/relationships/oleObject" Target="embeddings/oleObject71.bin"/><Relationship Id="rId247" Type="http://schemas.openxmlformats.org/officeDocument/2006/relationships/image" Target="media/image153.wmf"/><Relationship Id="rId107" Type="http://schemas.openxmlformats.org/officeDocument/2006/relationships/oleObject" Target="embeddings/oleObject16.bin"/><Relationship Id="rId268" Type="http://schemas.openxmlformats.org/officeDocument/2006/relationships/oleObject" Target="embeddings/oleObject90.bin"/><Relationship Id="rId289" Type="http://schemas.openxmlformats.org/officeDocument/2006/relationships/image" Target="media/image175.wmf"/><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56.png"/><Relationship Id="rId128" Type="http://schemas.openxmlformats.org/officeDocument/2006/relationships/oleObject" Target="embeddings/oleObject26.bin"/><Relationship Id="rId149" Type="http://schemas.openxmlformats.org/officeDocument/2006/relationships/image" Target="media/image98.jpeg"/><Relationship Id="rId314" Type="http://schemas.openxmlformats.org/officeDocument/2006/relationships/image" Target="media/image188.wmf"/><Relationship Id="rId335" Type="http://schemas.openxmlformats.org/officeDocument/2006/relationships/oleObject" Target="embeddings/oleObject122.bin"/><Relationship Id="rId5" Type="http://schemas.openxmlformats.org/officeDocument/2006/relationships/settings" Target="settings.xml"/><Relationship Id="rId95" Type="http://schemas.openxmlformats.org/officeDocument/2006/relationships/image" Target="media/image68.png"/><Relationship Id="rId160" Type="http://schemas.openxmlformats.org/officeDocument/2006/relationships/oleObject" Target="embeddings/oleObject41.bin"/><Relationship Id="rId181" Type="http://schemas.openxmlformats.org/officeDocument/2006/relationships/oleObject" Target="embeddings/oleObject49.bin"/><Relationship Id="rId216" Type="http://schemas.openxmlformats.org/officeDocument/2006/relationships/oleObject" Target="embeddings/oleObject66.bin"/><Relationship Id="rId237" Type="http://schemas.openxmlformats.org/officeDocument/2006/relationships/image" Target="media/image146.wmf"/><Relationship Id="rId258" Type="http://schemas.openxmlformats.org/officeDocument/2006/relationships/oleObject" Target="embeddings/oleObject85.bin"/><Relationship Id="rId279" Type="http://schemas.openxmlformats.org/officeDocument/2006/relationships/oleObject" Target="embeddings/oleObject95.bin"/><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oleObject" Target="embeddings/oleObject4.bin"/><Relationship Id="rId118" Type="http://schemas.openxmlformats.org/officeDocument/2006/relationships/oleObject" Target="embeddings/oleObject21.bin"/><Relationship Id="rId139" Type="http://schemas.openxmlformats.org/officeDocument/2006/relationships/image" Target="media/image93.wmf"/><Relationship Id="rId290" Type="http://schemas.openxmlformats.org/officeDocument/2006/relationships/oleObject" Target="embeddings/oleObject100.bin"/><Relationship Id="rId304" Type="http://schemas.openxmlformats.org/officeDocument/2006/relationships/oleObject" Target="embeddings/oleObject108.bin"/><Relationship Id="rId325" Type="http://schemas.openxmlformats.org/officeDocument/2006/relationships/oleObject" Target="embeddings/oleObject117.bin"/><Relationship Id="rId85" Type="http://schemas.openxmlformats.org/officeDocument/2006/relationships/oleObject" Target="embeddings/oleObject12.bin"/><Relationship Id="rId150" Type="http://schemas.openxmlformats.org/officeDocument/2006/relationships/image" Target="media/image99.wmf"/><Relationship Id="rId171" Type="http://schemas.openxmlformats.org/officeDocument/2006/relationships/image" Target="media/image111.wmf"/><Relationship Id="rId192" Type="http://schemas.openxmlformats.org/officeDocument/2006/relationships/image" Target="media/image123.wmf"/><Relationship Id="rId206" Type="http://schemas.openxmlformats.org/officeDocument/2006/relationships/image" Target="media/image130.wmf"/><Relationship Id="rId227" Type="http://schemas.openxmlformats.org/officeDocument/2006/relationships/image" Target="media/image141.wmf"/><Relationship Id="rId248" Type="http://schemas.openxmlformats.org/officeDocument/2006/relationships/oleObject" Target="embeddings/oleObject80.bin"/><Relationship Id="rId269" Type="http://schemas.openxmlformats.org/officeDocument/2006/relationships/image" Target="media/image164.wmf"/><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image" Target="media/image77.png"/><Relationship Id="rId129" Type="http://schemas.openxmlformats.org/officeDocument/2006/relationships/image" Target="media/image88.wmf"/><Relationship Id="rId280" Type="http://schemas.openxmlformats.org/officeDocument/2006/relationships/image" Target="media/image170.wmf"/><Relationship Id="rId315" Type="http://schemas.openxmlformats.org/officeDocument/2006/relationships/oleObject" Target="embeddings/oleObject112.bin"/><Relationship Id="rId336" Type="http://schemas.openxmlformats.org/officeDocument/2006/relationships/header" Target="header4.xml"/><Relationship Id="rId54" Type="http://schemas.openxmlformats.org/officeDocument/2006/relationships/image" Target="media/image44.png"/><Relationship Id="rId75" Type="http://schemas.openxmlformats.org/officeDocument/2006/relationships/header" Target="header1.xml"/><Relationship Id="rId96" Type="http://schemas.openxmlformats.org/officeDocument/2006/relationships/image" Target="media/image69.png"/><Relationship Id="rId140" Type="http://schemas.openxmlformats.org/officeDocument/2006/relationships/oleObject" Target="embeddings/oleObject32.bin"/><Relationship Id="rId161" Type="http://schemas.openxmlformats.org/officeDocument/2006/relationships/image" Target="media/image105.wmf"/><Relationship Id="rId182" Type="http://schemas.openxmlformats.org/officeDocument/2006/relationships/image" Target="media/image118.wmf"/><Relationship Id="rId217" Type="http://schemas.openxmlformats.org/officeDocument/2006/relationships/image" Target="media/image136.wmf"/><Relationship Id="rId6" Type="http://schemas.openxmlformats.org/officeDocument/2006/relationships/webSettings" Target="webSettings.xml"/><Relationship Id="rId238" Type="http://schemas.openxmlformats.org/officeDocument/2006/relationships/image" Target="media/image147.wmf"/><Relationship Id="rId259" Type="http://schemas.openxmlformats.org/officeDocument/2006/relationships/image" Target="media/image159.wmf"/><Relationship Id="rId23" Type="http://schemas.openxmlformats.org/officeDocument/2006/relationships/image" Target="media/image13.png"/><Relationship Id="rId119" Type="http://schemas.openxmlformats.org/officeDocument/2006/relationships/image" Target="media/image83.wmf"/><Relationship Id="rId270" Type="http://schemas.openxmlformats.org/officeDocument/2006/relationships/oleObject" Target="embeddings/oleObject91.bin"/><Relationship Id="rId291" Type="http://schemas.openxmlformats.org/officeDocument/2006/relationships/oleObject" Target="embeddings/oleObject101.bin"/><Relationship Id="rId305" Type="http://schemas.openxmlformats.org/officeDocument/2006/relationships/image" Target="media/image182.png"/><Relationship Id="rId326" Type="http://schemas.openxmlformats.org/officeDocument/2006/relationships/image" Target="media/image194.wmf"/><Relationship Id="rId44" Type="http://schemas.openxmlformats.org/officeDocument/2006/relationships/image" Target="media/image34.png"/><Relationship Id="rId65" Type="http://schemas.openxmlformats.org/officeDocument/2006/relationships/image" Target="media/image51.wmf"/><Relationship Id="rId86" Type="http://schemas.openxmlformats.org/officeDocument/2006/relationships/header" Target="header2.xml"/><Relationship Id="rId130" Type="http://schemas.openxmlformats.org/officeDocument/2006/relationships/oleObject" Target="embeddings/oleObject27.bin"/><Relationship Id="rId151" Type="http://schemas.openxmlformats.org/officeDocument/2006/relationships/oleObject" Target="embeddings/oleObject37.bin"/><Relationship Id="rId172" Type="http://schemas.openxmlformats.org/officeDocument/2006/relationships/image" Target="media/image112.wmf"/><Relationship Id="rId193" Type="http://schemas.openxmlformats.org/officeDocument/2006/relationships/oleObject" Target="embeddings/oleObject55.bin"/><Relationship Id="rId207" Type="http://schemas.openxmlformats.org/officeDocument/2006/relationships/oleObject" Target="embeddings/oleObject62.bin"/><Relationship Id="rId228" Type="http://schemas.openxmlformats.org/officeDocument/2006/relationships/oleObject" Target="embeddings/oleObject72.bin"/><Relationship Id="rId249" Type="http://schemas.openxmlformats.org/officeDocument/2006/relationships/image" Target="media/image154.wmf"/><Relationship Id="rId13" Type="http://schemas.openxmlformats.org/officeDocument/2006/relationships/image" Target="media/image4.png"/><Relationship Id="rId109" Type="http://schemas.openxmlformats.org/officeDocument/2006/relationships/image" Target="media/image78.wmf"/><Relationship Id="rId260" Type="http://schemas.openxmlformats.org/officeDocument/2006/relationships/oleObject" Target="embeddings/oleObject86.bin"/><Relationship Id="rId281" Type="http://schemas.openxmlformats.org/officeDocument/2006/relationships/oleObject" Target="embeddings/oleObject96.bin"/><Relationship Id="rId316" Type="http://schemas.openxmlformats.org/officeDocument/2006/relationships/image" Target="media/image189.wmf"/><Relationship Id="rId337" Type="http://schemas.openxmlformats.org/officeDocument/2006/relationships/header" Target="header5.xml"/><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footer" Target="footer1.xml"/><Relationship Id="rId97" Type="http://schemas.openxmlformats.org/officeDocument/2006/relationships/image" Target="media/image70.png"/><Relationship Id="rId120" Type="http://schemas.openxmlformats.org/officeDocument/2006/relationships/oleObject" Target="embeddings/oleObject22.bin"/><Relationship Id="rId141" Type="http://schemas.openxmlformats.org/officeDocument/2006/relationships/image" Target="media/image94.wmf"/><Relationship Id="rId7" Type="http://schemas.openxmlformats.org/officeDocument/2006/relationships/footnotes" Target="footnotes.xml"/><Relationship Id="rId162" Type="http://schemas.openxmlformats.org/officeDocument/2006/relationships/image" Target="media/image106.wmf"/><Relationship Id="rId183" Type="http://schemas.openxmlformats.org/officeDocument/2006/relationships/oleObject" Target="embeddings/oleObject50.bin"/><Relationship Id="rId218" Type="http://schemas.openxmlformats.org/officeDocument/2006/relationships/oleObject" Target="embeddings/oleObject67.bin"/><Relationship Id="rId239" Type="http://schemas.openxmlformats.org/officeDocument/2006/relationships/image" Target="media/image148.wmf"/><Relationship Id="rId250" Type="http://schemas.openxmlformats.org/officeDocument/2006/relationships/oleObject" Target="embeddings/oleObject81.bin"/><Relationship Id="rId271" Type="http://schemas.openxmlformats.org/officeDocument/2006/relationships/image" Target="media/image165.wmf"/><Relationship Id="rId292" Type="http://schemas.openxmlformats.org/officeDocument/2006/relationships/oleObject" Target="embeddings/oleObject102.bin"/><Relationship Id="rId306" Type="http://schemas.openxmlformats.org/officeDocument/2006/relationships/image" Target="media/image183.wmf"/><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oleObject" Target="embeddings/oleObject5.bin"/><Relationship Id="rId87" Type="http://schemas.openxmlformats.org/officeDocument/2006/relationships/header" Target="header3.xml"/><Relationship Id="rId110" Type="http://schemas.openxmlformats.org/officeDocument/2006/relationships/oleObject" Target="embeddings/oleObject17.bin"/><Relationship Id="rId131" Type="http://schemas.openxmlformats.org/officeDocument/2006/relationships/image" Target="media/image89.wmf"/><Relationship Id="rId327" Type="http://schemas.openxmlformats.org/officeDocument/2006/relationships/oleObject" Target="embeddings/oleObject118.bin"/><Relationship Id="rId152" Type="http://schemas.openxmlformats.org/officeDocument/2006/relationships/image" Target="media/image100.wmf"/><Relationship Id="rId173" Type="http://schemas.openxmlformats.org/officeDocument/2006/relationships/image" Target="media/image113.wmf"/><Relationship Id="rId194" Type="http://schemas.openxmlformats.org/officeDocument/2006/relationships/image" Target="media/image124.wmf"/><Relationship Id="rId208" Type="http://schemas.openxmlformats.org/officeDocument/2006/relationships/image" Target="media/image131.wmf"/><Relationship Id="rId229" Type="http://schemas.openxmlformats.org/officeDocument/2006/relationships/image" Target="media/image142.wmf"/><Relationship Id="rId240" Type="http://schemas.openxmlformats.org/officeDocument/2006/relationships/image" Target="media/image149.wmf"/><Relationship Id="rId261" Type="http://schemas.openxmlformats.org/officeDocument/2006/relationships/image" Target="media/image160.wmf"/><Relationship Id="rId14" Type="http://schemas.openxmlformats.org/officeDocument/2006/relationships/hyperlink" Target="http://wetten.overheid.nl/BWBR0022762/geldigheidsdatum_01-01-2016" TargetMode="Externa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footer" Target="footer2.xml"/><Relationship Id="rId100" Type="http://schemas.openxmlformats.org/officeDocument/2006/relationships/image" Target="media/image73.png"/><Relationship Id="rId282" Type="http://schemas.openxmlformats.org/officeDocument/2006/relationships/image" Target="media/image171.wmf"/><Relationship Id="rId317" Type="http://schemas.openxmlformats.org/officeDocument/2006/relationships/oleObject" Target="embeddings/oleObject113.bin"/><Relationship Id="rId338"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image" Target="media/image71.png"/><Relationship Id="rId121" Type="http://schemas.openxmlformats.org/officeDocument/2006/relationships/image" Target="media/image84.wmf"/><Relationship Id="rId142" Type="http://schemas.openxmlformats.org/officeDocument/2006/relationships/oleObject" Target="embeddings/oleObject33.bin"/><Relationship Id="rId163" Type="http://schemas.openxmlformats.org/officeDocument/2006/relationships/oleObject" Target="embeddings/oleObject42.bin"/><Relationship Id="rId184" Type="http://schemas.openxmlformats.org/officeDocument/2006/relationships/image" Target="media/image119.wmf"/><Relationship Id="rId219" Type="http://schemas.openxmlformats.org/officeDocument/2006/relationships/image" Target="media/image137.wmf"/><Relationship Id="rId3" Type="http://schemas.openxmlformats.org/officeDocument/2006/relationships/styles" Target="styles.xml"/><Relationship Id="rId214" Type="http://schemas.openxmlformats.org/officeDocument/2006/relationships/image" Target="media/image134.png"/><Relationship Id="rId230" Type="http://schemas.openxmlformats.org/officeDocument/2006/relationships/oleObject" Target="embeddings/oleObject73.bin"/><Relationship Id="rId235" Type="http://schemas.openxmlformats.org/officeDocument/2006/relationships/image" Target="media/image145.wmf"/><Relationship Id="rId251" Type="http://schemas.openxmlformats.org/officeDocument/2006/relationships/image" Target="media/image155.wmf"/><Relationship Id="rId256" Type="http://schemas.openxmlformats.org/officeDocument/2006/relationships/oleObject" Target="embeddings/oleObject84.bin"/><Relationship Id="rId277" Type="http://schemas.openxmlformats.org/officeDocument/2006/relationships/image" Target="media/image168.png"/><Relationship Id="rId298" Type="http://schemas.openxmlformats.org/officeDocument/2006/relationships/image" Target="media/image178.wmf"/><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2.wmf"/><Relationship Id="rId116" Type="http://schemas.openxmlformats.org/officeDocument/2006/relationships/oleObject" Target="embeddings/oleObject20.bin"/><Relationship Id="rId137" Type="http://schemas.openxmlformats.org/officeDocument/2006/relationships/image" Target="media/image92.wmf"/><Relationship Id="rId158" Type="http://schemas.openxmlformats.org/officeDocument/2006/relationships/oleObject" Target="embeddings/oleObject40.bin"/><Relationship Id="rId272" Type="http://schemas.openxmlformats.org/officeDocument/2006/relationships/oleObject" Target="embeddings/oleObject92.bin"/><Relationship Id="rId293" Type="http://schemas.openxmlformats.org/officeDocument/2006/relationships/oleObject" Target="embeddings/oleObject103.bin"/><Relationship Id="rId302" Type="http://schemas.openxmlformats.org/officeDocument/2006/relationships/image" Target="media/image180.wmf"/><Relationship Id="rId307" Type="http://schemas.openxmlformats.org/officeDocument/2006/relationships/oleObject" Target="embeddings/oleObject109.bin"/><Relationship Id="rId323" Type="http://schemas.openxmlformats.org/officeDocument/2006/relationships/oleObject" Target="embeddings/oleObject116.bin"/><Relationship Id="rId328" Type="http://schemas.openxmlformats.org/officeDocument/2006/relationships/image" Target="media/image195.wmf"/><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oleObject" Target="embeddings/oleObject3.bin"/><Relationship Id="rId83" Type="http://schemas.openxmlformats.org/officeDocument/2006/relationships/oleObject" Target="embeddings/oleObject11.bin"/><Relationship Id="rId88" Type="http://schemas.openxmlformats.org/officeDocument/2006/relationships/image" Target="media/image61.png"/><Relationship Id="rId111" Type="http://schemas.openxmlformats.org/officeDocument/2006/relationships/image" Target="media/image79.wmf"/><Relationship Id="rId132" Type="http://schemas.openxmlformats.org/officeDocument/2006/relationships/oleObject" Target="embeddings/oleObject28.bin"/><Relationship Id="rId153" Type="http://schemas.openxmlformats.org/officeDocument/2006/relationships/oleObject" Target="embeddings/oleObject38.bin"/><Relationship Id="rId174" Type="http://schemas.openxmlformats.org/officeDocument/2006/relationships/oleObject" Target="embeddings/oleObject46.bin"/><Relationship Id="rId179" Type="http://schemas.openxmlformats.org/officeDocument/2006/relationships/image" Target="media/image116.wmf"/><Relationship Id="rId195" Type="http://schemas.openxmlformats.org/officeDocument/2006/relationships/oleObject" Target="embeddings/oleObject56.bin"/><Relationship Id="rId209" Type="http://schemas.openxmlformats.org/officeDocument/2006/relationships/oleObject" Target="embeddings/oleObject63.bin"/><Relationship Id="rId190" Type="http://schemas.openxmlformats.org/officeDocument/2006/relationships/image" Target="media/image122.wmf"/><Relationship Id="rId204" Type="http://schemas.openxmlformats.org/officeDocument/2006/relationships/image" Target="media/image129.wmf"/><Relationship Id="rId220" Type="http://schemas.openxmlformats.org/officeDocument/2006/relationships/oleObject" Target="embeddings/oleObject68.bin"/><Relationship Id="rId225" Type="http://schemas.openxmlformats.org/officeDocument/2006/relationships/image" Target="media/image140.wmf"/><Relationship Id="rId241" Type="http://schemas.openxmlformats.org/officeDocument/2006/relationships/image" Target="media/image150.wmf"/><Relationship Id="rId246" Type="http://schemas.openxmlformats.org/officeDocument/2006/relationships/oleObject" Target="embeddings/oleObject79.bin"/><Relationship Id="rId267" Type="http://schemas.openxmlformats.org/officeDocument/2006/relationships/image" Target="media/image163.wmf"/><Relationship Id="rId288" Type="http://schemas.openxmlformats.org/officeDocument/2006/relationships/oleObject" Target="embeddings/oleObject99.bin"/><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wmf"/><Relationship Id="rId106" Type="http://schemas.openxmlformats.org/officeDocument/2006/relationships/image" Target="media/image76.wmf"/><Relationship Id="rId127" Type="http://schemas.openxmlformats.org/officeDocument/2006/relationships/image" Target="media/image87.wmf"/><Relationship Id="rId262" Type="http://schemas.openxmlformats.org/officeDocument/2006/relationships/oleObject" Target="embeddings/oleObject87.bin"/><Relationship Id="rId283" Type="http://schemas.openxmlformats.org/officeDocument/2006/relationships/oleObject" Target="embeddings/oleObject97.bin"/><Relationship Id="rId313" Type="http://schemas.openxmlformats.org/officeDocument/2006/relationships/image" Target="media/image187.wmf"/><Relationship Id="rId318" Type="http://schemas.openxmlformats.org/officeDocument/2006/relationships/image" Target="media/image190.wmf"/><Relationship Id="rId33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oleObject" Target="embeddings/oleObject8.bin"/><Relationship Id="rId78" Type="http://schemas.openxmlformats.org/officeDocument/2006/relationships/image" Target="media/image57.wmf"/><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wmf"/><Relationship Id="rId122" Type="http://schemas.openxmlformats.org/officeDocument/2006/relationships/oleObject" Target="embeddings/oleObject23.bin"/><Relationship Id="rId143" Type="http://schemas.openxmlformats.org/officeDocument/2006/relationships/image" Target="media/image95.wmf"/><Relationship Id="rId148" Type="http://schemas.openxmlformats.org/officeDocument/2006/relationships/oleObject" Target="embeddings/oleObject36.bin"/><Relationship Id="rId164" Type="http://schemas.openxmlformats.org/officeDocument/2006/relationships/image" Target="media/image107.wmf"/><Relationship Id="rId169" Type="http://schemas.openxmlformats.org/officeDocument/2006/relationships/oleObject" Target="embeddings/oleObject45.bin"/><Relationship Id="rId185" Type="http://schemas.openxmlformats.org/officeDocument/2006/relationships/oleObject" Target="embeddings/oleObject51.bin"/><Relationship Id="rId334" Type="http://schemas.openxmlformats.org/officeDocument/2006/relationships/image" Target="media/image198.wmf"/><Relationship Id="rId4" Type="http://schemas.microsoft.com/office/2007/relationships/stylesWithEffects" Target="stylesWithEffects.xml"/><Relationship Id="rId9" Type="http://schemas.openxmlformats.org/officeDocument/2006/relationships/hyperlink" Target="http://www.infomil.nl/onderwerpen/integrale/activiteitenbesluit/officiele/" TargetMode="External"/><Relationship Id="rId180" Type="http://schemas.openxmlformats.org/officeDocument/2006/relationships/image" Target="media/image117.wmf"/><Relationship Id="rId210" Type="http://schemas.openxmlformats.org/officeDocument/2006/relationships/image" Target="media/image132.wmf"/><Relationship Id="rId215" Type="http://schemas.openxmlformats.org/officeDocument/2006/relationships/image" Target="media/image135.wmf"/><Relationship Id="rId236" Type="http://schemas.openxmlformats.org/officeDocument/2006/relationships/oleObject" Target="embeddings/oleObject76.bin"/><Relationship Id="rId257" Type="http://schemas.openxmlformats.org/officeDocument/2006/relationships/image" Target="media/image158.wmf"/><Relationship Id="rId278" Type="http://schemas.openxmlformats.org/officeDocument/2006/relationships/image" Target="media/image169.wmf"/><Relationship Id="rId26" Type="http://schemas.openxmlformats.org/officeDocument/2006/relationships/image" Target="media/image16.png"/><Relationship Id="rId231" Type="http://schemas.openxmlformats.org/officeDocument/2006/relationships/image" Target="media/image143.wmf"/><Relationship Id="rId252" Type="http://schemas.openxmlformats.org/officeDocument/2006/relationships/oleObject" Target="embeddings/oleObject82.bin"/><Relationship Id="rId273" Type="http://schemas.openxmlformats.org/officeDocument/2006/relationships/image" Target="media/image166.wmf"/><Relationship Id="rId294" Type="http://schemas.openxmlformats.org/officeDocument/2006/relationships/image" Target="media/image176.wmf"/><Relationship Id="rId308" Type="http://schemas.openxmlformats.org/officeDocument/2006/relationships/image" Target="media/image184.wmf"/><Relationship Id="rId329" Type="http://schemas.openxmlformats.org/officeDocument/2006/relationships/oleObject" Target="embeddings/oleObject119.bin"/><Relationship Id="rId47" Type="http://schemas.openxmlformats.org/officeDocument/2006/relationships/image" Target="media/image37.png"/><Relationship Id="rId68" Type="http://schemas.openxmlformats.org/officeDocument/2006/relationships/image" Target="media/image53.wmf"/><Relationship Id="rId89" Type="http://schemas.openxmlformats.org/officeDocument/2006/relationships/image" Target="media/image62.png"/><Relationship Id="rId112" Type="http://schemas.openxmlformats.org/officeDocument/2006/relationships/oleObject" Target="embeddings/oleObject18.bin"/><Relationship Id="rId133" Type="http://schemas.openxmlformats.org/officeDocument/2006/relationships/image" Target="media/image90.wmf"/><Relationship Id="rId154" Type="http://schemas.openxmlformats.org/officeDocument/2006/relationships/image" Target="media/image101.wmf"/><Relationship Id="rId175" Type="http://schemas.openxmlformats.org/officeDocument/2006/relationships/image" Target="media/image114.wmf"/><Relationship Id="rId196" Type="http://schemas.openxmlformats.org/officeDocument/2006/relationships/image" Target="media/image125.wmf"/><Relationship Id="rId200" Type="http://schemas.openxmlformats.org/officeDocument/2006/relationships/image" Target="media/image127.wmf"/><Relationship Id="rId16" Type="http://schemas.openxmlformats.org/officeDocument/2006/relationships/image" Target="media/image6.png"/><Relationship Id="rId221" Type="http://schemas.openxmlformats.org/officeDocument/2006/relationships/image" Target="media/image138.wmf"/><Relationship Id="rId242" Type="http://schemas.openxmlformats.org/officeDocument/2006/relationships/oleObject" Target="embeddings/oleObject77.bin"/><Relationship Id="rId263" Type="http://schemas.openxmlformats.org/officeDocument/2006/relationships/image" Target="media/image161.wmf"/><Relationship Id="rId284" Type="http://schemas.openxmlformats.org/officeDocument/2006/relationships/image" Target="media/image172.wmf"/><Relationship Id="rId319" Type="http://schemas.openxmlformats.org/officeDocument/2006/relationships/oleObject" Target="embeddings/oleObject114.bin"/><Relationship Id="rId37" Type="http://schemas.openxmlformats.org/officeDocument/2006/relationships/image" Target="media/image27.png"/><Relationship Id="rId58" Type="http://schemas.openxmlformats.org/officeDocument/2006/relationships/oleObject" Target="embeddings/oleObject1.bin"/><Relationship Id="rId79" Type="http://schemas.openxmlformats.org/officeDocument/2006/relationships/oleObject" Target="embeddings/oleObject9.bin"/><Relationship Id="rId102" Type="http://schemas.openxmlformats.org/officeDocument/2006/relationships/oleObject" Target="embeddings/oleObject13.bin"/><Relationship Id="rId123" Type="http://schemas.openxmlformats.org/officeDocument/2006/relationships/image" Target="media/image85.wmf"/><Relationship Id="rId144" Type="http://schemas.openxmlformats.org/officeDocument/2006/relationships/oleObject" Target="embeddings/oleObject34.bin"/><Relationship Id="rId330" Type="http://schemas.openxmlformats.org/officeDocument/2006/relationships/image" Target="media/image196.wmf"/><Relationship Id="rId90" Type="http://schemas.openxmlformats.org/officeDocument/2006/relationships/image" Target="media/image63.png"/><Relationship Id="rId165" Type="http://schemas.openxmlformats.org/officeDocument/2006/relationships/oleObject" Target="embeddings/oleObject43.bin"/><Relationship Id="rId186" Type="http://schemas.openxmlformats.org/officeDocument/2006/relationships/image" Target="media/image120.wmf"/><Relationship Id="rId211" Type="http://schemas.openxmlformats.org/officeDocument/2006/relationships/oleObject" Target="embeddings/oleObject64.bin"/><Relationship Id="rId232" Type="http://schemas.openxmlformats.org/officeDocument/2006/relationships/oleObject" Target="embeddings/oleObject74.bin"/><Relationship Id="rId253" Type="http://schemas.openxmlformats.org/officeDocument/2006/relationships/image" Target="media/image156.wmf"/><Relationship Id="rId274" Type="http://schemas.openxmlformats.org/officeDocument/2006/relationships/oleObject" Target="embeddings/oleObject93.bin"/><Relationship Id="rId295" Type="http://schemas.openxmlformats.org/officeDocument/2006/relationships/oleObject" Target="embeddings/oleObject104.bin"/><Relationship Id="rId309" Type="http://schemas.openxmlformats.org/officeDocument/2006/relationships/oleObject" Target="embeddings/oleObject110.bin"/><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oleObject" Target="embeddings/oleObject6.bin"/><Relationship Id="rId113" Type="http://schemas.openxmlformats.org/officeDocument/2006/relationships/image" Target="media/image80.wmf"/><Relationship Id="rId134" Type="http://schemas.openxmlformats.org/officeDocument/2006/relationships/oleObject" Target="embeddings/oleObject29.bin"/><Relationship Id="rId320" Type="http://schemas.openxmlformats.org/officeDocument/2006/relationships/image" Target="media/image191.wmf"/><Relationship Id="rId80" Type="http://schemas.openxmlformats.org/officeDocument/2006/relationships/image" Target="media/image58.wmf"/><Relationship Id="rId155" Type="http://schemas.openxmlformats.org/officeDocument/2006/relationships/oleObject" Target="embeddings/oleObject39.bin"/><Relationship Id="rId176" Type="http://schemas.openxmlformats.org/officeDocument/2006/relationships/oleObject" Target="embeddings/oleObject47.bin"/><Relationship Id="rId197" Type="http://schemas.openxmlformats.org/officeDocument/2006/relationships/oleObject" Target="embeddings/oleObject57.bin"/><Relationship Id="rId201" Type="http://schemas.openxmlformats.org/officeDocument/2006/relationships/oleObject" Target="embeddings/oleObject59.bin"/><Relationship Id="rId222" Type="http://schemas.openxmlformats.org/officeDocument/2006/relationships/oleObject" Target="embeddings/oleObject69.bin"/><Relationship Id="rId243" Type="http://schemas.openxmlformats.org/officeDocument/2006/relationships/image" Target="media/image151.wmf"/><Relationship Id="rId264" Type="http://schemas.openxmlformats.org/officeDocument/2006/relationships/oleObject" Target="embeddings/oleObject88.bin"/><Relationship Id="rId285" Type="http://schemas.openxmlformats.org/officeDocument/2006/relationships/image" Target="media/image173.wmf"/><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8.wmf"/><Relationship Id="rId103" Type="http://schemas.openxmlformats.org/officeDocument/2006/relationships/image" Target="media/image75.wmf"/><Relationship Id="rId124" Type="http://schemas.openxmlformats.org/officeDocument/2006/relationships/oleObject" Target="embeddings/oleObject24.bin"/><Relationship Id="rId310" Type="http://schemas.openxmlformats.org/officeDocument/2006/relationships/image" Target="media/image185.wmf"/><Relationship Id="rId70" Type="http://schemas.openxmlformats.org/officeDocument/2006/relationships/image" Target="media/image54.wmf"/><Relationship Id="rId91" Type="http://schemas.openxmlformats.org/officeDocument/2006/relationships/image" Target="media/image64.png"/><Relationship Id="rId145" Type="http://schemas.openxmlformats.org/officeDocument/2006/relationships/image" Target="media/image96.wmf"/><Relationship Id="rId166" Type="http://schemas.openxmlformats.org/officeDocument/2006/relationships/image" Target="media/image108.wmf"/><Relationship Id="rId187" Type="http://schemas.openxmlformats.org/officeDocument/2006/relationships/oleObject" Target="embeddings/oleObject52.bin"/><Relationship Id="rId331" Type="http://schemas.openxmlformats.org/officeDocument/2006/relationships/oleObject" Target="embeddings/oleObject120.bin"/><Relationship Id="rId1" Type="http://schemas.openxmlformats.org/officeDocument/2006/relationships/customXml" Target="../customXml/item1.xml"/><Relationship Id="rId212" Type="http://schemas.openxmlformats.org/officeDocument/2006/relationships/image" Target="media/image133.wmf"/><Relationship Id="rId233" Type="http://schemas.openxmlformats.org/officeDocument/2006/relationships/image" Target="media/image144.wmf"/><Relationship Id="rId254" Type="http://schemas.openxmlformats.org/officeDocument/2006/relationships/oleObject" Target="embeddings/oleObject83.bin"/><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oleObject" Target="embeddings/oleObject19.bin"/><Relationship Id="rId275" Type="http://schemas.openxmlformats.org/officeDocument/2006/relationships/image" Target="media/image167.wmf"/><Relationship Id="rId296" Type="http://schemas.openxmlformats.org/officeDocument/2006/relationships/image" Target="media/image177.wmf"/><Relationship Id="rId300" Type="http://schemas.openxmlformats.org/officeDocument/2006/relationships/image" Target="media/image179.wmf"/><Relationship Id="rId60" Type="http://schemas.openxmlformats.org/officeDocument/2006/relationships/oleObject" Target="embeddings/oleObject2.bin"/><Relationship Id="rId81" Type="http://schemas.openxmlformats.org/officeDocument/2006/relationships/oleObject" Target="embeddings/oleObject10.bin"/><Relationship Id="rId135" Type="http://schemas.openxmlformats.org/officeDocument/2006/relationships/image" Target="media/image91.wmf"/><Relationship Id="rId156" Type="http://schemas.openxmlformats.org/officeDocument/2006/relationships/image" Target="media/image102.jpeg"/><Relationship Id="rId177" Type="http://schemas.openxmlformats.org/officeDocument/2006/relationships/image" Target="media/image115.wmf"/><Relationship Id="rId198" Type="http://schemas.openxmlformats.org/officeDocument/2006/relationships/image" Target="media/image126.wmf"/><Relationship Id="rId321" Type="http://schemas.openxmlformats.org/officeDocument/2006/relationships/oleObject" Target="embeddings/oleObject115.bin"/><Relationship Id="rId202" Type="http://schemas.openxmlformats.org/officeDocument/2006/relationships/image" Target="media/image128.wmf"/><Relationship Id="rId223" Type="http://schemas.openxmlformats.org/officeDocument/2006/relationships/image" Target="media/image139.wmf"/><Relationship Id="rId244" Type="http://schemas.openxmlformats.org/officeDocument/2006/relationships/oleObject" Target="embeddings/oleObject78.bin"/><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162.wmf"/><Relationship Id="rId286" Type="http://schemas.openxmlformats.org/officeDocument/2006/relationships/oleObject" Target="embeddings/oleObject98.bin"/><Relationship Id="rId50" Type="http://schemas.openxmlformats.org/officeDocument/2006/relationships/image" Target="media/image40.png"/><Relationship Id="rId104" Type="http://schemas.openxmlformats.org/officeDocument/2006/relationships/oleObject" Target="embeddings/oleObject14.bin"/><Relationship Id="rId125" Type="http://schemas.openxmlformats.org/officeDocument/2006/relationships/image" Target="media/image86.wmf"/><Relationship Id="rId146" Type="http://schemas.openxmlformats.org/officeDocument/2006/relationships/oleObject" Target="embeddings/oleObject35.bin"/><Relationship Id="rId167" Type="http://schemas.openxmlformats.org/officeDocument/2006/relationships/oleObject" Target="embeddings/oleObject44.bin"/><Relationship Id="rId188" Type="http://schemas.openxmlformats.org/officeDocument/2006/relationships/image" Target="media/image121.wmf"/><Relationship Id="rId311" Type="http://schemas.openxmlformats.org/officeDocument/2006/relationships/oleObject" Target="embeddings/oleObject111.bin"/><Relationship Id="rId332" Type="http://schemas.openxmlformats.org/officeDocument/2006/relationships/image" Target="media/image197.wmf"/><Relationship Id="rId71" Type="http://schemas.openxmlformats.org/officeDocument/2006/relationships/oleObject" Target="embeddings/oleObject7.bin"/><Relationship Id="rId92" Type="http://schemas.openxmlformats.org/officeDocument/2006/relationships/image" Target="media/image65.png"/><Relationship Id="rId213" Type="http://schemas.openxmlformats.org/officeDocument/2006/relationships/oleObject" Target="embeddings/oleObject65.bin"/><Relationship Id="rId234"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157.wmf"/><Relationship Id="rId276" Type="http://schemas.openxmlformats.org/officeDocument/2006/relationships/oleObject" Target="embeddings/oleObject94.bin"/><Relationship Id="rId297" Type="http://schemas.openxmlformats.org/officeDocument/2006/relationships/oleObject" Target="embeddings/oleObject105.bin"/><Relationship Id="rId40" Type="http://schemas.openxmlformats.org/officeDocument/2006/relationships/image" Target="media/image30.png"/><Relationship Id="rId115" Type="http://schemas.openxmlformats.org/officeDocument/2006/relationships/image" Target="media/image81.wmf"/><Relationship Id="rId136" Type="http://schemas.openxmlformats.org/officeDocument/2006/relationships/oleObject" Target="embeddings/oleObject30.bin"/><Relationship Id="rId157" Type="http://schemas.openxmlformats.org/officeDocument/2006/relationships/image" Target="media/image103.wmf"/><Relationship Id="rId178" Type="http://schemas.openxmlformats.org/officeDocument/2006/relationships/oleObject" Target="embeddings/oleObject48.bin"/><Relationship Id="rId301" Type="http://schemas.openxmlformats.org/officeDocument/2006/relationships/oleObject" Target="embeddings/oleObject107.bin"/><Relationship Id="rId322" Type="http://schemas.openxmlformats.org/officeDocument/2006/relationships/image" Target="media/image192.wmf"/><Relationship Id="rId61" Type="http://schemas.openxmlformats.org/officeDocument/2006/relationships/image" Target="media/image49.wmf"/><Relationship Id="rId82" Type="http://schemas.openxmlformats.org/officeDocument/2006/relationships/image" Target="media/image59.wmf"/><Relationship Id="rId199" Type="http://schemas.openxmlformats.org/officeDocument/2006/relationships/oleObject" Target="embeddings/oleObject58.bin"/><Relationship Id="rId203" Type="http://schemas.openxmlformats.org/officeDocument/2006/relationships/oleObject" Target="embeddings/oleObject60.bin"/><Relationship Id="rId19" Type="http://schemas.openxmlformats.org/officeDocument/2006/relationships/image" Target="media/image9.png"/><Relationship Id="rId224" Type="http://schemas.openxmlformats.org/officeDocument/2006/relationships/oleObject" Target="embeddings/oleObject70.bin"/><Relationship Id="rId245" Type="http://schemas.openxmlformats.org/officeDocument/2006/relationships/image" Target="media/image152.wmf"/><Relationship Id="rId266" Type="http://schemas.openxmlformats.org/officeDocument/2006/relationships/oleObject" Target="embeddings/oleObject89.bin"/><Relationship Id="rId287" Type="http://schemas.openxmlformats.org/officeDocument/2006/relationships/image" Target="media/image174.wmf"/><Relationship Id="rId30" Type="http://schemas.openxmlformats.org/officeDocument/2006/relationships/image" Target="media/image20.png"/><Relationship Id="rId105" Type="http://schemas.openxmlformats.org/officeDocument/2006/relationships/oleObject" Target="embeddings/oleObject15.bin"/><Relationship Id="rId126" Type="http://schemas.openxmlformats.org/officeDocument/2006/relationships/oleObject" Target="embeddings/oleObject25.bin"/><Relationship Id="rId147" Type="http://schemas.openxmlformats.org/officeDocument/2006/relationships/image" Target="media/image97.wmf"/><Relationship Id="rId168" Type="http://schemas.openxmlformats.org/officeDocument/2006/relationships/image" Target="media/image109.wmf"/><Relationship Id="rId312" Type="http://schemas.openxmlformats.org/officeDocument/2006/relationships/image" Target="media/image186.wmf"/><Relationship Id="rId333" Type="http://schemas.openxmlformats.org/officeDocument/2006/relationships/oleObject" Target="embeddings/oleObject121.bin"/><Relationship Id="rId51" Type="http://schemas.openxmlformats.org/officeDocument/2006/relationships/image" Target="media/image41.png"/><Relationship Id="rId72" Type="http://schemas.openxmlformats.org/officeDocument/2006/relationships/image" Target="media/image55.wmf"/><Relationship Id="rId93" Type="http://schemas.openxmlformats.org/officeDocument/2006/relationships/image" Target="media/image66.png"/><Relationship Id="rId189" Type="http://schemas.openxmlformats.org/officeDocument/2006/relationships/oleObject" Target="embeddings/oleObject53.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DF362-75FA-4E9C-BBBC-025B6E6B6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692</Pages>
  <Words>275297</Words>
  <Characters>1514135</Characters>
  <Application>Microsoft Office Word</Application>
  <DocSecurity>0</DocSecurity>
  <Lines>12617</Lines>
  <Paragraphs>3571</Paragraphs>
  <ScaleCrop>false</ScaleCrop>
  <HeadingPairs>
    <vt:vector size="2" baseType="variant">
      <vt:variant>
        <vt:lpstr>Titel</vt:lpstr>
      </vt:variant>
      <vt:variant>
        <vt:i4>1</vt:i4>
      </vt:variant>
    </vt:vector>
  </HeadingPairs>
  <TitlesOfParts>
    <vt:vector size="1" baseType="lpstr">
      <vt:lpstr>Activiteitenbesluit</vt:lpstr>
    </vt:vector>
  </TitlesOfParts>
  <Company>akkiDO</Company>
  <LinksUpToDate>false</LinksUpToDate>
  <CharactersWithSpaces>1785861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Activiteitenbesluit</dc:title>
  <dc:subject>Met wijzigingen bijgehouden</dc:subject>
  <dc:creator>Anke Eendebak</dc:creator>
  <cp:lastModifiedBy>Luyn, Gijs van (InfoMil)</cp:lastModifiedBy>
  <cp:revision>3</cp:revision>
  <cp:lastPrinted>2012-11-18T01:29:00Z</cp:lastPrinted>
  <dcterms:created xsi:type="dcterms:W3CDTF">2015-12-10T11:04:00Z</dcterms:created>
  <dcterms:modified xsi:type="dcterms:W3CDTF">2015-12-10T11:05:00Z</dcterms:modified>
</cp:coreProperties>
</file>