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507B" w14:textId="544224A5" w:rsidR="009D17B0" w:rsidRDefault="004130E6">
      <w:bookmarkStart w:id="0" w:name="_GoBack"/>
      <w:bookmarkEnd w:id="0"/>
      <w:r>
        <w:t xml:space="preserve">Betreft: </w:t>
      </w:r>
      <w:r w:rsidR="00895599">
        <w:t>O</w:t>
      </w:r>
      <w:r w:rsidR="00C46074" w:rsidRPr="00192794">
        <w:t>nderzoeksplicht energiebesparing</w:t>
      </w:r>
      <w:r w:rsidR="00C46074">
        <w:t>.</w:t>
      </w:r>
    </w:p>
    <w:p w14:paraId="36EC5407" w14:textId="77777777" w:rsidR="009D17B0" w:rsidRDefault="00C47217"/>
    <w:p w14:paraId="2360661D" w14:textId="3FDE85F5" w:rsidR="00271CC8" w:rsidRDefault="004130E6">
      <w:r>
        <w:t>Geacht</w:t>
      </w:r>
      <w:r w:rsidR="00B84559">
        <w:t>e</w:t>
      </w:r>
      <w:r w:rsidR="00677629">
        <w:t xml:space="preserve"> directie</w:t>
      </w:r>
      <w:r w:rsidR="000E21EF">
        <w:t>,</w:t>
      </w:r>
    </w:p>
    <w:p w14:paraId="4B9B8BF0" w14:textId="29544FA7" w:rsidR="00192794" w:rsidRDefault="00192794"/>
    <w:p w14:paraId="68AA969C" w14:textId="39AB27DC" w:rsidR="00D43B16" w:rsidRDefault="00677629">
      <w:r>
        <w:t>V</w:t>
      </w:r>
      <w:r w:rsidR="00115F86">
        <w:t>ooruitlopende op de aanstaande</w:t>
      </w:r>
      <w:r w:rsidR="00192794" w:rsidRPr="00192794">
        <w:t xml:space="preserve"> onderzoeksplicht energiebesparing</w:t>
      </w:r>
      <w:r w:rsidR="00D43B16">
        <w:t xml:space="preserve"> </w:t>
      </w:r>
      <w:r w:rsidR="0067264D">
        <w:t xml:space="preserve">willen wij </w:t>
      </w:r>
      <w:r w:rsidR="00403C3E">
        <w:t xml:space="preserve">op </w:t>
      </w:r>
      <w:r w:rsidR="00403C3E" w:rsidRPr="00403C3E">
        <w:rPr>
          <w:highlight w:val="yellow"/>
        </w:rPr>
        <w:t>&lt;datum.&gt;</w:t>
      </w:r>
      <w:r w:rsidR="002B2D8A">
        <w:t xml:space="preserve"> </w:t>
      </w:r>
      <w:r w:rsidR="00485FDD">
        <w:t xml:space="preserve">met u in gesprek gegaan. </w:t>
      </w:r>
    </w:p>
    <w:p w14:paraId="7C60A752" w14:textId="36A3430F" w:rsidR="00115F86" w:rsidRDefault="00115F86">
      <w:r>
        <w:t xml:space="preserve">Wij </w:t>
      </w:r>
      <w:r w:rsidR="00657682">
        <w:t xml:space="preserve">willen de </w:t>
      </w:r>
      <w:r>
        <w:t xml:space="preserve">voorbereiding en uitvoering </w:t>
      </w:r>
      <w:r w:rsidR="00A5610C">
        <w:t xml:space="preserve">van de onderzoeksplicht </w:t>
      </w:r>
      <w:r w:rsidR="00677629">
        <w:t>energiebesparing</w:t>
      </w:r>
      <w:r w:rsidR="00657682">
        <w:t xml:space="preserve"> </w:t>
      </w:r>
      <w:r w:rsidR="00677629">
        <w:t xml:space="preserve"> </w:t>
      </w:r>
      <w:r w:rsidR="00657682">
        <w:t>besprek</w:t>
      </w:r>
      <w:r>
        <w:t xml:space="preserve">en </w:t>
      </w:r>
      <w:r w:rsidR="00657682">
        <w:t xml:space="preserve"> en inventariseren </w:t>
      </w:r>
      <w:r>
        <w:t xml:space="preserve">welke vragen/ opmerkingen u nog heeft. </w:t>
      </w:r>
    </w:p>
    <w:p w14:paraId="7BEEE860" w14:textId="77777777" w:rsidR="00A5610C" w:rsidRDefault="00A5610C"/>
    <w:p w14:paraId="1BF3AF1E" w14:textId="2866A3DD" w:rsidR="00485FDD" w:rsidRDefault="00115F86">
      <w:r>
        <w:t xml:space="preserve">Naast de aanstaande onderzoeksplicht geldt er vanaf 1 januari 2023 de verplichting </w:t>
      </w:r>
      <w:r w:rsidR="00A5610C">
        <w:t xml:space="preserve">om voor uw kantoren minimaal aan label C te voldoen. </w:t>
      </w:r>
    </w:p>
    <w:p w14:paraId="6E5E242B" w14:textId="7B45931D" w:rsidR="004130E6" w:rsidRDefault="004130E6"/>
    <w:p w14:paraId="552C842C" w14:textId="05BC9591" w:rsidR="00A5610C" w:rsidRDefault="00A5610C" w:rsidP="00A5610C">
      <w:r>
        <w:t xml:space="preserve">Middels deze </w:t>
      </w:r>
      <w:r w:rsidR="00E84D04">
        <w:t>toelichting</w:t>
      </w:r>
      <w:r>
        <w:t xml:space="preserve"> willen wij meer duiding geven aan het doel en de onderwerpen van ons bezoek. </w:t>
      </w:r>
    </w:p>
    <w:p w14:paraId="3729AF08" w14:textId="77777777" w:rsidR="00A5610C" w:rsidRDefault="00A5610C"/>
    <w:p w14:paraId="3B476911" w14:textId="2D7C9AF9" w:rsidR="004130E6" w:rsidRPr="00192794" w:rsidRDefault="0082773A" w:rsidP="004130E6">
      <w:pPr>
        <w:rPr>
          <w:b/>
          <w:bCs/>
        </w:rPr>
      </w:pPr>
      <w:r>
        <w:rPr>
          <w:b/>
          <w:bCs/>
        </w:rPr>
        <w:t xml:space="preserve">1. </w:t>
      </w:r>
      <w:r w:rsidR="004130E6" w:rsidRPr="00DE51AA">
        <w:rPr>
          <w:b/>
          <w:bCs/>
        </w:rPr>
        <w:t xml:space="preserve">Onderzoeksplicht vereisten </w:t>
      </w:r>
      <w:r w:rsidR="004130E6" w:rsidRPr="00DE51AA">
        <w:rPr>
          <w:b/>
          <w:bCs/>
        </w:rPr>
        <w:br/>
      </w:r>
      <w:r w:rsidR="004130E6">
        <w:t>Gebruik het huidige format van de RVO</w:t>
      </w:r>
      <w:r w:rsidR="004130E6" w:rsidRPr="00DE51AA">
        <w:t xml:space="preserve">, </w:t>
      </w:r>
      <w:r w:rsidR="00192794">
        <w:t>controleer of u de laatste vers</w:t>
      </w:r>
      <w:r w:rsidR="00C46074">
        <w:t>i</w:t>
      </w:r>
      <w:r w:rsidR="00192794">
        <w:t xml:space="preserve">e </w:t>
      </w:r>
      <w:r w:rsidR="00192794" w:rsidRPr="00D03ABE">
        <w:t>gebruikt.</w:t>
      </w:r>
      <w:r w:rsidR="004130E6" w:rsidRPr="00D03ABE">
        <w:t xml:space="preserve"> Let op: in</w:t>
      </w:r>
      <w:r w:rsidR="004130E6" w:rsidRPr="00C46074">
        <w:t xml:space="preserve"> de nieuwste versie bijlage aandrijfsystemen is de eis van 300</w:t>
      </w:r>
      <w:r w:rsidR="00D43B16">
        <w:t>0</w:t>
      </w:r>
      <w:r w:rsidR="004130E6" w:rsidRPr="00C46074">
        <w:t xml:space="preserve"> draaiuren vervallen.</w:t>
      </w:r>
    </w:p>
    <w:p w14:paraId="0DDC7510" w14:textId="6F58EA8D" w:rsidR="00C46074" w:rsidRDefault="00C47217" w:rsidP="004130E6">
      <w:hyperlink r:id="rId7" w:anchor="sjablonen-downloaden" w:history="1">
        <w:r w:rsidR="00C46074" w:rsidRPr="0016501A">
          <w:rPr>
            <w:rStyle w:val="Hyperlink"/>
          </w:rPr>
          <w:t>https://www.rvo.nl/onderwerpen/energiebesparingsplicht-2023/onderzoeksplicht-energiebesparing-vanaf-2023#sjablonen-downloaden</w:t>
        </w:r>
      </w:hyperlink>
    </w:p>
    <w:p w14:paraId="3D9692F5" w14:textId="4A03C655" w:rsidR="004130E6" w:rsidRDefault="004130E6" w:rsidP="004130E6">
      <w:r>
        <w:br/>
      </w:r>
      <w:r w:rsidR="0082773A">
        <w:t>1.</w:t>
      </w:r>
      <w:r w:rsidR="00192794">
        <w:t>1</w:t>
      </w:r>
      <w:r w:rsidR="00192794">
        <w:tab/>
      </w:r>
      <w:r w:rsidRPr="00192794">
        <w:rPr>
          <w:u w:val="single"/>
        </w:rPr>
        <w:t>Algemene eisen</w:t>
      </w:r>
    </w:p>
    <w:p w14:paraId="54909C6A" w14:textId="0BD6AD93" w:rsidR="004130E6" w:rsidRDefault="004130E6" w:rsidP="00192794">
      <w:pPr>
        <w:pStyle w:val="Lijstalinea"/>
        <w:numPr>
          <w:ilvl w:val="0"/>
          <w:numId w:val="7"/>
        </w:numPr>
      </w:pPr>
      <w:r>
        <w:t>Een onderzoek en uitvoeringsplan voor</w:t>
      </w:r>
      <w:r w:rsidRPr="005C49B7">
        <w:rPr>
          <w:b/>
          <w:bCs/>
          <w:u w:val="single"/>
        </w:rPr>
        <w:t xml:space="preserve"> </w:t>
      </w:r>
      <w:r w:rsidRPr="00DE51AA">
        <w:rPr>
          <w:u w:val="single"/>
        </w:rPr>
        <w:t>alle</w:t>
      </w:r>
      <w:r>
        <w:t xml:space="preserve"> mogelijke </w:t>
      </w:r>
      <w:r w:rsidRPr="00DE51AA">
        <w:t xml:space="preserve">maatregelen ter verduurzaming van het energiegebruik </w:t>
      </w:r>
      <w:r w:rsidRPr="000B431D">
        <w:t xml:space="preserve">per </w:t>
      </w:r>
      <w:r>
        <w:t>met een terugverdientijd van ten hoogste vijf jaar.</w:t>
      </w:r>
      <w:r>
        <w:br/>
        <w:t xml:space="preserve">Hieronder valt naast energiebesparing bij processen, installaties en intern transport, ook het elektrificeren en het toepassen van duurzame energie en gebruik van restwarmte/ stoom en koelwater. Aandachtspunt is toepassen van duurzame energie </w:t>
      </w:r>
      <w:r w:rsidR="00B87C1B">
        <w:t>op</w:t>
      </w:r>
      <w:r>
        <w:t xml:space="preserve"> </w:t>
      </w:r>
      <w:r w:rsidR="00A8339D">
        <w:t>l</w:t>
      </w:r>
      <w:r>
        <w:t xml:space="preserve">angdurig </w:t>
      </w:r>
      <w:r w:rsidR="00B87C1B">
        <w:t xml:space="preserve">onbenutte </w:t>
      </w:r>
      <w:r w:rsidR="00192794">
        <w:t>buiten</w:t>
      </w:r>
      <w:r>
        <w:t>ruimtes</w:t>
      </w:r>
      <w:r w:rsidR="00A8339D">
        <w:t xml:space="preserve">, indien dit voor uw bedrijf van toepassing is. </w:t>
      </w:r>
      <w:r>
        <w:br/>
      </w:r>
      <w:r>
        <w:br/>
        <w:t xml:space="preserve">Het overzicht met maatregelen (uitvoeringsplan) uitsplitsen per </w:t>
      </w:r>
      <w:r w:rsidR="00115F86">
        <w:t>proces/</w:t>
      </w:r>
      <w:r w:rsidR="00A8339D">
        <w:t xml:space="preserve"> </w:t>
      </w:r>
      <w:r w:rsidR="00115F86">
        <w:t>installatie</w:t>
      </w:r>
      <w:r>
        <w:t xml:space="preserve">, of per maatregel aangeven op welke </w:t>
      </w:r>
      <w:r w:rsidR="00115F86">
        <w:t xml:space="preserve">proces/ installatie </w:t>
      </w:r>
      <w:r>
        <w:t>deze van toepassing is.</w:t>
      </w:r>
      <w:r>
        <w:br/>
      </w:r>
      <w:r>
        <w:lastRenderedPageBreak/>
        <w:t>Aanvullend op bovenstaande de groslijst meenemen van (overwogen) maatregelen met een hogere terugverdientijd.</w:t>
      </w:r>
    </w:p>
    <w:p w14:paraId="4A955B52" w14:textId="3FD95D7A" w:rsidR="00C46074" w:rsidRDefault="004130E6" w:rsidP="000A1F06">
      <w:pPr>
        <w:pStyle w:val="Lijstalinea"/>
        <w:numPr>
          <w:ilvl w:val="0"/>
          <w:numId w:val="7"/>
        </w:numPr>
      </w:pPr>
      <w:r>
        <w:t xml:space="preserve">Een overzicht getroffen maatregelen van de afgelopen vier jaar (EED-periode). </w:t>
      </w:r>
      <w:r>
        <w:br/>
        <w:t>Hierbij vermelden welke maatregelen wel/ niet zijn getroffen en waarom niet.</w:t>
      </w:r>
    </w:p>
    <w:p w14:paraId="6AE14BCA" w14:textId="2EF65628" w:rsidR="004130E6" w:rsidRPr="00F503A2" w:rsidRDefault="00F503A2" w:rsidP="00F503A2">
      <w:pPr>
        <w:pStyle w:val="Lijstalinea"/>
        <w:numPr>
          <w:ilvl w:val="0"/>
          <w:numId w:val="9"/>
        </w:numPr>
        <w:rPr>
          <w:rFonts w:eastAsia="Times New Roman"/>
        </w:rPr>
      </w:pPr>
      <w:r>
        <w:rPr>
          <w:rFonts w:eastAsia="Times New Roman"/>
        </w:rPr>
        <w:t>Een beschrijving van de interne goederenvervoersstromen, de bijhorende aantallen vervoersbewegingen, gecategoriseerd naar vervoersmiddel. Een beschrijving van de duurzaamheidsambities voor het interne transport en meer concreet de ambitie ten aanzien van de elektrificatie van de interne transportmiddelen en de genomen maatregelen.</w:t>
      </w:r>
    </w:p>
    <w:p w14:paraId="60256C02" w14:textId="7C4EA235" w:rsidR="004130E6" w:rsidRDefault="004130E6" w:rsidP="004130E6">
      <w:r w:rsidRPr="00B64ECA">
        <w:br/>
      </w:r>
      <w:r w:rsidR="0082773A">
        <w:t>1.</w:t>
      </w:r>
      <w:r w:rsidR="00192794">
        <w:t>2</w:t>
      </w:r>
      <w:r w:rsidR="00192794">
        <w:tab/>
      </w:r>
      <w:r w:rsidR="00192794">
        <w:rPr>
          <w:u w:val="single"/>
        </w:rPr>
        <w:t>S</w:t>
      </w:r>
      <w:r w:rsidRPr="00192794">
        <w:rPr>
          <w:u w:val="single"/>
        </w:rPr>
        <w:t xml:space="preserve">pecifiek voor </w:t>
      </w:r>
      <w:r w:rsidR="00D43B16">
        <w:rPr>
          <w:u w:val="single"/>
        </w:rPr>
        <w:t>EU-ETS inrichting</w:t>
      </w:r>
      <w:r w:rsidR="00115F86">
        <w:rPr>
          <w:u w:val="single"/>
        </w:rPr>
        <w:t>en</w:t>
      </w:r>
    </w:p>
    <w:p w14:paraId="16AD6AA9" w14:textId="44E51C48" w:rsidR="004130E6" w:rsidRDefault="004130E6" w:rsidP="004130E6">
      <w:pPr>
        <w:pStyle w:val="Lijstalinea"/>
        <w:numPr>
          <w:ilvl w:val="0"/>
          <w:numId w:val="7"/>
        </w:numPr>
      </w:pPr>
      <w:r>
        <w:t xml:space="preserve">De tabel met het energiegebruik en de energieanalyse </w:t>
      </w:r>
      <w:r>
        <w:rPr>
          <w:u w:val="single"/>
        </w:rPr>
        <w:t>ook</w:t>
      </w:r>
      <w:r>
        <w:t xml:space="preserve"> uitsplitsen per </w:t>
      </w:r>
      <w:r w:rsidR="00D43B16">
        <w:t>onderdeel</w:t>
      </w:r>
      <w:r>
        <w:t>, zowel een energiebalans als warmtebalans</w:t>
      </w:r>
      <w:r>
        <w:br/>
        <w:t xml:space="preserve">Let op, hierbij ook de interne restwarmtestromen met bijbehorende temperatuurtrajecten meenemen. </w:t>
      </w:r>
      <w:r w:rsidRPr="00E06C84">
        <w:t>Onderbouwing cijfers en relatie met andere verplichtingen</w:t>
      </w:r>
      <w:r>
        <w:t xml:space="preserve"> zoals </w:t>
      </w:r>
      <w:r w:rsidR="00192794">
        <w:t>e-MJV</w:t>
      </w:r>
      <w:r>
        <w:t xml:space="preserve"> en de NE</w:t>
      </w:r>
      <w:r w:rsidR="00192794">
        <w:t>a</w:t>
      </w:r>
      <w:r>
        <w:t xml:space="preserve"> rapportage</w:t>
      </w:r>
      <w:r w:rsidR="00B87C1B">
        <w:t>.</w:t>
      </w:r>
    </w:p>
    <w:p w14:paraId="63B0F5FE" w14:textId="7E59FC04" w:rsidR="004130E6" w:rsidRDefault="004130E6" w:rsidP="00D43B16">
      <w:pPr>
        <w:pStyle w:val="Lijstalinea"/>
        <w:numPr>
          <w:ilvl w:val="0"/>
          <w:numId w:val="7"/>
        </w:numPr>
      </w:pPr>
      <w:r>
        <w:t xml:space="preserve">Een beschrijving van </w:t>
      </w:r>
      <w:r w:rsidR="00A8339D">
        <w:t>uw</w:t>
      </w:r>
      <w:r>
        <w:t xml:space="preserve"> structurele energiezorg: </w:t>
      </w:r>
      <w:r w:rsidR="00A8339D">
        <w:t>u</w:t>
      </w:r>
      <w:r w:rsidR="00D43B16">
        <w:t xml:space="preserve"> </w:t>
      </w:r>
      <w:r w:rsidR="0082773A">
        <w:t xml:space="preserve">dient </w:t>
      </w:r>
      <w:r>
        <w:t xml:space="preserve">hierin </w:t>
      </w:r>
      <w:r w:rsidRPr="00D43B16">
        <w:rPr>
          <w:u w:val="single"/>
        </w:rPr>
        <w:t>ook</w:t>
      </w:r>
      <w:r>
        <w:t xml:space="preserve"> de eisen uit de </w:t>
      </w:r>
      <w:r w:rsidR="00D43B16" w:rsidRPr="00D43B16">
        <w:t>BREF Energie Efficiency</w:t>
      </w:r>
      <w:r>
        <w:t xml:space="preserve"> mee</w:t>
      </w:r>
      <w:r w:rsidR="00B87C1B">
        <w:t xml:space="preserve"> te</w:t>
      </w:r>
      <w:r w:rsidR="00D43B16">
        <w:t xml:space="preserve"> nemen.</w:t>
      </w:r>
    </w:p>
    <w:p w14:paraId="2659B3D8" w14:textId="2D4BDA6C" w:rsidR="0082773A" w:rsidRDefault="004130E6" w:rsidP="0082773A">
      <w:pPr>
        <w:pStyle w:val="Lijstalinea"/>
        <w:numPr>
          <w:ilvl w:val="0"/>
          <w:numId w:val="7"/>
        </w:numPr>
      </w:pPr>
      <w:r>
        <w:t>De v</w:t>
      </w:r>
      <w:r w:rsidRPr="00E06C84">
        <w:t xml:space="preserve">isie </w:t>
      </w:r>
      <w:r>
        <w:t xml:space="preserve">van </w:t>
      </w:r>
      <w:r w:rsidR="00677629">
        <w:t xml:space="preserve">uw bedrijf </w:t>
      </w:r>
      <w:r w:rsidR="00B87C1B">
        <w:t xml:space="preserve">op </w:t>
      </w:r>
      <w:r w:rsidRPr="00E06C84">
        <w:t>korte, midde</w:t>
      </w:r>
      <w:r w:rsidR="003206EF">
        <w:t>llange</w:t>
      </w:r>
      <w:r w:rsidRPr="00E06C84">
        <w:t xml:space="preserve"> en langere termijn op thema energie</w:t>
      </w:r>
      <w:r w:rsidR="00D43B16">
        <w:t xml:space="preserve">. </w:t>
      </w:r>
    </w:p>
    <w:p w14:paraId="4AFD1393" w14:textId="41FC0ACE" w:rsidR="004130E6" w:rsidRDefault="004130E6" w:rsidP="0082773A">
      <w:pPr>
        <w:pStyle w:val="Lijstalinea"/>
        <w:numPr>
          <w:ilvl w:val="0"/>
          <w:numId w:val="7"/>
        </w:numPr>
      </w:pPr>
      <w:r>
        <w:t>Gebouwgebonden maatregelen</w:t>
      </w:r>
      <w:r w:rsidR="003206EF">
        <w:t>,</w:t>
      </w:r>
      <w:r>
        <w:t xml:space="preserve"> check aan erkende maatregelen.</w:t>
      </w:r>
      <w:r>
        <w:br/>
        <w:t>Bijvoegen als bijlage bij rapport. Moet ook apart ingediend worden in het e</w:t>
      </w:r>
      <w:r w:rsidR="003206EF">
        <w:t>-</w:t>
      </w:r>
      <w:r>
        <w:t>Loket.</w:t>
      </w:r>
      <w:r>
        <w:br/>
      </w:r>
      <w:r w:rsidRPr="00E66841">
        <w:t xml:space="preserve">Wanneer de </w:t>
      </w:r>
      <w:r>
        <w:t xml:space="preserve">proces gerelateerde </w:t>
      </w:r>
      <w:r w:rsidRPr="00E66841">
        <w:t xml:space="preserve">maatregelen effecten hebben op gebouwgebonden maatregelen, </w:t>
      </w:r>
      <w:r>
        <w:t>graag</w:t>
      </w:r>
      <w:r w:rsidRPr="00E66841">
        <w:t xml:space="preserve"> deze bet</w:t>
      </w:r>
      <w:r>
        <w:t>re</w:t>
      </w:r>
      <w:r w:rsidRPr="00E66841">
        <w:t xml:space="preserve">kken in het onderzoek. </w:t>
      </w:r>
    </w:p>
    <w:p w14:paraId="7D7A7371" w14:textId="30D27E7E" w:rsidR="00D03ABE" w:rsidRPr="00B14C2A" w:rsidRDefault="004130E6" w:rsidP="003E7D89">
      <w:pPr>
        <w:pStyle w:val="Lijstalinea"/>
        <w:numPr>
          <w:ilvl w:val="0"/>
          <w:numId w:val="7"/>
        </w:numPr>
      </w:pPr>
      <w:r>
        <w:t>Bijlagen aandrijfsystemen</w:t>
      </w:r>
      <w:r w:rsidR="0082773A">
        <w:t>,</w:t>
      </w:r>
      <w:r>
        <w:t xml:space="preserve"> isolatie van procesonderdelen en leidingen.</w:t>
      </w:r>
    </w:p>
    <w:p w14:paraId="2B7F45D9" w14:textId="77777777" w:rsidR="00D03ABE" w:rsidRPr="003E7D89" w:rsidRDefault="00D03ABE" w:rsidP="003E7D89">
      <w:pPr>
        <w:rPr>
          <w:b/>
          <w:bCs/>
        </w:rPr>
      </w:pPr>
    </w:p>
    <w:p w14:paraId="00F36695" w14:textId="0D70371B" w:rsidR="0082773A" w:rsidRDefault="0082773A" w:rsidP="004130E6">
      <w:pPr>
        <w:rPr>
          <w:b/>
          <w:bCs/>
        </w:rPr>
      </w:pPr>
      <w:r w:rsidRPr="00B87C1B">
        <w:rPr>
          <w:b/>
          <w:bCs/>
          <w:lang w:val="en-US"/>
        </w:rPr>
        <w:t xml:space="preserve">2. </w:t>
      </w:r>
      <w:r w:rsidR="00D43B16">
        <w:rPr>
          <w:b/>
          <w:bCs/>
          <w:lang w:val="en-US"/>
        </w:rPr>
        <w:t xml:space="preserve">Label C </w:t>
      </w:r>
      <w:r w:rsidR="00D43B16" w:rsidRPr="00D43B16">
        <w:rPr>
          <w:b/>
          <w:bCs/>
        </w:rPr>
        <w:t>verplichting</w:t>
      </w:r>
    </w:p>
    <w:p w14:paraId="4610A75B" w14:textId="5E290143" w:rsidR="00115F86" w:rsidRPr="00A5610C" w:rsidRDefault="00C47217" w:rsidP="00115F86">
      <w:pPr>
        <w:rPr>
          <w:lang w:val="en-US"/>
        </w:rPr>
      </w:pPr>
      <w:hyperlink r:id="rId8" w:history="1">
        <w:r w:rsidR="00A5610C" w:rsidRPr="00A5610C">
          <w:rPr>
            <w:rStyle w:val="Hyperlink"/>
            <w:lang w:val="en-US"/>
          </w:rPr>
          <w:t>https://www.rvo.nl/onderwerpen/wetten-en-regels-gebouwen/energielabel-c-kantoren</w:t>
        </w:r>
      </w:hyperlink>
    </w:p>
    <w:p w14:paraId="62E176DA" w14:textId="77777777" w:rsidR="00A5610C" w:rsidRDefault="00A5610C" w:rsidP="00115F86">
      <w:pPr>
        <w:rPr>
          <w:b/>
          <w:bCs/>
          <w:lang w:val="en-US"/>
        </w:rPr>
      </w:pPr>
    </w:p>
    <w:p w14:paraId="3176991E" w14:textId="652B5090" w:rsidR="004130E6" w:rsidRPr="00D4713A" w:rsidRDefault="00115F86" w:rsidP="00115F86">
      <w:pPr>
        <w:rPr>
          <w:highlight w:val="yellow"/>
        </w:rPr>
      </w:pPr>
      <w:r w:rsidRPr="00115F86">
        <w:t xml:space="preserve">2.1 </w:t>
      </w:r>
      <w:r w:rsidRPr="00115F86">
        <w:tab/>
      </w:r>
      <w:r w:rsidR="004130E6" w:rsidRPr="00D4713A">
        <w:rPr>
          <w:highlight w:val="yellow"/>
          <w:u w:val="single"/>
        </w:rPr>
        <w:t>Label C Kantoren</w:t>
      </w:r>
      <w:r w:rsidR="00403C3E" w:rsidRPr="00D4713A">
        <w:rPr>
          <w:highlight w:val="yellow"/>
        </w:rPr>
        <w:t xml:space="preserve"> </w:t>
      </w:r>
      <w:r w:rsidR="00403C3E" w:rsidRPr="00D4713A">
        <w:rPr>
          <w:b/>
          <w:bCs/>
          <w:highlight w:val="yellow"/>
        </w:rPr>
        <w:t>Keuze maken</w:t>
      </w:r>
      <w:r w:rsidR="00403C3E" w:rsidRPr="00D4713A">
        <w:rPr>
          <w:highlight w:val="yellow"/>
        </w:rPr>
        <w:t xml:space="preserve"> </w:t>
      </w:r>
    </w:p>
    <w:p w14:paraId="2D75412F" w14:textId="36F81041" w:rsidR="00403C3E" w:rsidRPr="00D4713A" w:rsidRDefault="00403C3E" w:rsidP="00403C3E">
      <w:pPr>
        <w:pStyle w:val="Lijstalinea"/>
        <w:numPr>
          <w:ilvl w:val="0"/>
          <w:numId w:val="7"/>
        </w:numPr>
        <w:rPr>
          <w:highlight w:val="yellow"/>
        </w:rPr>
      </w:pPr>
      <w:r w:rsidRPr="00D4713A">
        <w:rPr>
          <w:highlight w:val="yellow"/>
        </w:rPr>
        <w:t xml:space="preserve">Voor uw bedrijf zijn bij ons een aantal panden bekend waarvoor een label is afgegeven welke </w:t>
      </w:r>
      <w:r w:rsidRPr="00D4713A">
        <w:rPr>
          <w:b/>
          <w:bCs/>
          <w:highlight w:val="yellow"/>
        </w:rPr>
        <w:t xml:space="preserve">voldoen </w:t>
      </w:r>
      <w:r w:rsidRPr="00D4713A">
        <w:rPr>
          <w:highlight w:val="yellow"/>
        </w:rPr>
        <w:t xml:space="preserve">aan de minimale eis van label C. </w:t>
      </w:r>
    </w:p>
    <w:p w14:paraId="68C118F6" w14:textId="3F615938" w:rsidR="00D4713A" w:rsidRPr="00D4713A" w:rsidRDefault="00403C3E" w:rsidP="00D4713A">
      <w:pPr>
        <w:pStyle w:val="Lijstalinea"/>
        <w:numPr>
          <w:ilvl w:val="0"/>
          <w:numId w:val="7"/>
        </w:numPr>
        <w:rPr>
          <w:highlight w:val="yellow"/>
        </w:rPr>
      </w:pPr>
      <w:r w:rsidRPr="00D4713A">
        <w:rPr>
          <w:highlight w:val="yellow"/>
        </w:rPr>
        <w:t xml:space="preserve">Voor uw bedrijf zijn bij ons een aantal panden bekend waarvoor een label is afgegeven welke </w:t>
      </w:r>
      <w:r w:rsidRPr="00D4713A">
        <w:rPr>
          <w:b/>
          <w:bCs/>
          <w:highlight w:val="yellow"/>
        </w:rPr>
        <w:t>niet voldoen</w:t>
      </w:r>
      <w:r w:rsidRPr="00D4713A">
        <w:rPr>
          <w:highlight w:val="yellow"/>
        </w:rPr>
        <w:t xml:space="preserve"> aan de minimale eis van label C.</w:t>
      </w:r>
    </w:p>
    <w:p w14:paraId="14A89030" w14:textId="234FBD0D" w:rsidR="00D4713A" w:rsidRPr="00D4713A" w:rsidRDefault="00D4713A" w:rsidP="00D4713A">
      <w:pPr>
        <w:pStyle w:val="Lijstalinea"/>
        <w:numPr>
          <w:ilvl w:val="0"/>
          <w:numId w:val="7"/>
        </w:numPr>
        <w:rPr>
          <w:highlight w:val="yellow"/>
        </w:rPr>
      </w:pPr>
      <w:r w:rsidRPr="00D4713A">
        <w:rPr>
          <w:highlight w:val="yellow"/>
        </w:rPr>
        <w:t>Voor uw bedrijf zijn bij ons een aantal …….</w:t>
      </w:r>
    </w:p>
    <w:p w14:paraId="72D35099" w14:textId="421C5DC8" w:rsidR="000D5509" w:rsidRPr="00D4713A" w:rsidRDefault="00403C3E" w:rsidP="00403C3E">
      <w:pPr>
        <w:pStyle w:val="Lijstalinea"/>
        <w:numPr>
          <w:ilvl w:val="0"/>
          <w:numId w:val="7"/>
        </w:numPr>
        <w:rPr>
          <w:highlight w:val="yellow"/>
        </w:rPr>
      </w:pPr>
      <w:r w:rsidRPr="00D4713A">
        <w:rPr>
          <w:highlight w:val="yellow"/>
        </w:rPr>
        <w:t>Voor uw bedrijf hebben wij ook vragen over panden waar geen label van bekend is, deze zouden onder de uitzondering kunnen vallen.</w:t>
      </w:r>
    </w:p>
    <w:p w14:paraId="55C0C4E8" w14:textId="77777777" w:rsidR="00485FDD" w:rsidRDefault="00485FDD" w:rsidP="00485FDD">
      <w:pPr>
        <w:ind w:left="708" w:hanging="348"/>
      </w:pPr>
    </w:p>
    <w:p w14:paraId="1F555A26" w14:textId="6073EF82" w:rsidR="00D43B16" w:rsidRPr="00115F86" w:rsidRDefault="00115F86" w:rsidP="00115F86">
      <w:pPr>
        <w:rPr>
          <w:b/>
          <w:bCs/>
        </w:rPr>
      </w:pPr>
      <w:r w:rsidRPr="00115F86">
        <w:rPr>
          <w:b/>
          <w:bCs/>
        </w:rPr>
        <w:t xml:space="preserve">3. </w:t>
      </w:r>
      <w:r w:rsidR="00A5610C">
        <w:rPr>
          <w:b/>
          <w:bCs/>
        </w:rPr>
        <w:t>O</w:t>
      </w:r>
      <w:r w:rsidRPr="00115F86">
        <w:rPr>
          <w:b/>
          <w:bCs/>
        </w:rPr>
        <w:t xml:space="preserve">verige items m.b.t. Energie efficiëntie. </w:t>
      </w:r>
    </w:p>
    <w:p w14:paraId="0C40A3E0" w14:textId="49D78E67" w:rsidR="004130E6" w:rsidRDefault="004130E6" w:rsidP="0082773A">
      <w:pPr>
        <w:pStyle w:val="Lijstalinea"/>
        <w:numPr>
          <w:ilvl w:val="0"/>
          <w:numId w:val="7"/>
        </w:numPr>
      </w:pPr>
      <w:r>
        <w:t xml:space="preserve">Personenvervoer Omgevingswet (kwalitatieve beschrijving) </w:t>
      </w:r>
    </w:p>
    <w:p w14:paraId="40C4CAC1" w14:textId="4D18B2B1" w:rsidR="00A5610C" w:rsidRDefault="004130E6" w:rsidP="00A5610C">
      <w:pPr>
        <w:pStyle w:val="Lijstalinea"/>
        <w:numPr>
          <w:ilvl w:val="0"/>
          <w:numId w:val="7"/>
        </w:numPr>
      </w:pPr>
      <w:r>
        <w:t>Oplaadpalen</w:t>
      </w:r>
      <w:r w:rsidR="00B14C2A">
        <w:t xml:space="preserve"> verplichting in 2025; Bouwbesluit 2012 Afdeling 5.4</w:t>
      </w:r>
    </w:p>
    <w:p w14:paraId="443A2AA5" w14:textId="77777777" w:rsidR="009D17B0" w:rsidRDefault="00C47217"/>
    <w:p w14:paraId="106B953A" w14:textId="77777777" w:rsidR="009F766B" w:rsidRPr="009F766B" w:rsidRDefault="00C47217" w:rsidP="009F766B">
      <w:pPr>
        <w:rPr>
          <w:rFonts w:eastAsia="Calibri" w:cs="Tahoma"/>
          <w:szCs w:val="19"/>
          <w:lang w:eastAsia="en-US"/>
        </w:rPr>
      </w:pPr>
    </w:p>
    <w:p w14:paraId="0A487C69" w14:textId="77777777" w:rsidR="004B7DCE" w:rsidRPr="009F766B" w:rsidRDefault="004130E6" w:rsidP="00A61199">
      <w:pPr>
        <w:rPr>
          <w:rFonts w:eastAsia="Calibri"/>
          <w:sz w:val="16"/>
          <w:szCs w:val="16"/>
          <w:lang w:eastAsia="en-US"/>
        </w:rPr>
      </w:pPr>
      <w:r w:rsidRPr="009F766B">
        <w:rPr>
          <w:rFonts w:eastAsia="Calibri"/>
          <w:i/>
          <w:sz w:val="16"/>
          <w:szCs w:val="22"/>
          <w:lang w:eastAsia="en-US"/>
        </w:rPr>
        <w:t xml:space="preserve">Dit document is </w:t>
      </w:r>
      <w:hyperlink r:id="rId9" w:history="1">
        <w:r w:rsidRPr="00A61199">
          <w:rPr>
            <w:rStyle w:val="Hyperlink"/>
            <w:rFonts w:eastAsia="Calibri"/>
            <w:i/>
            <w:sz w:val="16"/>
            <w:szCs w:val="22"/>
            <w:lang w:eastAsia="en-US"/>
          </w:rPr>
          <w:t>digitaal vastgesteld.</w:t>
        </w:r>
      </w:hyperlink>
      <w:r>
        <w:rPr>
          <w:rFonts w:eastAsia="Calibri"/>
          <w:i/>
          <w:sz w:val="16"/>
          <w:szCs w:val="22"/>
          <w:lang w:eastAsia="en-US"/>
        </w:rPr>
        <w:t xml:space="preserve"> Vandaar dat een zichtbare handtekening ontbreekt.</w:t>
      </w:r>
    </w:p>
    <w:sectPr w:rsidR="004B7DCE" w:rsidRPr="009F766B" w:rsidSect="006602ED">
      <w:footerReference w:type="default" r:id="rId10"/>
      <w:headerReference w:type="first" r:id="rId11"/>
      <w:footerReference w:type="first" r:id="rId12"/>
      <w:pgSz w:w="11906" w:h="16838"/>
      <w:pgMar w:top="2041" w:right="2835" w:bottom="153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8506" w14:textId="77777777" w:rsidR="006178CE" w:rsidRDefault="004130E6">
      <w:pPr>
        <w:spacing w:line="240" w:lineRule="auto"/>
      </w:pPr>
      <w:r>
        <w:separator/>
      </w:r>
    </w:p>
  </w:endnote>
  <w:endnote w:type="continuationSeparator" w:id="0">
    <w:p w14:paraId="7FA0ED58" w14:textId="77777777" w:rsidR="006178CE" w:rsidRDefault="00413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790" w:tblpY="16161"/>
      <w:tblOverlap w:val="never"/>
      <w:tblW w:w="0" w:type="auto"/>
      <w:tblCellMar>
        <w:left w:w="0" w:type="dxa"/>
        <w:right w:w="0" w:type="dxa"/>
      </w:tblCellMar>
      <w:tblLook w:val="01E0" w:firstRow="1" w:lastRow="1" w:firstColumn="1" w:lastColumn="1" w:noHBand="0" w:noVBand="0"/>
    </w:tblPr>
    <w:tblGrid>
      <w:gridCol w:w="567"/>
    </w:tblGrid>
    <w:tr w:rsidR="00156DDA" w14:paraId="5ACD8311" w14:textId="77777777" w:rsidTr="00780F80">
      <w:tc>
        <w:tcPr>
          <w:tcW w:w="567" w:type="dxa"/>
        </w:tcPr>
        <w:p w14:paraId="012A9CC9" w14:textId="5F7C71DC" w:rsidR="00A54B2F" w:rsidRDefault="004130E6" w:rsidP="00780F80">
          <w:pPr>
            <w:pStyle w:val="Paginacijfer"/>
            <w:jc w:val="left"/>
          </w:pPr>
          <w:r w:rsidRPr="000E7DD7">
            <w:rPr>
              <w:b/>
            </w:rPr>
            <w:fldChar w:fldCharType="begin"/>
          </w:r>
          <w:r w:rsidRPr="000E7DD7">
            <w:rPr>
              <w:b/>
            </w:rPr>
            <w:instrText xml:space="preserve"> PAGE  \* Arabic  \* MERGEFORMAT </w:instrText>
          </w:r>
          <w:r w:rsidRPr="000E7DD7">
            <w:rPr>
              <w:b/>
            </w:rPr>
            <w:fldChar w:fldCharType="separate"/>
          </w:r>
          <w:r w:rsidR="00C47217">
            <w:rPr>
              <w:b/>
              <w:noProof/>
            </w:rPr>
            <w:t>2</w:t>
          </w:r>
          <w:r w:rsidRPr="000E7DD7">
            <w:rPr>
              <w:b/>
            </w:rPr>
            <w:fldChar w:fldCharType="end"/>
          </w:r>
          <w:r>
            <w:t xml:space="preserve"> | </w:t>
          </w:r>
          <w:fldSimple w:instr=" NUMPAGES   \* MERGEFORMAT ">
            <w:r w:rsidR="00C47217">
              <w:rPr>
                <w:noProof/>
              </w:rPr>
              <w:t>2</w:t>
            </w:r>
          </w:fldSimple>
        </w:p>
      </w:tc>
    </w:tr>
  </w:tbl>
  <w:tbl>
    <w:tblPr>
      <w:tblpPr w:vertAnchor="page" w:horzAnchor="margin" w:tblpY="16161"/>
      <w:tblOverlap w:val="never"/>
      <w:tblW w:w="6974" w:type="dxa"/>
      <w:tblLayout w:type="fixed"/>
      <w:tblCellMar>
        <w:left w:w="0" w:type="dxa"/>
        <w:right w:w="0" w:type="dxa"/>
      </w:tblCellMar>
      <w:tblLook w:val="01E0" w:firstRow="1" w:lastRow="1" w:firstColumn="1" w:lastColumn="1" w:noHBand="0" w:noVBand="0"/>
    </w:tblPr>
    <w:tblGrid>
      <w:gridCol w:w="6974"/>
    </w:tblGrid>
    <w:tr w:rsidR="00156DDA" w14:paraId="7A18E861" w14:textId="77777777" w:rsidTr="00FC75CB">
      <w:tc>
        <w:tcPr>
          <w:tcW w:w="6974" w:type="dxa"/>
        </w:tcPr>
        <w:p w14:paraId="1929F7EC" w14:textId="77777777" w:rsidR="007062ED" w:rsidRPr="000626BB" w:rsidRDefault="004130E6" w:rsidP="0011620E">
          <w:pPr>
            <w:spacing w:line="160" w:lineRule="exact"/>
          </w:pPr>
          <w:r>
            <w:rPr>
              <w:rFonts w:cs="Tahoma"/>
              <w:color w:val="A6A6A6"/>
              <w:sz w:val="11"/>
              <w:szCs w:val="11"/>
              <w:bdr w:val="nil"/>
            </w:rPr>
            <w:t>11833871</w:t>
          </w:r>
          <w:r>
            <w:rPr>
              <w:rFonts w:cs="Tahoma"/>
              <w:color w:val="A6A6A6"/>
              <w:sz w:val="11"/>
              <w:szCs w:val="11"/>
            </w:rPr>
            <w:t xml:space="preserve"> | </w:t>
          </w:r>
          <w:r>
            <w:rPr>
              <w:rFonts w:cs="Tahoma"/>
              <w:noProof/>
              <w:color w:val="A6A6A6"/>
              <w:sz w:val="11"/>
              <w:szCs w:val="11"/>
              <w:bdr w:val="nil"/>
            </w:rPr>
            <w:t>24149939</w:t>
          </w:r>
        </w:p>
      </w:tc>
    </w:tr>
  </w:tbl>
  <w:p w14:paraId="2897D4AA" w14:textId="77777777" w:rsidR="00A54B2F" w:rsidRDefault="00C472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790" w:tblpY="16161"/>
      <w:tblOverlap w:val="never"/>
      <w:tblW w:w="0" w:type="auto"/>
      <w:tblCellMar>
        <w:left w:w="0" w:type="dxa"/>
        <w:right w:w="0" w:type="dxa"/>
      </w:tblCellMar>
      <w:tblLook w:val="01E0" w:firstRow="1" w:lastRow="1" w:firstColumn="1" w:lastColumn="1" w:noHBand="0" w:noVBand="0"/>
    </w:tblPr>
    <w:tblGrid>
      <w:gridCol w:w="567"/>
    </w:tblGrid>
    <w:tr w:rsidR="00156DDA" w14:paraId="1A50B977" w14:textId="77777777" w:rsidTr="00780F80">
      <w:tc>
        <w:tcPr>
          <w:tcW w:w="567" w:type="dxa"/>
        </w:tcPr>
        <w:p w14:paraId="19382784" w14:textId="7FF5E262" w:rsidR="002E103C" w:rsidRDefault="004130E6" w:rsidP="00780F80">
          <w:pPr>
            <w:pStyle w:val="Paginacijfer"/>
            <w:jc w:val="left"/>
          </w:pPr>
          <w:r w:rsidRPr="000E7DD7">
            <w:rPr>
              <w:b/>
            </w:rPr>
            <w:fldChar w:fldCharType="begin"/>
          </w:r>
          <w:r w:rsidRPr="000E7DD7">
            <w:rPr>
              <w:b/>
            </w:rPr>
            <w:instrText xml:space="preserve"> PAGE  \* Arabic  \* MERGEFORMAT </w:instrText>
          </w:r>
          <w:r w:rsidRPr="000E7DD7">
            <w:rPr>
              <w:b/>
            </w:rPr>
            <w:fldChar w:fldCharType="separate"/>
          </w:r>
          <w:r w:rsidR="00C47217">
            <w:rPr>
              <w:b/>
              <w:noProof/>
            </w:rPr>
            <w:t>1</w:t>
          </w:r>
          <w:r w:rsidRPr="000E7DD7">
            <w:rPr>
              <w:b/>
            </w:rPr>
            <w:fldChar w:fldCharType="end"/>
          </w:r>
          <w:r>
            <w:t xml:space="preserve"> | </w:t>
          </w:r>
          <w:fldSimple w:instr=" NUMPAGES   \* MERGEFORMAT ">
            <w:r w:rsidR="00C47217">
              <w:rPr>
                <w:noProof/>
              </w:rPr>
              <w:t>2</w:t>
            </w:r>
          </w:fldSimple>
        </w:p>
      </w:tc>
    </w:tr>
  </w:tbl>
  <w:tbl>
    <w:tblPr>
      <w:tblpPr w:vertAnchor="page" w:horzAnchor="margin" w:tblpY="16161"/>
      <w:tblOverlap w:val="never"/>
      <w:tblW w:w="6974" w:type="dxa"/>
      <w:tblLayout w:type="fixed"/>
      <w:tblCellMar>
        <w:left w:w="0" w:type="dxa"/>
        <w:right w:w="0" w:type="dxa"/>
      </w:tblCellMar>
      <w:tblLook w:val="01E0" w:firstRow="1" w:lastRow="1" w:firstColumn="1" w:lastColumn="1" w:noHBand="0" w:noVBand="0"/>
    </w:tblPr>
    <w:tblGrid>
      <w:gridCol w:w="6974"/>
    </w:tblGrid>
    <w:tr w:rsidR="00156DDA" w14:paraId="45F57F78" w14:textId="77777777" w:rsidTr="008D408E">
      <w:tc>
        <w:tcPr>
          <w:tcW w:w="6974" w:type="dxa"/>
        </w:tcPr>
        <w:p w14:paraId="25E7BAC9" w14:textId="77777777" w:rsidR="00A827A2" w:rsidRPr="000626BB" w:rsidRDefault="004130E6" w:rsidP="00A827A2">
          <w:pPr>
            <w:spacing w:line="160" w:lineRule="exact"/>
          </w:pPr>
          <w:r>
            <w:rPr>
              <w:rFonts w:cs="Tahoma"/>
              <w:color w:val="A6A6A6"/>
              <w:sz w:val="11"/>
              <w:szCs w:val="11"/>
            </w:rPr>
            <w:t>Risico’s beperken, leefbaarheid vergroten.</w:t>
          </w:r>
        </w:p>
      </w:tc>
    </w:tr>
  </w:tbl>
  <w:p w14:paraId="7627FF40" w14:textId="77777777" w:rsidR="002E103C" w:rsidRDefault="004130E6">
    <w:pPr>
      <w:pStyle w:val="Voettekst"/>
    </w:pPr>
    <w:r w:rsidRPr="0048239D">
      <w:rPr>
        <w:rFonts w:cs="Tahoma"/>
        <w:noProof/>
        <w:sz w:val="19"/>
        <w:szCs w:val="19"/>
      </w:rPr>
      <w:drawing>
        <wp:anchor distT="0" distB="0" distL="114300" distR="114300" simplePos="0" relativeHeight="251658240" behindDoc="1" locked="0" layoutInCell="1" allowOverlap="1" wp14:anchorId="532CFA59" wp14:editId="7F8D07B6">
          <wp:simplePos x="0" y="0"/>
          <wp:positionH relativeFrom="column">
            <wp:posOffset>-887095</wp:posOffset>
          </wp:positionH>
          <wp:positionV relativeFrom="paragraph">
            <wp:posOffset>-424815</wp:posOffset>
          </wp:positionV>
          <wp:extent cx="7543800" cy="952500"/>
          <wp:effectExtent l="0" t="0" r="0" b="0"/>
          <wp:wrapNone/>
          <wp:docPr id="3" name="Afbeelding 3" descr="ODNZKG_briefpapier_voorzij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NZKG_briefpapier_voorzijd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5" t="90531" r="1849"/>
                  <a:stretch/>
                </pic:blipFill>
                <pic:spPr bwMode="auto">
                  <a:xfrm>
                    <a:off x="0" y="0"/>
                    <a:ext cx="7543800" cy="9525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6D50" w14:textId="77777777" w:rsidR="006178CE" w:rsidRDefault="004130E6">
      <w:pPr>
        <w:spacing w:line="240" w:lineRule="auto"/>
      </w:pPr>
      <w:r>
        <w:separator/>
      </w:r>
    </w:p>
  </w:footnote>
  <w:footnote w:type="continuationSeparator" w:id="0">
    <w:p w14:paraId="41F2FE99" w14:textId="77777777" w:rsidR="006178CE" w:rsidRDefault="00413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1248" w:tblpY="568"/>
      <w:tblOverlap w:val="never"/>
      <w:tblW w:w="1003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4"/>
      <w:gridCol w:w="567"/>
      <w:gridCol w:w="2495"/>
    </w:tblGrid>
    <w:tr w:rsidR="00156DDA" w14:paraId="1345E74F" w14:textId="77777777" w:rsidTr="00AA6ACC">
      <w:trPr>
        <w:trHeight w:hRule="exact" w:val="1276"/>
      </w:trPr>
      <w:tc>
        <w:tcPr>
          <w:tcW w:w="10036" w:type="dxa"/>
          <w:gridSpan w:val="3"/>
        </w:tcPr>
        <w:p w14:paraId="48D0F4A3" w14:textId="77777777" w:rsidR="00AA6ACC" w:rsidRPr="00F34037" w:rsidRDefault="004130E6" w:rsidP="00AA6ACC">
          <w:pPr>
            <w:pStyle w:val="adressering"/>
            <w:framePr w:hSpace="0" w:wrap="auto" w:vAnchor="margin" w:hAnchor="text" w:xAlign="left" w:yAlign="inline"/>
            <w:suppressOverlap w:val="0"/>
            <w:jc w:val="right"/>
          </w:pPr>
          <w:r>
            <w:rPr>
              <w:noProof/>
            </w:rPr>
            <w:drawing>
              <wp:anchor distT="0" distB="0" distL="114300" distR="114300" simplePos="0" relativeHeight="251659264" behindDoc="0" locked="0" layoutInCell="1" allowOverlap="1" wp14:anchorId="02AC302B" wp14:editId="22C0A2A9">
                <wp:simplePos x="0" y="0"/>
                <wp:positionH relativeFrom="column">
                  <wp:posOffset>3684905</wp:posOffset>
                </wp:positionH>
                <wp:positionV relativeFrom="paragraph">
                  <wp:posOffset>-102870</wp:posOffset>
                </wp:positionV>
                <wp:extent cx="2630182" cy="711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182" cy="711200"/>
                        </a:xfrm>
                        <a:prstGeom prst="rect">
                          <a:avLst/>
                        </a:prstGeom>
                      </pic:spPr>
                    </pic:pic>
                  </a:graphicData>
                </a:graphic>
              </wp:anchor>
            </w:drawing>
          </w:r>
        </w:p>
      </w:tc>
    </w:tr>
    <w:tr w:rsidR="00156DDA" w14:paraId="69BD3322" w14:textId="77777777" w:rsidTr="00AA6ACC">
      <w:trPr>
        <w:trHeight w:hRule="exact" w:val="794"/>
      </w:trPr>
      <w:tc>
        <w:tcPr>
          <w:tcW w:w="6974" w:type="dxa"/>
        </w:tcPr>
        <w:p w14:paraId="7BC79039" w14:textId="77777777" w:rsidR="00F34037" w:rsidRDefault="00C47217" w:rsidP="00AA6ACC"/>
      </w:tc>
      <w:tc>
        <w:tcPr>
          <w:tcW w:w="567" w:type="dxa"/>
          <w:vMerge w:val="restart"/>
        </w:tcPr>
        <w:p w14:paraId="31F4C256" w14:textId="77777777" w:rsidR="00F34037" w:rsidRDefault="00C47217" w:rsidP="008D321D">
          <w:pPr>
            <w:pStyle w:val="adressering"/>
            <w:framePr w:hSpace="0" w:wrap="auto" w:vAnchor="margin" w:hAnchor="text" w:xAlign="left" w:yAlign="inline"/>
            <w:suppressOverlap w:val="0"/>
          </w:pPr>
        </w:p>
      </w:tc>
      <w:tc>
        <w:tcPr>
          <w:tcW w:w="2495" w:type="dxa"/>
          <w:vMerge w:val="restart"/>
        </w:tcPr>
        <w:p w14:paraId="15D018D0" w14:textId="77777777" w:rsidR="00F34037" w:rsidRDefault="004130E6" w:rsidP="008D321D">
          <w:pPr>
            <w:pStyle w:val="adressering"/>
            <w:framePr w:hSpace="0" w:wrap="auto" w:vAnchor="margin" w:hAnchor="text" w:xAlign="left" w:yAlign="inline"/>
            <w:suppressOverlap w:val="0"/>
          </w:pPr>
          <w:r>
            <w:t>Ebbehout 31</w:t>
          </w:r>
        </w:p>
        <w:p w14:paraId="6B54A68C" w14:textId="77777777" w:rsidR="00F34037" w:rsidRDefault="004130E6" w:rsidP="008D321D">
          <w:pPr>
            <w:pStyle w:val="adressering"/>
            <w:framePr w:hSpace="0" w:wrap="auto" w:vAnchor="margin" w:hAnchor="text" w:xAlign="left" w:yAlign="inline"/>
            <w:suppressOverlap w:val="0"/>
          </w:pPr>
          <w:r>
            <w:t>1507 EA Zaandam</w:t>
          </w:r>
        </w:p>
        <w:p w14:paraId="29863189" w14:textId="77777777" w:rsidR="00A96AB6" w:rsidRDefault="004130E6" w:rsidP="008D321D">
          <w:pPr>
            <w:pStyle w:val="adressering"/>
            <w:framePr w:hSpace="0" w:wrap="auto" w:vAnchor="margin" w:hAnchor="text" w:xAlign="left" w:yAlign="inline"/>
            <w:suppressOverlap w:val="0"/>
          </w:pPr>
          <w:r>
            <w:t>088-5670200</w:t>
          </w:r>
        </w:p>
        <w:p w14:paraId="1C27252C" w14:textId="77777777" w:rsidR="00F34037" w:rsidRDefault="00C47217" w:rsidP="008D321D">
          <w:pPr>
            <w:pStyle w:val="adressering"/>
            <w:framePr w:hSpace="0" w:wrap="auto" w:vAnchor="margin" w:hAnchor="text" w:xAlign="left" w:yAlign="inline"/>
            <w:suppressOverlap w:val="0"/>
          </w:pPr>
        </w:p>
        <w:p w14:paraId="24C9B8A4" w14:textId="77777777" w:rsidR="00F34037" w:rsidRDefault="00C47217" w:rsidP="008D321D">
          <w:pPr>
            <w:pStyle w:val="adressering"/>
            <w:framePr w:hSpace="0" w:wrap="auto" w:vAnchor="margin" w:hAnchor="text" w:xAlign="left" w:yAlign="inline"/>
            <w:suppressOverlap w:val="0"/>
          </w:pPr>
          <w:hyperlink r:id="rId2" w:history="1">
            <w:r w:rsidR="004130E6" w:rsidRPr="00C40E52">
              <w:rPr>
                <w:rStyle w:val="Hyperlink"/>
                <w:color w:val="auto"/>
              </w:rPr>
              <w:t>www.odnzkg.nl</w:t>
            </w:r>
          </w:hyperlink>
        </w:p>
      </w:tc>
    </w:tr>
    <w:tr w:rsidR="00156DDA" w14:paraId="345AC205" w14:textId="77777777" w:rsidTr="00AA6ACC">
      <w:trPr>
        <w:trHeight w:val="197"/>
      </w:trPr>
      <w:tc>
        <w:tcPr>
          <w:tcW w:w="6974" w:type="dxa"/>
        </w:tcPr>
        <w:p w14:paraId="1A5F8B1A" w14:textId="77777777" w:rsidR="00F34037" w:rsidRPr="00F34037" w:rsidRDefault="00C47217" w:rsidP="00AA6ACC">
          <w:pPr>
            <w:pStyle w:val="Voettekst"/>
          </w:pPr>
        </w:p>
      </w:tc>
      <w:tc>
        <w:tcPr>
          <w:tcW w:w="567" w:type="dxa"/>
          <w:vMerge/>
        </w:tcPr>
        <w:p w14:paraId="5E681F90" w14:textId="77777777" w:rsidR="00F34037" w:rsidRDefault="00C47217" w:rsidP="00AA6ACC"/>
      </w:tc>
      <w:tc>
        <w:tcPr>
          <w:tcW w:w="2495" w:type="dxa"/>
          <w:vMerge/>
        </w:tcPr>
        <w:p w14:paraId="5B8FBD37" w14:textId="77777777" w:rsidR="00F34037" w:rsidRPr="00F34037" w:rsidRDefault="00C47217" w:rsidP="00AA6ACC">
          <w:pPr>
            <w:rPr>
              <w:sz w:val="16"/>
              <w:szCs w:val="16"/>
            </w:rPr>
          </w:pPr>
        </w:p>
      </w:tc>
    </w:tr>
    <w:tr w:rsidR="00156DDA" w14:paraId="7F4DAE0B" w14:textId="77777777" w:rsidTr="00AA6ACC">
      <w:trPr>
        <w:trHeight w:val="197"/>
      </w:trPr>
      <w:tc>
        <w:tcPr>
          <w:tcW w:w="6974" w:type="dxa"/>
        </w:tcPr>
        <w:p w14:paraId="18D207E5" w14:textId="77777777" w:rsidR="004228EC" w:rsidRPr="00F34037" w:rsidRDefault="00C47217" w:rsidP="00AA6ACC">
          <w:pPr>
            <w:pStyle w:val="Voettekst"/>
          </w:pPr>
        </w:p>
      </w:tc>
      <w:tc>
        <w:tcPr>
          <w:tcW w:w="567" w:type="dxa"/>
          <w:vMerge/>
        </w:tcPr>
        <w:p w14:paraId="4C859A02" w14:textId="77777777" w:rsidR="004228EC" w:rsidRDefault="00C47217" w:rsidP="00AA6ACC"/>
      </w:tc>
      <w:tc>
        <w:tcPr>
          <w:tcW w:w="2495" w:type="dxa"/>
          <w:vMerge/>
        </w:tcPr>
        <w:p w14:paraId="3C7212F2" w14:textId="77777777" w:rsidR="004228EC" w:rsidRPr="00F34037" w:rsidRDefault="00C47217" w:rsidP="00AA6ACC">
          <w:pPr>
            <w:rPr>
              <w:sz w:val="16"/>
              <w:szCs w:val="16"/>
            </w:rPr>
          </w:pPr>
        </w:p>
      </w:tc>
    </w:tr>
    <w:tr w:rsidR="00156DDA" w14:paraId="3D84C298" w14:textId="77777777" w:rsidTr="00960576">
      <w:trPr>
        <w:trHeight w:hRule="exact" w:val="1505"/>
      </w:trPr>
      <w:tc>
        <w:tcPr>
          <w:tcW w:w="6974" w:type="dxa"/>
        </w:tcPr>
        <w:p w14:paraId="472C690B" w14:textId="3C10EA34" w:rsidR="008B1C33" w:rsidRPr="008B1C33" w:rsidRDefault="00C47217" w:rsidP="008B1C33">
          <w:pPr>
            <w:rPr>
              <w:rFonts w:cs="Tahoma"/>
            </w:rPr>
          </w:pPr>
        </w:p>
      </w:tc>
      <w:tc>
        <w:tcPr>
          <w:tcW w:w="567" w:type="dxa"/>
          <w:vMerge/>
        </w:tcPr>
        <w:p w14:paraId="0DC6933B" w14:textId="77777777" w:rsidR="00F34037" w:rsidRDefault="00C47217" w:rsidP="00AA6ACC"/>
      </w:tc>
      <w:tc>
        <w:tcPr>
          <w:tcW w:w="2495" w:type="dxa"/>
          <w:vMerge/>
        </w:tcPr>
        <w:p w14:paraId="160AF5CF" w14:textId="77777777" w:rsidR="00F34037" w:rsidRPr="00F34037" w:rsidRDefault="00C47217" w:rsidP="00AA6ACC">
          <w:pPr>
            <w:rPr>
              <w:sz w:val="16"/>
              <w:szCs w:val="16"/>
            </w:rPr>
          </w:pPr>
        </w:p>
      </w:tc>
    </w:tr>
  </w:tbl>
  <w:tbl>
    <w:tblPr>
      <w:tblStyle w:val="Tabelraster"/>
      <w:tblpPr w:leftFromText="567" w:bottomFromText="567" w:vertAnchor="page" w:horzAnchor="page" w:tblpX="8790" w:tblpY="5671"/>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479"/>
      <w:gridCol w:w="2479"/>
    </w:tblGrid>
    <w:tr w:rsidR="00156DDA" w14:paraId="19489CD9" w14:textId="77777777" w:rsidTr="00A40266">
      <w:trPr>
        <w:trHeight w:val="4017"/>
      </w:trPr>
      <w:tc>
        <w:tcPr>
          <w:tcW w:w="2479" w:type="dxa"/>
        </w:tcPr>
        <w:p w14:paraId="4BED47B2" w14:textId="4612C75A" w:rsidR="00731715" w:rsidRPr="008D321D" w:rsidRDefault="00C47217" w:rsidP="00B912AE">
          <w:pPr>
            <w:pStyle w:val="adressering"/>
            <w:framePr w:hSpace="0" w:wrap="auto" w:vAnchor="margin" w:hAnchor="text" w:xAlign="left" w:yAlign="inline"/>
            <w:suppressOverlap w:val="0"/>
          </w:pPr>
        </w:p>
      </w:tc>
      <w:tc>
        <w:tcPr>
          <w:tcW w:w="2479" w:type="dxa"/>
        </w:tcPr>
        <w:p w14:paraId="68E44C1B" w14:textId="77777777" w:rsidR="00731715" w:rsidRPr="008D321D" w:rsidRDefault="00C47217" w:rsidP="008D321D">
          <w:pPr>
            <w:pStyle w:val="adressering"/>
            <w:framePr w:hSpace="0" w:wrap="auto" w:vAnchor="margin" w:hAnchor="text" w:xAlign="left" w:yAlign="inline"/>
            <w:suppressOverlap w:val="0"/>
          </w:pPr>
        </w:p>
      </w:tc>
    </w:tr>
  </w:tbl>
  <w:p w14:paraId="7881238A" w14:textId="77777777" w:rsidR="00F34037" w:rsidRDefault="00C47217" w:rsidP="00F34037"/>
  <w:p w14:paraId="0D3D5CF2" w14:textId="77777777" w:rsidR="00B25D39" w:rsidRPr="00F34037" w:rsidRDefault="00C47217" w:rsidP="00F340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A05"/>
    <w:multiLevelType w:val="hybridMultilevel"/>
    <w:tmpl w:val="C3448066"/>
    <w:lvl w:ilvl="0" w:tplc="89C48AC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29436D"/>
    <w:multiLevelType w:val="hybridMultilevel"/>
    <w:tmpl w:val="5B52B9C8"/>
    <w:lvl w:ilvl="0" w:tplc="0413000F">
      <w:start w:val="3"/>
      <w:numFmt w:val="decimal"/>
      <w:lvlText w:val="%1."/>
      <w:lvlJc w:val="left"/>
      <w:pPr>
        <w:ind w:left="1592" w:hanging="360"/>
      </w:pPr>
      <w:rPr>
        <w:rFonts w:hint="default"/>
      </w:rPr>
    </w:lvl>
    <w:lvl w:ilvl="1" w:tplc="04130019" w:tentative="1">
      <w:start w:val="1"/>
      <w:numFmt w:val="lowerLetter"/>
      <w:lvlText w:val="%2."/>
      <w:lvlJc w:val="left"/>
      <w:pPr>
        <w:ind w:left="2312" w:hanging="360"/>
      </w:pPr>
    </w:lvl>
    <w:lvl w:ilvl="2" w:tplc="0413001B" w:tentative="1">
      <w:start w:val="1"/>
      <w:numFmt w:val="lowerRoman"/>
      <w:lvlText w:val="%3."/>
      <w:lvlJc w:val="right"/>
      <w:pPr>
        <w:ind w:left="3032" w:hanging="180"/>
      </w:pPr>
    </w:lvl>
    <w:lvl w:ilvl="3" w:tplc="0413000F" w:tentative="1">
      <w:start w:val="1"/>
      <w:numFmt w:val="decimal"/>
      <w:lvlText w:val="%4."/>
      <w:lvlJc w:val="left"/>
      <w:pPr>
        <w:ind w:left="3752" w:hanging="360"/>
      </w:pPr>
    </w:lvl>
    <w:lvl w:ilvl="4" w:tplc="04130019" w:tentative="1">
      <w:start w:val="1"/>
      <w:numFmt w:val="lowerLetter"/>
      <w:lvlText w:val="%5."/>
      <w:lvlJc w:val="left"/>
      <w:pPr>
        <w:ind w:left="4472" w:hanging="360"/>
      </w:pPr>
    </w:lvl>
    <w:lvl w:ilvl="5" w:tplc="0413001B" w:tentative="1">
      <w:start w:val="1"/>
      <w:numFmt w:val="lowerRoman"/>
      <w:lvlText w:val="%6."/>
      <w:lvlJc w:val="right"/>
      <w:pPr>
        <w:ind w:left="5192" w:hanging="180"/>
      </w:pPr>
    </w:lvl>
    <w:lvl w:ilvl="6" w:tplc="0413000F" w:tentative="1">
      <w:start w:val="1"/>
      <w:numFmt w:val="decimal"/>
      <w:lvlText w:val="%7."/>
      <w:lvlJc w:val="left"/>
      <w:pPr>
        <w:ind w:left="5912" w:hanging="360"/>
      </w:pPr>
    </w:lvl>
    <w:lvl w:ilvl="7" w:tplc="04130019" w:tentative="1">
      <w:start w:val="1"/>
      <w:numFmt w:val="lowerLetter"/>
      <w:lvlText w:val="%8."/>
      <w:lvlJc w:val="left"/>
      <w:pPr>
        <w:ind w:left="6632" w:hanging="360"/>
      </w:pPr>
    </w:lvl>
    <w:lvl w:ilvl="8" w:tplc="0413001B" w:tentative="1">
      <w:start w:val="1"/>
      <w:numFmt w:val="lowerRoman"/>
      <w:lvlText w:val="%9."/>
      <w:lvlJc w:val="right"/>
      <w:pPr>
        <w:ind w:left="7352" w:hanging="180"/>
      </w:pPr>
    </w:lvl>
  </w:abstractNum>
  <w:abstractNum w:abstractNumId="2" w15:restartNumberingAfterBreak="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DA"/>
    <w:rsid w:val="000A1F06"/>
    <w:rsid w:val="000D5509"/>
    <w:rsid w:val="000E21EF"/>
    <w:rsid w:val="00115F86"/>
    <w:rsid w:val="00156DDA"/>
    <w:rsid w:val="00192794"/>
    <w:rsid w:val="00225582"/>
    <w:rsid w:val="002B2D8A"/>
    <w:rsid w:val="003206EF"/>
    <w:rsid w:val="003E7D89"/>
    <w:rsid w:val="00403C3E"/>
    <w:rsid w:val="004130E6"/>
    <w:rsid w:val="00485FDD"/>
    <w:rsid w:val="004F5363"/>
    <w:rsid w:val="006178CE"/>
    <w:rsid w:val="00627D64"/>
    <w:rsid w:val="0065254B"/>
    <w:rsid w:val="00657682"/>
    <w:rsid w:val="0067264D"/>
    <w:rsid w:val="00677629"/>
    <w:rsid w:val="00793B1A"/>
    <w:rsid w:val="007B12F9"/>
    <w:rsid w:val="0082773A"/>
    <w:rsid w:val="00895599"/>
    <w:rsid w:val="00960576"/>
    <w:rsid w:val="009F32E3"/>
    <w:rsid w:val="00A04183"/>
    <w:rsid w:val="00A5610C"/>
    <w:rsid w:val="00A8339D"/>
    <w:rsid w:val="00AF56B8"/>
    <w:rsid w:val="00B14C2A"/>
    <w:rsid w:val="00B84559"/>
    <w:rsid w:val="00B87C1B"/>
    <w:rsid w:val="00C46074"/>
    <w:rsid w:val="00C47217"/>
    <w:rsid w:val="00D03ABE"/>
    <w:rsid w:val="00D11730"/>
    <w:rsid w:val="00D43B16"/>
    <w:rsid w:val="00D4713A"/>
    <w:rsid w:val="00E84D04"/>
    <w:rsid w:val="00F503A2"/>
    <w:rsid w:val="00FE0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45954"/>
  <w15:docId w15:val="{E440E211-9805-4B24-847D-9A2C423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60A3"/>
    <w:pPr>
      <w:spacing w:line="280" w:lineRule="exact"/>
    </w:pPr>
    <w:rPr>
      <w:rFonts w:ascii="Tahoma" w:hAnsi="Tahoma"/>
      <w:sz w:val="19"/>
    </w:rPr>
  </w:style>
  <w:style w:type="paragraph" w:styleId="Kop1">
    <w:name w:val="heading 1"/>
    <w:aliases w:val="Vet + inhoudsopg-niveau 1"/>
    <w:basedOn w:val="Standaard"/>
    <w:next w:val="Standaard"/>
    <w:qFormat/>
    <w:rsid w:val="00F34037"/>
    <w:pPr>
      <w:keepNext/>
      <w:numPr>
        <w:numId w:val="6"/>
      </w:numPr>
      <w:spacing w:before="120"/>
      <w:outlineLvl w:val="0"/>
    </w:pPr>
    <w:rPr>
      <w:b/>
      <w:color w:val="00577D"/>
      <w:sz w:val="24"/>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F34037"/>
    <w:pPr>
      <w:tabs>
        <w:tab w:val="center" w:pos="4536"/>
        <w:tab w:val="right" w:pos="9072"/>
      </w:tabs>
      <w:spacing w:line="240" w:lineRule="auto"/>
    </w:pPr>
    <w:rPr>
      <w:sz w:val="12"/>
    </w:rPr>
  </w:style>
  <w:style w:type="table" w:styleId="Tabelraster">
    <w:name w:val="Table Grid"/>
    <w:basedOn w:val="Standaardtabel"/>
    <w:rsid w:val="00F3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F34037"/>
    <w:rPr>
      <w:rFonts w:ascii="Tahoma" w:hAnsi="Tahoma"/>
      <w:i w:val="0"/>
      <w:iCs/>
      <w:color w:val="auto"/>
      <w:sz w:val="12"/>
    </w:rPr>
  </w:style>
  <w:style w:type="character" w:styleId="Hyperlink">
    <w:name w:val="Hyperlink"/>
    <w:basedOn w:val="Standaardalinea-lettertype"/>
    <w:unhideWhenUsed/>
    <w:rsid w:val="00F34037"/>
    <w:rPr>
      <w:color w:val="0000FF" w:themeColor="hyperlink"/>
      <w:u w:val="single"/>
    </w:rPr>
  </w:style>
  <w:style w:type="paragraph" w:customStyle="1" w:styleId="adressering">
    <w:name w:val="adressering"/>
    <w:basedOn w:val="Standaard"/>
    <w:qFormat/>
    <w:rsid w:val="008D321D"/>
    <w:pPr>
      <w:framePr w:hSpace="142" w:wrap="around" w:vAnchor="page" w:hAnchor="page" w:x="1248" w:y="2042"/>
      <w:spacing w:line="200" w:lineRule="exact"/>
      <w:suppressOverlap/>
    </w:pPr>
    <w:rPr>
      <w:sz w:val="16"/>
      <w:szCs w:val="16"/>
    </w:rPr>
  </w:style>
  <w:style w:type="paragraph" w:styleId="Ballontekst">
    <w:name w:val="Balloon Text"/>
    <w:basedOn w:val="Standaard"/>
    <w:link w:val="BallontekstChar"/>
    <w:semiHidden/>
    <w:unhideWhenUsed/>
    <w:rsid w:val="00654E34"/>
    <w:pPr>
      <w:spacing w:line="240" w:lineRule="auto"/>
    </w:pPr>
    <w:rPr>
      <w:rFonts w:cs="Tahoma"/>
      <w:sz w:val="16"/>
      <w:szCs w:val="16"/>
    </w:rPr>
  </w:style>
  <w:style w:type="character" w:customStyle="1" w:styleId="BallontekstChar">
    <w:name w:val="Ballontekst Char"/>
    <w:basedOn w:val="Standaardalinea-lettertype"/>
    <w:link w:val="Ballontekst"/>
    <w:semiHidden/>
    <w:rsid w:val="00654E34"/>
    <w:rPr>
      <w:rFonts w:ascii="Tahoma" w:hAnsi="Tahoma" w:cs="Tahoma"/>
      <w:sz w:val="16"/>
      <w:szCs w:val="16"/>
    </w:rPr>
  </w:style>
  <w:style w:type="paragraph" w:customStyle="1" w:styleId="Paginacijfer">
    <w:name w:val="Paginacijfer"/>
    <w:basedOn w:val="Standaard"/>
    <w:uiPriority w:val="99"/>
    <w:rsid w:val="00A54B2F"/>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jc w:val="right"/>
    </w:pPr>
    <w:rPr>
      <w:sz w:val="16"/>
      <w:szCs w:val="24"/>
    </w:rPr>
  </w:style>
  <w:style w:type="character" w:styleId="GevolgdeHyperlink">
    <w:name w:val="FollowedHyperlink"/>
    <w:basedOn w:val="Standaardalinea-lettertype"/>
    <w:semiHidden/>
    <w:unhideWhenUsed/>
    <w:rsid w:val="008D321D"/>
    <w:rPr>
      <w:color w:val="800080" w:themeColor="followedHyperlink"/>
      <w:u w:val="single"/>
    </w:rPr>
  </w:style>
  <w:style w:type="paragraph" w:styleId="Lijstalinea">
    <w:name w:val="List Paragraph"/>
    <w:basedOn w:val="Standaard"/>
    <w:uiPriority w:val="34"/>
    <w:qFormat/>
    <w:rsid w:val="004130E6"/>
    <w:pPr>
      <w:spacing w:line="280" w:lineRule="atLeast"/>
      <w:ind w:left="720"/>
      <w:contextualSpacing/>
    </w:pPr>
    <w:rPr>
      <w:rFonts w:eastAsiaTheme="minorHAnsi" w:cstheme="minorBidi"/>
      <w:szCs w:val="22"/>
      <w:lang w:eastAsia="en-US"/>
    </w:rPr>
  </w:style>
  <w:style w:type="character" w:styleId="Verwijzingopmerking">
    <w:name w:val="annotation reference"/>
    <w:basedOn w:val="Standaardalinea-lettertype"/>
    <w:uiPriority w:val="99"/>
    <w:semiHidden/>
    <w:unhideWhenUsed/>
    <w:rsid w:val="004130E6"/>
    <w:rPr>
      <w:sz w:val="16"/>
      <w:szCs w:val="16"/>
    </w:rPr>
  </w:style>
  <w:style w:type="paragraph" w:styleId="Tekstopmerking">
    <w:name w:val="annotation text"/>
    <w:basedOn w:val="Standaard"/>
    <w:link w:val="TekstopmerkingChar"/>
    <w:uiPriority w:val="99"/>
    <w:semiHidden/>
    <w:unhideWhenUsed/>
    <w:rsid w:val="004130E6"/>
    <w:pPr>
      <w:spacing w:line="240" w:lineRule="auto"/>
    </w:pPr>
    <w:rPr>
      <w:rFonts w:eastAsiaTheme="minorHAnsi" w:cstheme="minorBidi"/>
      <w:sz w:val="20"/>
      <w:lang w:eastAsia="en-US"/>
    </w:rPr>
  </w:style>
  <w:style w:type="character" w:customStyle="1" w:styleId="TekstopmerkingChar">
    <w:name w:val="Tekst opmerking Char"/>
    <w:basedOn w:val="Standaardalinea-lettertype"/>
    <w:link w:val="Tekstopmerking"/>
    <w:uiPriority w:val="99"/>
    <w:semiHidden/>
    <w:rsid w:val="004130E6"/>
    <w:rPr>
      <w:rFonts w:ascii="Tahoma" w:eastAsiaTheme="minorHAnsi" w:hAnsi="Tahoma" w:cstheme="minorBidi"/>
      <w:lang w:eastAsia="en-US"/>
    </w:rPr>
  </w:style>
  <w:style w:type="character" w:customStyle="1" w:styleId="UnresolvedMention">
    <w:name w:val="Unresolved Mention"/>
    <w:basedOn w:val="Standaardalinea-lettertype"/>
    <w:rsid w:val="00C46074"/>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87C1B"/>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B87C1B"/>
    <w:rPr>
      <w:rFonts w:ascii="Tahoma" w:eastAsiaTheme="minorHAnsi" w:hAnsi="Tahoma"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onderwerpen/wetten-en-regels-gebouwen/energielabel-c-kanto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vo.nl/onderwerpen/energiebesparingsplicht-2023/onderzoeksplicht-energiebesparing-vanaf-20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dnzkg.nl/digitale-werkwijz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dnzkg.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87478-ABCB-4F8B-8F86-89A252711BD1}">
  <we:reference id="08829ff5-3bf5-4305-b5d5-9381946ecb71" version="3.1.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leeg informatiebrief</vt:lpstr>
      <vt:lpstr>leeg informatiebrief</vt:lpstr>
    </vt:vector>
  </TitlesOfParts>
  <Company>Gemeente Haarlemmermeer</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informatiebrief</dc:title>
  <dc:creator>Liefde, Dave de</dc:creator>
  <cp:lastModifiedBy>Wessels, John (WVL)</cp:lastModifiedBy>
  <cp:revision>2</cp:revision>
  <cp:lastPrinted>2023-03-13T08:51:00Z</cp:lastPrinted>
  <dcterms:created xsi:type="dcterms:W3CDTF">2023-04-17T07:37:00Z</dcterms:created>
  <dcterms:modified xsi:type="dcterms:W3CDTF">2023-04-17T07:37:00Z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Id">
    <vt:lpwstr>24149939</vt:lpwstr>
  </property>
  <property fmtid="{D5CDD505-2E9C-101B-9397-08002B2CF9AE}" pid="3" name="mzdDocumentBlobId">
    <vt:lpwstr>63266042</vt:lpwstr>
  </property>
  <property fmtid="{D5CDD505-2E9C-101B-9397-08002B2CF9AE}" pid="4" name="mzdZaaknummer">
    <vt:lpwstr>11833871</vt:lpwstr>
  </property>
  <property fmtid="{D5CDD505-2E9C-101B-9397-08002B2CF9AE}" pid="5" name="mzdDocumentType">
    <vt:lpwstr>680</vt:lpwstr>
  </property>
</Properties>
</file>